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69" w:lineRule="exact"/>
        <w:ind w:left="152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4393454" cy="61569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393454" cy="615696"/>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10"/>
        <w:rPr>
          <w:rFonts w:ascii="Times New Roman" w:hAnsi="Times New Roman" w:cs="Times New Roman" w:eastAsia="Times New Roman" w:hint="default"/>
          <w:sz w:val="12"/>
          <w:szCs w:val="12"/>
        </w:rPr>
      </w:pPr>
    </w:p>
    <w:p>
      <w:pPr>
        <w:spacing w:line="460" w:lineRule="exact" w:before="0"/>
        <w:ind w:left="135" w:right="139" w:firstLine="0"/>
        <w:jc w:val="center"/>
        <w:rPr>
          <w:rFonts w:ascii="宋体" w:hAnsi="宋体" w:cs="宋体" w:eastAsia="宋体" w:hint="default"/>
          <w:sz w:val="36"/>
          <w:szCs w:val="36"/>
        </w:rPr>
      </w:pPr>
      <w:r>
        <w:rPr>
          <w:rFonts w:ascii="宋体" w:hAnsi="宋体" w:cs="宋体" w:eastAsia="宋体" w:hint="default"/>
          <w:b/>
          <w:bCs/>
          <w:sz w:val="36"/>
          <w:szCs w:val="36"/>
        </w:rPr>
        <w:t>北京东方通科技股份有限公司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5" w:right="13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10"/>
        <w:rPr>
          <w:rFonts w:ascii="宋体" w:hAnsi="宋体" w:cs="宋体" w:eastAsia="宋体" w:hint="default"/>
          <w:b/>
          <w:bCs/>
          <w:sz w:val="29"/>
          <w:szCs w:val="29"/>
        </w:rPr>
      </w:pPr>
    </w:p>
    <w:p>
      <w:pPr>
        <w:spacing w:before="0"/>
        <w:ind w:left="135" w:right="135" w:firstLine="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b/>
          <w:bCs/>
          <w:sz w:val="22"/>
          <w:szCs w:val="22"/>
        </w:rPr>
        <w:t>2015-</w:t>
      </w:r>
      <w:r>
        <w:rPr>
          <w:rFonts w:ascii="宋体" w:hAnsi="宋体" w:cs="宋体" w:eastAsia="宋体" w:hint="default"/>
          <w:b/>
          <w:bCs/>
          <w:sz w:val="22"/>
          <w:szCs w:val="22"/>
        </w:rPr>
        <w:t>定</w:t>
      </w:r>
      <w:r>
        <w:rPr>
          <w:rFonts w:ascii="宋体" w:hAnsi="宋体" w:cs="宋体" w:eastAsia="宋体" w:hint="default"/>
          <w:b/>
          <w:bCs/>
          <w:spacing w:val="-59"/>
          <w:sz w:val="22"/>
          <w:szCs w:val="22"/>
        </w:rPr>
        <w:t> </w:t>
      </w:r>
      <w:r>
        <w:rPr>
          <w:rFonts w:ascii="Times New Roman" w:hAnsi="Times New Roman" w:cs="Times New Roman" w:eastAsia="Times New Roman" w:hint="default"/>
          <w:b/>
          <w:bCs/>
          <w:sz w:val="22"/>
          <w:szCs w:val="22"/>
        </w:rPr>
        <w:t>001</w:t>
      </w:r>
      <w:r>
        <w:rPr>
          <w:rFonts w:ascii="Times New Roman" w:hAnsi="Times New Roman" w:cs="Times New Roman" w:eastAsia="Times New Roman" w:hint="default"/>
          <w:sz w:val="22"/>
          <w:szCs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44"/>
        <w:ind w:left="135" w:right="13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TOC_250008" w:id="1"/>
      <w:bookmarkStart w:name="第一节 重要提示、目录和释义" w:id="2"/>
      <w:r>
        <w:rPr>
          <w:b w:val="0"/>
          <w:bCs w:val="0"/>
        </w:rPr>
      </w:r>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1"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1"/>
          <w:sz w:val="28"/>
          <w:szCs w:val="28"/>
        </w:rPr>
        <w:t>公司负责人张齐春、主管会计工作负责人徐少璞及会计机构负责人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w:t>
      </w:r>
      <w:r>
        <w:rPr>
          <w:rFonts w:ascii="宋体" w:hAnsi="宋体" w:cs="宋体" w:eastAsia="宋体" w:hint="default"/>
          <w:spacing w:val="-1"/>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王会声明：保证年度报告中财务报告的真实、准确、完整。</w:t>
      </w:r>
      <w:r>
        <w:rPr>
          <w:rFonts w:ascii="宋体" w:hAnsi="宋体" w:cs="宋体" w:eastAsia="宋体" w:hint="default"/>
          <w:sz w:val="28"/>
          <w:szCs w:val="28"/>
        </w:rPr>
      </w:r>
    </w:p>
    <w:p>
      <w:pPr>
        <w:spacing w:after="0" w:line="320" w:lineRule="exact"/>
        <w:jc w:val="left"/>
        <w:rPr>
          <w:rFonts w:ascii="宋体" w:hAnsi="宋体" w:cs="宋体" w:eastAsia="宋体" w:hint="default"/>
          <w:sz w:val="28"/>
          <w:szCs w:val="28"/>
        </w:rPr>
        <w:sectPr>
          <w:footerReference w:type="default" r:id="rId8"/>
          <w:pgSz w:w="11910" w:h="16840"/>
          <w:pgMar w:footer="982" w:header="745"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135" w:right="13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第二节</w:t>
            </w:r>
            <w:r>
              <w:rPr>
                <w:spacing w:val="-19"/>
              </w:rPr>
              <w:t> </w:t>
            </w:r>
            <w:r>
              <w:rPr/>
              <w:t>公司基本情况简介</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第三节</w:t>
            </w:r>
            <w:r>
              <w:rPr>
                <w:spacing w:val="-19"/>
              </w:rPr>
              <w:t> </w:t>
            </w:r>
            <w:r>
              <w:rPr/>
              <w:t>会计数据和财务指标摘要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第四节</w:t>
            </w:r>
            <w:r>
              <w:rPr>
                <w:spacing w:val="-18"/>
              </w:rPr>
              <w:t> </w:t>
            </w:r>
            <w:r>
              <w:rPr/>
              <w:t>董事会报告</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第五节</w:t>
            </w:r>
            <w:r>
              <w:rPr>
                <w:spacing w:val="-19"/>
              </w:rPr>
              <w:t> </w:t>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第六节</w:t>
            </w:r>
            <w:r>
              <w:rPr>
                <w:spacing w:val="-19"/>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第七节</w:t>
            </w:r>
            <w:r>
              <w:rPr>
                <w:spacing w:val="-19"/>
              </w:rPr>
              <w:t> </w:t>
            </w:r>
            <w:r>
              <w:rPr/>
              <w:t>董事、监事、高级管理人员和员工情况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第八节</w:t>
            </w:r>
            <w:r>
              <w:rPr>
                <w:spacing w:val="-19"/>
              </w:rPr>
              <w:t> </w:t>
            </w:r>
            <w:r>
              <w:rPr/>
              <w:t>公司治理</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第九节</w:t>
            </w:r>
            <w:r>
              <w:rPr>
                <w:spacing w:val="-19"/>
              </w:rPr>
              <w:t> </w:t>
            </w:r>
            <w:r>
              <w:rPr/>
              <w:t>财务报告</w:t>
            </w:r>
            <w:r>
              <w:rPr>
                <w:rFonts w:ascii="Times New Roman" w:hAnsi="Times New Roman" w:cs="Times New Roman" w:eastAsia="Times New Roman" w:hint="default"/>
              </w:rPr>
              <w:tab/>
              <w:t>164</w:t>
            </w:r>
            <w:r>
              <w:rPr>
                <w:rFonts w:ascii="Times New Roman" w:hAnsi="Times New Roman" w:cs="Times New Roman" w:eastAsia="Times New Roman" w:hint="default"/>
                <w:b w:val="0"/>
                <w:bCs w:val="0"/>
              </w:rPr>
            </w:r>
          </w:hyperlink>
        </w:p>
      </w:sdtContent>
    </w:sdt>
    <w:p>
      <w:pPr>
        <w:pStyle w:val="Heading2"/>
        <w:spacing w:line="240" w:lineRule="auto" w:before="159"/>
        <w:ind w:left="135" w:right="145"/>
        <w:jc w:val="center"/>
        <w:rPr>
          <w:rFonts w:ascii="宋体" w:hAnsi="宋体" w:cs="宋体" w:eastAsia="宋体" w:hint="default"/>
          <w:b w:val="0"/>
          <w:bCs w:val="0"/>
        </w:rPr>
      </w:pPr>
      <w:r>
        <w:rPr/>
        <w:t>第十节</w:t>
      </w:r>
      <w:r>
        <w:rPr>
          <w:spacing w:val="-4"/>
        </w:rPr>
        <w:t> </w:t>
      </w:r>
      <w:r>
        <w:rPr/>
        <w:t>备查文件目录</w:t>
      </w:r>
      <w:r>
        <w:rPr>
          <w:rFonts w:ascii="Times New Roman" w:hAnsi="Times New Roman" w:cs="Times New Roman" w:eastAsia="Times New Roman" w:hint="default"/>
        </w:rPr>
        <w:t>.........................................................................................</w:t>
      </w:r>
      <w:r>
        <w:rPr>
          <w:rFonts w:ascii="宋体" w:hAnsi="宋体" w:cs="宋体" w:eastAsia="宋体" w:hint="default"/>
          <w:b w:val="0"/>
          <w:bCs w:val="0"/>
        </w:rPr>
        <w:t>错误</w:t>
      </w:r>
      <w:r>
        <w:rPr>
          <w:rFonts w:ascii="Times New Roman" w:hAnsi="Times New Roman" w:cs="Times New Roman" w:eastAsia="Times New Roman" w:hint="default"/>
          <w:b w:val="0"/>
          <w:bCs w:val="0"/>
        </w:rPr>
        <w:t>!</w:t>
      </w:r>
      <w:r>
        <w:rPr>
          <w:rFonts w:ascii="宋体" w:hAnsi="宋体" w:cs="宋体" w:eastAsia="宋体" w:hint="default"/>
          <w:b w:val="0"/>
          <w:bCs w:val="0"/>
        </w:rPr>
        <w:t>未定义书签。</w:t>
      </w:r>
    </w:p>
    <w:p>
      <w:pPr>
        <w:spacing w:after="0" w:line="240" w:lineRule="auto"/>
        <w:jc w:val="center"/>
        <w:rPr>
          <w:rFonts w:ascii="宋体" w:hAnsi="宋体" w:cs="宋体" w:eastAsia="宋体" w:hint="default"/>
        </w:rPr>
        <w:sectPr>
          <w:pgSz w:w="11910" w:h="16840"/>
          <w:pgMar w:header="745" w:footer="982" w:top="1060" w:bottom="1180" w:left="980" w:right="980"/>
        </w:sectPr>
      </w:pPr>
    </w:p>
    <w:p>
      <w:pPr>
        <w:spacing w:before="944"/>
        <w:ind w:left="135" w:right="13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3"/>
        <w:gridCol w:w="622"/>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公司、东方通、本公司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北京东方通科技股份有限公司章程</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保荐人、保荐机构、主承销商、独立财务顾 问、国信证券</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立信会计师、会计师</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中和评估、评估机构</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中和资产评估有限公司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国枫凯文</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北京国枫律师事务所</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张齐春、朱海东和朱曼</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上海东方通泰</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成都东方通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东方通宇</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同德一心</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无锡东方通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涌金实业</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上海涌金实业有限公司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涌金、涌金集团</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涌金实业（集团）有限公司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盈富泰克</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东华软件</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北京核高基</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电信运营商</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提供固定电话、移动电话和互联网接入的通信服务公司，中国三大电</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信运营商分别是中国移动、中国联通和中国电信</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《重组管理办法》</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《上市公司重大资产重组管理办法</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日修</w:t>
            </w:r>
            <w:r>
              <w:rPr>
                <w:rFonts w:ascii="宋体" w:hAnsi="宋体" w:cs="宋体" w:eastAsia="宋体" w:hint="default"/>
                <w:spacing w:val="-3"/>
                <w:sz w:val="18"/>
                <w:szCs w:val="18"/>
              </w:rPr>
              <w:t>订</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00002pt;margin-top:71.998985pt;width:479.2pt;height:683.0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《发行管理办法》</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中国证监会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日颁布的《创业板上市公司证券发行管</w:t>
                        </w:r>
                        <w:r>
                          <w:rPr>
                            <w:rFonts w:ascii="宋体" w:hAnsi="宋体" w:cs="宋体" w:eastAsia="宋体" w:hint="default"/>
                            <w:sz w:val="18"/>
                            <w:szCs w:val="18"/>
                          </w:rPr>
                          <w:t> 理暂行办法》</w:t>
                        </w:r>
                      </w:p>
                    </w:tc>
                  </w:tr>
                  <w:tr>
                    <w:trPr>
                      <w:trHeight w:val="164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基础软件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both"/>
                          <w:rPr>
                            <w:rFonts w:ascii="宋体" w:hAnsi="宋体" w:cs="宋体" w:eastAsia="宋体" w:hint="default"/>
                            <w:sz w:val="18"/>
                            <w:szCs w:val="18"/>
                          </w:rPr>
                        </w:pPr>
                        <w:r>
                          <w:rPr>
                            <w:rFonts w:ascii="宋体" w:hAnsi="宋体" w:cs="宋体" w:eastAsia="宋体" w:hint="default"/>
                            <w:spacing w:val="-2"/>
                            <w:sz w:val="18"/>
                            <w:szCs w:val="18"/>
                          </w:rPr>
                          <w:t>计算机系统中最底层、与具体业务逻辑无关的一类软件，其主要作用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是为应用软件对系统资源、数据和网络资源的访问和管理提供支撑， </w:t>
                        </w:r>
                        <w:r>
                          <w:rPr>
                            <w:rFonts w:ascii="宋体" w:hAnsi="宋体" w:cs="宋体" w:eastAsia="宋体" w:hint="default"/>
                            <w:spacing w:val="-2"/>
                            <w:sz w:val="18"/>
                            <w:szCs w:val="18"/>
                          </w:rPr>
                          <w:t>为应用软件的开发、部署和运行提供平台。计算机软件可以分为基础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软件和应用软件两大类。基础软件包括操作系统、数据库系统、中间</w:t>
                        </w:r>
                        <w:r>
                          <w:rPr>
                            <w:rFonts w:ascii="宋体" w:hAnsi="宋体" w:cs="宋体" w:eastAsia="宋体" w:hint="default"/>
                            <w:sz w:val="18"/>
                            <w:szCs w:val="18"/>
                          </w:rPr>
                          <w:t> 件与虚拟化软件等。</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中间件、中间件软件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一种应用于分布式系统的基础软件，位于应用与操作系统、数据库之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间，主要用于解决分布式环境下数据传输、数据访问、应用调度、系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统构建和系统集成、流程管理等问题，是分布式环境下支撑应用开发</w:t>
                        </w:r>
                        <w:r>
                          <w:rPr>
                            <w:rFonts w:ascii="宋体" w:hAnsi="宋体" w:cs="宋体" w:eastAsia="宋体" w:hint="default"/>
                            <w:sz w:val="18"/>
                            <w:szCs w:val="18"/>
                          </w:rPr>
                          <w:t> 运行和集成的平台。</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基础类中间件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主要包括消息中间件，交易中间件，应用服务器，安全中间件等，这</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一类中间件产品是构建分布式应用的基础。</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集成类中间件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pacing w:val="-2"/>
                            <w:sz w:val="18"/>
                            <w:szCs w:val="18"/>
                          </w:rPr>
                          <w:t>主要用于异构系统（如不同的数据库系统、业务应用系统等）之间进</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5"/>
                            <w:sz w:val="18"/>
                            <w:szCs w:val="18"/>
                          </w:rPr>
                          <w:t>行资源整合，以实现互连互通、数据共享、业务流程协调统一等功能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并构建灵活可扩展的分布式企业应用。</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平台类中间件</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pacing w:val="-2"/>
                            <w:sz w:val="18"/>
                            <w:szCs w:val="18"/>
                          </w:rPr>
                          <w:t>为了满足特定的行业、企业需要，便于快速、方便地构建应用而在原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有基础中间件、集成中间件等的基础上开发的中间件。根据所提供的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服务不同，行业领域应用平台包括文件交换管理、数据共享交换、支</w:t>
                        </w:r>
                        <w:r>
                          <w:rPr>
                            <w:rFonts w:ascii="宋体" w:hAnsi="宋体" w:cs="宋体" w:eastAsia="宋体" w:hint="default"/>
                            <w:sz w:val="18"/>
                            <w:szCs w:val="18"/>
                          </w:rPr>
                          <w:t> 持云计算和物联网的平台中间件。</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核高基、核高基项目</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国家对核心电子器件、高端通用芯片及基础软件的简称，是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国务院发布的《国家中长期科学和技术发展规划纲要（</w:t>
                        </w:r>
                        <w:r>
                          <w:rPr>
                            <w:rFonts w:ascii="Times New Roman" w:hAnsi="Times New Roman" w:cs="Times New Roman" w:eastAsia="Times New Roman" w:hint="default"/>
                            <w:spacing w:val="-6"/>
                            <w:sz w:val="18"/>
                            <w:szCs w:val="18"/>
                          </w:rPr>
                          <w:t>2006-2020</w:t>
                        </w:r>
                        <w:r>
                          <w:rPr>
                            <w:rFonts w:ascii="宋体" w:hAnsi="宋体" w:cs="宋体" w:eastAsia="宋体" w:hint="default"/>
                            <w:spacing w:val="-6"/>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中所列的重大科技专项之一。</w:t>
                        </w:r>
                      </w:p>
                    </w:tc>
                  </w:tr>
                  <w:tr>
                    <w:trPr>
                      <w:trHeight w:val="196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SOA</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Service-Oriented Architecture </w:t>
                        </w:r>
                        <w:r>
                          <w:rPr>
                            <w:rFonts w:ascii="宋体" w:hAnsi="宋体" w:cs="宋体" w:eastAsia="宋体" w:hint="default"/>
                            <w:sz w:val="18"/>
                            <w:szCs w:val="18"/>
                          </w:rPr>
                          <w:t>的简称，即面向服务的架构，是一种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策略，它将企业应用中的各种功能重新整理为具有互操作性的标准服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务，可以迅速组合和重用这些服务，以满足业务需要。</w:t>
                        </w:r>
                        <w:r>
                          <w:rPr>
                            <w:rFonts w:ascii="Times New Roman" w:hAnsi="Times New Roman" w:cs="Times New Roman" w:eastAsia="Times New Roman" w:hint="default"/>
                            <w:spacing w:val="-4"/>
                            <w:sz w:val="18"/>
                            <w:szCs w:val="18"/>
                          </w:rPr>
                          <w:t>SOA</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提供了一</w:t>
                        </w:r>
                        <w:r>
                          <w:rPr>
                            <w:rFonts w:ascii="宋体" w:hAnsi="宋体" w:cs="宋体" w:eastAsia="宋体" w:hint="default"/>
                            <w:spacing w:val="-83"/>
                            <w:sz w:val="18"/>
                            <w:szCs w:val="18"/>
                          </w:rPr>
                          <w:t> </w:t>
                        </w:r>
                        <w:r>
                          <w:rPr>
                            <w:rFonts w:ascii="宋体" w:hAnsi="宋体" w:cs="宋体" w:eastAsia="宋体" w:hint="default"/>
                            <w:spacing w:val="-2"/>
                            <w:sz w:val="18"/>
                            <w:szCs w:val="18"/>
                          </w:rPr>
                          <w:t>种构建信息系统的标准和方法，并通过建立起合并、可重用的服务体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系来减少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业务冗余并加快项目开发的进程，使得开发部门效率更 高效。</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将大量用网络连接的计算资源统一管理和调度，构成一个计算资源池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向用户按需服务。提供资源的网络被称为</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PaaS</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Platform</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1"/>
                            <w:w w:val="99"/>
                            <w:sz w:val="18"/>
                            <w:szCs w:val="18"/>
                          </w:rPr>
                          <w:t>as</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6"/>
                            <w:w w:val="99"/>
                            <w:sz w:val="18"/>
                            <w:szCs w:val="18"/>
                          </w:rPr>
                          <w:t>Service</w:t>
                        </w:r>
                        <w:r>
                          <w:rPr>
                            <w:rFonts w:ascii="宋体" w:hAnsi="宋体" w:cs="宋体" w:eastAsia="宋体" w:hint="default"/>
                            <w:spacing w:val="-6"/>
                            <w:w w:val="99"/>
                            <w:sz w:val="18"/>
                            <w:szCs w:val="18"/>
                          </w:rPr>
                          <w:t>），意思是平台即服务。</w:t>
                        </w:r>
                        <w:r>
                          <w:rPr>
                            <w:rFonts w:ascii="宋体" w:hAnsi="宋体" w:cs="宋体" w:eastAsia="宋体" w:hint="default"/>
                            <w:spacing w:val="11"/>
                            <w:w w:val="99"/>
                            <w:sz w:val="18"/>
                            <w:szCs w:val="18"/>
                          </w:rPr>
                          <w:t> </w:t>
                        </w:r>
                        <w:r>
                          <w:rPr>
                            <w:rFonts w:ascii="宋体" w:hAnsi="宋体" w:cs="宋体" w:eastAsia="宋体" w:hint="default"/>
                            <w:w w:val="99"/>
                            <w:sz w:val="18"/>
                            <w:szCs w:val="18"/>
                          </w:rPr>
                          <w:t>是在云计算中将</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包括中间件在内的运行和开发环境作为一种服务提供的商业模式。</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IaaS</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Infrastructure as a Service</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的缩写，意思是基础设施即服务。消费者通</w:t>
                        </w:r>
                        <w:r>
                          <w:rPr>
                            <w:rFonts w:ascii="宋体" w:hAnsi="宋体" w:cs="宋体" w:eastAsia="宋体" w:hint="default"/>
                            <w:w w:val="99"/>
                            <w:sz w:val="18"/>
                            <w:szCs w:val="18"/>
                          </w:rPr>
                          <w:t> </w:t>
                        </w:r>
                        <w:r>
                          <w:rPr>
                            <w:rFonts w:ascii="宋体" w:hAnsi="宋体" w:cs="宋体" w:eastAsia="宋体" w:hint="default"/>
                            <w:sz w:val="18"/>
                            <w:szCs w:val="18"/>
                          </w:rPr>
                          <w:t>过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可以从完善的计算机基础设施获得服务。这类服务称为基</w:t>
                        </w:r>
                        <w:r>
                          <w:rPr>
                            <w:rFonts w:ascii="宋体" w:hAnsi="宋体" w:cs="宋体" w:eastAsia="宋体" w:hint="default"/>
                            <w:w w:val="99"/>
                            <w:sz w:val="18"/>
                            <w:szCs w:val="18"/>
                          </w:rPr>
                          <w:t> </w:t>
                        </w:r>
                        <w:r>
                          <w:rPr>
                            <w:rFonts w:ascii="宋体" w:hAnsi="宋体" w:cs="宋体" w:eastAsia="宋体" w:hint="default"/>
                            <w:sz w:val="18"/>
                            <w:szCs w:val="18"/>
                          </w:rPr>
                          <w:t>础设施即服务</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as a Service </w:t>
                        </w:r>
                        <w:r>
                          <w:rPr>
                            <w:rFonts w:ascii="宋体" w:hAnsi="宋体" w:cs="宋体" w:eastAsia="宋体" w:hint="default"/>
                            <w:spacing w:val="-5"/>
                            <w:sz w:val="18"/>
                            <w:szCs w:val="18"/>
                          </w:rPr>
                          <w:t>的缩写，意思是软件即服务。是一种通过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提供软件的模式，用户不用再购买软件，而改用向提供商租用基于</w:t>
                        </w:r>
                        <w:r>
                          <w:rPr>
                            <w:rFonts w:ascii="宋体" w:hAnsi="宋体" w:cs="宋体" w:eastAsia="宋体" w:hint="default"/>
                            <w:w w:val="99"/>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z w:val="18"/>
                            <w:szCs w:val="18"/>
                          </w:rPr>
                          <w:t> </w:t>
                        </w:r>
                        <w:r>
                          <w:rPr>
                            <w:rFonts w:ascii="宋体" w:hAnsi="宋体" w:cs="宋体" w:eastAsia="宋体" w:hint="default"/>
                            <w:sz w:val="18"/>
                            <w:szCs w:val="18"/>
                          </w:rPr>
                          <w:t>的软件，来管理企业经营活动，且无需对软件进行维护</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BodyText"/>
        <w:spacing w:line="240" w:lineRule="auto" w:before="44"/>
        <w:ind w:left="0" w:right="1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0" w:right="160"/>
        <w:jc w:val="right"/>
      </w:pPr>
      <w:r>
        <w:rPr/>
        <w:t>，</w:t>
      </w:r>
    </w:p>
    <w:p>
      <w:pPr>
        <w:spacing w:after="0" w:line="240" w:lineRule="auto"/>
        <w:jc w:val="right"/>
        <w:sectPr>
          <w:pgSz w:w="11910" w:h="16840"/>
          <w:pgMar w:header="745" w:footer="982" w:top="1060" w:bottom="1180" w:left="980" w:right="980"/>
        </w:sectPr>
      </w:pPr>
    </w:p>
    <w:p>
      <w:pPr>
        <w:spacing w:line="240" w:lineRule="auto" w:before="7"/>
        <w:rPr>
          <w:rFonts w:ascii="宋体" w:hAnsi="宋体" w:cs="宋体" w:eastAsia="宋体" w:hint="default"/>
          <w:sz w:val="29"/>
          <w:szCs w:val="29"/>
        </w:rPr>
      </w:pPr>
    </w:p>
    <w:p>
      <w:pPr>
        <w:pStyle w:val="BodyText"/>
        <w:spacing w:line="240" w:lineRule="auto" w:before="44"/>
        <w:ind w:left="0" w:right="160"/>
        <w:jc w:val="right"/>
      </w:pPr>
      <w:r>
        <w:rPr/>
        <w:pict>
          <v:shape style="position:absolute;margin-left:56.400002pt;margin-top:-.729301pt;width:479.2pt;height:497.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64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虚拟化</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pacing w:val="-5"/>
                            <w:sz w:val="18"/>
                            <w:szCs w:val="18"/>
                          </w:rPr>
                          <w:t>是一种资源管理技术，是将计算机的各种实体资源，如服务器、网络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内存及存储等，予以抽象、转换后呈现出来，打破实体结构间的不可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切割的障碍，使用户可以比原本的配置更好的方式来应用这些资源。 </w:t>
                        </w:r>
                        <w:r>
                          <w:rPr>
                            <w:rFonts w:ascii="宋体" w:hAnsi="宋体" w:cs="宋体" w:eastAsia="宋体" w:hint="default"/>
                            <w:spacing w:val="-2"/>
                            <w:sz w:val="18"/>
                            <w:szCs w:val="18"/>
                          </w:rPr>
                          <w:t>这些资源的新虚拟部份是不受现有资源的架设方式，地域或物理配置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所限制。</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2G</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2rdGeneration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缩写，第二代数字通信技术</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3G</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3rdGeneration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缩写，第三代数字通信技术</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4G</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4rdGeneration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缩写，第四代移动通信技术</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7"/>
                            <w:sz w:val="18"/>
                          </w:rPr>
                          <w:t>LTE</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Long</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4"/>
                            <w:sz w:val="18"/>
                            <w:szCs w:val="18"/>
                          </w:rPr>
                          <w:t>Term</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Evolution</w:t>
                        </w:r>
                        <w:r>
                          <w:rPr>
                            <w:rFonts w:ascii="宋体" w:hAnsi="宋体" w:cs="宋体" w:eastAsia="宋体" w:hint="default"/>
                            <w:sz w:val="18"/>
                            <w:szCs w:val="18"/>
                          </w:rPr>
                          <w:t>（长期演进）的英文缩写，是处于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之间 的一个过渡技术</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网优</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即网络优化，是通过对现有已运行的网络进行话务数据分析、现场测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试数据采集、参数分析、硬件检查等手段，找出影响网络质量的原因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并且通过参数的修改、网络结构的调整、设备配置的调整和采取某些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技术手段（采用</w:t>
                        </w:r>
                        <w:r>
                          <w:rPr>
                            <w:rFonts w:ascii="宋体" w:hAnsi="宋体" w:cs="宋体" w:eastAsia="宋体" w:hint="default"/>
                            <w:spacing w:val="-37"/>
                            <w:sz w:val="18"/>
                            <w:szCs w:val="18"/>
                          </w:rPr>
                          <w:t> </w:t>
                        </w:r>
                        <w:r>
                          <w:rPr>
                            <w:rFonts w:ascii="Times New Roman" w:hAnsi="Times New Roman" w:cs="Times New Roman" w:eastAsia="Times New Roman" w:hint="default"/>
                            <w:spacing w:val="-1"/>
                            <w:w w:val="99"/>
                            <w:sz w:val="18"/>
                            <w:szCs w:val="18"/>
                          </w:rPr>
                          <w:t>MRP</w:t>
                        </w:r>
                        <w:r>
                          <w:rPr>
                            <w:rFonts w:ascii="Times New Roman" w:hAnsi="Times New Roman" w:cs="Times New Roman" w:eastAsia="Times New Roman" w:hint="default"/>
                            <w:spacing w:val="12"/>
                            <w:w w:val="99"/>
                            <w:sz w:val="18"/>
                            <w:szCs w:val="18"/>
                          </w:rPr>
                          <w:t> </w:t>
                        </w:r>
                        <w:r>
                          <w:rPr>
                            <w:rFonts w:ascii="宋体" w:hAnsi="宋体" w:cs="宋体" w:eastAsia="宋体" w:hint="default"/>
                            <w:spacing w:val="-7"/>
                            <w:sz w:val="18"/>
                            <w:szCs w:val="18"/>
                          </w:rPr>
                          <w:t>的规划办法等），确保系统高质量的运行，使现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有网络资源获得最佳效益</w:t>
                        </w:r>
                      </w:p>
                    </w:tc>
                  </w:tr>
                  <w:tr>
                    <w:trPr>
                      <w:trHeight w:val="227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路测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又称</w:t>
                        </w:r>
                        <w:r>
                          <w:rPr>
                            <w:rFonts w:ascii="宋体" w:hAnsi="宋体" w:cs="宋体" w:eastAsia="宋体" w:hint="default"/>
                            <w:spacing w:val="-37"/>
                            <w:sz w:val="18"/>
                            <w:szCs w:val="18"/>
                          </w:rPr>
                          <w:t> </w:t>
                        </w:r>
                        <w:r>
                          <w:rPr>
                            <w:rFonts w:ascii="Times New Roman" w:hAnsi="Times New Roman" w:cs="Times New Roman" w:eastAsia="Times New Roman" w:hint="default"/>
                            <w:spacing w:val="-1"/>
                            <w:w w:val="99"/>
                            <w:sz w:val="18"/>
                            <w:szCs w:val="18"/>
                          </w:rPr>
                          <w:t>DT</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Drive</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5"/>
                            <w:w w:val="99"/>
                            <w:sz w:val="18"/>
                            <w:szCs w:val="18"/>
                          </w:rPr>
                          <w:t>Test</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DT</w:t>
                        </w:r>
                        <w:r>
                          <w:rPr>
                            <w:rFonts w:ascii="宋体" w:hAnsi="宋体" w:cs="宋体" w:eastAsia="宋体" w:hint="default"/>
                            <w:spacing w:val="-5"/>
                            <w:w w:val="99"/>
                            <w:sz w:val="18"/>
                            <w:szCs w:val="18"/>
                          </w:rPr>
                          <w:t>），是无线网络优化的重要组成部分，是对</w:t>
                        </w:r>
                        <w:r>
                          <w:rPr>
                            <w:rFonts w:ascii="宋体" w:hAnsi="宋体" w:cs="宋体" w:eastAsia="宋体" w:hint="default"/>
                            <w:spacing w:val="-78"/>
                            <w:w w:val="99"/>
                            <w:sz w:val="18"/>
                            <w:szCs w:val="18"/>
                          </w:rPr>
                          <w:t> </w:t>
                        </w:r>
                        <w:r>
                          <w:rPr>
                            <w:rFonts w:ascii="宋体" w:hAnsi="宋体" w:cs="宋体" w:eastAsia="宋体" w:hint="default"/>
                            <w:spacing w:val="-78"/>
                            <w:w w:val="99"/>
                            <w:sz w:val="18"/>
                            <w:szCs w:val="18"/>
                          </w:rPr>
                        </w:r>
                        <w:r>
                          <w:rPr>
                            <w:rFonts w:ascii="宋体" w:hAnsi="宋体" w:cs="宋体" w:eastAsia="宋体" w:hint="default"/>
                            <w:spacing w:val="-2"/>
                            <w:sz w:val="18"/>
                            <w:szCs w:val="18"/>
                          </w:rPr>
                          <w:t>无线网络的下行信号进行测试，主要用于获得以下数据：服务小区信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号强度、话音质量、相邻小区的信号强度指示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Ec </w:t>
                        </w:r>
                        <w:r>
                          <w:rPr>
                            <w:rFonts w:ascii="宋体" w:hAnsi="宋体" w:cs="宋体" w:eastAsia="宋体" w:hint="default"/>
                            <w:sz w:val="18"/>
                            <w:szCs w:val="18"/>
                          </w:rPr>
                          <w:t>以及信号质量指示 </w:t>
                        </w:r>
                        <w:r>
                          <w:rPr>
                            <w:rFonts w:ascii="Times New Roman" w:hAnsi="Times New Roman" w:cs="Times New Roman" w:eastAsia="Times New Roman" w:hint="default"/>
                            <w:spacing w:val="-2"/>
                            <w:sz w:val="18"/>
                            <w:szCs w:val="18"/>
                          </w:rPr>
                          <w:t>Ec/Io</w:t>
                        </w:r>
                        <w:r>
                          <w:rPr>
                            <w:rFonts w:ascii="宋体" w:hAnsi="宋体" w:cs="宋体" w:eastAsia="宋体" w:hint="default"/>
                            <w:spacing w:val="-2"/>
                            <w:sz w:val="18"/>
                            <w:szCs w:val="18"/>
                          </w:rPr>
                          <w:t>、切换及接入的信令过程、小区识码、区域识别码、业务建立成</w:t>
                        </w:r>
                        <w:r>
                          <w:rPr>
                            <w:rFonts w:ascii="宋体" w:hAnsi="宋体" w:cs="宋体" w:eastAsia="宋体" w:hint="default"/>
                            <w:sz w:val="18"/>
                            <w:szCs w:val="18"/>
                          </w:rPr>
                          <w:t> </w:t>
                        </w:r>
                        <w:r>
                          <w:rPr>
                            <w:rFonts w:ascii="宋体" w:hAnsi="宋体" w:cs="宋体" w:eastAsia="宋体" w:hint="default"/>
                            <w:spacing w:val="-2"/>
                            <w:sz w:val="18"/>
                            <w:szCs w:val="18"/>
                          </w:rPr>
                          <w:t>功率、切换比例、上下行平均吞吐率、手机所处的地理位置信、呼叫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管理、移动管理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业务建立时延等值。其作用主要在于网络质量的评估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和无线网络的优化</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信令</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在通信网络中控制协调实际应用信息传输的信号</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基站</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在无线电覆盖区内，通过移动通信交换中心，与移动电话终端之间进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行信息传递的无线电收发信电台</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测试终端</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both"/>
                          <w:rPr>
                            <w:rFonts w:ascii="宋体" w:hAnsi="宋体" w:cs="宋体" w:eastAsia="宋体" w:hint="default"/>
                            <w:sz w:val="18"/>
                            <w:szCs w:val="18"/>
                          </w:rPr>
                        </w:pPr>
                        <w:r>
                          <w:rPr>
                            <w:rFonts w:ascii="宋体" w:hAnsi="宋体" w:cs="宋体" w:eastAsia="宋体" w:hint="default"/>
                            <w:spacing w:val="-2"/>
                            <w:sz w:val="18"/>
                            <w:szCs w:val="18"/>
                          </w:rPr>
                          <w:t>包括专业测试手机及数据卡，是增强型的商用终端，可以模拟用户的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各种行为，进行各种各样的业务测试，与商用终端最为接近，可以比</w:t>
                        </w:r>
                        <w:r>
                          <w:rPr>
                            <w:rFonts w:ascii="宋体" w:hAnsi="宋体" w:cs="宋体" w:eastAsia="宋体" w:hint="default"/>
                            <w:sz w:val="18"/>
                            <w:szCs w:val="18"/>
                          </w:rPr>
                          <w:t> </w:t>
                        </w:r>
                        <w:r>
                          <w:rPr>
                            <w:rFonts w:ascii="宋体" w:hAnsi="宋体" w:cs="宋体" w:eastAsia="宋体" w:hint="default"/>
                            <w:spacing w:val="-2"/>
                            <w:sz w:val="18"/>
                            <w:szCs w:val="18"/>
                          </w:rPr>
                          <w:t>拟用户感受，还可以记录测试过程，通过信令与数据对测试效果进行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分析</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left="0" w:right="160"/>
        <w:jc w:val="right"/>
      </w:pP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4" w:right="0"/>
        <w:jc w:val="left"/>
        <w:rPr>
          <w:b w:val="0"/>
          <w:bCs w:val="0"/>
        </w:rPr>
      </w:pPr>
      <w:bookmarkStart w:name="_TOC_250007" w:id="3"/>
      <w:bookmarkStart w:name="第二节 公司基本情况简介" w:id="4"/>
      <w:r>
        <w:rPr>
          <w:b w:val="0"/>
          <w:bCs w:val="0"/>
        </w:rPr>
      </w:r>
      <w:r>
        <w:rPr/>
        <w:t>第二节</w:t>
      </w:r>
      <w:r>
        <w:rPr>
          <w:spacing w:val="-6"/>
        </w:rPr>
        <w:t> </w:t>
      </w:r>
      <w:r>
        <w:rPr/>
        <w:t>公司基本情况简介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29"/>
        <w:gridCol w:w="2305"/>
        <w:gridCol w:w="2156"/>
        <w:gridCol w:w="2177"/>
      </w:tblGrid>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21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300379</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Beijing Tongtech Co.,</w:t>
            </w:r>
            <w:r>
              <w:rPr>
                <w:rFonts w:ascii="Times New Roman"/>
                <w:spacing w:val="-21"/>
                <w:sz w:val="18"/>
              </w:rPr>
              <w:t> </w:t>
            </w:r>
            <w:r>
              <w:rPr>
                <w:rFonts w:ascii="Times New Roman"/>
                <w:sz w:val="18"/>
              </w:rPr>
              <w:t>Ltd.</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Tongtech</w:t>
            </w:r>
            <w:r>
              <w:rPr>
                <w:rFonts w:ascii="Times New Roman"/>
                <w:sz w:val="18"/>
              </w:rPr>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北京市丰台区丰台路口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号主楼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311</w:t>
            </w:r>
            <w:r>
              <w:rPr>
                <w:rFonts w:ascii="宋体" w:hAnsi="宋体" w:cs="宋体" w:eastAsia="宋体" w:hint="default"/>
                <w:sz w:val="18"/>
                <w:szCs w:val="18"/>
              </w:rPr>
              <w:t>（园区）</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100071</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100080</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www.tongtech.com</w:t>
              </w:r>
            </w:hyperlink>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韩静</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010-82652668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010-82652226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58"/>
        <w:gridCol w:w="5710"/>
      </w:tblGrid>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公司董秘办公室</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北京市丰台区工商 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06321898</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110106633636471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63363647-1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股份公司成立变更 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北京市工商局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110106003218984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110106633636471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63363647-1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北京市工商局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110106003218984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spacing w:val="-1"/>
                <w:sz w:val="18"/>
              </w:rPr>
              <w:t>110106633636471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63363647-1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165.603012pt;margin-top:343.679993pt;width:111.85pt;height:35.2pt;mso-position-horizontal-relative:page;mso-position-vertical-relative:page;z-index:-83656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3"/>
                    <w:ind w:left="0" w:right="0"/>
                    <w:jc w:val="left"/>
                  </w:pPr>
                  <w:r>
                    <w:rPr/>
                    <w:t>（元）</w:t>
                  </w:r>
                </w:p>
              </w:txbxContent>
            </v:textbox>
            <w10:wrap type="none"/>
          </v:shape>
        </w:pict>
      </w:r>
      <w:r>
        <w:rPr/>
        <w:pict>
          <v:group style="position:absolute;margin-left:189.839996pt;margin-top:343.679993pt;width:87.6pt;height:35.2pt;mso-position-horizontal-relative:page;mso-position-vertical-relative:page;z-index:-836536" coordorigin="3797,6874" coordsize="1752,704">
            <v:group style="position:absolute;left:3797;top:6874;width:1752;height:704" coordorigin="3797,6874" coordsize="1752,704">
              <v:shape style="position:absolute;left:3797;top:6874;width:1752;height:704" coordorigin="3797,6874" coordsize="1752,704" path="m3797,7577l5549,7577,5549,6874,3797,6874,3797,7577xe" filled="true" fillcolor="#ffffff" stroked="false">
                <v:path arrowok="t"/>
                <v:fill type="solid"/>
              </v:shape>
            </v:group>
            <v:group style="position:absolute;left:3818;top:7030;width:1709;height:392" coordorigin="3818,7030" coordsize="1709,392">
              <v:shape style="position:absolute;left:3818;top:7030;width:1709;height:392" coordorigin="3818,7030" coordsize="1709,392" path="m3818,7421l5527,7421,5527,7030,3818,7030,3818,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1" w:right="0"/>
        <w:jc w:val="left"/>
        <w:rPr>
          <w:b w:val="0"/>
          <w:bCs w:val="0"/>
        </w:rPr>
      </w:pPr>
      <w:bookmarkStart w:name="_TOC_250006" w:id="9"/>
      <w:bookmarkStart w:name="第三节 会计数据和财务指标摘要" w:id="10"/>
      <w:r>
        <w:rPr>
          <w:b w:val="0"/>
          <w:bCs w:val="0"/>
        </w:rPr>
      </w:r>
      <w:r>
        <w:rPr/>
        <w:t>第三节</w:t>
      </w:r>
      <w:r>
        <w:rPr>
          <w:spacing w:val="-6"/>
        </w:rPr>
        <w:t> </w:t>
      </w:r>
      <w:r>
        <w:rPr/>
        <w:t>会计数据和财务指标摘要</w:t>
      </w:r>
      <w:bookmarkEnd w:id="9"/>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57"/>
        <w:gridCol w:w="382"/>
        <w:gridCol w:w="1382"/>
        <w:gridCol w:w="1762"/>
        <w:gridCol w:w="1764"/>
        <w:gridCol w:w="1622"/>
      </w:tblGrid>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6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194,137,637.99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180,212,251.65</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154,996,241.76</w:t>
            </w:r>
            <w:r>
              <w:rPr>
                <w:rFonts w:ascii="Times New Roman"/>
                <w:sz w:val="18"/>
              </w:rPr>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4" w:right="0"/>
              <w:jc w:val="left"/>
              <w:rPr>
                <w:rFonts w:ascii="Times New Roman" w:hAnsi="Times New Roman" w:cs="Times New Roman" w:eastAsia="Times New Roman" w:hint="default"/>
                <w:sz w:val="18"/>
                <w:szCs w:val="18"/>
              </w:rPr>
            </w:pPr>
            <w:r>
              <w:rPr>
                <w:rFonts w:ascii="Times New Roman"/>
                <w:sz w:val="18"/>
              </w:rPr>
              <w:t>3,967,139.97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3,867,336.16</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2,275,691.23</w:t>
            </w:r>
            <w:r>
              <w:rPr>
                <w:rFonts w:ascii="Times New Roman"/>
                <w:sz w:val="18"/>
              </w:rPr>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29,773,556.17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24,836,445.39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26,080,226.86</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5" w:right="0"/>
              <w:jc w:val="left"/>
              <w:rPr>
                <w:rFonts w:ascii="Times New Roman" w:hAnsi="Times New Roman" w:cs="Times New Roman" w:eastAsia="Times New Roman" w:hint="default"/>
                <w:sz w:val="18"/>
                <w:szCs w:val="18"/>
              </w:rPr>
            </w:pPr>
            <w:r>
              <w:rPr>
                <w:rFonts w:ascii="Times New Roman"/>
                <w:sz w:val="18"/>
              </w:rPr>
              <w:t>62,665,771.07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48,440,412.42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29.37%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46,372,019.34</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6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3" w:right="0"/>
              <w:jc w:val="left"/>
              <w:rPr>
                <w:rFonts w:ascii="Times New Roman" w:hAnsi="Times New Roman" w:cs="Times New Roman" w:eastAsia="Times New Roman" w:hint="default"/>
                <w:sz w:val="18"/>
                <w:szCs w:val="18"/>
              </w:rPr>
            </w:pPr>
            <w:r>
              <w:rPr>
                <w:rFonts w:ascii="Times New Roman"/>
                <w:sz w:val="18"/>
              </w:rPr>
              <w:t>57,116,020.86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45,475,926.05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40,020,524.15</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w:t>
            </w:r>
          </w:p>
        </w:tc>
        <w:tc>
          <w:tcPr>
            <w:tcW w:w="382" w:type="dxa"/>
            <w:tcBorders>
              <w:top w:val="single" w:sz="4" w:space="0" w:color="000000"/>
              <w:left w:val="single" w:sz="10" w:space="0" w:color="D4D4D4"/>
              <w:bottom w:val="single" w:sz="4" w:space="0" w:color="000000"/>
              <w:right w:val="nil" w:sz="6" w:space="0" w:color="auto"/>
            </w:tcBorders>
          </w:tcPr>
          <w:p>
            <w:pPr/>
          </w:p>
        </w:tc>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49,360,779.48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40,994,834.16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37,381,533.80</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58,682,131.70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15,901,299.03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269.04%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-19,146,583.52</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1.0186</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0.3534</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188.23%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-0.4255</w:t>
            </w:r>
            <w:r>
              <w:rPr>
                <w:rFonts w:ascii="Times New Roman"/>
                <w:sz w:val="18"/>
              </w:rPr>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1.1222</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1.0106</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11.04%</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0.8893</w:t>
            </w:r>
            <w:r>
              <w:rPr>
                <w:rFonts w:ascii="Times New Roman"/>
                <w:sz w:val="18"/>
              </w:rPr>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1.1222</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1.0106</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11.04%</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0.8893</w:t>
            </w:r>
            <w:r>
              <w:rPr>
                <w:rFonts w:ascii="Times New Roman"/>
                <w:sz w:val="18"/>
              </w:rPr>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28.73%</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6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15.11%</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26.84%</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6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5" w:right="0"/>
              <w:jc w:val="left"/>
              <w:rPr>
                <w:rFonts w:ascii="Times New Roman" w:hAnsi="Times New Roman" w:cs="Times New Roman" w:eastAsia="Times New Roman" w:hint="default"/>
                <w:sz w:val="18"/>
                <w:szCs w:val="18"/>
              </w:rPr>
            </w:pPr>
            <w:r>
              <w:rPr>
                <w:rFonts w:ascii="Times New Roman"/>
                <w:sz w:val="18"/>
              </w:rPr>
              <w:t>57,610,150.00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970,758,285.86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296,083,259.45</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238,715,362.80</w:t>
            </w:r>
            <w:r>
              <w:rPr>
                <w:rFonts w:ascii="Times New Roman"/>
                <w:sz w:val="18"/>
              </w:rPr>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4" w:right="0"/>
              <w:jc w:val="left"/>
              <w:rPr>
                <w:rFonts w:ascii="Times New Roman" w:hAnsi="Times New Roman" w:cs="Times New Roman" w:eastAsia="Times New Roman" w:hint="default"/>
                <w:sz w:val="18"/>
                <w:szCs w:val="18"/>
              </w:rPr>
            </w:pPr>
            <w:r>
              <w:rPr>
                <w:rFonts w:ascii="Times New Roman"/>
                <w:sz w:val="18"/>
              </w:rPr>
              <w:t>189,459,401.50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94,093,962.38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101.35%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82,201,991.78</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6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781,298,884.36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201,989,297.07</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286.80%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156,513,371.02</w:t>
            </w:r>
            <w:r>
              <w:rPr>
                <w:rFonts w:ascii="Times New Roman"/>
                <w:sz w:val="18"/>
              </w:rPr>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4"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37" w:right="0"/>
              <w:jc w:val="left"/>
              <w:rPr>
                <w:rFonts w:ascii="Times New Roman" w:hAnsi="Times New Roman" w:cs="Times New Roman" w:eastAsia="Times New Roman" w:hint="default"/>
                <w:sz w:val="18"/>
                <w:szCs w:val="18"/>
              </w:rPr>
            </w:pPr>
            <w:r>
              <w:rPr>
                <w:rFonts w:ascii="Times New Roman"/>
                <w:sz w:val="18"/>
              </w:rPr>
              <w:t>13.5618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4.4887</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3.4781</w:t>
            </w:r>
            <w:r>
              <w:rPr>
                <w:rFonts w:ascii="Times New Roman"/>
                <w:sz w:val="18"/>
              </w:rPr>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31.78%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465"/>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465"/>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465"/>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465"/>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-781,987.13</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-33,530.27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9,309,908.48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4,734,593.02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5,625,785.72</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-2,663,327.35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115,676.34</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100,888.40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99,816.11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888,356.31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320,859.26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423,284.13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7,755,241.38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4,481,091.89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2,638,990.35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93"/>
        <w:jc w:val="both"/>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92"/>
        <w:jc w:val="both"/>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四、重大风险提示" w:id="16"/>
      <w:bookmarkEnd w:id="16"/>
      <w:r>
        <w:rPr>
          <w:b w:val="0"/>
          <w:bCs w:val="0"/>
        </w:rPr>
      </w:r>
      <w:r>
        <w:rPr/>
        <w:t>四、重大风险提示</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77" w:right="209"/>
        <w:jc w:val="left"/>
      </w:pPr>
      <w:r>
        <w:rPr>
          <w:rFonts w:ascii="Times New Roman" w:hAnsi="Times New Roman" w:cs="Times New Roman" w:eastAsia="Times New Roman" w:hint="default"/>
        </w:rPr>
        <w:t>1</w:t>
      </w:r>
      <w:r>
        <w:rPr/>
        <w:t>、业绩季节性波动风险 目前公司主要最终用户集中在各级政府部门和大中型企事业单位，受到中国农历春节假期和整体工作进度安排习惯的</w:t>
      </w:r>
    </w:p>
    <w:p>
      <w:pPr>
        <w:pStyle w:val="BodyText"/>
        <w:spacing w:line="316" w:lineRule="auto"/>
        <w:ind w:right="104"/>
        <w:jc w:val="both"/>
      </w:pPr>
      <w:r>
        <w:rPr>
          <w:spacing w:val="-2"/>
        </w:rPr>
        <w:t>影响，该类客户通常会在第一季度制定本年度全年的信息技术采购计划和指标；在第二季度及第三季度上半段进行相关产品</w:t>
      </w:r>
      <w:r>
        <w:rPr>
          <w:spacing w:val="-64"/>
        </w:rPr>
        <w:t> </w:t>
      </w:r>
      <w:r>
        <w:rPr>
          <w:spacing w:val="-64"/>
        </w:rPr>
      </w:r>
      <w:r>
        <w:rPr>
          <w:spacing w:val="-2"/>
        </w:rPr>
        <w:t>现场调研、邀请相关厂商进行产品测试以及对入围厂商进行招标、投标、评标和定标；第三季度下半段及第四季度才正式确</w:t>
      </w:r>
      <w:r>
        <w:rPr>
          <w:spacing w:val="-66"/>
        </w:rPr>
        <w:t> </w:t>
      </w:r>
      <w:r>
        <w:rPr>
          <w:spacing w:val="-66"/>
        </w:rPr>
      </w:r>
      <w:r>
        <w:rPr>
          <w:spacing w:val="-2"/>
        </w:rPr>
        <w:t>定所需采购产品并与中标厂商签订采购合同。因此，公司大部分营业收入和净利润都在下半年尤其是第四季度实现。由于销</w:t>
      </w:r>
      <w:r>
        <w:rPr>
          <w:spacing w:val="-66"/>
        </w:rPr>
        <w:t> </w:t>
      </w:r>
      <w:r>
        <w:rPr>
          <w:spacing w:val="-66"/>
        </w:rPr>
      </w:r>
      <w:r>
        <w:rPr>
          <w:spacing w:val="-4"/>
        </w:rPr>
        <w:t>售费用、管理费用等各费用在年度内较为均衡的发生，而收入主要在第四季度实现，因此公司一般每年第一季度亏损，第二、</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4"/>
        <w:jc w:val="left"/>
      </w:pPr>
      <w:r>
        <w:rPr/>
        <w:t>三季度也可能会出现季节性亏损。随着新产品和并购整合效应的逐渐显现，预期公司销售和业绩的季节性特征会有所改善， 但总体趋势不会有大的变化。</w:t>
      </w:r>
    </w:p>
    <w:p>
      <w:pPr>
        <w:pStyle w:val="BodyText"/>
        <w:spacing w:line="240" w:lineRule="auto" w:before="59"/>
        <w:ind w:left="577" w:right="465"/>
        <w:jc w:val="left"/>
      </w:pPr>
      <w:r>
        <w:rPr>
          <w:rFonts w:ascii="Times New Roman" w:hAnsi="Times New Roman" w:cs="Times New Roman" w:eastAsia="Times New Roman" w:hint="default"/>
        </w:rPr>
        <w:t>2</w:t>
      </w:r>
      <w:r>
        <w:rPr/>
        <w:t>、市场竞争风险</w:t>
      </w:r>
    </w:p>
    <w:p>
      <w:pPr>
        <w:pStyle w:val="BodyText"/>
        <w:spacing w:line="300" w:lineRule="auto" w:before="101"/>
        <w:ind w:right="181" w:firstLine="424"/>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年度公司营收仍以中间件为主体，国内中间件领域</w:t>
      </w:r>
      <w:r>
        <w:rPr>
          <w:spacing w:val="-54"/>
        </w:rPr>
        <w:t> </w:t>
      </w:r>
      <w:r>
        <w:rPr>
          <w:rFonts w:ascii="Times New Roman" w:hAnsi="Times New Roman" w:cs="Times New Roman" w:eastAsia="Times New Roman" w:hint="default"/>
        </w:rPr>
        <w:t>IBM</w:t>
      </w:r>
      <w:r>
        <w:rPr/>
        <w:t>、</w:t>
      </w:r>
      <w:r>
        <w:rPr>
          <w:rFonts w:ascii="Times New Roman" w:hAnsi="Times New Roman" w:cs="Times New Roman" w:eastAsia="Times New Roman" w:hint="default"/>
        </w:rPr>
        <w:t>Oracle</w:t>
      </w:r>
      <w:r>
        <w:rPr>
          <w:rFonts w:ascii="Times New Roman" w:hAnsi="Times New Roman" w:cs="Times New Roman" w:eastAsia="Times New Roman" w:hint="default"/>
          <w:spacing w:val="-9"/>
        </w:rPr>
        <w:t> </w:t>
      </w:r>
      <w:r>
        <w:rPr/>
        <w:t>两国外软件巨头所占市场份额最高，形成了中间</w:t>
      </w:r>
      <w:r>
        <w:rPr>
          <w:w w:val="99"/>
        </w:rPr>
        <w:t> </w:t>
      </w:r>
      <w:r>
        <w:rPr/>
        <w:t>件市场竞争的第一梯队。</w:t>
      </w:r>
      <w:r>
        <w:rPr>
          <w:rFonts w:ascii="Times New Roman" w:hAnsi="Times New Roman" w:cs="Times New Roman" w:eastAsia="Times New Roman" w:hint="default"/>
        </w:rPr>
        <w:t>IBM</w:t>
      </w:r>
      <w:r>
        <w:rPr/>
        <w:t>、</w:t>
      </w:r>
      <w:r>
        <w:rPr>
          <w:rFonts w:ascii="Times New Roman" w:hAnsi="Times New Roman" w:cs="Times New Roman" w:eastAsia="Times New Roman" w:hint="default"/>
        </w:rPr>
        <w:t>Oracle</w:t>
      </w:r>
      <w:r>
        <w:rPr>
          <w:rFonts w:ascii="Times New Roman" w:hAnsi="Times New Roman" w:cs="Times New Roman" w:eastAsia="Times New Roman" w:hint="default"/>
          <w:spacing w:val="-1"/>
        </w:rPr>
        <w:t> </w:t>
      </w:r>
      <w:r>
        <w:rPr/>
        <w:t>的市场占有率较高的主要原因在于其良好的品牌影响力、在</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领域深厚的技术积累</w:t>
      </w:r>
      <w:r>
        <w:rPr>
          <w:w w:val="99"/>
        </w:rPr>
        <w:t> </w:t>
      </w:r>
      <w:r>
        <w:rPr/>
        <w:t>及其在数据库、服务器领域良好的配套支持。另外，公司通过并购进入的虚拟化软件市场，以国际知名厂商</w:t>
      </w:r>
      <w:r>
        <w:rPr>
          <w:spacing w:val="-46"/>
        </w:rPr>
        <w:t> </w:t>
      </w:r>
      <w:r>
        <w:rPr>
          <w:rFonts w:ascii="Times New Roman" w:hAnsi="Times New Roman" w:cs="Times New Roman" w:eastAsia="Times New Roman" w:hint="default"/>
        </w:rPr>
        <w:t>VMware</w:t>
      </w:r>
      <w:r>
        <w:rPr>
          <w:rFonts w:ascii="Times New Roman" w:hAnsi="Times New Roman" w:cs="Times New Roman" w:eastAsia="Times New Roman" w:hint="default"/>
          <w:spacing w:val="-1"/>
        </w:rPr>
        <w:t> </w:t>
      </w:r>
      <w:r>
        <w:rPr/>
        <w:t>市场</w:t>
      </w:r>
      <w:r>
        <w:rPr>
          <w:w w:val="99"/>
        </w:rPr>
        <w:t> </w:t>
      </w:r>
      <w:r>
        <w:rPr/>
        <w:t>份额最高</w:t>
      </w:r>
      <w:r>
        <w:rPr>
          <w:rFonts w:ascii="Times New Roman" w:hAnsi="Times New Roman" w:cs="Times New Roman" w:eastAsia="Times New Roman" w:hint="default"/>
        </w:rPr>
        <w:t>.</w:t>
      </w:r>
    </w:p>
    <w:p>
      <w:pPr>
        <w:pStyle w:val="BodyText"/>
        <w:spacing w:line="309" w:lineRule="auto" w:before="53"/>
        <w:ind w:right="191" w:firstLine="425"/>
        <w:jc w:val="both"/>
      </w:pPr>
      <w:r>
        <w:rPr/>
        <w:t>与国际知名软件厂商</w:t>
      </w:r>
      <w:r>
        <w:rPr>
          <w:spacing w:val="-60"/>
        </w:rPr>
        <w:t> </w:t>
      </w:r>
      <w:r>
        <w:rPr>
          <w:rFonts w:ascii="Times New Roman" w:hAnsi="Times New Roman" w:cs="Times New Roman" w:eastAsia="Times New Roman" w:hint="default"/>
          <w:spacing w:val="-3"/>
        </w:rPr>
        <w:t>IBM</w:t>
      </w:r>
      <w:r>
        <w:rPr>
          <w:spacing w:val="-3"/>
        </w:rPr>
        <w:t>、</w:t>
      </w:r>
      <w:r>
        <w:rPr>
          <w:rFonts w:ascii="Times New Roman" w:hAnsi="Times New Roman" w:cs="Times New Roman" w:eastAsia="Times New Roman" w:hint="default"/>
          <w:spacing w:val="-3"/>
        </w:rPr>
        <w:t>Oracle</w:t>
      </w:r>
      <w:r>
        <w:rPr>
          <w:spacing w:val="-3"/>
        </w:rPr>
        <w:t>、</w:t>
      </w:r>
      <w:r>
        <w:rPr>
          <w:rFonts w:ascii="Times New Roman" w:hAnsi="Times New Roman" w:cs="Times New Roman" w:eastAsia="Times New Roman" w:hint="default"/>
          <w:spacing w:val="-3"/>
        </w:rPr>
        <w:t>VMware</w:t>
      </w:r>
      <w:r>
        <w:rPr>
          <w:rFonts w:ascii="Times New Roman" w:hAnsi="Times New Roman" w:cs="Times New Roman" w:eastAsia="Times New Roman" w:hint="default"/>
          <w:spacing w:val="-15"/>
        </w:rPr>
        <w:t> </w:t>
      </w:r>
      <w:r>
        <w:rPr/>
        <w:t>相比，公司在技术研发实力、市场培育、产品销售渠道建设等方面仍存在</w:t>
      </w:r>
      <w:r>
        <w:rPr>
          <w:w w:val="99"/>
        </w:rPr>
        <w:t> </w:t>
      </w:r>
      <w:r>
        <w:rPr>
          <w:spacing w:val="-2"/>
        </w:rPr>
        <w:t>较大差距；同时，随着其他国内基础软件生产企业的成长和壮大，公司还面临着来自国内竞争对手的市场竞争压力，因此公</w:t>
      </w:r>
      <w:r>
        <w:rPr>
          <w:spacing w:val="-65"/>
        </w:rPr>
        <w:t> </w:t>
      </w:r>
      <w:r>
        <w:rPr>
          <w:spacing w:val="-65"/>
        </w:rPr>
      </w:r>
      <w:r>
        <w:rPr/>
        <w:t>司面临市场竞争风险。</w:t>
      </w:r>
    </w:p>
    <w:p>
      <w:pPr>
        <w:pStyle w:val="BodyText"/>
        <w:spacing w:line="338" w:lineRule="auto" w:before="65"/>
        <w:ind w:left="577" w:right="209"/>
        <w:jc w:val="left"/>
      </w:pPr>
      <w:r>
        <w:rPr>
          <w:rFonts w:ascii="Times New Roman" w:hAnsi="Times New Roman" w:cs="Times New Roman" w:eastAsia="Times New Roman" w:hint="default"/>
        </w:rPr>
        <w:t>3</w:t>
      </w:r>
      <w:r>
        <w:rPr/>
        <w:t>、核心技术人员流失风险 软件行业属于智力密集型行业，在人力资源管理方面面临人员流动大、知识结构更新快等问题。如果出现核心人员流</w:t>
      </w:r>
    </w:p>
    <w:p>
      <w:pPr>
        <w:pStyle w:val="BodyText"/>
        <w:spacing w:line="240" w:lineRule="auto" w:before="2"/>
        <w:ind w:right="465"/>
        <w:jc w:val="left"/>
      </w:pPr>
      <w:r>
        <w:rPr/>
        <w:t>失、人才结构失衡的情况，公司的经营将会受到较大的不利影响。</w:t>
      </w:r>
    </w:p>
    <w:p>
      <w:pPr>
        <w:pStyle w:val="BodyText"/>
        <w:spacing w:line="340" w:lineRule="auto" w:before="117"/>
        <w:ind w:left="577" w:right="209"/>
        <w:jc w:val="left"/>
      </w:pPr>
      <w:r>
        <w:rPr>
          <w:rFonts w:ascii="Times New Roman" w:hAnsi="Times New Roman" w:cs="Times New Roman" w:eastAsia="Times New Roman" w:hint="default"/>
        </w:rPr>
        <w:t>4</w:t>
      </w:r>
      <w:r>
        <w:rPr/>
        <w:t>、技术研发风险 基于软件技术的研发规律，新技术、新产品的研发在创新成果和开发周期上存在较大的不确定性。一方面，新技术、</w:t>
      </w:r>
    </w:p>
    <w:p>
      <w:pPr>
        <w:pStyle w:val="BodyText"/>
        <w:spacing w:line="316" w:lineRule="auto"/>
        <w:ind w:right="94"/>
        <w:jc w:val="left"/>
      </w:pPr>
      <w:r>
        <w:rPr>
          <w:spacing w:val="-2"/>
        </w:rPr>
        <w:t>新产品的技术研发难度较大，研发周期较长，开发环节中的个别难题有可能影响最终产品的研发进度，使新产品的推出时间</w:t>
      </w:r>
      <w:r>
        <w:rPr>
          <w:spacing w:val="-63"/>
        </w:rPr>
        <w:t> </w:t>
      </w:r>
      <w:r>
        <w:rPr>
          <w:spacing w:val="-63"/>
        </w:rPr>
      </w:r>
      <w:r>
        <w:rPr>
          <w:spacing w:val="-4"/>
        </w:rPr>
        <w:t>出现滞后；另一方面，即使新技术、新产品顺利开发完成并推向市场，也有得不到市场和客户足够认可的风险，导致新技术、</w:t>
      </w:r>
      <w:r>
        <w:rPr>
          <w:spacing w:val="-43"/>
        </w:rPr>
        <w:t> </w:t>
      </w:r>
      <w:r>
        <w:rPr>
          <w:spacing w:val="-43"/>
        </w:rPr>
      </w:r>
      <w:r>
        <w:rPr>
          <w:spacing w:val="-2"/>
        </w:rPr>
        <w:t>新产品推出后的经济效益与预期收益存在较大差距。如果公司在技术开发方向决策上出现失误，未能及时跟上行业技术更新</w:t>
      </w:r>
      <w:r>
        <w:rPr>
          <w:spacing w:val="-64"/>
        </w:rPr>
        <w:t> </w:t>
      </w:r>
      <w:r>
        <w:rPr>
          <w:spacing w:val="-64"/>
        </w:rPr>
      </w:r>
      <w:r>
        <w:rPr>
          <w:spacing w:val="-2"/>
        </w:rPr>
        <w:t>换代的速度，未能正确把握市场动向并顺应市场需求变化，或未能及时将最新技术运用于新产品的升级和开发等，可能导致</w:t>
      </w:r>
      <w:r>
        <w:rPr>
          <w:spacing w:val="-63"/>
        </w:rPr>
        <w:t> </w:t>
      </w:r>
      <w:r>
        <w:rPr>
          <w:spacing w:val="-63"/>
        </w:rPr>
      </w:r>
      <w:r>
        <w:rPr/>
        <w:t>公司丧失技术和市场的现有地位。</w:t>
      </w:r>
    </w:p>
    <w:p>
      <w:pPr>
        <w:pStyle w:val="BodyText"/>
        <w:spacing w:line="340" w:lineRule="auto" w:before="57"/>
        <w:ind w:left="577" w:right="209"/>
        <w:jc w:val="left"/>
      </w:pPr>
      <w:r>
        <w:rPr>
          <w:rFonts w:ascii="Times New Roman" w:hAnsi="Times New Roman" w:cs="Times New Roman" w:eastAsia="Times New Roman" w:hint="default"/>
        </w:rPr>
        <w:t>5</w:t>
      </w:r>
      <w:r>
        <w:rPr/>
        <w:t>、重组整合风险 公司和重组的惠捷朗处于软件和信息技术服务业内不同的细分行业，本公司属于基础软件行业，惠捷朗属于无线网络</w:t>
      </w:r>
    </w:p>
    <w:p>
      <w:pPr>
        <w:pStyle w:val="BodyText"/>
        <w:spacing w:line="316" w:lineRule="auto"/>
        <w:ind w:right="195"/>
        <w:jc w:val="both"/>
      </w:pPr>
      <w:r>
        <w:rPr>
          <w:spacing w:val="-2"/>
        </w:rPr>
        <w:t>测试及优化行业，业务模式存在一定程度的差异。重组完成后两公司需要在业务体系、组织机构、管理制度、企业文化等方</w:t>
      </w:r>
      <w:r>
        <w:rPr>
          <w:spacing w:val="-67"/>
        </w:rPr>
        <w:t> </w:t>
      </w:r>
      <w:r>
        <w:rPr>
          <w:spacing w:val="-67"/>
        </w:rPr>
      </w:r>
      <w:r>
        <w:rPr>
          <w:spacing w:val="-2"/>
        </w:rPr>
        <w:t>面进行整合，而在研发、采购、销售和管理等方面的整合到位需要一定时间，因此，东方通与惠捷朗之间能否顺利实现整合</w:t>
      </w:r>
      <w:r>
        <w:rPr>
          <w:spacing w:val="-67"/>
        </w:rPr>
        <w:t> </w:t>
      </w:r>
      <w:r>
        <w:rPr>
          <w:spacing w:val="-67"/>
        </w:rPr>
      </w:r>
      <w:r>
        <w:rPr/>
        <w:t>具有不确定性，整合过程中可能会对两公司的正常业务发展造成一定影响。</w:t>
      </w:r>
    </w:p>
    <w:p>
      <w:pPr>
        <w:pStyle w:val="BodyText"/>
        <w:spacing w:line="316" w:lineRule="auto" w:before="59"/>
        <w:ind w:right="193" w:firstLine="424"/>
        <w:jc w:val="both"/>
      </w:pPr>
      <w:r>
        <w:rPr/>
        <w:t>重组完成后，公司的资产、业务、机构和人员等将进一步扩张，将在制度建设、组织设置、运营管理、资金管理和内 </w:t>
      </w:r>
      <w:r>
        <w:rPr>
          <w:spacing w:val="-2"/>
        </w:rPr>
        <w:t>部控制等方面面临更大的挑战。公司经营规模的快速扩大，也给公司短期内建立和完善适应企业发展需要的管理体系、制度</w:t>
      </w:r>
      <w:r>
        <w:rPr>
          <w:spacing w:val="-65"/>
        </w:rPr>
        <w:t> </w:t>
      </w:r>
      <w:r>
        <w:rPr>
          <w:spacing w:val="-65"/>
        </w:rPr>
      </w:r>
      <w:r>
        <w:rPr/>
        <w:t>及约束机制带来一定的风险。</w:t>
      </w:r>
    </w:p>
    <w:p>
      <w:pPr>
        <w:pStyle w:val="BodyText"/>
        <w:spacing w:line="340" w:lineRule="auto" w:before="57"/>
        <w:ind w:left="577" w:right="209"/>
        <w:jc w:val="left"/>
      </w:pPr>
      <w:r>
        <w:rPr>
          <w:rFonts w:ascii="Times New Roman" w:hAnsi="Times New Roman" w:cs="Times New Roman" w:eastAsia="Times New Roman" w:hint="default"/>
        </w:rPr>
        <w:t>6</w:t>
      </w:r>
      <w:r>
        <w:rPr/>
        <w:t>、业务规模迅速扩大导致的管理风险 随着募集资金的到位和募集资金投资项目的实施，加上并购重组的不断深入，公司的资产、业务、机构和人员等将进</w:t>
      </w:r>
    </w:p>
    <w:p>
      <w:pPr>
        <w:pStyle w:val="BodyText"/>
        <w:spacing w:line="316" w:lineRule="auto"/>
        <w:ind w:right="94"/>
        <w:jc w:val="left"/>
      </w:pPr>
      <w:r>
        <w:rPr>
          <w:spacing w:val="-2"/>
        </w:rPr>
        <w:t>一步扩张，公司将在制度建设、组织设置、运营管理、资金管理和内部控制等方面面临更大的挑战，也给公司短期内建立和</w:t>
      </w:r>
      <w:r>
        <w:rPr>
          <w:spacing w:val="-65"/>
        </w:rPr>
        <w:t> </w:t>
      </w:r>
      <w:r>
        <w:rPr>
          <w:spacing w:val="-65"/>
        </w:rPr>
      </w:r>
      <w:r>
        <w:rPr/>
        <w:t>完善适应企业发展需要的管理体系、制度及约束机制带来风险。</w:t>
      </w:r>
    </w:p>
    <w:p>
      <w:pPr>
        <w:spacing w:after="0" w:line="316"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554" w:right="596"/>
        <w:jc w:val="center"/>
        <w:rPr>
          <w:b w:val="0"/>
          <w:bCs w:val="0"/>
        </w:rPr>
      </w:pPr>
      <w:bookmarkStart w:name="_TOC_250005" w:id="17"/>
      <w:bookmarkStart w:name="第四节 董事会报告" w:id="18"/>
      <w:r>
        <w:rPr>
          <w:b w:val="0"/>
          <w:bCs w:val="0"/>
        </w:rPr>
      </w:r>
      <w:r>
        <w:rPr/>
        <w:t>第四节</w:t>
      </w:r>
      <w:r>
        <w:rPr>
          <w:spacing w:val="-6"/>
        </w:rPr>
        <w:t> </w:t>
      </w:r>
      <w:r>
        <w:rPr/>
        <w:t>董事会报告</w:t>
      </w:r>
      <w:bookmarkEnd w:id="1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465"/>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65"/>
        <w:jc w:val="left"/>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4" w:firstLine="42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1"/>
        </w:rPr>
        <w:t> </w:t>
      </w:r>
      <w:r>
        <w:rPr>
          <w:spacing w:val="-3"/>
        </w:rPr>
        <w:t>年是公司上市元年。公司管理层在董事会的领导下，围绕年度经营计划，顺利完成了预定经营目标。根据对市场、</w:t>
      </w:r>
      <w:r>
        <w:rPr/>
        <w:t> 技术及政策的前瞻性判断进行了战略性产业布局，为公司可持续发展奠定了的基础。</w:t>
      </w:r>
    </w:p>
    <w:p>
      <w:pPr>
        <w:pStyle w:val="BodyText"/>
        <w:spacing w:line="300" w:lineRule="auto" w:before="70"/>
        <w:ind w:right="94" w:firstLine="424"/>
        <w:jc w:val="left"/>
      </w:pPr>
      <w:r>
        <w:rPr/>
        <w:t>报告期内，公司实现营业收入</w:t>
      </w:r>
      <w:r>
        <w:rPr>
          <w:spacing w:val="-51"/>
        </w:rPr>
        <w:t> </w:t>
      </w:r>
      <w:r>
        <w:rPr>
          <w:rFonts w:ascii="Times New Roman" w:hAnsi="Times New Roman" w:cs="Times New Roman" w:eastAsia="Times New Roman" w:hint="default"/>
        </w:rPr>
        <w:t>19,413.76</w:t>
      </w:r>
      <w:r>
        <w:rPr>
          <w:rFonts w:ascii="Times New Roman" w:hAnsi="Times New Roman" w:cs="Times New Roman" w:eastAsia="Times New Roman" w:hint="default"/>
          <w:spacing w:val="-5"/>
        </w:rPr>
        <w:t> </w:t>
      </w:r>
      <w:r>
        <w:rPr>
          <w:spacing w:val="-3"/>
        </w:rPr>
        <w:t>万元，同比增长</w:t>
      </w:r>
      <w:r>
        <w:rPr>
          <w:spacing w:val="-51"/>
        </w:rPr>
        <w:t> </w:t>
      </w:r>
      <w:r>
        <w:rPr>
          <w:rFonts w:ascii="Times New Roman" w:hAnsi="Times New Roman" w:cs="Times New Roman" w:eastAsia="Times New Roman" w:hint="default"/>
        </w:rPr>
        <w:t>7.73%</w:t>
      </w:r>
      <w:r>
        <w:rPr/>
        <w:t>；实现营业利润</w:t>
      </w:r>
      <w:r>
        <w:rPr>
          <w:spacing w:val="-51"/>
        </w:rPr>
        <w:t> </w:t>
      </w:r>
      <w:r>
        <w:rPr>
          <w:rFonts w:ascii="Times New Roman" w:hAnsi="Times New Roman" w:cs="Times New Roman" w:eastAsia="Times New Roman" w:hint="default"/>
        </w:rPr>
        <w:t>2,977.36</w:t>
      </w:r>
      <w:r>
        <w:rPr>
          <w:rFonts w:ascii="Times New Roman" w:hAnsi="Times New Roman" w:cs="Times New Roman" w:eastAsia="Times New Roman" w:hint="default"/>
          <w:spacing w:val="-5"/>
        </w:rPr>
        <w:t> </w:t>
      </w:r>
      <w:r>
        <w:rPr>
          <w:spacing w:val="-3"/>
        </w:rPr>
        <w:t>万元，同比增长</w:t>
      </w:r>
      <w:r>
        <w:rPr>
          <w:spacing w:val="-51"/>
        </w:rPr>
        <w:t> </w:t>
      </w:r>
      <w:r>
        <w:rPr>
          <w:rFonts w:ascii="Times New Roman" w:hAnsi="Times New Roman" w:cs="Times New Roman" w:eastAsia="Times New Roman" w:hint="default"/>
          <w:spacing w:val="-3"/>
        </w:rPr>
        <w:t>19.88%</w:t>
      </w:r>
      <w:r>
        <w:rPr>
          <w:spacing w:val="-3"/>
        </w:rPr>
        <w:t>；实现</w:t>
      </w:r>
      <w:r>
        <w:rPr/>
        <w:t> 净利润</w:t>
      </w:r>
      <w:r>
        <w:rPr>
          <w:spacing w:val="-48"/>
        </w:rPr>
        <w:t> </w:t>
      </w:r>
      <w:r>
        <w:rPr>
          <w:rFonts w:ascii="Times New Roman" w:hAnsi="Times New Roman" w:cs="Times New Roman" w:eastAsia="Times New Roman" w:hint="default"/>
        </w:rPr>
        <w:t>5,711.60</w:t>
      </w:r>
      <w:r>
        <w:rPr>
          <w:rFonts w:ascii="Times New Roman" w:hAnsi="Times New Roman" w:cs="Times New Roman" w:eastAsia="Times New Roman" w:hint="default"/>
          <w:spacing w:val="-2"/>
        </w:rPr>
        <w:t> </w:t>
      </w:r>
      <w:r>
        <w:rPr/>
        <w:t>万元，同比增长</w:t>
      </w:r>
      <w:r>
        <w:rPr>
          <w:spacing w:val="-48"/>
        </w:rPr>
        <w:t> </w:t>
      </w:r>
      <w:r>
        <w:rPr>
          <w:rFonts w:ascii="Times New Roman" w:hAnsi="Times New Roman" w:cs="Times New Roman" w:eastAsia="Times New Roman" w:hint="default"/>
        </w:rPr>
        <w:t>25.60%</w:t>
      </w:r>
      <w:r>
        <w:rPr/>
        <w:t>。经营活动产生的现金流量净额达到</w:t>
      </w:r>
      <w:r>
        <w:rPr>
          <w:spacing w:val="-48"/>
        </w:rPr>
        <w:t> </w:t>
      </w:r>
      <w:r>
        <w:rPr>
          <w:rFonts w:ascii="Times New Roman" w:hAnsi="Times New Roman" w:cs="Times New Roman" w:eastAsia="Times New Roman" w:hint="default"/>
        </w:rPr>
        <w:t>5,868.21</w:t>
      </w:r>
      <w:r>
        <w:rPr>
          <w:rFonts w:ascii="Times New Roman" w:hAnsi="Times New Roman" w:cs="Times New Roman" w:eastAsia="Times New Roman" w:hint="default"/>
          <w:spacing w:val="-2"/>
        </w:rPr>
        <w:t> </w:t>
      </w:r>
      <w:r>
        <w:rPr/>
        <w:t>万元，同比增长</w:t>
      </w:r>
      <w:r>
        <w:rPr>
          <w:spacing w:val="-48"/>
        </w:rPr>
        <w:t> </w:t>
      </w:r>
      <w:r>
        <w:rPr>
          <w:rFonts w:ascii="Times New Roman" w:hAnsi="Times New Roman" w:cs="Times New Roman" w:eastAsia="Times New Roman" w:hint="default"/>
        </w:rPr>
        <w:t>269%</w:t>
      </w:r>
      <w:r>
        <w:rPr/>
        <w:t>；净资产达到 </w:t>
      </w:r>
      <w:r>
        <w:rPr>
          <w:rFonts w:ascii="Times New Roman" w:hAnsi="Times New Roman" w:cs="Times New Roman" w:eastAsia="Times New Roman" w:hint="default"/>
        </w:rPr>
        <w:t>7.81 </w:t>
      </w:r>
      <w:r>
        <w:rPr/>
        <w:t>亿元，同比增长</w:t>
      </w:r>
      <w:r>
        <w:rPr>
          <w:spacing w:val="-49"/>
        </w:rPr>
        <w:t> </w:t>
      </w:r>
      <w:r>
        <w:rPr>
          <w:rFonts w:ascii="Times New Roman" w:hAnsi="Times New Roman" w:cs="Times New Roman" w:eastAsia="Times New Roman" w:hint="default"/>
        </w:rPr>
        <w:t>287%</w:t>
      </w:r>
      <w:r>
        <w:rPr/>
        <w:t>。公司整体基本面得到很大改善，财务指标全面优化。</w:t>
      </w:r>
    </w:p>
    <w:p>
      <w:pPr>
        <w:pStyle w:val="BodyText"/>
        <w:spacing w:line="240" w:lineRule="auto" w:before="53"/>
        <w:ind w:left="577" w:right="465"/>
        <w:jc w:val="left"/>
      </w:pPr>
      <w:r>
        <w:rPr>
          <w:rFonts w:ascii="Times New Roman" w:hAnsi="Times New Roman" w:cs="Times New Roman" w:eastAsia="Times New Roman" w:hint="default"/>
        </w:rPr>
        <w:t>1</w:t>
      </w:r>
      <w:r>
        <w:rPr/>
        <w:t>、内生与外延并举、战略布局新一代软件基础设施</w:t>
      </w:r>
    </w:p>
    <w:p>
      <w:pPr>
        <w:pStyle w:val="BodyText"/>
        <w:spacing w:line="300" w:lineRule="auto" w:before="103"/>
        <w:ind w:right="181" w:firstLine="42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年是公司上市元年。上市后，公司充分发挥上市公司资本平台优势，内生外延并举、开放进取，在云计算、大数 据、物联网、移动互联等新一代软件基础设施领域积极布局，拓展市场空间，为公司未来可持续高速发展奠定基础。</w:t>
      </w:r>
    </w:p>
    <w:p>
      <w:pPr>
        <w:pStyle w:val="BodyText"/>
        <w:spacing w:line="340" w:lineRule="auto" w:before="70"/>
        <w:ind w:left="577" w:right="177"/>
        <w:jc w:val="left"/>
      </w:pPr>
      <w:r>
        <w:rPr/>
        <w:t>（</w:t>
      </w:r>
      <w:r>
        <w:rPr>
          <w:rFonts w:ascii="Times New Roman" w:hAnsi="Times New Roman" w:cs="Times New Roman" w:eastAsia="Times New Roman" w:hint="default"/>
        </w:rPr>
        <w:t>1</w:t>
      </w:r>
      <w:r>
        <w:rPr/>
        <w:t>）巩固国产中间件领导地位 </w:t>
      </w:r>
      <w:r>
        <w:rPr>
          <w:spacing w:val="-2"/>
        </w:rPr>
        <w:t>报告期内，公司通过上市首发募投项目的实施加大了在中间件领域的研发及市场投入，增强了</w:t>
      </w:r>
      <w:r>
        <w:rPr>
          <w:spacing w:val="-36"/>
        </w:rPr>
        <w:t> </w:t>
      </w:r>
      <w:r>
        <w:rPr>
          <w:rFonts w:ascii="Times New Roman" w:hAnsi="Times New Roman" w:cs="Times New Roman" w:eastAsia="Times New Roman" w:hint="default"/>
          <w:spacing w:val="-3"/>
        </w:rPr>
        <w:t>Tong</w:t>
      </w:r>
      <w:r>
        <w:rPr>
          <w:rFonts w:ascii="Times New Roman" w:hAnsi="Times New Roman" w:cs="Times New Roman" w:eastAsia="Times New Roman" w:hint="default"/>
          <w:spacing w:val="7"/>
        </w:rPr>
        <w:t> </w:t>
      </w:r>
      <w:r>
        <w:rPr/>
        <w:t>系列中间件产品的</w:t>
      </w:r>
    </w:p>
    <w:p>
      <w:pPr>
        <w:pStyle w:val="BodyText"/>
        <w:spacing w:line="215" w:lineRule="exact"/>
        <w:ind w:right="465"/>
        <w:jc w:val="left"/>
      </w:pPr>
      <w:r>
        <w:rPr/>
        <w:t>市场竞争力，巩固了公司在国产中间件领域的领导地位。</w:t>
      </w:r>
    </w:p>
    <w:p>
      <w:pPr>
        <w:pStyle w:val="BodyText"/>
        <w:spacing w:line="300" w:lineRule="auto" w:before="117"/>
        <w:ind w:right="188" w:firstLine="424"/>
        <w:jc w:val="both"/>
      </w:pPr>
      <w:r>
        <w:rPr/>
        <w:t>通过募投项目的实施，公司新增软件产品登记十七项，新增申请发明专利二项；公司旗舰产品</w:t>
      </w:r>
      <w:r>
        <w:rPr>
          <w:spacing w:val="-45"/>
        </w:rPr>
        <w:t> </w:t>
      </w:r>
      <w:r>
        <w:rPr>
          <w:rFonts w:ascii="Times New Roman" w:hAnsi="Times New Roman" w:cs="Times New Roman" w:eastAsia="Times New Roman" w:hint="default"/>
          <w:spacing w:val="-5"/>
        </w:rPr>
        <w:t>TongWeb</w:t>
      </w:r>
      <w:r>
        <w:rPr>
          <w:rFonts w:ascii="Times New Roman" w:hAnsi="Times New Roman" w:cs="Times New Roman" w:eastAsia="Times New Roman" w:hint="default"/>
          <w:spacing w:val="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成为国内首 个获得</w:t>
      </w:r>
      <w:r>
        <w:rPr>
          <w:spacing w:val="-49"/>
        </w:rPr>
        <w:t> </w:t>
      </w:r>
      <w:r>
        <w:rPr>
          <w:rFonts w:ascii="Times New Roman" w:hAnsi="Times New Roman" w:cs="Times New Roman" w:eastAsia="Times New Roman" w:hint="default"/>
        </w:rPr>
        <w:t>JEE6</w:t>
      </w:r>
      <w:r>
        <w:rPr>
          <w:rFonts w:ascii="Times New Roman" w:hAnsi="Times New Roman" w:cs="Times New Roman" w:eastAsia="Times New Roman" w:hint="default"/>
          <w:spacing w:val="-3"/>
        </w:rPr>
        <w:t> </w:t>
      </w:r>
      <w:r>
        <w:rPr/>
        <w:t>国际认证的应用服务器产品并获得第</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届国际软件博览会产品金奖；公司数据交换平台产品</w:t>
      </w:r>
      <w:r>
        <w:rPr>
          <w:spacing w:val="-49"/>
        </w:rPr>
        <w:t> </w:t>
      </w:r>
      <w:r>
        <w:rPr>
          <w:rFonts w:ascii="Times New Roman" w:hAnsi="Times New Roman" w:cs="Times New Roman" w:eastAsia="Times New Roman" w:hint="default"/>
        </w:rPr>
        <w:t>DXP</w:t>
      </w:r>
      <w:r>
        <w:rPr>
          <w:rFonts w:ascii="Times New Roman" w:hAnsi="Times New Roman" w:cs="Times New Roman" w:eastAsia="Times New Roman" w:hint="default"/>
          <w:spacing w:val="-1"/>
        </w:rPr>
        <w:t> </w:t>
      </w:r>
      <w:r>
        <w:rPr/>
        <w:t>重点投入研 发并发布了新版本</w:t>
      </w:r>
      <w:r>
        <w:rPr>
          <w:spacing w:val="-45"/>
        </w:rPr>
        <w:t> </w:t>
      </w:r>
      <w:r>
        <w:rPr>
          <w:rFonts w:ascii="Times New Roman" w:hAnsi="Times New Roman" w:cs="Times New Roman" w:eastAsia="Times New Roman" w:hint="default"/>
        </w:rPr>
        <w:t>2.5</w:t>
      </w:r>
      <w:r>
        <w:rPr/>
        <w:t>，在性能、安全和管理等主要方面进行了核心改造与升级，性能提升了近</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倍。</w:t>
      </w:r>
    </w:p>
    <w:p>
      <w:pPr>
        <w:pStyle w:val="BodyText"/>
        <w:spacing w:line="240" w:lineRule="auto" w:before="51"/>
        <w:ind w:left="577" w:right="209"/>
        <w:jc w:val="left"/>
      </w:pPr>
      <w:r>
        <w:rPr/>
        <w:t>报告期内，公司投资</w:t>
      </w:r>
      <w:r>
        <w:rPr>
          <w:spacing w:val="-4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万元设立了全资子公司东方通宇专注拓展军工领域业务。东方通宇已通过军工二级保密资</w:t>
      </w:r>
    </w:p>
    <w:p>
      <w:pPr>
        <w:pStyle w:val="BodyText"/>
        <w:spacing w:line="240" w:lineRule="auto" w:before="62"/>
        <w:ind w:right="465"/>
        <w:jc w:val="left"/>
      </w:pPr>
      <w:r>
        <w:rPr/>
        <w:t>质审查，并将于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年正式获取军工涉密资质，对于公司顺利进入军工领域核心业务，扩大市场规模具有重要意义。</w:t>
      </w:r>
    </w:p>
    <w:p>
      <w:pPr>
        <w:pStyle w:val="BodyText"/>
        <w:spacing w:line="240" w:lineRule="auto" w:before="103"/>
        <w:ind w:left="577" w:right="465"/>
        <w:jc w:val="left"/>
      </w:pPr>
      <w:r>
        <w:rPr/>
        <w:t>（</w:t>
      </w:r>
      <w:r>
        <w:rPr>
          <w:rFonts w:ascii="Times New Roman" w:hAnsi="Times New Roman" w:cs="Times New Roman" w:eastAsia="Times New Roman" w:hint="default"/>
        </w:rPr>
        <w:t>2</w:t>
      </w:r>
      <w:r>
        <w:rPr/>
        <w:t>）积极布局云计算</w:t>
      </w:r>
    </w:p>
    <w:p>
      <w:pPr>
        <w:pStyle w:val="BodyText"/>
        <w:spacing w:line="300" w:lineRule="auto" w:before="103"/>
        <w:ind w:right="193" w:firstLine="424"/>
        <w:jc w:val="both"/>
      </w:pPr>
      <w:r>
        <w:rPr/>
        <w:t>报告期内，公司成都开发中心按年初既定计划完成了云计算中间件产品</w:t>
      </w:r>
      <w:r>
        <w:rPr>
          <w:spacing w:val="-56"/>
        </w:rPr>
        <w:t> </w:t>
      </w:r>
      <w:r>
        <w:rPr>
          <w:rFonts w:ascii="Times New Roman" w:hAnsi="Times New Roman" w:cs="Times New Roman" w:eastAsia="Times New Roman" w:hint="default"/>
        </w:rPr>
        <w:t>TongApplaud</w:t>
      </w:r>
      <w:r>
        <w:rPr>
          <w:rFonts w:ascii="Times New Roman" w:hAnsi="Times New Roman" w:cs="Times New Roman" w:eastAsia="Times New Roman" w:hint="default"/>
          <w:spacing w:val="-12"/>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spacing w:val="-3"/>
        </w:rPr>
        <w:t>的开发工作，取得了软件著作</w:t>
      </w:r>
      <w:r>
        <w:rPr/>
        <w:t> 权，并成功在苏州工业园应用。</w:t>
      </w: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7 </w:t>
      </w:r>
      <w:r>
        <w:rPr/>
        <w:t>月，公司平台产品中心建立产品创新部，基于新一代互联网开源技术研发云计算 负载均衡软件产品</w:t>
      </w:r>
      <w:r>
        <w:rPr>
          <w:spacing w:val="-49"/>
        </w:rPr>
        <w:t> </w:t>
      </w:r>
      <w:r>
        <w:rPr>
          <w:rFonts w:ascii="Times New Roman" w:hAnsi="Times New Roman" w:cs="Times New Roman" w:eastAsia="Times New Roman" w:hint="default"/>
        </w:rPr>
        <w:t>TongLB</w:t>
      </w:r>
      <w:r>
        <w:rPr/>
        <w:t>，在当年</w:t>
      </w:r>
      <w:r>
        <w:rPr>
          <w:spacing w:val="-49"/>
        </w:rPr>
        <w:t> </w:t>
      </w:r>
      <w:r>
        <w:rPr>
          <w:rFonts w:ascii="Times New Roman" w:hAnsi="Times New Roman" w:cs="Times New Roman" w:eastAsia="Times New Roman" w:hint="default"/>
          <w:spacing w:val="-3"/>
        </w:rPr>
        <w:t>11 </w:t>
      </w:r>
      <w:r>
        <w:rPr/>
        <w:t>月就发布了稳定产品版本，并于</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月签订首单合同。</w:t>
      </w:r>
    </w:p>
    <w:p>
      <w:pPr>
        <w:pStyle w:val="BodyText"/>
        <w:spacing w:line="307" w:lineRule="auto" w:before="51"/>
        <w:ind w:right="191" w:firstLine="424"/>
        <w:jc w:val="both"/>
      </w:pP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9 </w:t>
      </w:r>
      <w:r>
        <w:rPr/>
        <w:t>月，公司投资</w:t>
      </w:r>
      <w:r>
        <w:rPr>
          <w:spacing w:val="-48"/>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万元并购了虚拟化产品厂商同德一心。服务器虚拟化产品是云计算的核心组成部分，市 </w:t>
      </w:r>
      <w:r>
        <w:rPr>
          <w:spacing w:val="-2"/>
        </w:rPr>
        <w:t>场前景广阔。同德一心服务器虚拟化产品在国内同类产品中处于领先地位，具有较强的市场竞争力，为公司未来向企业客户</w:t>
      </w:r>
      <w:r>
        <w:rPr>
          <w:spacing w:val="-63"/>
        </w:rPr>
        <w:t> </w:t>
      </w:r>
      <w:r>
        <w:rPr>
          <w:spacing w:val="-63"/>
        </w:rPr>
      </w:r>
      <w:r>
        <w:rPr/>
        <w:t>提供私有云整体解决方案的目标迈出了坚实的一步。在收购完成后的</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3"/>
        </w:rPr>
        <w:t>个月中，虚拟化产品已实现收入近</w:t>
      </w:r>
      <w:r>
        <w:rPr>
          <w:spacing w:val="-5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0"/>
        </w:rPr>
        <w:t> </w:t>
      </w:r>
      <w:r>
        <w:rPr/>
        <w:t>万并开始为公 司贡献利润。</w:t>
      </w:r>
    </w:p>
    <w:p>
      <w:pPr>
        <w:pStyle w:val="BodyText"/>
        <w:spacing w:line="300" w:lineRule="auto" w:before="67"/>
        <w:ind w:right="176" w:firstLine="424"/>
        <w:jc w:val="left"/>
      </w:pPr>
      <w:r>
        <w:rPr/>
        <w:t>同时，基于公司自身在企业软件领域深厚的积累，</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年先后与京东、华云数据、中国电信云计算分公司等合作伙伴 在云计算领域展开合作，共同为行业客户提供整体云计算解决方案。</w:t>
      </w:r>
    </w:p>
    <w:p>
      <w:pPr>
        <w:pStyle w:val="BodyText"/>
        <w:spacing w:line="240" w:lineRule="auto" w:before="72"/>
        <w:ind w:left="577" w:right="465"/>
        <w:jc w:val="left"/>
      </w:pPr>
      <w:r>
        <w:rPr/>
        <w:t>（</w:t>
      </w:r>
      <w:r>
        <w:rPr>
          <w:rFonts w:ascii="Times New Roman" w:hAnsi="Times New Roman" w:cs="Times New Roman" w:eastAsia="Times New Roman" w:hint="default"/>
        </w:rPr>
        <w:t>3</w:t>
      </w:r>
      <w:r>
        <w:rPr/>
        <w:t>）整合优势资源，进军大数据、物联网</w:t>
      </w:r>
    </w:p>
    <w:p>
      <w:pPr>
        <w:pStyle w:val="BodyText"/>
        <w:spacing w:line="312" w:lineRule="auto" w:before="101"/>
        <w:ind w:right="94" w:firstLine="424"/>
        <w:jc w:val="left"/>
      </w:pPr>
      <w:r>
        <w:rPr/>
        <w:t>报告期内，公司整合内部优质资源并投资</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万元设立了全资子公司无锡东方通，专注于拓展大数据、物联网领域 </w:t>
      </w:r>
      <w:r>
        <w:rPr>
          <w:spacing w:val="-2"/>
        </w:rPr>
        <w:t>的产品、解决方案与服务运营业务。无锡东方通将基于公司在大数据及物联网领域已有的技术及市场积累，依托无锡在智慧</w:t>
      </w:r>
      <w:r>
        <w:rPr>
          <w:spacing w:val="-63"/>
        </w:rPr>
        <w:t> </w:t>
      </w:r>
      <w:r>
        <w:rPr>
          <w:spacing w:val="-63"/>
        </w:rPr>
      </w:r>
      <w:r>
        <w:rPr>
          <w:spacing w:val="-2"/>
        </w:rPr>
        <w:t>城市、物联网建设的示范作用，利用无锡科技园区的产业基础、人才资源和优惠的政策环境，成为公司在大数据、物联网领</w:t>
      </w:r>
      <w:r>
        <w:rPr>
          <w:spacing w:val="-67"/>
        </w:rPr>
        <w:t> </w:t>
      </w:r>
      <w:r>
        <w:rPr>
          <w:spacing w:val="-67"/>
        </w:rPr>
      </w:r>
      <w:r>
        <w:rPr/>
        <w:t>域的业务主体。</w:t>
      </w:r>
    </w:p>
    <w:p>
      <w:pPr>
        <w:pStyle w:val="BodyText"/>
        <w:spacing w:line="240" w:lineRule="auto" w:before="63"/>
        <w:ind w:left="577" w:right="465"/>
        <w:jc w:val="left"/>
      </w:pPr>
      <w:r>
        <w:rPr/>
        <w:t>（</w:t>
      </w:r>
      <w:r>
        <w:rPr>
          <w:rFonts w:ascii="Times New Roman" w:hAnsi="Times New Roman" w:cs="Times New Roman" w:eastAsia="Times New Roman" w:hint="default"/>
        </w:rPr>
        <w:t>4</w:t>
      </w:r>
      <w:r>
        <w:rPr/>
        <w:t>）涉足移动互联</w:t>
      </w:r>
    </w:p>
    <w:p>
      <w:pPr>
        <w:pStyle w:val="BodyText"/>
        <w:spacing w:line="300" w:lineRule="auto" w:before="103"/>
        <w:ind w:right="94" w:firstLine="42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年，公司投资</w:t>
      </w:r>
      <w:r>
        <w:rPr>
          <w:spacing w:val="-48"/>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亿元并购了移动网络优化软件产品领导厂商惠捷朗以加强公司在移动互联领域的技术储备。结 </w:t>
      </w:r>
      <w:r>
        <w:rPr>
          <w:spacing w:val="-2"/>
        </w:rPr>
        <w:t>合惠捷朗在移动终端数据采集、网络优化业务分析等方面的深厚积累以及东方通在云计算、大数据领域的技术能力，研发基</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465"/>
        <w:jc w:val="left"/>
      </w:pPr>
      <w:r>
        <w:rPr/>
        <w:t>于云</w:t>
      </w:r>
      <w:r>
        <w:rPr>
          <w:rFonts w:ascii="Times New Roman" w:hAnsi="Times New Roman" w:cs="Times New Roman" w:eastAsia="Times New Roman" w:hint="default"/>
        </w:rPr>
        <w:t>+</w:t>
      </w:r>
      <w:r>
        <w:rPr/>
        <w:t>端模式的新一代移动网络优化产品，为公司进入移动互联领域打下了基础。</w:t>
      </w:r>
    </w:p>
    <w:p>
      <w:pPr>
        <w:pStyle w:val="BodyText"/>
        <w:spacing w:line="240" w:lineRule="auto" w:before="103"/>
        <w:ind w:left="577" w:right="465"/>
        <w:jc w:val="left"/>
      </w:pPr>
      <w:r>
        <w:rPr>
          <w:rFonts w:ascii="Times New Roman" w:hAnsi="Times New Roman" w:cs="Times New Roman" w:eastAsia="Times New Roman" w:hint="default"/>
        </w:rPr>
        <w:t>2</w:t>
      </w:r>
      <w:r>
        <w:rPr/>
        <w:t>、优化内部管理，提升运营效率</w:t>
      </w:r>
    </w:p>
    <w:p>
      <w:pPr>
        <w:pStyle w:val="BodyText"/>
        <w:spacing w:line="309" w:lineRule="auto" w:before="101"/>
        <w:ind w:right="111" w:firstLine="424"/>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年，公司内部进行了重大管理变革，以市场为导向调整了组织机构，以价值创造为导向调整了薪酬管理体系，公 </w:t>
      </w:r>
      <w:r>
        <w:rPr>
          <w:spacing w:val="-2"/>
        </w:rPr>
        <w:t>司各部门进行了人员优化，充分授权、自主管理，充分调动了员工个人能动性，提升运营效率。同时，公司按照上市公司要</w:t>
      </w:r>
      <w:r>
        <w:rPr>
          <w:spacing w:val="-68"/>
        </w:rPr>
        <w:t> </w:t>
      </w:r>
      <w:r>
        <w:rPr>
          <w:spacing w:val="-68"/>
        </w:rPr>
      </w:r>
      <w:r>
        <w:rPr/>
        <w:t>求加强了规范管理，建立了保障公司投资及并购成功相关管理流程，为公司二次创业、可持续高速发展奠定了坚实的基础。</w:t>
      </w:r>
    </w:p>
    <w:p>
      <w:pPr>
        <w:pStyle w:val="BodyText"/>
        <w:spacing w:line="240" w:lineRule="auto" w:before="65"/>
        <w:ind w:left="577" w:right="465"/>
        <w:jc w:val="left"/>
      </w:pPr>
      <w:r>
        <w:rPr/>
        <w:t>（</w:t>
      </w:r>
      <w:r>
        <w:rPr>
          <w:rFonts w:ascii="Times New Roman" w:hAnsi="Times New Roman" w:cs="Times New Roman" w:eastAsia="Times New Roman" w:hint="default"/>
        </w:rPr>
        <w:t>1</w:t>
      </w:r>
      <w:r>
        <w:rPr/>
        <w:t>）以市场为导向，倡导全员营销</w:t>
      </w:r>
    </w:p>
    <w:p>
      <w:pPr>
        <w:pStyle w:val="BodyText"/>
        <w:spacing w:line="300" w:lineRule="auto" w:before="103"/>
        <w:ind w:right="236" w:firstLine="424"/>
        <w:jc w:val="left"/>
      </w:pPr>
      <w:r>
        <w:rPr/>
        <w:t>报告期内，公司引进了以市场为导向的产品管理体系</w:t>
      </w:r>
      <w:r>
        <w:rPr>
          <w:spacing w:val="-46"/>
        </w:rPr>
        <w:t> </w:t>
      </w:r>
      <w:r>
        <w:rPr>
          <w:rFonts w:ascii="Times New Roman" w:hAnsi="Times New Roman" w:cs="Times New Roman" w:eastAsia="Times New Roman" w:hint="default"/>
        </w:rPr>
        <w:t>IPD</w:t>
      </w:r>
      <w:r>
        <w:rPr/>
        <w:t>，重新梳理了内部组织结构，以产品为主线成立了四个独立 产品部门，将公司产品部门由职能部门转变为利润中心管理，直接面向市场，将全员营销理念在公司落地。</w:t>
      </w:r>
    </w:p>
    <w:p>
      <w:pPr>
        <w:pStyle w:val="BodyText"/>
        <w:spacing w:line="340" w:lineRule="auto" w:before="70"/>
        <w:ind w:left="577" w:right="209"/>
        <w:jc w:val="left"/>
      </w:pPr>
      <w:r>
        <w:rPr/>
        <w:t>（</w:t>
      </w:r>
      <w:r>
        <w:rPr>
          <w:rFonts w:ascii="Times New Roman" w:hAnsi="Times New Roman" w:cs="Times New Roman" w:eastAsia="Times New Roman" w:hint="default"/>
        </w:rPr>
        <w:t>2</w:t>
      </w:r>
      <w:r>
        <w:rPr/>
        <w:t>）进行充分授权，实施自主管理 在新的组织机构下，公司建立了与价值创造直接挂钩的薪酬管理体系，树立了员工自己给自己加工资的理念；对各级</w:t>
      </w:r>
    </w:p>
    <w:p>
      <w:pPr>
        <w:pStyle w:val="BodyText"/>
        <w:spacing w:line="240" w:lineRule="auto"/>
        <w:ind w:right="0"/>
        <w:jc w:val="left"/>
      </w:pPr>
      <w:r>
        <w:rPr/>
        <w:t>员工充分放权、充分调动员工个人能动性，实现自主管理；各部门主动进行人员优化调整，大幅提升了公司整体运营效率。</w:t>
      </w:r>
    </w:p>
    <w:p>
      <w:pPr>
        <w:pStyle w:val="BodyText"/>
        <w:spacing w:line="338" w:lineRule="auto" w:before="117"/>
        <w:ind w:left="577" w:right="209" w:hanging="1"/>
        <w:jc w:val="left"/>
      </w:pPr>
      <w:r>
        <w:rPr/>
        <w:t>（</w:t>
      </w:r>
      <w:r>
        <w:rPr>
          <w:rFonts w:ascii="Times New Roman" w:hAnsi="Times New Roman" w:cs="Times New Roman" w:eastAsia="Times New Roman" w:hint="default"/>
        </w:rPr>
        <w:t>3</w:t>
      </w:r>
      <w:r>
        <w:rPr/>
        <w:t>）完善公司治理，促进规范运作 公司按照上市公司监管要求完善了公司治理、加强了内部审计。以互动易平台、调研会、业绩说明会等手段，并通过</w:t>
      </w:r>
    </w:p>
    <w:p>
      <w:pPr>
        <w:pStyle w:val="BodyText"/>
        <w:spacing w:line="316" w:lineRule="auto" w:before="2"/>
        <w:ind w:right="94"/>
        <w:jc w:val="left"/>
      </w:pPr>
      <w:r>
        <w:rPr>
          <w:spacing w:val="-2"/>
        </w:rPr>
        <w:t>官网、微博、微信等多种渠道与广大投资者互动交流，增强了公司运作透明度，并与投资者建立了良好、融洽的关系，维护</w:t>
      </w:r>
      <w:r>
        <w:rPr>
          <w:spacing w:val="-68"/>
        </w:rPr>
        <w:t> </w:t>
      </w:r>
      <w:r>
        <w:rPr>
          <w:spacing w:val="-68"/>
        </w:rPr>
      </w:r>
      <w:r>
        <w:rPr/>
        <w:t>了上市公司良好市场形象。</w:t>
      </w:r>
    </w:p>
    <w:p>
      <w:pPr>
        <w:pStyle w:val="BodyText"/>
        <w:spacing w:line="300" w:lineRule="auto" w:before="59"/>
        <w:ind w:right="119" w:firstLine="425"/>
        <w:jc w:val="left"/>
      </w:pPr>
      <w:r>
        <w:rPr/>
        <w:t>报告期内，公司首次公开发行股票募集资金投资项目顺利推进，并已基本完成规划目标，至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月已顺利结项； 经中国证监会核准，公司上市首年即顺利完成重大资产重组项目，体现了公司治理水平已符合上市公司规范要求。</w:t>
      </w:r>
    </w:p>
    <w:p>
      <w:pPr>
        <w:pStyle w:val="BodyText"/>
        <w:spacing w:line="338" w:lineRule="auto" w:before="72"/>
        <w:ind w:left="577" w:right="179"/>
        <w:jc w:val="left"/>
      </w:pPr>
      <w:r>
        <w:rPr/>
        <w:t>（</w:t>
      </w:r>
      <w:r>
        <w:rPr>
          <w:rFonts w:ascii="Times New Roman" w:hAnsi="Times New Roman" w:cs="Times New Roman" w:eastAsia="Times New Roman" w:hint="default"/>
        </w:rPr>
        <w:t>4</w:t>
      </w:r>
      <w:r>
        <w:rPr/>
        <w:t>）建立管理机制，保障并购成功 </w:t>
      </w:r>
      <w:r>
        <w:rPr>
          <w:spacing w:val="-2"/>
        </w:rPr>
        <w:t>为了支撑公司利用资本平台外延扩张，公司已初步建立并购整合管理机制，保障了公司</w:t>
      </w:r>
      <w:r>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25"/>
        </w:rPr>
        <w:t> </w:t>
      </w:r>
      <w:r>
        <w:rPr/>
        <w:t>年的并购项目顺利高效完</w:t>
      </w:r>
    </w:p>
    <w:p>
      <w:pPr>
        <w:pStyle w:val="BodyText"/>
        <w:spacing w:line="230" w:lineRule="exact"/>
        <w:ind w:right="94"/>
        <w:jc w:val="left"/>
      </w:pPr>
      <w:r>
        <w:rPr/>
        <w:t>成。目前，同德一心已与公司深度整合，其业务已成功导入公司销售和技术体系。惠捷朗已顺利兑现</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年度业绩承诺，</w:t>
      </w:r>
    </w:p>
    <w:p>
      <w:pPr>
        <w:pStyle w:val="BodyText"/>
        <w:spacing w:line="240" w:lineRule="auto" w:before="62"/>
        <w:ind w:right="465"/>
        <w:jc w:val="left"/>
      </w:pPr>
      <w:r>
        <w:rPr/>
        <w:t>并购后已召开新一届董事会会议，相关技术和职能部门已顺利对接和融合。</w:t>
      </w:r>
    </w:p>
    <w:p>
      <w:pPr>
        <w:spacing w:line="240" w:lineRule="auto" w:before="0"/>
        <w:rPr>
          <w:rFonts w:ascii="宋体" w:hAnsi="宋体" w:cs="宋体" w:eastAsia="宋体" w:hint="default"/>
          <w:sz w:val="18"/>
          <w:szCs w:val="18"/>
        </w:rPr>
      </w:pPr>
    </w:p>
    <w:p>
      <w:pPr>
        <w:pStyle w:val="Heading3"/>
        <w:spacing w:line="240" w:lineRule="auto" w:before="120"/>
        <w:ind w:right="465"/>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465"/>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65"/>
        <w:jc w:val="left"/>
      </w:pPr>
      <w:r>
        <w:rPr>
          <w:rFonts w:ascii="Times New Roman" w:hAnsi="Times New Roman" w:cs="Times New Roman" w:eastAsia="Times New Roman" w:hint="default"/>
        </w:rPr>
        <w:t>1</w:t>
      </w:r>
      <w:r>
        <w:rPr/>
        <w:t>）概述</w:t>
      </w:r>
    </w:p>
    <w:p>
      <w:pPr>
        <w:pStyle w:val="BodyText"/>
        <w:spacing w:line="360" w:lineRule="auto" w:before="103"/>
        <w:ind w:left="572" w:right="86"/>
        <w:jc w:val="left"/>
      </w:pPr>
      <w:r>
        <w:rPr>
          <w:spacing w:val="-1"/>
        </w:rPr>
        <w:t>公司主营业务为基础软件的研发、销售和服务。通过并购整合，本年度公司快速进入虚拟化及网络优化测试软件领域。</w:t>
      </w:r>
      <w:r>
        <w:rPr/>
        <w:t> 营业收入同比增长</w:t>
      </w:r>
      <w:r>
        <w:rPr>
          <w:rFonts w:ascii="Times New Roman" w:hAnsi="Times New Roman" w:cs="Times New Roman" w:eastAsia="Times New Roman" w:hint="default"/>
        </w:rPr>
        <w:t>7.73%</w:t>
      </w:r>
      <w:r>
        <w:rPr/>
        <w:t>，主要原因是本期并购的子公司贡献了销售增长点；</w:t>
      </w:r>
    </w:p>
    <w:p>
      <w:pPr>
        <w:pStyle w:val="BodyText"/>
        <w:spacing w:line="300" w:lineRule="auto" w:before="1"/>
        <w:ind w:right="193" w:firstLine="420"/>
        <w:jc w:val="both"/>
      </w:pPr>
      <w:r>
        <w:rPr/>
        <w:t>销售费用同比增长</w:t>
      </w:r>
      <w:r>
        <w:rPr>
          <w:rFonts w:ascii="Times New Roman" w:hAnsi="Times New Roman" w:cs="Times New Roman" w:eastAsia="Times New Roman" w:hint="default"/>
        </w:rPr>
        <w:t>19.82%</w:t>
      </w:r>
      <w:r>
        <w:rPr>
          <w:rFonts w:ascii="Times New Roman" w:hAnsi="Times New Roman" w:cs="Times New Roman" w:eastAsia="Times New Roman" w:hint="default"/>
          <w:spacing w:val="-19"/>
        </w:rPr>
        <w:t> </w:t>
      </w:r>
      <w:r>
        <w:rPr/>
        <w:t>，主要原因一是由于销售收入较去年同期增加；二是报告期内以上市为契机，针对核心用户 和主要合作伙伴，为提升公司的品牌知名度，加强了市场推广活动。</w:t>
      </w:r>
    </w:p>
    <w:p>
      <w:pPr>
        <w:pStyle w:val="BodyText"/>
        <w:spacing w:line="338" w:lineRule="auto" w:before="72"/>
        <w:ind w:left="572" w:right="359"/>
        <w:jc w:val="left"/>
      </w:pPr>
      <w:r>
        <w:rPr/>
        <w:t>管理费用同比下降</w:t>
      </w:r>
      <w:r>
        <w:rPr>
          <w:rFonts w:ascii="Times New Roman" w:hAnsi="Times New Roman" w:cs="Times New Roman" w:eastAsia="Times New Roman" w:hint="default"/>
        </w:rPr>
        <w:t>4.94%</w:t>
      </w:r>
      <w:r>
        <w:rPr/>
        <w:t>，主要原因是公司严格控制成本费用。 财务费用同比下降</w:t>
      </w:r>
      <w:r>
        <w:rPr>
          <w:rFonts w:ascii="Times New Roman" w:hAnsi="Times New Roman" w:cs="Times New Roman" w:eastAsia="Times New Roman" w:hint="default"/>
        </w:rPr>
        <w:t>28.88%</w:t>
      </w:r>
      <w:r>
        <w:rPr/>
        <w:t>，主要原因是公司上市后贷款规模下降。 研发投入同比下降</w:t>
      </w:r>
      <w:r>
        <w:rPr>
          <w:rFonts w:ascii="Times New Roman" w:hAnsi="Times New Roman" w:cs="Times New Roman" w:eastAsia="Times New Roman" w:hint="default"/>
        </w:rPr>
        <w:t>17.58%</w:t>
      </w:r>
      <w:r>
        <w:rPr/>
        <w:t>，主要原因是公司严格控制成本费用。 现金流量净额同比增长</w:t>
      </w:r>
      <w:r>
        <w:rPr>
          <w:rFonts w:ascii="Times New Roman" w:hAnsi="Times New Roman" w:cs="Times New Roman" w:eastAsia="Times New Roman" w:hint="default"/>
        </w:rPr>
        <w:t>318.58%</w:t>
      </w:r>
      <w:r>
        <w:rPr/>
        <w:t>，主要原因是公司本期</w:t>
      </w:r>
      <w:r>
        <w:rPr>
          <w:rFonts w:ascii="Times New Roman" w:hAnsi="Times New Roman" w:cs="Times New Roman" w:eastAsia="Times New Roman" w:hint="default"/>
        </w:rPr>
        <w:t>IPO</w:t>
      </w:r>
      <w:r>
        <w:rPr/>
        <w:t>以及发行股票募集金资金收购资产的募集资金均已到账。</w:t>
      </w:r>
    </w:p>
    <w:p>
      <w:pPr>
        <w:pStyle w:val="BodyText"/>
        <w:spacing w:line="240" w:lineRule="auto" w:before="22"/>
        <w:ind w:right="465"/>
        <w:jc w:val="left"/>
      </w:pPr>
      <w:r>
        <w:rPr>
          <w:rFonts w:ascii="Times New Roman" w:hAnsi="Times New Roman" w:cs="Times New Roman" w:eastAsia="Times New Roman" w:hint="default"/>
        </w:rPr>
        <w:t>2</w:t>
      </w:r>
      <w:r>
        <w:rPr/>
        <w:t>）报告期利润构成或利润来源发生重大变动的说明</w:t>
      </w:r>
    </w:p>
    <w:p>
      <w:pPr>
        <w:pStyle w:val="BodyText"/>
        <w:spacing w:line="319" w:lineRule="auto" w:before="101"/>
        <w:ind w:right="2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报告期，公司通过并购新增两家全资子公司，其中惠捷朗纳入合并报表的收入</w:t>
      </w:r>
      <w:r>
        <w:rPr>
          <w:rFonts w:ascii="Times New Roman" w:hAnsi="Times New Roman" w:cs="Times New Roman" w:eastAsia="Times New Roman" w:hint="default"/>
        </w:rPr>
        <w:t>1586.13</w:t>
      </w:r>
      <w:r>
        <w:rPr/>
        <w:t>万元、占当期收入总额的</w:t>
      </w:r>
      <w:r>
        <w:rPr>
          <w:rFonts w:ascii="Times New Roman" w:hAnsi="Times New Roman" w:cs="Times New Roman" w:eastAsia="Times New Roman" w:hint="default"/>
        </w:rPr>
        <w:t>8.17%</w:t>
      </w:r>
      <w:r>
        <w:rPr/>
        <w:t>，惠 捷朗按并购日资产的公允价值对报表进行调整后纳入合并报表的净利润</w:t>
      </w:r>
      <w:r>
        <w:rPr>
          <w:rFonts w:ascii="Times New Roman" w:hAnsi="Times New Roman" w:cs="Times New Roman" w:eastAsia="Times New Roman" w:hint="default"/>
        </w:rPr>
        <w:t>939.29</w:t>
      </w:r>
      <w:r>
        <w:rPr/>
        <w:t>万元、占当期净利润的</w:t>
      </w:r>
      <w:r>
        <w:rPr>
          <w:rFonts w:ascii="Times New Roman" w:hAnsi="Times New Roman" w:cs="Times New Roman" w:eastAsia="Times New Roman" w:hint="default"/>
        </w:rPr>
        <w:t>16.45%</w:t>
      </w:r>
      <w:r>
        <w:rPr/>
        <w:t>。</w:t>
      </w:r>
    </w:p>
    <w:p>
      <w:pPr>
        <w:spacing w:line="240" w:lineRule="auto" w:before="10"/>
        <w:rPr>
          <w:rFonts w:ascii="宋体" w:hAnsi="宋体" w:cs="宋体" w:eastAsia="宋体" w:hint="default"/>
          <w:sz w:val="26"/>
          <w:szCs w:val="26"/>
        </w:rPr>
      </w:pPr>
    </w:p>
    <w:p>
      <w:pPr>
        <w:pStyle w:val="BodyText"/>
        <w:spacing w:line="240" w:lineRule="auto"/>
        <w:ind w:right="465"/>
        <w:jc w:val="left"/>
      </w:pPr>
      <w:r>
        <w:rPr>
          <w:rFonts w:ascii="Times New Roman" w:hAnsi="Times New Roman" w:cs="Times New Roman" w:eastAsia="Times New Roman" w:hint="default"/>
        </w:rPr>
        <w:t>3</w:t>
      </w:r>
      <w:r>
        <w:rPr/>
        <w:t>）收入</w:t>
      </w:r>
    </w:p>
    <w:p>
      <w:pPr>
        <w:spacing w:after="0" w:line="240" w:lineRule="auto"/>
        <w:jc w:val="left"/>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3" w:right="0"/>
              <w:jc w:val="left"/>
              <w:rPr>
                <w:rFonts w:ascii="Times New Roman" w:hAnsi="Times New Roman" w:cs="Times New Roman" w:eastAsia="Times New Roman" w:hint="default"/>
                <w:sz w:val="18"/>
                <w:szCs w:val="18"/>
              </w:rPr>
            </w:pPr>
            <w:r>
              <w:rPr>
                <w:rFonts w:ascii="Times New Roman"/>
                <w:sz w:val="18"/>
              </w:rPr>
              <w:t>194,137,637.99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3" w:right="0"/>
              <w:jc w:val="left"/>
              <w:rPr>
                <w:rFonts w:ascii="Times New Roman" w:hAnsi="Times New Roman" w:cs="Times New Roman" w:eastAsia="Times New Roman" w:hint="default"/>
                <w:sz w:val="18"/>
                <w:szCs w:val="18"/>
              </w:rPr>
            </w:pPr>
            <w:r>
              <w:rPr>
                <w:rFonts w:ascii="Times New Roman"/>
                <w:sz w:val="18"/>
              </w:rPr>
              <w:t>180,212,251.65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7.73%</w:t>
            </w:r>
          </w:p>
        </w:tc>
      </w:tr>
    </w:tbl>
    <w:p>
      <w:pPr>
        <w:pStyle w:val="BodyText"/>
        <w:spacing w:line="357" w:lineRule="auto" w:before="49"/>
        <w:ind w:left="512" w:right="0" w:hanging="360"/>
        <w:jc w:val="left"/>
      </w:pPr>
      <w:r>
        <w:rPr/>
        <w:t>驱动收入变化的因素 </w:t>
      </w:r>
      <w:r>
        <w:rPr>
          <w:spacing w:val="-2"/>
        </w:rPr>
        <w:t>报告期，公司立足于由传统单一的中间件供应商向基础软件供应商转变，通过并购新增两家全资子公司。本期公司收入</w:t>
      </w:r>
    </w:p>
    <w:p>
      <w:pPr>
        <w:pStyle w:val="BodyText"/>
        <w:spacing w:line="237" w:lineRule="exact"/>
        <w:ind w:right="0"/>
        <w:jc w:val="left"/>
      </w:pPr>
      <w:r>
        <w:rPr/>
        <w:t>结构由单一的中间件收入，新增网优测试产品收入、虚拟化产品收入。其中网优测试产品贡献收入</w:t>
      </w:r>
      <w:r>
        <w:rPr>
          <w:rFonts w:ascii="Times New Roman" w:hAnsi="Times New Roman" w:cs="Times New Roman" w:eastAsia="Times New Roman" w:hint="default"/>
        </w:rPr>
        <w:t>1586.13</w:t>
      </w:r>
      <w:r>
        <w:rPr/>
        <w:t>万元、占当期收</w:t>
      </w:r>
    </w:p>
    <w:p>
      <w:pPr>
        <w:pStyle w:val="BodyText"/>
        <w:spacing w:line="340" w:lineRule="auto" w:before="63"/>
        <w:ind w:right="6894"/>
        <w:jc w:val="left"/>
      </w:pPr>
      <w:r>
        <w:rPr/>
        <w:t>入总额的</w:t>
      </w:r>
      <w:r>
        <w:rPr>
          <w:rFonts w:ascii="Times New Roman" w:hAnsi="Times New Roman" w:cs="Times New Roman" w:eastAsia="Times New Roman" w:hint="default"/>
        </w:rPr>
        <w:t>8.17%</w:t>
      </w:r>
      <w:r>
        <w:rPr/>
        <w:t>。 公司实物销售收入是否大于劳务收入</w:t>
      </w:r>
    </w:p>
    <w:p>
      <w:pPr>
        <w:pStyle w:val="BodyText"/>
        <w:spacing w:line="338" w:lineRule="auto" w:before="41"/>
        <w:ind w:right="77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pStyle w:val="BodyText"/>
        <w:spacing w:line="340" w:lineRule="auto" w:before="43"/>
        <w:ind w:left="153" w:right="815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340" w:lineRule="auto" w:before="39"/>
        <w:ind w:left="153" w:right="545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41"/>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53" w:right="0"/>
        <w:jc w:val="left"/>
      </w:pPr>
      <w:r>
        <w:rPr>
          <w:rFonts w:ascii="Times New Roman" w:hAnsi="Times New Roman" w:cs="Times New Roman" w:eastAsia="Times New Roman" w:hint="default"/>
        </w:rPr>
        <w:t>4</w:t>
      </w:r>
      <w:r>
        <w:rPr/>
        <w:t>）成本</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1,213,906.91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217.02%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2,037,886.50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51.37%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715,346.56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3,484,430.16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-79.47%</w:t>
            </w:r>
          </w:p>
        </w:tc>
      </w:tr>
    </w:tbl>
    <w:p>
      <w:pPr>
        <w:pStyle w:val="BodyText"/>
        <w:spacing w:line="240" w:lineRule="auto" w:before="49"/>
        <w:ind w:right="0"/>
        <w:jc w:val="left"/>
      </w:pPr>
      <w:r>
        <w:rPr>
          <w:rFonts w:ascii="Times New Roman" w:hAnsi="Times New Roman" w:cs="Times New Roman" w:eastAsia="Times New Roman" w:hint="default"/>
        </w:rPr>
        <w:t>5</w:t>
      </w:r>
      <w:r>
        <w:rPr/>
        <w:t>）费用</w:t>
      </w:r>
    </w:p>
    <w:p>
      <w:pPr>
        <w:pStyle w:val="BodyText"/>
        <w:spacing w:line="240" w:lineRule="auto" w:before="103"/>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49"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64,219,119.60</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53,598,375.61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一方面是由于销售收入较去年同期 增加；另一方面报告期内以上市为契 机，针对核心用户和主要合作伙伴， 为提升公司的品牌知名度，加强了市 场推广活动。</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82,117,640.69</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86,389,137.80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主要是公司严格控制成本费用。</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2,423,575.80</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3,407,512.44</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主要是上市后银行贷款规模下降</w:t>
            </w:r>
          </w:p>
        </w:tc>
      </w:tr>
      <w:tr>
        <w:trPr>
          <w:trHeight w:val="1027"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5,549,750.21</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2,964,486.37</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一方面是因为利润总额同比增长；另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一方面是因为新增子公司所得税率 高于上期合并报表平均水平。</w:t>
            </w:r>
          </w:p>
        </w:tc>
      </w:tr>
    </w:tbl>
    <w:p>
      <w:pPr>
        <w:pStyle w:val="BodyText"/>
        <w:spacing w:line="240" w:lineRule="auto" w:before="49"/>
        <w:ind w:right="0"/>
        <w:jc w:val="left"/>
      </w:pPr>
      <w:r>
        <w:rPr>
          <w:rFonts w:ascii="Times New Roman" w:hAnsi="Times New Roman" w:cs="Times New Roman" w:eastAsia="Times New Roman" w:hint="default"/>
        </w:rPr>
        <w:t>6</w:t>
      </w:r>
      <w:r>
        <w:rPr/>
        <w:t>）研发投入</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42" w:firstLine="876"/>
        <w:jc w:val="left"/>
      </w:pPr>
      <w:r>
        <w:rPr>
          <w:rFonts w:ascii="Times New Roman" w:hAnsi="Times New Roman" w:cs="Times New Roman" w:eastAsia="Times New Roman" w:hint="default"/>
        </w:rPr>
        <w:t>1</w:t>
      </w:r>
      <w:r>
        <w:rPr/>
        <w:t>、标准中间件产品：</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年主要研发工作是为适应国产化浪潮的需求以及新技术发展的需要，围绕</w:t>
      </w:r>
      <w:r>
        <w:rPr>
          <w:spacing w:val="-47"/>
        </w:rPr>
        <w:t> </w:t>
      </w:r>
      <w:r>
        <w:rPr>
          <w:rFonts w:ascii="Times New Roman" w:hAnsi="Times New Roman" w:cs="Times New Roman" w:eastAsia="Times New Roman" w:hint="default"/>
          <w:spacing w:val="-3"/>
        </w:rPr>
        <w:t>Tong</w:t>
      </w:r>
      <w:r>
        <w:rPr>
          <w:rFonts w:ascii="Times New Roman" w:hAnsi="Times New Roman" w:cs="Times New Roman" w:eastAsia="Times New Roman" w:hint="default"/>
          <w:spacing w:val="-2"/>
        </w:rPr>
        <w:t> </w:t>
      </w:r>
      <w:r>
        <w:rPr/>
        <w:t>系列 </w:t>
      </w:r>
      <w:r>
        <w:rPr>
          <w:spacing w:val="-1"/>
        </w:rPr>
        <w:t>中间件产品进行持续的改进，提升产品易用性、可靠性、技术的先进性改造等；包括产品在业务应用中的</w:t>
      </w:r>
      <w:r>
        <w:rPr>
          <w:rFonts w:ascii="Times New Roman" w:hAnsi="Times New Roman" w:cs="Times New Roman" w:eastAsia="Times New Roman" w:hint="default"/>
          <w:spacing w:val="-1"/>
        </w:rPr>
        <w:t>"</w:t>
      </w:r>
      <w:r>
        <w:rPr>
          <w:spacing w:val="-1"/>
        </w:rPr>
        <w:t>痛点</w:t>
      </w:r>
      <w:r>
        <w:rPr>
          <w:rFonts w:ascii="Times New Roman" w:hAnsi="Times New Roman" w:cs="Times New Roman" w:eastAsia="Times New Roman" w:hint="default"/>
          <w:spacing w:val="-1"/>
        </w:rPr>
        <w:t>"</w:t>
      </w:r>
      <w:r>
        <w:rPr>
          <w:spacing w:val="-1"/>
        </w:rPr>
        <w:t>改造、典型</w:t>
      </w:r>
    </w:p>
    <w:p>
      <w:pPr>
        <w:spacing w:after="0" w:line="30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7" w:lineRule="auto" w:before="44"/>
        <w:ind w:right="193"/>
        <w:jc w:val="both"/>
      </w:pPr>
      <w:r>
        <w:rPr>
          <w:spacing w:val="-2"/>
        </w:rPr>
        <w:t>应用场景下的各产品融合、产品在安全方面的提升、适应云环境、大数据的持续技术改进等；另外，基于公司营销市场的重</w:t>
      </w:r>
      <w:r>
        <w:rPr>
          <w:spacing w:val="-67"/>
        </w:rPr>
        <w:t> </w:t>
      </w:r>
      <w:r>
        <w:rPr>
          <w:spacing w:val="-67"/>
        </w:rPr>
      </w:r>
      <w:r>
        <w:rPr/>
        <w:t>点行业及重要用户业务需求进行产品细分市场的梳理和规划。其中，</w:t>
      </w:r>
      <w:r>
        <w:rPr>
          <w:rFonts w:ascii="Times New Roman" w:hAnsi="Times New Roman" w:cs="Times New Roman" w:eastAsia="Times New Roman" w:hint="default"/>
        </w:rPr>
        <w:t>TongWeb</w:t>
      </w:r>
      <w:r>
        <w:rPr>
          <w:rFonts w:ascii="Times New Roman" w:hAnsi="Times New Roman" w:cs="Times New Roman" w:eastAsia="Times New Roman" w:hint="default"/>
          <w:spacing w:val="-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通过</w:t>
      </w:r>
      <w:r>
        <w:rPr>
          <w:spacing w:val="-49"/>
        </w:rPr>
        <w:t> </w:t>
      </w:r>
      <w:r>
        <w:rPr>
          <w:rFonts w:ascii="Times New Roman" w:hAnsi="Times New Roman" w:cs="Times New Roman" w:eastAsia="Times New Roman" w:hint="default"/>
        </w:rPr>
        <w:t>Java</w:t>
      </w:r>
      <w:r>
        <w:rPr>
          <w:rFonts w:ascii="Times New Roman" w:hAnsi="Times New Roman" w:cs="Times New Roman" w:eastAsia="Times New Roman" w:hint="default"/>
          <w:spacing w:val="-5"/>
        </w:rPr>
        <w:t> </w:t>
      </w:r>
      <w:r>
        <w:rPr>
          <w:rFonts w:ascii="Times New Roman" w:hAnsi="Times New Roman" w:cs="Times New Roman" w:eastAsia="Times New Roman" w:hint="default"/>
        </w:rPr>
        <w:t>EE</w:t>
      </w:r>
      <w:r>
        <w:rPr>
          <w:rFonts w:ascii="Times New Roman" w:hAnsi="Times New Roman" w:cs="Times New Roman" w:eastAsia="Times New Roman" w:hint="default"/>
          <w:spacing w:val="-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6"/>
        </w:rPr>
        <w:t>Web</w:t>
      </w:r>
      <w:r>
        <w:rPr>
          <w:rFonts w:ascii="Times New Roman" w:hAnsi="Times New Roman" w:cs="Times New Roman" w:eastAsia="Times New Roman" w:hint="default"/>
          <w:spacing w:val="-5"/>
        </w:rPr>
        <w:t> </w:t>
      </w:r>
      <w:r>
        <w:rPr>
          <w:rFonts w:ascii="Times New Roman" w:hAnsi="Times New Roman" w:cs="Times New Roman" w:eastAsia="Times New Roman" w:hint="default"/>
        </w:rPr>
        <w:t>Profile</w:t>
      </w:r>
      <w:r>
        <w:rPr>
          <w:rFonts w:ascii="Times New Roman" w:hAnsi="Times New Roman" w:cs="Times New Roman" w:eastAsia="Times New Roman" w:hint="default"/>
          <w:spacing w:val="-4"/>
        </w:rPr>
        <w:t> </w:t>
      </w:r>
      <w:r>
        <w:rPr/>
        <w:t>认证，应用服务</w:t>
      </w:r>
      <w:r>
        <w:rPr>
          <w:w w:val="99"/>
        </w:rPr>
        <w:t> </w:t>
      </w:r>
      <w:r>
        <w:rPr/>
        <w:t>器</w:t>
      </w:r>
      <w:r>
        <w:rPr>
          <w:spacing w:val="-44"/>
        </w:rPr>
        <w:t> </w:t>
      </w:r>
      <w:r>
        <w:rPr>
          <w:rFonts w:ascii="Times New Roman" w:hAnsi="Times New Roman" w:cs="Times New Roman" w:eastAsia="Times New Roman" w:hint="default"/>
          <w:spacing w:val="-5"/>
        </w:rPr>
        <w:t>TongWeb</w:t>
      </w:r>
      <w:r>
        <w:rPr>
          <w:rFonts w:ascii="Times New Roman" w:hAnsi="Times New Roman" w:cs="Times New Roman" w:eastAsia="Times New Roman" w:hint="default"/>
          <w:spacing w:val="2"/>
        </w:rPr>
        <w:t> </w:t>
      </w:r>
      <w:r>
        <w:rPr/>
        <w:t>可以满足用户业务对</w:t>
      </w:r>
      <w:r>
        <w:rPr>
          <w:spacing w:val="-44"/>
        </w:rPr>
        <w:t> </w:t>
      </w:r>
      <w:r>
        <w:rPr>
          <w:rFonts w:ascii="Times New Roman" w:hAnsi="Times New Roman" w:cs="Times New Roman" w:eastAsia="Times New Roman" w:hint="default"/>
        </w:rPr>
        <w:t>JEE6</w:t>
      </w:r>
      <w:r>
        <w:rPr>
          <w:rFonts w:ascii="Times New Roman" w:hAnsi="Times New Roman" w:cs="Times New Roman" w:eastAsia="Times New Roman" w:hint="default"/>
          <w:spacing w:val="2"/>
        </w:rPr>
        <w:t> </w:t>
      </w:r>
      <w:r>
        <w:rPr>
          <w:spacing w:val="-3"/>
        </w:rPr>
        <w:t>有需求的应用场景；完成</w:t>
      </w:r>
      <w:r>
        <w:rPr>
          <w:spacing w:val="-44"/>
        </w:rPr>
        <w:t> </w:t>
      </w:r>
      <w:r>
        <w:rPr>
          <w:rFonts w:ascii="Times New Roman" w:hAnsi="Times New Roman" w:cs="Times New Roman" w:eastAsia="Times New Roman" w:hint="default"/>
          <w:spacing w:val="-3"/>
        </w:rPr>
        <w:t>TongIMP </w:t>
      </w:r>
      <w:r>
        <w:rPr>
          <w:rFonts w:ascii="Times New Roman" w:hAnsi="Times New Roman" w:cs="Times New Roman" w:eastAsia="Times New Roman" w:hint="default"/>
        </w:rPr>
        <w:t>v2.0</w:t>
      </w:r>
      <w:r>
        <w:rPr>
          <w:rFonts w:ascii="Times New Roman" w:hAnsi="Times New Roman" w:cs="Times New Roman" w:eastAsia="Times New Roman" w:hint="default"/>
          <w:spacing w:val="2"/>
        </w:rPr>
        <w:t> </w:t>
      </w:r>
      <w:r>
        <w:rPr>
          <w:spacing w:val="-4"/>
        </w:rPr>
        <w:t>研发：满足多个</w:t>
      </w:r>
      <w:r>
        <w:rPr>
          <w:spacing w:val="-44"/>
        </w:rPr>
        <w:t> </w:t>
      </w:r>
      <w:r>
        <w:rPr>
          <w:rFonts w:ascii="Times New Roman" w:hAnsi="Times New Roman" w:cs="Times New Roman" w:eastAsia="Times New Roman" w:hint="default"/>
          <w:spacing w:val="-3"/>
        </w:rPr>
        <w:t>Tong</w:t>
      </w:r>
      <w:r>
        <w:rPr>
          <w:rFonts w:ascii="Times New Roman" w:hAnsi="Times New Roman" w:cs="Times New Roman" w:eastAsia="Times New Roman" w:hint="default"/>
        </w:rPr>
        <w:t> </w:t>
      </w:r>
      <w:r>
        <w:rPr/>
        <w:t>系列中间件组合使用时 </w:t>
      </w:r>
      <w:r>
        <w:rPr>
          <w:spacing w:val="-2"/>
        </w:rPr>
        <w:t>的统一监控、管理；</w:t>
      </w:r>
      <w:r>
        <w:rPr>
          <w:rFonts w:ascii="Times New Roman" w:hAnsi="Times New Roman" w:cs="Times New Roman" w:eastAsia="Times New Roman" w:hint="default"/>
          <w:spacing w:val="-2"/>
        </w:rPr>
        <w:t>TLQ</w:t>
      </w:r>
      <w:r>
        <w:rPr>
          <w:spacing w:val="-2"/>
        </w:rPr>
        <w:t>、</w:t>
      </w:r>
      <w:r>
        <w:rPr>
          <w:rFonts w:ascii="Times New Roman" w:hAnsi="Times New Roman" w:cs="Times New Roman" w:eastAsia="Times New Roman" w:hint="default"/>
          <w:spacing w:val="-2"/>
        </w:rPr>
        <w:t>TongWeb</w:t>
      </w:r>
      <w:r>
        <w:rPr>
          <w:rFonts w:ascii="Times New Roman" w:hAnsi="Times New Roman" w:cs="Times New Roman" w:eastAsia="Times New Roman" w:hint="default"/>
          <w:spacing w:val="9"/>
        </w:rPr>
        <w:t> </w:t>
      </w:r>
      <w:r>
        <w:rPr/>
        <w:t>对国密算法的支持：提升产品安全性，更好的适应国内对安全中间件的需求。</w:t>
      </w:r>
    </w:p>
    <w:p>
      <w:pPr>
        <w:pStyle w:val="BodyText"/>
        <w:spacing w:line="304" w:lineRule="auto" w:before="48"/>
        <w:ind w:right="191" w:firstLine="516"/>
        <w:jc w:val="both"/>
      </w:pPr>
      <w:r>
        <w:rPr>
          <w:rFonts w:ascii="Times New Roman" w:hAnsi="Times New Roman" w:cs="Times New Roman" w:eastAsia="Times New Roman" w:hint="default"/>
        </w:rPr>
        <w:t>2</w:t>
      </w:r>
      <w:r>
        <w:rPr/>
        <w:t>、平台产品：</w:t>
      </w:r>
      <w:r>
        <w:rPr>
          <w:spacing w:val="-38"/>
        </w:rPr>
        <w:t> </w:t>
      </w:r>
      <w:r>
        <w:rPr/>
        <w:t>在数据交换平台产品，重点投入研发并发布了</w:t>
      </w:r>
      <w:r>
        <w:rPr>
          <w:spacing w:val="-60"/>
        </w:rPr>
        <w:t> </w:t>
      </w:r>
      <w:r>
        <w:rPr>
          <w:rFonts w:ascii="Times New Roman" w:hAnsi="Times New Roman" w:cs="Times New Roman" w:eastAsia="Times New Roman" w:hint="default"/>
        </w:rPr>
        <w:t>TI-DXP2.5</w:t>
      </w:r>
      <w:r>
        <w:rPr>
          <w:rFonts w:ascii="Times New Roman" w:hAnsi="Times New Roman" w:cs="Times New Roman" w:eastAsia="Times New Roman" w:hint="default"/>
          <w:spacing w:val="-14"/>
        </w:rPr>
        <w:t> </w:t>
      </w:r>
      <w:r>
        <w:rPr/>
        <w:t>版本，在性能、安全和管理等主要方面进行 了核心改造与升级，提升效率近</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倍；通用文件传输平台，为了进一步增强</w:t>
      </w:r>
      <w:r>
        <w:rPr>
          <w:spacing w:val="-50"/>
        </w:rPr>
        <w:t> </w:t>
      </w:r>
      <w:r>
        <w:rPr>
          <w:rFonts w:ascii="Times New Roman" w:hAnsi="Times New Roman" w:cs="Times New Roman" w:eastAsia="Times New Roman" w:hint="default"/>
          <w:spacing w:val="-3"/>
        </w:rPr>
        <w:t>TongGTP</w:t>
      </w:r>
      <w:r>
        <w:rPr>
          <w:rFonts w:ascii="Times New Roman" w:hAnsi="Times New Roman" w:cs="Times New Roman" w:eastAsia="Times New Roman" w:hint="default"/>
          <w:spacing w:val="-2"/>
        </w:rPr>
        <w:t> </w:t>
      </w:r>
      <w:r>
        <w:rPr/>
        <w:t>产品的通用化程度，重点在业务流程 </w:t>
      </w:r>
      <w:r>
        <w:rPr>
          <w:spacing w:val="-2"/>
        </w:rPr>
        <w:t>编排部分发力，依托于重点项目获得需求和实验场景，已经成功将业务逻辑部分成功引入流程引擎；创新产品方面，平台中</w:t>
      </w:r>
      <w:r>
        <w:rPr>
          <w:spacing w:val="-64"/>
        </w:rPr>
        <w:t> </w:t>
      </w:r>
      <w:r>
        <w:rPr>
          <w:spacing w:val="-64"/>
        </w:rPr>
      </w:r>
      <w:r>
        <w:rPr/>
        <w:t>心于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 </w:t>
      </w:r>
      <w:r>
        <w:rPr/>
        <w:t>月建立产品创新部，主要围绕将更新更先进的互联网技术引入的企业级市场并全面的产品化，推出了云中负 载均衡软件产品</w:t>
      </w:r>
      <w:r>
        <w:rPr>
          <w:spacing w:val="-49"/>
        </w:rPr>
        <w:t> </w:t>
      </w:r>
      <w:r>
        <w:rPr>
          <w:rFonts w:ascii="Times New Roman" w:hAnsi="Times New Roman" w:cs="Times New Roman" w:eastAsia="Times New Roman" w:hint="default"/>
        </w:rPr>
        <w:t>TongLB</w:t>
      </w:r>
      <w:r>
        <w:rPr/>
        <w:t>，并在当年</w:t>
      </w:r>
      <w:r>
        <w:rPr>
          <w:spacing w:val="-4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月发布稳定版本，</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月首单合同签订。</w:t>
      </w:r>
    </w:p>
    <w:p>
      <w:pPr>
        <w:pStyle w:val="BodyText"/>
        <w:spacing w:line="309" w:lineRule="auto" w:before="47"/>
        <w:ind w:right="88" w:firstLine="424"/>
        <w:jc w:val="left"/>
      </w:pPr>
      <w:r>
        <w:rPr>
          <w:rFonts w:ascii="Times New Roman" w:hAnsi="Times New Roman" w:cs="Times New Roman" w:eastAsia="Times New Roman" w:hint="default"/>
        </w:rPr>
        <w:t>3</w:t>
      </w:r>
      <w:r>
        <w:rPr/>
        <w:t>、数据融合研发：</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年度公司整合资源新设立数据融合服务中心，主要研发工作是以挖掘大数据应用价值为导向， </w:t>
      </w:r>
      <w:r>
        <w:rPr>
          <w:spacing w:val="-2"/>
        </w:rPr>
        <w:t>专注智慧城市建设领域的大数据融合与共享服务应用，重点研发区域政府经济运行综合信息服务平台，未来将逐步在全国推</w:t>
      </w:r>
      <w:r>
        <w:rPr>
          <w:spacing w:val="-64"/>
        </w:rPr>
        <w:t> </w:t>
      </w:r>
      <w:r>
        <w:rPr>
          <w:spacing w:val="-64"/>
        </w:rPr>
      </w:r>
      <w:r>
        <w:rPr/>
        <w:t>广。围绕大数据中心的数据采集交换、数据融合处理和中心管理运维的应用需求，重点对数据交换、数据融合、服务管理、 运维管理和云管理等支撑性平台进行研发。完成云计算产品</w:t>
      </w:r>
      <w:r>
        <w:rPr>
          <w:spacing w:val="-49"/>
        </w:rPr>
        <w:t> </w:t>
      </w:r>
      <w:r>
        <w:rPr>
          <w:rFonts w:ascii="Times New Roman" w:hAnsi="Times New Roman" w:cs="Times New Roman" w:eastAsia="Times New Roman" w:hint="default"/>
        </w:rPr>
        <w:t>TongApplaud</w:t>
      </w:r>
      <w:r>
        <w:rPr>
          <w:rFonts w:ascii="Times New Roman" w:hAnsi="Times New Roman" w:cs="Times New Roman" w:eastAsia="Times New Roman" w:hint="default"/>
          <w:spacing w:val="-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的开发工作，取得了软件著作权，并完成了项 目上线工作。开始了大数据项目数据融合分析平台的开发工作，与多个客户进行了沟通，取得了阶段性成果。</w:t>
      </w:r>
    </w:p>
    <w:p>
      <w:pPr>
        <w:pStyle w:val="BodyText"/>
        <w:spacing w:line="304" w:lineRule="auto" w:before="65"/>
        <w:ind w:right="94" w:firstLine="424"/>
        <w:jc w:val="left"/>
      </w:pPr>
      <w:r>
        <w:rPr>
          <w:rFonts w:ascii="Times New Roman" w:hAnsi="Times New Roman" w:cs="Times New Roman" w:eastAsia="Times New Roman" w:hint="default"/>
        </w:rPr>
        <w:t>4</w:t>
      </w:r>
      <w:r>
        <w:rPr/>
        <w:t>、虚拟化产品：服务器虚拟化产品在国内同类产品中处于领先地位，同时实现对网络和存储的虚拟化技术储备，并与 云管理平台进行整合，为进一步打造从存储、到计算资源池以及云管理整体的云计算基层架构解决方案打下了良好的基础。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年主要丰富和完善东方通虚拟化平台</w:t>
      </w:r>
      <w:r>
        <w:rPr>
          <w:spacing w:val="-54"/>
        </w:rPr>
        <w:t> </w:t>
      </w:r>
      <w:r>
        <w:rPr>
          <w:rFonts w:ascii="Times New Roman" w:hAnsi="Times New Roman" w:cs="Times New Roman" w:eastAsia="Times New Roman" w:hint="default"/>
        </w:rPr>
        <w:t>V4.5</w:t>
      </w:r>
      <w:r>
        <w:rPr>
          <w:rFonts w:ascii="Times New Roman" w:hAnsi="Times New Roman" w:cs="Times New Roman" w:eastAsia="Times New Roman" w:hint="default"/>
          <w:spacing w:val="-8"/>
        </w:rPr>
        <w:t> </w:t>
      </w:r>
      <w:r>
        <w:rPr/>
        <w:t>功能，使其功能更加完备、易用性更好、成熟度更高，为下一步网络虚拟化 等大功能模块</w:t>
      </w:r>
      <w:r>
        <w:rPr>
          <w:rFonts w:ascii="Times New Roman" w:hAnsi="Times New Roman" w:cs="Times New Roman" w:eastAsia="Times New Roman" w:hint="default"/>
        </w:rPr>
        <w:t>,</w:t>
      </w:r>
      <w:r>
        <w:rPr/>
        <w:t>以及</w:t>
      </w:r>
      <w:r>
        <w:rPr>
          <w:spacing w:val="-38"/>
        </w:rPr>
        <w:t> </w:t>
      </w:r>
      <w:r>
        <w:rPr>
          <w:rFonts w:ascii="Times New Roman" w:hAnsi="Times New Roman" w:cs="Times New Roman" w:eastAsia="Times New Roman" w:hint="default"/>
          <w:w w:val="99"/>
        </w:rPr>
        <w:t>B/S</w:t>
      </w:r>
      <w:r>
        <w:rPr>
          <w:rFonts w:ascii="Times New Roman" w:hAnsi="Times New Roman" w:cs="Times New Roman" w:eastAsia="Times New Roman" w:hint="default"/>
          <w:spacing w:val="8"/>
          <w:w w:val="99"/>
        </w:rPr>
        <w:t> </w:t>
      </w:r>
      <w:r>
        <w:rPr>
          <w:spacing w:val="-5"/>
        </w:rPr>
        <w:t>架构管理模块做好了技术储备和前期工作，缩小与国际同类产品和解决方案的差距。虚拟化平台</w:t>
      </w:r>
      <w:r>
        <w:rPr>
          <w:spacing w:val="-38"/>
        </w:rPr>
        <w:t> </w:t>
      </w:r>
      <w:r>
        <w:rPr>
          <w:rFonts w:ascii="Times New Roman" w:hAnsi="Times New Roman" w:cs="Times New Roman" w:eastAsia="Times New Roman" w:hint="default"/>
          <w:spacing w:val="-2"/>
          <w:w w:val="99"/>
        </w:rPr>
        <w:t>V4.5</w:t>
      </w:r>
      <w:r>
        <w:rPr>
          <w:rFonts w:ascii="Times New Roman" w:hAnsi="Times New Roman" w:cs="Times New Roman" w:eastAsia="Times New Roman" w:hint="default"/>
          <w:spacing w:val="-29"/>
          <w:w w:val="99"/>
        </w:rPr>
        <w:t> </w:t>
      </w:r>
      <w:r>
        <w:rPr>
          <w:rFonts w:ascii="Times New Roman" w:hAnsi="Times New Roman" w:cs="Times New Roman" w:eastAsia="Times New Roman" w:hint="default"/>
          <w:spacing w:val="-29"/>
          <w:w w:val="99"/>
        </w:rPr>
      </w:r>
      <w:r>
        <w:rPr/>
        <w:t>通过了中国电子标准化研究院的标准验证测试，必选测试项</w:t>
      </w:r>
      <w:r>
        <w:rPr>
          <w:spacing w:val="-44"/>
        </w:rPr>
        <w:t> </w:t>
      </w:r>
      <w:r>
        <w:rPr>
          <w:rFonts w:ascii="Times New Roman" w:hAnsi="Times New Roman" w:cs="Times New Roman" w:eastAsia="Times New Roman" w:hint="default"/>
        </w:rPr>
        <w:t>100%</w:t>
      </w:r>
      <w:r>
        <w:rPr/>
        <w:t>获得通过。</w:t>
      </w:r>
    </w:p>
    <w:p>
      <w:pPr>
        <w:pStyle w:val="BodyText"/>
        <w:spacing w:line="240" w:lineRule="auto" w:before="50"/>
        <w:ind w:left="577" w:right="209"/>
        <w:jc w:val="left"/>
      </w:pPr>
      <w:r>
        <w:rPr>
          <w:rFonts w:ascii="Times New Roman" w:hAnsi="Times New Roman" w:cs="Times New Roman" w:eastAsia="Times New Roman" w:hint="default"/>
        </w:rPr>
        <w:t>5</w:t>
      </w:r>
      <w:r>
        <w:rPr/>
        <w:t>、网络优化软件产品：</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年，主要研究</w:t>
      </w:r>
      <w:r>
        <w:rPr>
          <w:spacing w:val="-45"/>
        </w:rPr>
        <w:t> </w:t>
      </w:r>
      <w:r>
        <w:rPr>
          <w:rFonts w:ascii="Times New Roman" w:hAnsi="Times New Roman" w:cs="Times New Roman" w:eastAsia="Times New Roman" w:hint="default"/>
        </w:rPr>
        <w:t>4G</w:t>
      </w:r>
      <w:r>
        <w:rPr>
          <w:rFonts w:ascii="Times New Roman" w:hAnsi="Times New Roman" w:cs="Times New Roman" w:eastAsia="Times New Roman" w:hint="default"/>
          <w:spacing w:val="-3"/>
        </w:rPr>
        <w:t> </w:t>
      </w:r>
      <w:r>
        <w:rPr/>
        <w:t>网络</w:t>
      </w:r>
      <w:r>
        <w:rPr>
          <w:spacing w:val="-45"/>
        </w:rPr>
        <w:t> </w:t>
      </w:r>
      <w:r>
        <w:rPr>
          <w:rFonts w:ascii="Times New Roman" w:hAnsi="Times New Roman" w:cs="Times New Roman" w:eastAsia="Times New Roman" w:hint="default"/>
          <w:spacing w:val="-7"/>
        </w:rPr>
        <w:t>LTE</w:t>
      </w:r>
      <w:r>
        <w:rPr>
          <w:rFonts w:ascii="Times New Roman" w:hAnsi="Times New Roman" w:cs="Times New Roman" w:eastAsia="Times New Roman" w:hint="default"/>
          <w:spacing w:val="1"/>
        </w:rPr>
        <w:t> </w:t>
      </w:r>
      <w:r>
        <w:rPr/>
        <w:t>新的技术及如何利用商用终端做用户体验的测试，真正做到</w:t>
      </w:r>
    </w:p>
    <w:p>
      <w:pPr>
        <w:pStyle w:val="BodyText"/>
        <w:spacing w:line="300" w:lineRule="auto" w:before="62"/>
        <w:ind w:right="88"/>
        <w:jc w:val="left"/>
      </w:pPr>
      <w:r>
        <w:rPr>
          <w:rFonts w:ascii="Times New Roman" w:hAnsi="Times New Roman" w:cs="Times New Roman" w:eastAsia="Times New Roman" w:hint="default"/>
        </w:rPr>
        <w:t>4G</w:t>
      </w:r>
      <w:r>
        <w:rPr>
          <w:rFonts w:ascii="Times New Roman" w:hAnsi="Times New Roman" w:cs="Times New Roman" w:eastAsia="Times New Roman" w:hint="default"/>
          <w:spacing w:val="-5"/>
        </w:rPr>
        <w:t> </w:t>
      </w:r>
      <w:r>
        <w:rPr/>
        <w:t>网络的客户体验数据测试。做到</w:t>
      </w:r>
      <w:r>
        <w:rPr>
          <w:spacing w:val="-47"/>
        </w:rPr>
        <w:t> </w:t>
      </w:r>
      <w:r>
        <w:rPr>
          <w:rFonts w:ascii="Times New Roman" w:hAnsi="Times New Roman" w:cs="Times New Roman" w:eastAsia="Times New Roman" w:hint="default"/>
        </w:rPr>
        <w:t>2G</w:t>
      </w:r>
      <w:r>
        <w:rPr/>
        <w:t>、</w:t>
      </w:r>
      <w:r>
        <w:rPr>
          <w:rFonts w:ascii="Times New Roman" w:hAnsi="Times New Roman" w:cs="Times New Roman" w:eastAsia="Times New Roman" w:hint="default"/>
        </w:rPr>
        <w:t>3G</w:t>
      </w:r>
      <w:r>
        <w:rPr>
          <w:rFonts w:ascii="Times New Roman" w:hAnsi="Times New Roman" w:cs="Times New Roman" w:eastAsia="Times New Roman" w:hint="default"/>
          <w:spacing w:val="-5"/>
        </w:rPr>
        <w:t> </w:t>
      </w:r>
      <w:r>
        <w:rPr/>
        <w:t>和</w:t>
      </w:r>
      <w:r>
        <w:rPr>
          <w:spacing w:val="-47"/>
        </w:rPr>
        <w:t> </w:t>
      </w:r>
      <w:r>
        <w:rPr>
          <w:rFonts w:ascii="Times New Roman" w:hAnsi="Times New Roman" w:cs="Times New Roman" w:eastAsia="Times New Roman" w:hint="default"/>
        </w:rPr>
        <w:t>4G</w:t>
      </w:r>
      <w:r>
        <w:rPr>
          <w:rFonts w:ascii="Times New Roman" w:hAnsi="Times New Roman" w:cs="Times New Roman" w:eastAsia="Times New Roman" w:hint="default"/>
          <w:spacing w:val="-5"/>
        </w:rPr>
        <w:t> </w:t>
      </w:r>
      <w:r>
        <w:rPr/>
        <w:t>融合网络的对比测试以及优化报告。利用包括</w:t>
      </w:r>
      <w:r>
        <w:rPr>
          <w:spacing w:val="-49"/>
        </w:rPr>
        <w:t> </w:t>
      </w:r>
      <w:r>
        <w:rPr>
          <w:rFonts w:ascii="Times New Roman" w:hAnsi="Times New Roman" w:cs="Times New Roman" w:eastAsia="Times New Roman" w:hint="default"/>
        </w:rPr>
        <w:t>PC</w:t>
      </w:r>
      <w:r>
        <w:rPr/>
        <w:t>、测试终端、商用终端 等各种测试工具的对比测试，形成了基础客户体验测试、专业的优化测试以及大数据的综合分析。覆盖</w:t>
      </w:r>
      <w:r>
        <w:rPr>
          <w:spacing w:val="-46"/>
        </w:rPr>
        <w:t> </w:t>
      </w:r>
      <w:r>
        <w:rPr>
          <w:rFonts w:ascii="Times New Roman" w:hAnsi="Times New Roman" w:cs="Times New Roman" w:eastAsia="Times New Roman" w:hint="default"/>
        </w:rPr>
        <w:t>TDD</w:t>
      </w:r>
      <w:r>
        <w:rPr>
          <w:rFonts w:ascii="Times New Roman" w:hAnsi="Times New Roman" w:cs="Times New Roman" w:eastAsia="Times New Roman" w:hint="default"/>
          <w:spacing w:val="-1"/>
        </w:rPr>
        <w:t> </w:t>
      </w:r>
      <w:r>
        <w:rPr/>
        <w:t>和</w:t>
      </w:r>
      <w:r>
        <w:rPr>
          <w:spacing w:val="-46"/>
        </w:rPr>
        <w:t> </w:t>
      </w:r>
      <w:r>
        <w:rPr>
          <w:rFonts w:ascii="Times New Roman" w:hAnsi="Times New Roman" w:cs="Times New Roman" w:eastAsia="Times New Roman" w:hint="default"/>
        </w:rPr>
        <w:t>FDD</w:t>
      </w:r>
      <w:r>
        <w:rPr>
          <w:rFonts w:ascii="Times New Roman" w:hAnsi="Times New Roman" w:cs="Times New Roman" w:eastAsia="Times New Roman" w:hint="default"/>
          <w:spacing w:val="-1"/>
        </w:rPr>
        <w:t> </w:t>
      </w:r>
      <w:r>
        <w:rPr/>
        <w:t>技术， 解决三大运营商的实际技术问题。开展了对</w:t>
      </w:r>
      <w:r>
        <w:rPr>
          <w:spacing w:val="-48"/>
        </w:rPr>
        <w:t> </w:t>
      </w:r>
      <w:r>
        <w:rPr>
          <w:rFonts w:ascii="Times New Roman" w:hAnsi="Times New Roman" w:cs="Times New Roman" w:eastAsia="Times New Roman" w:hint="default"/>
        </w:rPr>
        <w:t>CDS8.0</w:t>
      </w:r>
      <w:r>
        <w:rPr>
          <w:rFonts w:ascii="Times New Roman" w:hAnsi="Times New Roman" w:cs="Times New Roman" w:eastAsia="Times New Roman" w:hint="default"/>
          <w:spacing w:val="-2"/>
        </w:rPr>
        <w:t> </w:t>
      </w:r>
      <w:r>
        <w:rPr/>
        <w:t>以及手持商用终端测试软件的研发项目，并取得软件著作权。</w:t>
      </w:r>
    </w:p>
    <w:p>
      <w:pPr>
        <w:pStyle w:val="BodyText"/>
        <w:spacing w:line="240" w:lineRule="auto" w:before="51"/>
        <w:ind w:right="465"/>
        <w:jc w:val="left"/>
      </w:pPr>
      <w:r>
        <w:rPr/>
        <w:t>近三年公司研发投入金额及占营业收入的比例</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46,222,487.95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56,079,064.87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45,957,955.08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pStyle w:val="BodyText"/>
        <w:spacing w:line="240" w:lineRule="auto" w:before="49"/>
        <w:ind w:right="-20"/>
        <w:jc w:val="left"/>
      </w:pPr>
      <w:r>
        <w:rPr/>
        <w:t>研发投入资本化率大幅变动的原因及其合理性说明</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40"/>
          <w:cols w:num="2" w:equalWidth="0">
            <w:col w:w="4113" w:space="4805"/>
            <w:col w:w="107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225,547,802.46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187,532,137.94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166,865,670.76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171,630,838.91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58,682,131.70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15,901,299.03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3,507.14%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14,289,005.53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6,855,727.74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108.42%</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-14,218,305.53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-6,853,767.74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107.45%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421,074,252.10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68,185,945.71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517.54%</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239,547,835.86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56,272,880.44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325.69%</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181,526,416.24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11,913,065.27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1,423.76%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225,987,800.54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20,960,596.56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978.16%</w:t>
            </w:r>
          </w:p>
        </w:tc>
      </w:tr>
    </w:tbl>
    <w:p>
      <w:pPr>
        <w:pStyle w:val="BodyText"/>
        <w:spacing w:line="240" w:lineRule="auto" w:before="49"/>
        <w:ind w:right="465"/>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3"/>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94" w:firstLine="451"/>
        <w:jc w:val="left"/>
      </w:pPr>
      <w:r>
        <w:rPr>
          <w:rFonts w:ascii="Times New Roman" w:hAnsi="Times New Roman" w:cs="Times New Roman" w:eastAsia="Times New Roman" w:hint="default"/>
          <w:spacing w:val="-1"/>
        </w:rPr>
        <w:t>1</w:t>
      </w:r>
      <w:r>
        <w:rPr>
          <w:spacing w:val="-1"/>
        </w:rPr>
        <w:t>、报告期内，经营活动产生的现金流量净额较去年同期增长</w:t>
      </w:r>
      <w:r>
        <w:rPr>
          <w:rFonts w:ascii="Times New Roman" w:hAnsi="Times New Roman" w:cs="Times New Roman" w:eastAsia="Times New Roman" w:hint="default"/>
          <w:spacing w:val="-1"/>
        </w:rPr>
        <w:t>269.04%</w:t>
      </w:r>
      <w:r>
        <w:rPr>
          <w:spacing w:val="-1"/>
        </w:rPr>
        <w:t>，主要原因是销售收入增加、增值税退税增加以</w:t>
      </w:r>
      <w:r>
        <w:rPr/>
        <w:t> 及公司加强了成本费用控制。</w:t>
      </w:r>
    </w:p>
    <w:p>
      <w:pPr>
        <w:pStyle w:val="BodyText"/>
        <w:spacing w:line="300" w:lineRule="auto" w:before="31"/>
        <w:ind w:right="94" w:firstLine="451"/>
        <w:jc w:val="left"/>
      </w:pPr>
      <w:r>
        <w:rPr>
          <w:rFonts w:ascii="Times New Roman" w:hAnsi="Times New Roman" w:cs="Times New Roman" w:eastAsia="Times New Roman" w:hint="default"/>
          <w:spacing w:val="-1"/>
        </w:rPr>
        <w:t>2</w:t>
      </w:r>
      <w:r>
        <w:rPr>
          <w:spacing w:val="-1"/>
        </w:rPr>
        <w:t>、报告期内，投资活动产生的现金流量净额</w:t>
      </w:r>
      <w:r>
        <w:rPr>
          <w:rFonts w:ascii="Times New Roman" w:hAnsi="Times New Roman" w:cs="Times New Roman" w:eastAsia="Times New Roman" w:hint="default"/>
          <w:spacing w:val="-1"/>
        </w:rPr>
        <w:t>-14,218,305.53</w:t>
      </w:r>
      <w:r>
        <w:rPr>
          <w:spacing w:val="-1"/>
        </w:rPr>
        <w:t>元，比上年同期大幅增长</w:t>
      </w:r>
      <w:r>
        <w:rPr>
          <w:rFonts w:ascii="Times New Roman" w:hAnsi="Times New Roman" w:cs="Times New Roman" w:eastAsia="Times New Roman" w:hint="default"/>
          <w:spacing w:val="-1"/>
        </w:rPr>
        <w:t>107.45%</w:t>
      </w:r>
      <w:r>
        <w:rPr>
          <w:spacing w:val="-1"/>
        </w:rPr>
        <w:t>，主要原因是本期取得子</w:t>
      </w:r>
      <w:r>
        <w:rPr/>
        <w:t> 公司支付的现金净额大幅增加。</w:t>
      </w:r>
    </w:p>
    <w:p>
      <w:pPr>
        <w:pStyle w:val="BodyText"/>
        <w:spacing w:line="340" w:lineRule="auto" w:before="31"/>
        <w:ind w:right="753" w:firstLine="451"/>
        <w:jc w:val="left"/>
      </w:pPr>
      <w:r>
        <w:rPr>
          <w:rFonts w:ascii="Times New Roman" w:hAnsi="Times New Roman" w:cs="Times New Roman" w:eastAsia="Times New Roman" w:hint="default"/>
        </w:rPr>
        <w:t>3</w:t>
      </w:r>
      <w:r>
        <w:rPr/>
        <w:t>、报告期内，筹资活动产生的现金流量</w:t>
      </w:r>
      <w:r>
        <w:rPr>
          <w:rFonts w:ascii="Times New Roman" w:hAnsi="Times New Roman" w:cs="Times New Roman" w:eastAsia="Times New Roman" w:hint="default"/>
        </w:rPr>
        <w:t>181,526,416.24</w:t>
      </w:r>
      <w:r>
        <w:rPr/>
        <w:t>元，同比大幅增长</w:t>
      </w:r>
      <w:r>
        <w:rPr>
          <w:rFonts w:ascii="Times New Roman" w:hAnsi="Times New Roman" w:cs="Times New Roman" w:eastAsia="Times New Roman" w:hint="default"/>
        </w:rPr>
        <w:t>1423.76%</w:t>
      </w:r>
      <w:r>
        <w:rPr/>
        <w:t>，主要原因是募资金增加。 报告期内公司经营活动的现金流量与本年度净利润存在重大差异的原因说明</w:t>
      </w:r>
    </w:p>
    <w:p>
      <w:pPr>
        <w:pStyle w:val="BodyText"/>
        <w:spacing w:line="338" w:lineRule="auto" w:before="41"/>
        <w:ind w:right="738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65,335,426.57</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33.65%</w:t>
            </w:r>
          </w:p>
        </w:tc>
      </w:tr>
    </w:tbl>
    <w:p>
      <w:pPr>
        <w:pStyle w:val="BodyText"/>
        <w:spacing w:line="240" w:lineRule="auto" w:before="49"/>
        <w:ind w:right="465"/>
        <w:jc w:val="left"/>
      </w:pPr>
      <w:r>
        <w:rPr/>
        <w:t>向单一客户销售比例超过</w:t>
      </w:r>
      <w:r>
        <w:rPr>
          <w:spacing w:val="-47"/>
        </w:rPr>
        <w:t> </w:t>
      </w:r>
      <w:r>
        <w:rPr>
          <w:rFonts w:ascii="Times New Roman" w:hAnsi="Times New Roman" w:cs="Times New Roman" w:eastAsia="Times New Roman" w:hint="default"/>
        </w:rPr>
        <w:t>30%</w:t>
      </w:r>
      <w:r>
        <w:rPr/>
        <w:t>的客户资料</w:t>
      </w:r>
    </w:p>
    <w:p>
      <w:pPr>
        <w:pStyle w:val="BodyText"/>
        <w:spacing w:line="340" w:lineRule="auto" w:before="101"/>
        <w:ind w:right="81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7,384,334.61</w:t>
            </w:r>
            <w:r>
              <w:rPr>
                <w:rFonts w:ascii="Times New Roman"/>
                <w:sz w:val="18"/>
              </w:rPr>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88.96%</w:t>
            </w:r>
          </w:p>
        </w:tc>
      </w:tr>
    </w:tbl>
    <w:p>
      <w:pPr>
        <w:pStyle w:val="BodyText"/>
        <w:spacing w:line="240" w:lineRule="auto" w:before="49"/>
        <w:ind w:right="465"/>
        <w:jc w:val="left"/>
      </w:pPr>
      <w:r>
        <w:rPr/>
        <w:t>向单一供应商采购比例超过</w:t>
      </w:r>
      <w:r>
        <w:rPr>
          <w:spacing w:val="-48"/>
        </w:rPr>
        <w:t> </w:t>
      </w:r>
      <w:r>
        <w:rPr>
          <w:rFonts w:ascii="Times New Roman" w:hAnsi="Times New Roman" w:cs="Times New Roman" w:eastAsia="Times New Roman" w:hint="default"/>
        </w:rPr>
        <w:t>30%</w:t>
      </w:r>
      <w:r>
        <w:rPr/>
        <w:t>的客户资料</w:t>
      </w:r>
    </w:p>
    <w:p>
      <w:pPr>
        <w:pStyle w:val="BodyText"/>
        <w:spacing w:line="240" w:lineRule="auto" w:before="101"/>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38" w:lineRule="auto" w:before="103"/>
        <w:ind w:right="4054"/>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240" w:lineRule="auto" w:before="43"/>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2" w:lineRule="auto" w:before="103"/>
        <w:ind w:left="153" w:right="93" w:firstLine="424"/>
        <w:jc w:val="left"/>
      </w:pPr>
      <w:r>
        <w:rPr/>
        <w:t>报告期内，公司严格按照首次公开发行招股说明书中既定的公司未来发展与规划运行，专注于基础软件中间件领域， 充分利用募集资金，加快产品升级，提升营销及服务水平，巩固技术领先优势和行业地位，扩大市场份额。截止本报告日， 首次公开发行股票募集资金投资项目已全部结项。其中，</w:t>
      </w:r>
      <w:r>
        <w:rPr>
          <w:rFonts w:ascii="Times New Roman" w:hAnsi="Times New Roman" w:cs="Times New Roman" w:eastAsia="Times New Roman" w:hint="default"/>
        </w:rPr>
        <w:t>Tong</w:t>
      </w:r>
      <w:r>
        <w:rPr>
          <w:rFonts w:ascii="Times New Roman" w:hAnsi="Times New Roman" w:cs="Times New Roman" w:eastAsia="Times New Roman" w:hint="default"/>
          <w:spacing w:val="-4"/>
        </w:rPr>
        <w:t> </w:t>
      </w:r>
      <w:r>
        <w:rPr/>
        <w:t>系列中间件件产品升级项目已实现规划的产品功能，顺利结 项。营销服务平台扩建项目经变更也已实施完毕。</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日，公司第二届董事会第十次会议，审议通过了《关于变</w:t>
      </w:r>
    </w:p>
    <w:p>
      <w:pPr>
        <w:pStyle w:val="BodyText"/>
        <w:spacing w:line="240" w:lineRule="auto" w:before="3"/>
        <w:ind w:left="153" w:right="209"/>
        <w:jc w:val="left"/>
      </w:pPr>
      <w:r>
        <w:rPr/>
        <w:t>更部分募集资金投资项目的议案</w:t>
      </w:r>
      <w:r>
        <w:rPr>
          <w:spacing w:val="-92"/>
        </w:rPr>
        <w:t>》</w:t>
      </w:r>
      <w:r>
        <w:rPr/>
        <w:t>，公司拟变更本募集资金</w:t>
      </w:r>
      <w:r>
        <w:rPr>
          <w:spacing w:val="2"/>
        </w:rPr>
        <w:t>项</w:t>
      </w:r>
      <w:r>
        <w:rPr/>
        <w:t>目，并以其专项账户余额用于支付现金人民币</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w:t>
      </w:r>
      <w:r>
        <w:rPr>
          <w:spacing w:val="-3"/>
        </w:rPr>
        <w:t>收</w:t>
      </w:r>
      <w:r>
        <w:rPr/>
        <w:t>购</w:t>
      </w:r>
    </w:p>
    <w:p>
      <w:pPr>
        <w:pStyle w:val="BodyText"/>
        <w:spacing w:line="240" w:lineRule="auto" w:before="62"/>
        <w:ind w:left="153" w:right="94"/>
        <w:jc w:val="left"/>
      </w:pPr>
      <w:r>
        <w:rPr/>
        <w:t>北京同德一心科技有限公司的部分对价，不足部分以自有资金支付。</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4"/>
        </w:rPr>
        <w:t>日，公司</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年第二次临时股东大会审</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200"/>
        <w:jc w:val="left"/>
      </w:pPr>
      <w:r>
        <w:rPr>
          <w:spacing w:val="-4"/>
        </w:rPr>
        <w:t>议通过了《关于变更部分募集资金投资项目的议案》。</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1"/>
        </w:rPr>
        <w:t>日，公司以本项目专项账户余额向同德一心支付了部</w:t>
      </w:r>
      <w:r>
        <w:rPr>
          <w:spacing w:val="-88"/>
        </w:rPr>
        <w:t> </w:t>
      </w:r>
      <w:r>
        <w:rPr>
          <w:spacing w:val="-88"/>
        </w:rPr>
      </w:r>
      <w:r>
        <w:rPr/>
        <w:t>分交易对价。</w:t>
      </w:r>
    </w:p>
    <w:p>
      <w:pPr>
        <w:pStyle w:val="BodyText"/>
        <w:spacing w:line="309" w:lineRule="auto" w:before="72"/>
        <w:ind w:right="150" w:firstLine="425"/>
        <w:jc w:val="both"/>
      </w:pPr>
      <w:r>
        <w:rPr/>
        <w:t>在注重内生式发展的同时，充分利用资本平台优势，展开外延式并购整合。为完善公司基础软件产品线，以现金方式 收购虚拟化软件厂商</w:t>
      </w:r>
      <w:r>
        <w:rPr>
          <w:rFonts w:ascii="Times New Roman" w:hAnsi="Times New Roman" w:cs="Times New Roman" w:eastAsia="Times New Roman" w:hint="default"/>
        </w:rPr>
        <w:t>---</w:t>
      </w:r>
      <w:r>
        <w:rPr/>
        <w:t>北京同德一心科技有限公司</w:t>
      </w:r>
      <w:r>
        <w:rPr>
          <w:spacing w:val="-58"/>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月完成工商变更事项，成为公司的全资子公司，并 </w:t>
      </w:r>
      <w:r>
        <w:rPr>
          <w:spacing w:val="-2"/>
        </w:rPr>
        <w:t>启动对其进行吸收合并。为拓展公司在电信运营商领域的大数据业务能力，增厚公司业绩，以发行股份及支付现金购买资产</w:t>
      </w:r>
      <w:r>
        <w:rPr>
          <w:spacing w:val="-63"/>
        </w:rPr>
        <w:t> </w:t>
      </w:r>
      <w:r>
        <w:rPr>
          <w:spacing w:val="-63"/>
        </w:rPr>
      </w:r>
      <w:r>
        <w:rPr/>
        <w:t>方式收购无线网络优化软件厂商</w:t>
      </w:r>
      <w:r>
        <w:rPr>
          <w:rFonts w:ascii="Times New Roman" w:hAnsi="Times New Roman" w:cs="Times New Roman" w:eastAsia="Times New Roman" w:hint="default"/>
        </w:rPr>
        <w:t>---</w:t>
      </w:r>
      <w:r>
        <w:rPr/>
        <w:t>北京惠捷朗科技有限公司</w:t>
      </w:r>
      <w:r>
        <w:rPr>
          <w:spacing w:val="-47"/>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月完成工商变更事项，成为公司的全资 子公司。</w:t>
      </w:r>
    </w:p>
    <w:p>
      <w:pPr>
        <w:pStyle w:val="BodyText"/>
        <w:spacing w:line="240" w:lineRule="auto" w:before="62"/>
        <w:ind w:right="0"/>
        <w:jc w:val="left"/>
      </w:pPr>
      <w:r>
        <w:rPr/>
        <w:t>前期披露的发展战略和经营计划在报告期内的进展情况</w:t>
      </w:r>
    </w:p>
    <w:p>
      <w:pPr>
        <w:pStyle w:val="BodyText"/>
        <w:spacing w:line="340" w:lineRule="auto" w:before="117"/>
        <w:ind w:right="2696" w:firstLine="424"/>
        <w:jc w:val="left"/>
      </w:pPr>
      <w:r>
        <w:rPr/>
        <w:t>公司</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年度报告披露的发展战略和经营计划在</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年度各个方面均得到了落实。 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3"/>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36,831,124.38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34,136,164.82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12,523,900.41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12,469,900.41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18,032,586.78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18,028,313.28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88,992,738.72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87,848,965.15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37,757,287.70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37,687,154.36</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中间件业务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174,434,792.55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173,162,612.14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网优测试业务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15,861,306.96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13,166,347.40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虚拟化业务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3,841,538.48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3,841,538.48</w:t>
            </w:r>
            <w:r>
              <w:rPr>
                <w:rFonts w:ascii="Times New Roman"/>
                <w:sz w:val="18"/>
              </w:rPr>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4,774,587.10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4,774,587.10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117,327,015.76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113,837,382.37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26,278,357.85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26,023,640.86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7,155,017.68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7,058,141.19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6,931,922.78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6,931,922.78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15,876,553.84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15,876,553.84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15,794,182.98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15,668,269.88</w:t>
            </w:r>
          </w:p>
        </w:tc>
      </w:tr>
    </w:tbl>
    <w:p>
      <w:pPr>
        <w:spacing w:after="0" w:line="240" w:lineRule="auto"/>
        <w:jc w:val="right"/>
        <w:rPr>
          <w:rFonts w:ascii="Times New Roman" w:hAnsi="Times New Roman" w:cs="Times New Roman" w:eastAsia="Times New Roman" w:hint="default"/>
          <w:sz w:val="18"/>
          <w:szCs w:val="18"/>
        </w:rPr>
        <w:sectPr>
          <w:footerReference w:type="default" r:id="rId12"/>
          <w:pgSz w:w="11910" w:h="16840"/>
          <w:pgMar w:footer="982" w:header="745" w:top="1060" w:bottom="1180" w:left="980" w:right="980"/>
          <w:pgNumType w:start="17"/>
        </w:sectPr>
      </w:pPr>
    </w:p>
    <w:p>
      <w:pPr>
        <w:pStyle w:val="BodyText"/>
        <w:spacing w:line="240" w:lineRule="auto" w:before="49"/>
        <w:ind w:right="-17"/>
        <w:jc w:val="left"/>
      </w:pPr>
      <w:r>
        <w:rPr>
          <w:rFonts w:ascii="Times New Roman" w:hAnsi="Times New Roman" w:cs="Times New Roman" w:eastAsia="Times New Roman" w:hint="default"/>
        </w:rPr>
        <w:t>2</w:t>
      </w:r>
      <w:r>
        <w:rPr/>
        <w:t>）占比</w:t>
      </w:r>
      <w:r>
        <w:rPr>
          <w:spacing w:val="-47"/>
        </w:rPr>
        <w:t> </w:t>
      </w:r>
      <w:r>
        <w:rPr>
          <w:rFonts w:ascii="Times New Roman" w:hAnsi="Times New Roman" w:cs="Times New Roman" w:eastAsia="Times New Roman" w:hint="default"/>
        </w:rPr>
        <w:t>10%</w:t>
      </w:r>
      <w:r>
        <w:rPr/>
        <w:t>以上的产品、行业或地区情况</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3499" w:space="5420"/>
            <w:col w:w="103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36,831,124.38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2,694,959.56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88,992,738.72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1,143,773.57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37,757,287.70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70,133.34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18.65%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中间件业务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174,434,792.55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1,272,180.41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117,327,015.76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3,489,633.39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26,278,357.85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254,716.99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17"/>
        <w:jc w:val="left"/>
      </w:pPr>
      <w:r>
        <w:rPr>
          <w:rFonts w:ascii="Times New Roman" w:hAnsi="Times New Roman" w:cs="Times New Roman" w:eastAsia="Times New Roman" w:hint="default"/>
        </w:rPr>
        <w:t>3</w:t>
      </w:r>
      <w:r>
        <w:rPr/>
        <w:t>）公司主营业务数据统计口径在报告期发生调整的情况下，公司最近</w:t>
      </w:r>
      <w:r>
        <w:rPr>
          <w:spacing w:val="-46"/>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80" w:left="980" w:right="980"/>
          <w:cols w:num="2" w:equalWidth="0">
            <w:col w:w="9065" w:space="40"/>
            <w:col w:w="845"/>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401" w:hRule="exact"/>
        </w:trPr>
        <w:tc>
          <w:tcPr>
            <w:tcW w:w="960" w:type="dxa"/>
            <w:vMerge w:val="restart"/>
            <w:tcBorders>
              <w:top w:val="single" w:sz="4" w:space="0" w:color="000000"/>
              <w:left w:val="single" w:sz="4" w:space="0" w:color="000000"/>
              <w:right w:val="single" w:sz="4" w:space="0" w:color="000000"/>
            </w:tcBorders>
            <w:shd w:val="clear" w:color="auto" w:fill="D4D4D4"/>
          </w:tcPr>
          <w:p>
            <w:pPr/>
          </w:p>
        </w:tc>
        <w:tc>
          <w:tcPr>
            <w:tcW w:w="286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7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87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3" w:hRule="exact"/>
        </w:trPr>
        <w:tc>
          <w:tcPr>
            <w:tcW w:w="960" w:type="dxa"/>
            <w:vMerge/>
            <w:tcBorders>
              <w:left w:val="single" w:sz="4" w:space="0" w:color="000000"/>
              <w:bottom w:val="single" w:sz="4" w:space="0" w:color="000000"/>
              <w:right w:val="single" w:sz="4" w:space="0" w:color="000000"/>
            </w:tcBorders>
            <w:shd w:val="clear" w:color="auto" w:fill="D4D4D4"/>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93,141,138.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93,619,978.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49,972,993.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1,843,562.5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384,905.66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3,476,574.1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34,377,344.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18,331,032.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17,884,132.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1,244,182.2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27,619,791.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17,518,901.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17,649,988.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762,284.00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1,227,893.0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14,328,937.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21,089,084.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23,046,447.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225,487.99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1,603,319.6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10,745,041.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4,437,244.7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2,943,523.0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2,023,773.5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903,013.58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204,778.13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中间件业务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180,212,251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154,996,241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111,497,085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3,867,336.1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2,275,691.2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7,756,747.2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网优测试业 务</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虚拟化业务</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99,680,859.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97,466,643.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74,981,789.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1,554,920.2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5,216,412.5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27,963,129.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25,004,537.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12,710,667.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956,603.77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485,283.01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884,269.19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8,571,359.0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9,859,979.1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3,679,403.8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255,972.66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5,191,358.6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2,273,204.4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2,854,325.3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807,826.39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198,572.73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12,103,051.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4,243,823.1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4,448,733.7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382,906.00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309,494.21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5,571,383.8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5,973,584.6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3,590,206.1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249,767.26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21,131,109.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10,174,469.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9,231,958.6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225,487.99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642,258.67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1"/>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71" w:hRule="exact"/>
        </w:trPr>
        <w:tc>
          <w:tcPr>
            <w:tcW w:w="1368" w:type="dxa"/>
            <w:vMerge/>
            <w:tcBorders>
              <w:left w:val="single" w:sz="4" w:space="0" w:color="000000"/>
              <w:right w:val="single" w:sz="4" w:space="0" w:color="000000"/>
            </w:tcBorders>
            <w:shd w:val="clear" w:color="auto" w:fill="D4D4D4"/>
          </w:tcPr>
          <w:p>
            <w:pP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6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69"/>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4D4D4"/>
          </w:tcPr>
          <w:p>
            <w:pPr/>
          </w:p>
        </w:tc>
        <w:tc>
          <w:tcPr>
            <w:tcW w:w="29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164"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297,169,081.2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71,836,434.75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主要是因为公司募集资金到账以及 经营活动净现金流入增加。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232,659,600.3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182,245,944.61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主要是因为销售收入增长且公司四 季度收入占全年比重较高。</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2,972,404.51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主要是并购子公司惠捷朗帐面库存。</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317,569.96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308,219.32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权益法核算下的子公司当期权益变 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8,328,683.07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13,361,927.66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主要是因为计提折旧。</w:t>
            </w:r>
          </w:p>
        </w:tc>
      </w:tr>
    </w:tbl>
    <w:p>
      <w:pPr>
        <w:pStyle w:val="BodyText"/>
        <w:spacing w:line="240" w:lineRule="auto" w:before="49"/>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1"/>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3"/>
        <w:gridCol w:w="1195"/>
        <w:gridCol w:w="1063"/>
        <w:gridCol w:w="797"/>
        <w:gridCol w:w="2918"/>
      </w:tblGrid>
      <w:tr>
        <w:trPr>
          <w:trHeight w:val="382" w:hRule="exact"/>
        </w:trPr>
        <w:tc>
          <w:tcPr>
            <w:tcW w:w="1367" w:type="dxa"/>
            <w:vMerge w:val="restart"/>
            <w:tcBorders>
              <w:top w:val="single" w:sz="4" w:space="0" w:color="000000"/>
              <w:left w:val="single" w:sz="4" w:space="0" w:color="000000"/>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72" w:hRule="exact"/>
        </w:trPr>
        <w:tc>
          <w:tcPr>
            <w:tcW w:w="1367" w:type="dxa"/>
            <w:vMerge/>
            <w:tcBorders>
              <w:left w:val="single" w:sz="4" w:space="0" w:color="000000"/>
              <w:right w:val="single" w:sz="4" w:space="0" w:color="000000"/>
            </w:tcBorders>
            <w:shd w:val="clear" w:color="auto" w:fill="D4D4D4"/>
          </w:tcPr>
          <w:p>
            <w:pP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4D4D4"/>
          </w:tcPr>
          <w:p>
            <w:pPr/>
          </w:p>
        </w:tc>
        <w:tc>
          <w:tcPr>
            <w:tcW w:w="29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164"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65,500,000.00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22.12%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主要原因是公司上市后募集资金到 账，银行贷款规模下降。</w:t>
            </w:r>
          </w:p>
        </w:tc>
      </w:tr>
    </w:tbl>
    <w:p>
      <w:pPr>
        <w:pStyle w:val="BodyText"/>
        <w:spacing w:line="240" w:lineRule="auto" w:before="49"/>
        <w:ind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77" w:right="0"/>
        <w:jc w:val="left"/>
      </w:pPr>
      <w:r>
        <w:rPr>
          <w:rFonts w:ascii="Times New Roman" w:hAnsi="Times New Roman" w:cs="Times New Roman" w:eastAsia="Times New Roman" w:hint="default"/>
        </w:rPr>
        <w:t>1</w:t>
      </w:r>
      <w:r>
        <w:rPr/>
        <w:t>）公司竞争能力继续保持行业内前列水平，没有重大变化。</w:t>
      </w:r>
    </w:p>
    <w:p>
      <w:pPr>
        <w:pStyle w:val="BodyText"/>
        <w:spacing w:line="300" w:lineRule="auto" w:before="103"/>
        <w:ind w:right="0" w:firstLine="424"/>
        <w:jc w:val="left"/>
      </w:pPr>
      <w:r>
        <w:rPr>
          <w:rFonts w:ascii="Times New Roman" w:hAnsi="Times New Roman" w:cs="Times New Roman" w:eastAsia="Times New Roman" w:hint="default"/>
          <w:spacing w:val="-2"/>
        </w:rPr>
        <w:t>2</w:t>
      </w:r>
      <w:r>
        <w:rPr>
          <w:spacing w:val="-2"/>
        </w:rPr>
        <w:t>）公司除通过完善治理结构、优化内控制度规范运作外，持续加大研发投入和加强市场营销，拓宽了产品线，提升了</w:t>
      </w:r>
      <w:r>
        <w:rPr/>
        <w:t> 公司竞争力。</w:t>
      </w:r>
    </w:p>
    <w:p>
      <w:pPr>
        <w:pStyle w:val="BodyText"/>
        <w:spacing w:line="300" w:lineRule="auto" w:before="72"/>
        <w:ind w:right="175" w:firstLine="424"/>
        <w:jc w:val="left"/>
      </w:pPr>
      <w:r>
        <w:rPr>
          <w:rFonts w:ascii="Times New Roman" w:hAnsi="Times New Roman" w:cs="Times New Roman" w:eastAsia="Times New Roman" w:hint="default"/>
        </w:rPr>
        <w:t>3</w:t>
      </w:r>
      <w:r>
        <w:rPr/>
        <w:t>）公司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年新取得一项发明专利。截止报告期末，另有六项发明专利已通过初审，一项发明专利收到第一次审查 意见通知书，三项发明申请已进入实质审查阶段，一项发明专利收到受理通知。公司目前已取得的发明专利情况如下：</w:t>
      </w:r>
    </w:p>
    <w:p>
      <w:pPr>
        <w:spacing w:line="240" w:lineRule="auto" w:before="9"/>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41"/>
        <w:gridCol w:w="3686"/>
        <w:gridCol w:w="624"/>
        <w:gridCol w:w="624"/>
        <w:gridCol w:w="1454"/>
        <w:gridCol w:w="1080"/>
        <w:gridCol w:w="1082"/>
        <w:gridCol w:w="766"/>
      </w:tblGrid>
      <w:tr>
        <w:trPr>
          <w:trHeight w:val="660" w:hRule="exact"/>
        </w:trPr>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2" w:right="72"/>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5" w:right="29" w:hanging="180"/>
              <w:jc w:val="left"/>
              <w:rPr>
                <w:rFonts w:ascii="宋体" w:hAnsi="宋体" w:cs="宋体" w:eastAsia="宋体" w:hint="default"/>
                <w:sz w:val="18"/>
                <w:szCs w:val="18"/>
              </w:rPr>
            </w:pPr>
            <w:r>
              <w:rPr>
                <w:rFonts w:ascii="宋体" w:hAnsi="宋体" w:cs="宋体" w:eastAsia="宋体" w:hint="default"/>
                <w:b/>
                <w:bCs/>
                <w:sz w:val="18"/>
                <w:szCs w:val="18"/>
              </w:rPr>
              <w:t>专利类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5" w:right="29" w:hanging="18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b/>
                <w:bCs/>
                <w:w w:val="99"/>
                <w:sz w:val="18"/>
                <w:szCs w:val="18"/>
              </w:rPr>
              <w:t> </w:t>
            </w:r>
            <w:r>
              <w:rPr>
                <w:rFonts w:ascii="宋体" w:hAnsi="宋体" w:cs="宋体" w:eastAsia="宋体" w:hint="default"/>
                <w:b/>
                <w:bCs/>
                <w:sz w:val="18"/>
                <w:szCs w:val="18"/>
              </w:rPr>
              <w:t>人</w:t>
            </w:r>
            <w:r>
              <w:rPr>
                <w:rFonts w:ascii="宋体" w:hAnsi="宋体" w:cs="宋体" w:eastAsia="宋体" w:hint="default"/>
                <w:sz w:val="18"/>
                <w:szCs w:val="18"/>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85" w:right="12" w:hanging="272"/>
              <w:jc w:val="left"/>
              <w:rPr>
                <w:rFonts w:ascii="宋体" w:hAnsi="宋体" w:cs="宋体" w:eastAsia="宋体" w:hint="default"/>
                <w:sz w:val="18"/>
                <w:szCs w:val="18"/>
              </w:rPr>
            </w:pPr>
            <w:r>
              <w:rPr>
                <w:rFonts w:ascii="宋体" w:hAnsi="宋体" w:cs="宋体" w:eastAsia="宋体" w:hint="default"/>
                <w:b/>
                <w:bCs/>
                <w:sz w:val="18"/>
                <w:szCs w:val="18"/>
              </w:rPr>
              <w:t>专利权期</w:t>
            </w:r>
            <w:r>
              <w:rPr>
                <w:rFonts w:ascii="宋体" w:hAnsi="宋体" w:cs="宋体" w:eastAsia="宋体" w:hint="default"/>
                <w:b/>
                <w:bCs/>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r>
      <w:tr>
        <w:trPr>
          <w:trHeight w:val="658" w:hRule="exact"/>
        </w:trPr>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6"/>
              <w:jc w:val="right"/>
              <w:rPr>
                <w:rFonts w:ascii="Times New Roman" w:hAnsi="Times New Roman" w:cs="Times New Roman" w:eastAsia="Times New Roman" w:hint="default"/>
                <w:sz w:val="18"/>
                <w:szCs w:val="18"/>
              </w:rPr>
            </w:pPr>
            <w:r>
              <w:rPr>
                <w:rFonts w:ascii="Times New Roman"/>
                <w:sz w:val="18"/>
              </w:rPr>
              <w:t>1</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保证交易一致性的方法</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Tong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EASY</w:t>
            </w:r>
            <w:r>
              <w:rPr>
                <w:rFonts w:ascii="宋体" w:hAnsi="宋体" w:cs="宋体" w:eastAsia="宋体" w:hint="default"/>
                <w:sz w:val="18"/>
                <w:szCs w:val="18"/>
              </w:rPr>
              <w:t>）</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16" w:right="31" w:hanging="180"/>
              <w:jc w:val="left"/>
              <w:rPr>
                <w:rFonts w:ascii="宋体" w:hAnsi="宋体" w:cs="宋体" w:eastAsia="宋体" w:hint="default"/>
                <w:sz w:val="18"/>
                <w:szCs w:val="18"/>
              </w:rPr>
            </w:pPr>
            <w:r>
              <w:rPr>
                <w:rFonts w:ascii="宋体" w:hAnsi="宋体" w:cs="宋体" w:eastAsia="宋体" w:hint="default"/>
                <w:sz w:val="18"/>
                <w:szCs w:val="18"/>
              </w:rPr>
              <w:t>发明专 利</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ZL 98 1 01433</w:t>
            </w:r>
            <w:r>
              <w:rPr>
                <w:rFonts w:ascii="Times New Roman"/>
                <w:spacing w:val="-4"/>
                <w:sz w:val="18"/>
              </w:rPr>
              <w:t> </w:t>
            </w:r>
            <w:r>
              <w:rPr>
                <w:rFonts w:ascii="Times New Roman"/>
                <w:sz w:val="18"/>
              </w:rPr>
              <w:t>X</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p>
            <w:pPr>
              <w:pStyle w:val="TableParagraph"/>
              <w:spacing w:line="240" w:lineRule="auto" w:before="6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660" w:hRule="exact"/>
        </w:trPr>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16"/>
              <w:jc w:val="right"/>
              <w:rPr>
                <w:rFonts w:ascii="Times New Roman" w:hAnsi="Times New Roman" w:cs="Times New Roman" w:eastAsia="Times New Roman" w:hint="default"/>
                <w:sz w:val="18"/>
                <w:szCs w:val="18"/>
              </w:rPr>
            </w:pPr>
            <w:r>
              <w:rPr>
                <w:rFonts w:ascii="Times New Roman"/>
                <w:sz w:val="18"/>
              </w:rPr>
              <w:t>2</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一种消息的读写方法和装置</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TongLINK/Q</w:t>
            </w:r>
            <w:r>
              <w:rPr>
                <w:rFonts w:ascii="宋体" w:hAnsi="宋体" w:cs="宋体" w:eastAsia="宋体" w:hint="default"/>
                <w:sz w:val="18"/>
                <w:szCs w:val="18"/>
              </w:rPr>
              <w:t>）</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5" w:right="31" w:hanging="180"/>
              <w:jc w:val="left"/>
              <w:rPr>
                <w:rFonts w:ascii="宋体" w:hAnsi="宋体" w:cs="宋体" w:eastAsia="宋体" w:hint="default"/>
                <w:sz w:val="18"/>
                <w:szCs w:val="18"/>
              </w:rPr>
            </w:pPr>
            <w:r>
              <w:rPr>
                <w:rFonts w:ascii="宋体" w:hAnsi="宋体" w:cs="宋体" w:eastAsia="宋体" w:hint="default"/>
                <w:sz w:val="18"/>
                <w:szCs w:val="18"/>
              </w:rPr>
              <w:t>发明专 利</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0" w:right="0"/>
              <w:jc w:val="left"/>
              <w:rPr>
                <w:rFonts w:ascii="Times New Roman" w:hAnsi="Times New Roman" w:cs="Times New Roman" w:eastAsia="Times New Roman" w:hint="default"/>
                <w:sz w:val="18"/>
                <w:szCs w:val="18"/>
              </w:rPr>
            </w:pPr>
            <w:r>
              <w:rPr>
                <w:rFonts w:ascii="Times New Roman"/>
                <w:sz w:val="18"/>
              </w:rPr>
              <w:t>ZL 2007</w:t>
            </w:r>
            <w:r>
              <w:rPr>
                <w:rFonts w:ascii="Times New Roman"/>
                <w:spacing w:val="-1"/>
                <w:sz w:val="18"/>
              </w:rPr>
              <w:t> </w:t>
            </w:r>
            <w:r>
              <w:rPr>
                <w:rFonts w:ascii="Times New Roman"/>
                <w:sz w:val="18"/>
              </w:rPr>
              <w:t>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0304415.8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p>
            <w:pPr>
              <w:pStyle w:val="TableParagraph"/>
              <w:spacing w:line="240" w:lineRule="auto" w:before="6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972" w:hRule="exact"/>
        </w:trPr>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6"/>
              <w:jc w:val="right"/>
              <w:rPr>
                <w:rFonts w:ascii="Times New Roman" w:hAnsi="Times New Roman" w:cs="Times New Roman" w:eastAsia="Times New Roman" w:hint="default"/>
                <w:sz w:val="18"/>
                <w:szCs w:val="18"/>
              </w:rPr>
            </w:pPr>
            <w:r>
              <w:rPr>
                <w:rFonts w:ascii="Times New Roman"/>
                <w:sz w:val="18"/>
              </w:rPr>
              <w:t>3</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8" w:right="31"/>
              <w:jc w:val="center"/>
              <w:rPr>
                <w:rFonts w:ascii="宋体" w:hAnsi="宋体" w:cs="宋体" w:eastAsia="宋体" w:hint="default"/>
                <w:sz w:val="18"/>
                <w:szCs w:val="18"/>
              </w:rPr>
            </w:pPr>
            <w:r>
              <w:rPr>
                <w:rFonts w:ascii="宋体" w:hAnsi="宋体" w:cs="宋体" w:eastAsia="宋体" w:hint="default"/>
                <w:sz w:val="18"/>
                <w:szCs w:val="18"/>
              </w:rPr>
              <w:t>一种企业服务总线的消息转换方法、服务器及 其系统</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(TI-ESB)</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15" w:right="31" w:hanging="180"/>
              <w:jc w:val="left"/>
              <w:rPr>
                <w:rFonts w:ascii="宋体" w:hAnsi="宋体" w:cs="宋体" w:eastAsia="宋体" w:hint="default"/>
                <w:sz w:val="18"/>
                <w:szCs w:val="18"/>
              </w:rPr>
            </w:pPr>
            <w:r>
              <w:rPr>
                <w:rFonts w:ascii="宋体" w:hAnsi="宋体" w:cs="宋体" w:eastAsia="宋体" w:hint="default"/>
                <w:sz w:val="18"/>
                <w:szCs w:val="18"/>
              </w:rPr>
              <w:t>发明专 利</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40" w:right="0"/>
              <w:jc w:val="left"/>
              <w:rPr>
                <w:rFonts w:ascii="Times New Roman" w:hAnsi="Times New Roman" w:cs="Times New Roman" w:eastAsia="Times New Roman" w:hint="default"/>
                <w:sz w:val="18"/>
                <w:szCs w:val="18"/>
              </w:rPr>
            </w:pPr>
            <w:r>
              <w:rPr>
                <w:rFonts w:ascii="Times New Roman"/>
                <w:sz w:val="18"/>
              </w:rPr>
              <w:t>ZL 2008</w:t>
            </w:r>
            <w:r>
              <w:rPr>
                <w:rFonts w:ascii="Times New Roman"/>
                <w:spacing w:val="-1"/>
                <w:sz w:val="18"/>
              </w:rPr>
              <w:t> </w:t>
            </w:r>
            <w:r>
              <w:rPr>
                <w:rFonts w:ascii="Times New Roman"/>
                <w:sz w:val="18"/>
              </w:rPr>
              <w:t>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0119861.6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p>
          <w:p>
            <w:pPr>
              <w:pStyle w:val="TableParagraph"/>
              <w:spacing w:line="240" w:lineRule="auto" w:before="6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p>
          <w:p>
            <w:pPr>
              <w:pStyle w:val="TableParagraph"/>
              <w:spacing w:line="240" w:lineRule="auto" w:before="62"/>
              <w:ind w:left="4"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970" w:hRule="exact"/>
        </w:trPr>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6"/>
              <w:jc w:val="right"/>
              <w:rPr>
                <w:rFonts w:ascii="Times New Roman" w:hAnsi="Times New Roman" w:cs="Times New Roman" w:eastAsia="Times New Roman" w:hint="default"/>
                <w:sz w:val="18"/>
                <w:szCs w:val="18"/>
              </w:rPr>
            </w:pPr>
            <w:r>
              <w:rPr>
                <w:rFonts w:ascii="Times New Roman"/>
                <w:sz w:val="18"/>
              </w:rPr>
              <w:t>4</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8" w:right="31"/>
              <w:jc w:val="center"/>
              <w:rPr>
                <w:rFonts w:ascii="宋体" w:hAnsi="宋体" w:cs="宋体" w:eastAsia="宋体" w:hint="default"/>
                <w:sz w:val="18"/>
                <w:szCs w:val="18"/>
              </w:rPr>
            </w:pPr>
            <w:r>
              <w:rPr>
                <w:rFonts w:ascii="宋体" w:hAnsi="宋体" w:cs="宋体" w:eastAsia="宋体" w:hint="default"/>
                <w:sz w:val="18"/>
                <w:szCs w:val="18"/>
              </w:rPr>
              <w:t>一种基于分布式、异构数据库统一视图的查询 优化方法</w:t>
            </w:r>
          </w:p>
          <w:p>
            <w:pPr>
              <w:pStyle w:val="TableParagraph"/>
              <w:spacing w:line="240" w:lineRule="auto" w:before="61"/>
              <w:ind w:left="5" w:right="0"/>
              <w:jc w:val="center"/>
              <w:rPr>
                <w:rFonts w:ascii="Times New Roman" w:hAnsi="Times New Roman" w:cs="Times New Roman" w:eastAsia="Times New Roman" w:hint="default"/>
                <w:sz w:val="18"/>
                <w:szCs w:val="18"/>
              </w:rPr>
            </w:pPr>
            <w:r>
              <w:rPr>
                <w:rFonts w:ascii="Times New Roman"/>
                <w:sz w:val="18"/>
              </w:rPr>
              <w:t>(TI-DX)</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16" w:right="31" w:hanging="180"/>
              <w:jc w:val="left"/>
              <w:rPr>
                <w:rFonts w:ascii="宋体" w:hAnsi="宋体" w:cs="宋体" w:eastAsia="宋体" w:hint="default"/>
                <w:sz w:val="18"/>
                <w:szCs w:val="18"/>
              </w:rPr>
            </w:pPr>
            <w:r>
              <w:rPr>
                <w:rFonts w:ascii="宋体" w:hAnsi="宋体" w:cs="宋体" w:eastAsia="宋体" w:hint="default"/>
                <w:sz w:val="18"/>
                <w:szCs w:val="18"/>
              </w:rPr>
              <w:t>发明专 利</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319" w:right="314" w:firstLine="21"/>
              <w:jc w:val="left"/>
              <w:rPr>
                <w:rFonts w:ascii="Times New Roman" w:hAnsi="Times New Roman" w:cs="Times New Roman" w:eastAsia="Times New Roman" w:hint="default"/>
                <w:sz w:val="18"/>
                <w:szCs w:val="18"/>
              </w:rPr>
            </w:pPr>
            <w:r>
              <w:rPr>
                <w:rFonts w:ascii="Times New Roman"/>
                <w:sz w:val="18"/>
              </w:rPr>
              <w:t>ZL 2010</w:t>
            </w:r>
            <w:r>
              <w:rPr>
                <w:rFonts w:ascii="Times New Roman"/>
                <w:spacing w:val="-1"/>
                <w:sz w:val="18"/>
              </w:rPr>
              <w:t> </w:t>
            </w:r>
            <w:r>
              <w:rPr>
                <w:rFonts w:ascii="Times New Roman"/>
                <w:sz w:val="18"/>
              </w:rPr>
              <w:t>1</w:t>
            </w:r>
            <w:r>
              <w:rPr>
                <w:rFonts w:ascii="Times New Roman"/>
                <w:sz w:val="18"/>
              </w:rPr>
              <w:t> 0112856.X</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p>
          <w:p>
            <w:pPr>
              <w:pStyle w:val="TableParagraph"/>
              <w:spacing w:line="240" w:lineRule="auto" w:before="62"/>
              <w:ind w:left="5"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660" w:hRule="exact"/>
        </w:trPr>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16"/>
              <w:jc w:val="right"/>
              <w:rPr>
                <w:rFonts w:ascii="Times New Roman" w:hAnsi="Times New Roman" w:cs="Times New Roman" w:eastAsia="Times New Roman" w:hint="default"/>
                <w:sz w:val="18"/>
                <w:szCs w:val="18"/>
              </w:rPr>
            </w:pPr>
            <w:r>
              <w:rPr>
                <w:rFonts w:ascii="Times New Roman"/>
                <w:sz w:val="18"/>
              </w:rPr>
              <w:t>5</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基于约束校验的内存格式化方法</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(TongLINK/Q)</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6" w:right="31" w:hanging="180"/>
              <w:jc w:val="left"/>
              <w:rPr>
                <w:rFonts w:ascii="宋体" w:hAnsi="宋体" w:cs="宋体" w:eastAsia="宋体" w:hint="default"/>
                <w:sz w:val="18"/>
                <w:szCs w:val="18"/>
              </w:rPr>
            </w:pPr>
            <w:r>
              <w:rPr>
                <w:rFonts w:ascii="宋体" w:hAnsi="宋体" w:cs="宋体" w:eastAsia="宋体" w:hint="default"/>
                <w:sz w:val="18"/>
                <w:szCs w:val="18"/>
              </w:rPr>
              <w:t>发明专 利</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0" w:right="0"/>
              <w:jc w:val="left"/>
              <w:rPr>
                <w:rFonts w:ascii="Times New Roman" w:hAnsi="Times New Roman" w:cs="Times New Roman" w:eastAsia="Times New Roman" w:hint="default"/>
                <w:sz w:val="18"/>
                <w:szCs w:val="18"/>
              </w:rPr>
            </w:pPr>
            <w:r>
              <w:rPr>
                <w:rFonts w:ascii="Times New Roman"/>
                <w:sz w:val="18"/>
              </w:rPr>
              <w:t>ZL 2011</w:t>
            </w:r>
            <w:r>
              <w:rPr>
                <w:rFonts w:ascii="Times New Roman"/>
                <w:spacing w:val="-1"/>
                <w:sz w:val="18"/>
              </w:rPr>
              <w:t> </w:t>
            </w:r>
            <w:r>
              <w:rPr>
                <w:rFonts w:ascii="Times New Roman"/>
                <w:sz w:val="18"/>
              </w:rPr>
              <w:t>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0195005.0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p>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4</w:t>
      </w:r>
      <w:r>
        <w:rPr/>
        <w:t>）报告期内新增软件著作权</w:t>
      </w:r>
      <w:r>
        <w:rPr>
          <w:rFonts w:ascii="Times New Roman" w:hAnsi="Times New Roman" w:cs="Times New Roman" w:eastAsia="Times New Roman" w:hint="default"/>
        </w:rPr>
        <w:t>20</w:t>
      </w:r>
      <w:r>
        <w:rPr/>
        <w:t>项。截止报告期末，公司拥有软件著作权情况如下：</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29"/>
        <w:gridCol w:w="1608"/>
        <w:gridCol w:w="1229"/>
        <w:gridCol w:w="3895"/>
        <w:gridCol w:w="586"/>
        <w:gridCol w:w="586"/>
        <w:gridCol w:w="586"/>
        <w:gridCol w:w="840"/>
      </w:tblGrid>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7" w:right="65"/>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编号</w:t>
            </w:r>
            <w:r>
              <w:rPr>
                <w:rFonts w:ascii="宋体" w:hAnsi="宋体" w:cs="宋体" w:eastAsia="宋体" w:hint="default"/>
                <w:sz w:val="18"/>
                <w:szCs w:val="18"/>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35"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96" w:right="12" w:hanging="183"/>
              <w:jc w:val="left"/>
              <w:rPr>
                <w:rFonts w:ascii="宋体" w:hAnsi="宋体" w:cs="宋体" w:eastAsia="宋体" w:hint="default"/>
                <w:sz w:val="18"/>
                <w:szCs w:val="18"/>
              </w:rPr>
            </w:pPr>
            <w:r>
              <w:rPr>
                <w:rFonts w:ascii="宋体" w:hAnsi="宋体" w:cs="宋体" w:eastAsia="宋体" w:hint="default"/>
                <w:b/>
                <w:bCs/>
                <w:sz w:val="18"/>
                <w:szCs w:val="18"/>
              </w:rPr>
              <w:t>著作权</w:t>
            </w:r>
            <w:r>
              <w:rPr>
                <w:rFonts w:ascii="宋体" w:hAnsi="宋体" w:cs="宋体" w:eastAsia="宋体" w:hint="default"/>
                <w:b/>
                <w:bCs/>
                <w:w w:val="99"/>
                <w:sz w:val="18"/>
                <w:szCs w:val="18"/>
              </w:rPr>
              <w:t> </w:t>
            </w:r>
            <w:r>
              <w:rPr>
                <w:rFonts w:ascii="宋体" w:hAnsi="宋体" w:cs="宋体" w:eastAsia="宋体" w:hint="default"/>
                <w:b/>
                <w:bCs/>
                <w:sz w:val="18"/>
                <w:szCs w:val="18"/>
              </w:rPr>
              <w:t>人</w:t>
            </w:r>
            <w:r>
              <w:rPr>
                <w:rFonts w:ascii="宋体" w:hAnsi="宋体" w:cs="宋体" w:eastAsia="宋体" w:hint="default"/>
                <w:sz w:val="18"/>
                <w:szCs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96" w:right="12" w:hanging="183"/>
              <w:jc w:val="left"/>
              <w:rPr>
                <w:rFonts w:ascii="宋体" w:hAnsi="宋体" w:cs="宋体" w:eastAsia="宋体" w:hint="default"/>
                <w:sz w:val="18"/>
                <w:szCs w:val="18"/>
              </w:rPr>
            </w:pPr>
            <w:r>
              <w:rPr>
                <w:rFonts w:ascii="宋体" w:hAnsi="宋体" w:cs="宋体" w:eastAsia="宋体" w:hint="default"/>
                <w:b/>
                <w:bCs/>
                <w:sz w:val="18"/>
                <w:szCs w:val="18"/>
              </w:rPr>
              <w:t>取得方</w:t>
            </w:r>
            <w:r>
              <w:rPr>
                <w:rFonts w:ascii="宋体" w:hAnsi="宋体" w:cs="宋体" w:eastAsia="宋体" w:hint="default"/>
                <w:b/>
                <w:bCs/>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96" w:right="12" w:hanging="183"/>
              <w:jc w:val="left"/>
              <w:rPr>
                <w:rFonts w:ascii="宋体" w:hAnsi="宋体" w:cs="宋体" w:eastAsia="宋体" w:hint="default"/>
                <w:sz w:val="18"/>
                <w:szCs w:val="18"/>
              </w:rPr>
            </w:pPr>
            <w:r>
              <w:rPr>
                <w:rFonts w:ascii="宋体" w:hAnsi="宋体" w:cs="宋体" w:eastAsia="宋体" w:hint="default"/>
                <w:b/>
                <w:bCs/>
                <w:sz w:val="18"/>
                <w:szCs w:val="18"/>
              </w:rPr>
              <w:t>权利范</w:t>
            </w:r>
            <w:r>
              <w:rPr>
                <w:rFonts w:ascii="宋体" w:hAnsi="宋体" w:cs="宋体" w:eastAsia="宋体" w:hint="default"/>
                <w:b/>
                <w:bCs/>
                <w:w w:val="99"/>
                <w:sz w:val="18"/>
                <w:szCs w:val="18"/>
              </w:rPr>
              <w:t> </w:t>
            </w:r>
            <w:r>
              <w:rPr>
                <w:rFonts w:ascii="宋体" w:hAnsi="宋体" w:cs="宋体" w:eastAsia="宋体" w:hint="default"/>
                <w:b/>
                <w:bCs/>
                <w:sz w:val="18"/>
                <w:szCs w:val="18"/>
              </w:rPr>
              <w:t>围</w:t>
            </w:r>
            <w:r>
              <w:rPr>
                <w:rFonts w:ascii="宋体" w:hAnsi="宋体" w:cs="宋体" w:eastAsia="宋体" w:hint="default"/>
                <w:sz w:val="18"/>
                <w:szCs w:val="18"/>
              </w:rPr>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658"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z w:val="18"/>
              </w:rPr>
              <w:t>1</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软  著  登  字</w:t>
            </w:r>
            <w:r>
              <w:rPr>
                <w:rFonts w:ascii="宋体" w:hAnsi="宋体" w:cs="宋体" w:eastAsia="宋体" w:hint="default"/>
                <w:spacing w:val="56"/>
                <w:sz w:val="18"/>
                <w:szCs w:val="18"/>
              </w:rPr>
              <w:t> </w:t>
            </w:r>
            <w:r>
              <w:rPr>
                <w:rFonts w:ascii="宋体" w:hAnsi="宋体" w:cs="宋体" w:eastAsia="宋体" w:hint="default"/>
                <w:sz w:val="18"/>
                <w:szCs w:val="18"/>
              </w:rPr>
              <w:t>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BJ0784862</w:t>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2014SR115618</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TI-DXP]V2.5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2014/1/1</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sz w:val="18"/>
              </w:rPr>
              <w:t>2</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软著登字第</w:t>
            </w:r>
            <w:r>
              <w:rPr>
                <w:rFonts w:ascii="Times New Roman" w:hAnsi="Times New Roman" w:cs="Times New Roman" w:eastAsia="Times New Roman" w:hint="default"/>
                <w:spacing w:val="3"/>
                <w:sz w:val="18"/>
                <w:szCs w:val="18"/>
              </w:rPr>
              <w:t>BJ39931</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2014SRBJ0374</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20"/>
              <w:jc w:val="left"/>
              <w:rPr>
                <w:rFonts w:ascii="宋体" w:hAnsi="宋体" w:cs="宋体" w:eastAsia="宋体" w:hint="default"/>
                <w:sz w:val="18"/>
                <w:szCs w:val="18"/>
              </w:rPr>
            </w:pPr>
            <w:r>
              <w:rPr>
                <w:rFonts w:ascii="宋体" w:hAnsi="宋体" w:cs="宋体" w:eastAsia="宋体" w:hint="default"/>
                <w:spacing w:val="32"/>
                <w:sz w:val="18"/>
                <w:szCs w:val="18"/>
              </w:rPr>
              <w:t>东方通</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JMS</w:t>
            </w:r>
            <w:r>
              <w:rPr>
                <w:rFonts w:ascii="Times New Roman" w:hAnsi="Times New Roman" w:cs="Times New Roman" w:eastAsia="Times New Roman" w:hint="default"/>
                <w:spacing w:val="2"/>
                <w:sz w:val="18"/>
                <w:szCs w:val="18"/>
              </w:rPr>
              <w:t> </w:t>
            </w:r>
            <w:r>
              <w:rPr>
                <w:rFonts w:ascii="宋体" w:hAnsi="宋体" w:cs="宋体" w:eastAsia="宋体" w:hint="default"/>
                <w:spacing w:val="24"/>
                <w:sz w:val="18"/>
                <w:szCs w:val="18"/>
              </w:rPr>
              <w:t>消息</w:t>
            </w:r>
            <w:r>
              <w:rPr>
                <w:rFonts w:ascii="宋体" w:hAnsi="宋体" w:cs="宋体" w:eastAsia="宋体" w:hint="default"/>
                <w:spacing w:val="-41"/>
                <w:sz w:val="18"/>
                <w:szCs w:val="18"/>
              </w:rPr>
              <w:t> </w:t>
            </w:r>
            <w:r>
              <w:rPr>
                <w:rFonts w:ascii="宋体" w:hAnsi="宋体" w:cs="宋体" w:eastAsia="宋体" w:hint="default"/>
                <w:spacing w:val="24"/>
                <w:sz w:val="18"/>
                <w:szCs w:val="18"/>
              </w:rPr>
              <w:t>传输</w:t>
            </w:r>
            <w:r>
              <w:rPr>
                <w:rFonts w:ascii="宋体" w:hAnsi="宋体" w:cs="宋体" w:eastAsia="宋体" w:hint="default"/>
                <w:spacing w:val="-41"/>
                <w:sz w:val="18"/>
                <w:szCs w:val="18"/>
              </w:rPr>
              <w:t> </w:t>
            </w:r>
            <w:r>
              <w:rPr>
                <w:rFonts w:ascii="宋体" w:hAnsi="宋体" w:cs="宋体" w:eastAsia="宋体" w:hint="default"/>
                <w:spacing w:val="24"/>
                <w:sz w:val="18"/>
                <w:szCs w:val="18"/>
              </w:rPr>
              <w:t>中间</w:t>
            </w:r>
            <w:r>
              <w:rPr>
                <w:rFonts w:ascii="宋体" w:hAnsi="宋体" w:cs="宋体" w:eastAsia="宋体" w:hint="default"/>
                <w:spacing w:val="-41"/>
                <w:sz w:val="18"/>
                <w:szCs w:val="18"/>
              </w:rPr>
              <w:t> </w:t>
            </w:r>
            <w:r>
              <w:rPr>
                <w:rFonts w:ascii="宋体" w:hAnsi="宋体" w:cs="宋体" w:eastAsia="宋体" w:hint="default"/>
                <w:spacing w:val="32"/>
                <w:sz w:val="18"/>
                <w:szCs w:val="18"/>
              </w:rPr>
              <w:t>件软件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简</w:t>
            </w:r>
            <w:r>
              <w:rPr>
                <w:rFonts w:ascii="宋体" w:hAnsi="宋体" w:cs="宋体" w:eastAsia="宋体" w:hint="default"/>
                <w:spacing w:val="-41"/>
                <w:sz w:val="18"/>
                <w:szCs w:val="18"/>
              </w:rPr>
              <w:t> </w:t>
            </w:r>
            <w:r>
              <w:rPr>
                <w:rFonts w:ascii="宋体" w:hAnsi="宋体" w:cs="宋体" w:eastAsia="宋体" w:hint="default"/>
                <w:sz w:val="18"/>
                <w:szCs w:val="18"/>
              </w:rPr>
              <w:t>称</w:t>
            </w:r>
            <w:r>
              <w:rPr>
                <w:rFonts w:ascii="宋体" w:hAnsi="宋体" w:cs="宋体" w:eastAsia="宋体" w:hint="default"/>
                <w:spacing w:val="-43"/>
                <w:sz w:val="18"/>
                <w:szCs w:val="18"/>
              </w:rPr>
              <w:t> </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TL-JMS]V1.0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2014/3/14</w:t>
            </w:r>
          </w:p>
        </w:tc>
      </w:tr>
      <w:tr>
        <w:trPr>
          <w:trHeight w:val="658"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z w:val="18"/>
              </w:rPr>
              <w:t>3</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3"/>
                <w:sz w:val="18"/>
                <w:szCs w:val="18"/>
              </w:rPr>
              <w:t>软著登字第</w:t>
            </w:r>
            <w:r>
              <w:rPr>
                <w:rFonts w:ascii="Times New Roman" w:hAnsi="Times New Roman" w:cs="Times New Roman" w:eastAsia="Times New Roman" w:hint="default"/>
                <w:spacing w:val="3"/>
                <w:sz w:val="18"/>
                <w:szCs w:val="18"/>
              </w:rPr>
              <w:t>BJ39933</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w:t>
            </w:r>
            <w:r>
              <w:rPr>
                <w:rFonts w:ascii="Times New Roman"/>
                <w:spacing w:val="-2"/>
                <w:sz w:val="18"/>
              </w:rPr>
              <w:t> </w:t>
            </w:r>
            <w:r>
              <w:rPr>
                <w:rFonts w:ascii="Times New Roman"/>
                <w:sz w:val="18"/>
              </w:rPr>
              <w:t>SRBJ0376</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3"/>
              <w:jc w:val="left"/>
              <w:rPr>
                <w:rFonts w:ascii="宋体" w:hAnsi="宋体" w:cs="宋体" w:eastAsia="宋体" w:hint="default"/>
                <w:sz w:val="18"/>
                <w:szCs w:val="18"/>
              </w:rPr>
            </w:pPr>
            <w:r>
              <w:rPr>
                <w:rFonts w:ascii="宋体" w:hAnsi="宋体" w:cs="宋体" w:eastAsia="宋体" w:hint="default"/>
                <w:spacing w:val="30"/>
                <w:sz w:val="18"/>
                <w:szCs w:val="18"/>
              </w:rPr>
              <w:t>东方通</w:t>
            </w:r>
            <w:r>
              <w:rPr>
                <w:rFonts w:ascii="宋体" w:hAnsi="宋体" w:cs="宋体" w:eastAsia="宋体" w:hint="default"/>
                <w:spacing w:val="-47"/>
                <w:sz w:val="18"/>
                <w:szCs w:val="18"/>
              </w:rPr>
              <w:t> </w:t>
            </w:r>
            <w:r>
              <w:rPr>
                <w:rFonts w:ascii="宋体" w:hAnsi="宋体" w:cs="宋体" w:eastAsia="宋体" w:hint="default"/>
                <w:spacing w:val="22"/>
                <w:sz w:val="18"/>
                <w:szCs w:val="18"/>
              </w:rPr>
              <w:t>统一</w:t>
            </w:r>
            <w:r>
              <w:rPr>
                <w:rFonts w:ascii="宋体" w:hAnsi="宋体" w:cs="宋体" w:eastAsia="宋体" w:hint="default"/>
                <w:spacing w:val="-47"/>
                <w:sz w:val="18"/>
                <w:szCs w:val="18"/>
              </w:rPr>
              <w:t> </w:t>
            </w:r>
            <w:r>
              <w:rPr>
                <w:rFonts w:ascii="宋体" w:hAnsi="宋体" w:cs="宋体" w:eastAsia="宋体" w:hint="default"/>
                <w:spacing w:val="22"/>
                <w:sz w:val="18"/>
                <w:szCs w:val="18"/>
              </w:rPr>
              <w:t>中间</w:t>
            </w:r>
            <w:r>
              <w:rPr>
                <w:rFonts w:ascii="宋体" w:hAnsi="宋体" w:cs="宋体" w:eastAsia="宋体" w:hint="default"/>
                <w:spacing w:val="-47"/>
                <w:sz w:val="18"/>
                <w:szCs w:val="18"/>
              </w:rPr>
              <w:t> </w:t>
            </w:r>
            <w:r>
              <w:rPr>
                <w:rFonts w:ascii="宋体" w:hAnsi="宋体" w:cs="宋体" w:eastAsia="宋体" w:hint="default"/>
                <w:spacing w:val="22"/>
                <w:sz w:val="18"/>
                <w:szCs w:val="18"/>
              </w:rPr>
              <w:t>件管</w:t>
            </w:r>
            <w:r>
              <w:rPr>
                <w:rFonts w:ascii="宋体" w:hAnsi="宋体" w:cs="宋体" w:eastAsia="宋体" w:hint="default"/>
                <w:spacing w:val="-47"/>
                <w:sz w:val="18"/>
                <w:szCs w:val="18"/>
              </w:rPr>
              <w:t> </w:t>
            </w:r>
            <w:r>
              <w:rPr>
                <w:rFonts w:ascii="宋体" w:hAnsi="宋体" w:cs="宋体" w:eastAsia="宋体" w:hint="default"/>
                <w:sz w:val="18"/>
                <w:szCs w:val="18"/>
              </w:rPr>
              <w:t>理</w:t>
            </w:r>
            <w:r>
              <w:rPr>
                <w:rFonts w:ascii="宋体" w:hAnsi="宋体" w:cs="宋体" w:eastAsia="宋体" w:hint="default"/>
                <w:spacing w:val="-47"/>
                <w:sz w:val="18"/>
                <w:szCs w:val="18"/>
              </w:rPr>
              <w:t> </w:t>
            </w:r>
            <w:r>
              <w:rPr>
                <w:rFonts w:ascii="宋体" w:hAnsi="宋体" w:cs="宋体" w:eastAsia="宋体" w:hint="default"/>
                <w:spacing w:val="30"/>
                <w:sz w:val="18"/>
                <w:szCs w:val="18"/>
              </w:rPr>
              <w:t>平台软</w:t>
            </w:r>
            <w:r>
              <w:rPr>
                <w:rFonts w:ascii="宋体" w:hAnsi="宋体" w:cs="宋体" w:eastAsia="宋体" w:hint="default"/>
                <w:spacing w:val="-47"/>
                <w:sz w:val="18"/>
                <w:szCs w:val="18"/>
              </w:rPr>
              <w:t> </w:t>
            </w:r>
            <w:r>
              <w:rPr>
                <w:rFonts w:ascii="宋体" w:hAnsi="宋体" w:cs="宋体" w:eastAsia="宋体" w:hint="default"/>
                <w:sz w:val="18"/>
                <w:szCs w:val="18"/>
              </w:rPr>
              <w:t>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 </w:t>
            </w:r>
            <w:r>
              <w:rPr>
                <w:rFonts w:ascii="宋体" w:hAnsi="宋体" w:cs="宋体" w:eastAsia="宋体" w:hint="default"/>
                <w:spacing w:val="22"/>
                <w:sz w:val="18"/>
                <w:szCs w:val="18"/>
              </w:rPr>
              <w:t>简称</w:t>
            </w:r>
            <w:r>
              <w:rPr>
                <w:rFonts w:ascii="宋体" w:hAnsi="宋体" w:cs="宋体" w:eastAsia="宋体" w:hint="default"/>
                <w:spacing w:val="-45"/>
                <w:sz w:val="18"/>
                <w:szCs w:val="18"/>
              </w:rPr>
              <w:t> </w:t>
            </w:r>
            <w:r>
              <w:rPr>
                <w:rFonts w:ascii="宋体" w:hAnsi="宋体" w:cs="宋体" w:eastAsia="宋体" w:hint="default"/>
                <w:sz w:val="18"/>
                <w:szCs w:val="18"/>
              </w:rPr>
              <w:t>：</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TongIMP]V2.0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2014/3/31</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sz w:val="18"/>
              </w:rPr>
              <w:t>4</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0819267</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2014SR150028</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TongApplaud]V2.0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2014/6/30</w:t>
            </w:r>
          </w:p>
        </w:tc>
      </w:tr>
      <w:tr>
        <w:trPr>
          <w:trHeight w:val="658"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z w:val="18"/>
              </w:rPr>
              <w:t>5</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软  著  登  字</w:t>
            </w:r>
            <w:r>
              <w:rPr>
                <w:rFonts w:ascii="宋体" w:hAnsi="宋体" w:cs="宋体" w:eastAsia="宋体" w:hint="default"/>
                <w:spacing w:val="56"/>
                <w:sz w:val="18"/>
                <w:szCs w:val="18"/>
              </w:rPr>
              <w:t> </w:t>
            </w:r>
            <w:r>
              <w:rPr>
                <w:rFonts w:ascii="宋体" w:hAnsi="宋体" w:cs="宋体" w:eastAsia="宋体" w:hint="default"/>
                <w:sz w:val="18"/>
                <w:szCs w:val="18"/>
              </w:rPr>
              <w:t>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BJ0784873</w:t>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w:t>
            </w:r>
            <w:r>
              <w:rPr>
                <w:rFonts w:ascii="Times New Roman"/>
                <w:spacing w:val="-2"/>
                <w:sz w:val="18"/>
              </w:rPr>
              <w:t> </w:t>
            </w:r>
            <w:r>
              <w:rPr>
                <w:rFonts w:ascii="Times New Roman"/>
                <w:sz w:val="18"/>
              </w:rPr>
              <w:t>SR115629</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东方通数据库管理系统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TongDB]V5.0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2014/7/1</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sz w:val="18"/>
              </w:rPr>
              <w:t>6</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0791278</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2014SR122035</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TongWeb]V5.5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2014/7/16</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z w:val="18"/>
              </w:rPr>
              <w:t>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0791412</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2014SR122169</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东方通应用服务器软件简称：</w:t>
            </w:r>
            <w:r>
              <w:rPr>
                <w:rFonts w:ascii="Times New Roman" w:hAnsi="Times New Roman" w:cs="Times New Roman" w:eastAsia="Times New Roman" w:hint="default"/>
                <w:sz w:val="18"/>
                <w:szCs w:val="18"/>
              </w:rPr>
              <w:t>TongWeb]V5.6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2014/7/16</w:t>
            </w:r>
          </w:p>
        </w:tc>
      </w:tr>
      <w:tr>
        <w:trPr>
          <w:trHeight w:val="658"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3"/>
              <w:jc w:val="right"/>
              <w:rPr>
                <w:rFonts w:ascii="Times New Roman" w:hAnsi="Times New Roman" w:cs="Times New Roman" w:eastAsia="Times New Roman" w:hint="default"/>
                <w:sz w:val="18"/>
                <w:szCs w:val="18"/>
              </w:rPr>
            </w:pPr>
            <w:r>
              <w:rPr>
                <w:rFonts w:ascii="Times New Roman"/>
                <w:sz w:val="18"/>
              </w:rPr>
              <w:t>8</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0813164</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2014SR143924</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东方通虚拟化平台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OCloud]V4.5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2014/8/15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329"/>
        <w:gridCol w:w="1608"/>
        <w:gridCol w:w="1229"/>
        <w:gridCol w:w="3895"/>
        <w:gridCol w:w="586"/>
        <w:gridCol w:w="586"/>
        <w:gridCol w:w="586"/>
        <w:gridCol w:w="840"/>
      </w:tblGrid>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0813166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2014SR143926</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东方通负载均衡软件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TongLB]V2.0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2014/9/1</w:t>
            </w:r>
          </w:p>
        </w:tc>
      </w:tr>
      <w:tr>
        <w:trPr>
          <w:trHeight w:val="658"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0875310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2014SR206078</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TongApplaud]V2.5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全部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1"/>
              <w:jc w:val="left"/>
              <w:rPr>
                <w:rFonts w:ascii="Times New Roman" w:hAnsi="Times New Roman" w:cs="Times New Roman" w:eastAsia="Times New Roman" w:hint="default"/>
                <w:sz w:val="18"/>
                <w:szCs w:val="18"/>
              </w:rPr>
            </w:pPr>
            <w:r>
              <w:rPr>
                <w:rFonts w:ascii="Times New Roman"/>
                <w:sz w:val="18"/>
              </w:rPr>
              <w:t>2014/11/28</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11</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0762623</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2014SR093379</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东方通企业服务总线软件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TI-ESB]</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V5.0.1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东方通 </w:t>
            </w:r>
            <w:r>
              <w:rPr>
                <w:rFonts w:ascii="宋体" w:hAnsi="宋体" w:cs="宋体" w:eastAsia="宋体" w:hint="default"/>
                <w:sz w:val="18"/>
                <w:szCs w:val="18"/>
              </w:rPr>
              <w:t>泰</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2014/2/24</w:t>
            </w:r>
          </w:p>
        </w:tc>
      </w:tr>
      <w:tr>
        <w:trPr>
          <w:trHeight w:val="658"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0795030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7" w:right="0"/>
              <w:jc w:val="left"/>
              <w:rPr>
                <w:rFonts w:ascii="Times New Roman" w:hAnsi="Times New Roman" w:cs="Times New Roman" w:eastAsia="Times New Roman" w:hint="default"/>
                <w:sz w:val="18"/>
                <w:szCs w:val="18"/>
              </w:rPr>
            </w:pPr>
            <w:r>
              <w:rPr>
                <w:rFonts w:ascii="Times New Roman"/>
                <w:sz w:val="18"/>
              </w:rPr>
              <w:t>2014SR125787</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TI-DX]V2.0.1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东方通 </w:t>
            </w:r>
            <w:r>
              <w:rPr>
                <w:rFonts w:ascii="宋体" w:hAnsi="宋体" w:cs="宋体" w:eastAsia="宋体" w:hint="default"/>
                <w:sz w:val="18"/>
                <w:szCs w:val="18"/>
              </w:rPr>
              <w:t>泰</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2014/2/28</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0804144</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2014SR134903</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TI-DXP]V2.0.1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东方通 </w:t>
            </w:r>
            <w:r>
              <w:rPr>
                <w:rFonts w:ascii="宋体" w:hAnsi="宋体" w:cs="宋体" w:eastAsia="宋体" w:hint="default"/>
                <w:sz w:val="18"/>
                <w:szCs w:val="18"/>
              </w:rPr>
              <w:t>泰</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2014/2/28</w:t>
            </w:r>
          </w:p>
        </w:tc>
      </w:tr>
      <w:tr>
        <w:trPr>
          <w:trHeight w:val="658"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0833697</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20104SR164460</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4"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IOS </w:t>
            </w:r>
            <w:r>
              <w:rPr>
                <w:rFonts w:ascii="宋体" w:hAnsi="宋体" w:cs="宋体" w:eastAsia="宋体" w:hint="default"/>
                <w:spacing w:val="16"/>
                <w:sz w:val="18"/>
                <w:szCs w:val="18"/>
              </w:rPr>
              <w:t>手持式测试软件</w:t>
            </w:r>
            <w:r>
              <w:rPr>
                <w:rFonts w:ascii="Times New Roman" w:hAnsi="Times New Roman" w:cs="Times New Roman" w:eastAsia="Times New Roman" w:hint="default"/>
                <w:spacing w:val="16"/>
                <w:sz w:val="18"/>
                <w:szCs w:val="18"/>
              </w:rPr>
              <w:t>[ </w:t>
            </w:r>
            <w:r>
              <w:rPr>
                <w:rFonts w:ascii="宋体" w:hAnsi="宋体" w:cs="宋体" w:eastAsia="宋体" w:hint="default"/>
                <w:spacing w:val="13"/>
                <w:sz w:val="18"/>
                <w:szCs w:val="18"/>
              </w:rPr>
              <w:t>简称</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handheld</w:t>
            </w:r>
            <w:r>
              <w:rPr>
                <w:rFonts w:ascii="Times New Roman" w:hAnsi="Times New Roman" w:cs="Times New Roman" w:eastAsia="Times New Roman" w:hint="default"/>
                <w:sz w:val="18"/>
                <w:szCs w:val="18"/>
              </w:rPr>
              <w:t> IOS]V1.0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2014/7/15</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15</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0833700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2014SR164463</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CDS]V8.0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2014/7/31</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16</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0833658</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7" w:right="0"/>
              <w:jc w:val="left"/>
              <w:rPr>
                <w:rFonts w:ascii="Times New Roman" w:hAnsi="Times New Roman" w:cs="Times New Roman" w:eastAsia="Times New Roman" w:hint="default"/>
                <w:sz w:val="18"/>
                <w:szCs w:val="18"/>
              </w:rPr>
            </w:pPr>
            <w:r>
              <w:rPr>
                <w:rFonts w:ascii="Times New Roman"/>
                <w:sz w:val="18"/>
              </w:rPr>
              <w:t>2014SR164421</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4"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Android</w:t>
            </w:r>
            <w:r>
              <w:rPr>
                <w:rFonts w:ascii="宋体" w:hAnsi="宋体" w:cs="宋体" w:eastAsia="宋体" w:hint="default"/>
                <w:sz w:val="18"/>
                <w:szCs w:val="18"/>
              </w:rPr>
              <w:t>手持式测试软件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 CDS handheld Android]V1.0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2014/8/1</w:t>
            </w:r>
          </w:p>
        </w:tc>
      </w:tr>
      <w:tr>
        <w:trPr>
          <w:trHeight w:val="658"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0877276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7" w:right="0"/>
              <w:jc w:val="left"/>
              <w:rPr>
                <w:rFonts w:ascii="Times New Roman" w:hAnsi="Times New Roman" w:cs="Times New Roman" w:eastAsia="Times New Roman" w:hint="default"/>
                <w:sz w:val="18"/>
                <w:szCs w:val="18"/>
              </w:rPr>
            </w:pPr>
            <w:r>
              <w:rPr>
                <w:rFonts w:ascii="Times New Roman"/>
                <w:sz w:val="18"/>
              </w:rPr>
              <w:t>2014SR208045</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4" w:right="-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Plus</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6"/>
                <w:sz w:val="18"/>
                <w:szCs w:val="18"/>
              </w:rPr>
              <w:t> </w:t>
            </w:r>
            <w:r>
              <w:rPr>
                <w:rFonts w:ascii="宋体" w:hAnsi="宋体" w:cs="宋体" w:eastAsia="宋体" w:hint="default"/>
                <w:spacing w:val="24"/>
                <w:sz w:val="18"/>
                <w:szCs w:val="18"/>
              </w:rPr>
              <w:t>测试软件</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pacing w:val="16"/>
                <w:sz w:val="18"/>
                <w:szCs w:val="18"/>
              </w:rPr>
              <w:t>简称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plus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Android]V1.0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2014/9/17</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18</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0878778</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2014SR209546</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Plus IOS  </w:t>
            </w:r>
            <w:r>
              <w:rPr>
                <w:rFonts w:ascii="宋体" w:hAnsi="宋体" w:cs="宋体" w:eastAsia="宋体" w:hint="default"/>
                <w:sz w:val="18"/>
                <w:szCs w:val="18"/>
              </w:rPr>
              <w:t>测试软件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 CDS plus</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IOS]V1.0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
              <w:jc w:val="left"/>
              <w:rPr>
                <w:rFonts w:ascii="Times New Roman" w:hAnsi="Times New Roman" w:cs="Times New Roman" w:eastAsia="Times New Roman" w:hint="default"/>
                <w:sz w:val="18"/>
                <w:szCs w:val="18"/>
              </w:rPr>
            </w:pPr>
            <w:r>
              <w:rPr>
                <w:rFonts w:ascii="Times New Roman"/>
                <w:sz w:val="18"/>
              </w:rPr>
              <w:t>2014/10/16</w:t>
            </w:r>
          </w:p>
        </w:tc>
      </w:tr>
      <w:tr>
        <w:trPr>
          <w:trHeight w:val="658"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19</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0877280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7" w:right="0"/>
              <w:jc w:val="left"/>
              <w:rPr>
                <w:rFonts w:ascii="Times New Roman" w:hAnsi="Times New Roman" w:cs="Times New Roman" w:eastAsia="Times New Roman" w:hint="default"/>
                <w:sz w:val="18"/>
                <w:szCs w:val="18"/>
              </w:rPr>
            </w:pPr>
            <w:r>
              <w:rPr>
                <w:rFonts w:ascii="Times New Roman"/>
                <w:sz w:val="18"/>
              </w:rPr>
              <w:t>2014SR208049</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:CDS]V7.1.1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1"/>
              <w:jc w:val="left"/>
              <w:rPr>
                <w:rFonts w:ascii="Times New Roman" w:hAnsi="Times New Roman" w:cs="Times New Roman" w:eastAsia="Times New Roman" w:hint="default"/>
                <w:sz w:val="18"/>
                <w:szCs w:val="18"/>
              </w:rPr>
            </w:pPr>
            <w:r>
              <w:rPr>
                <w:rFonts w:ascii="Times New Roman"/>
                <w:sz w:val="18"/>
              </w:rPr>
              <w:t>2014/10/29</w:t>
            </w:r>
          </w:p>
        </w:tc>
      </w:tr>
      <w:tr>
        <w:trPr>
          <w:trHeight w:val="660" w:hRule="exact"/>
        </w:trPr>
        <w:tc>
          <w:tcPr>
            <w:tcW w:w="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软著登字第</w:t>
            </w:r>
            <w:r>
              <w:rPr>
                <w:rFonts w:ascii="Times New Roman" w:hAnsi="Times New Roman" w:cs="Times New Roman" w:eastAsia="Times New Roman" w:hint="default"/>
                <w:spacing w:val="4"/>
                <w:sz w:val="18"/>
                <w:szCs w:val="18"/>
              </w:rPr>
              <w:t>0886806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 w:right="0"/>
              <w:jc w:val="left"/>
              <w:rPr>
                <w:rFonts w:ascii="Times New Roman" w:hAnsi="Times New Roman" w:cs="Times New Roman" w:eastAsia="Times New Roman" w:hint="default"/>
                <w:sz w:val="18"/>
                <w:szCs w:val="18"/>
              </w:rPr>
            </w:pPr>
            <w:r>
              <w:rPr>
                <w:rFonts w:ascii="Times New Roman"/>
                <w:sz w:val="18"/>
              </w:rPr>
              <w:t>2014SR217577</w:t>
            </w:r>
          </w:p>
        </w:tc>
        <w:tc>
          <w:tcPr>
            <w:tcW w:w="3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CDS]V7.1.2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原始取 </w:t>
            </w:r>
            <w:r>
              <w:rPr>
                <w:rFonts w:ascii="宋体" w:hAnsi="宋体" w:cs="宋体" w:eastAsia="宋体" w:hint="default"/>
                <w:sz w:val="18"/>
                <w:szCs w:val="18"/>
              </w:rPr>
              <w:t>得</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
              <w:jc w:val="left"/>
              <w:rPr>
                <w:rFonts w:ascii="宋体" w:hAnsi="宋体" w:cs="宋体" w:eastAsia="宋体" w:hint="default"/>
                <w:sz w:val="18"/>
                <w:szCs w:val="18"/>
              </w:rPr>
            </w:pPr>
            <w:r>
              <w:rPr>
                <w:rFonts w:ascii="宋体" w:hAnsi="宋体" w:cs="宋体" w:eastAsia="宋体" w:hint="default"/>
                <w:spacing w:val="12"/>
                <w:sz w:val="18"/>
                <w:szCs w:val="18"/>
              </w:rPr>
              <w:t>全部权 </w:t>
            </w:r>
            <w:r>
              <w:rPr>
                <w:rFonts w:ascii="宋体" w:hAnsi="宋体" w:cs="宋体" w:eastAsia="宋体" w:hint="default"/>
                <w:sz w:val="18"/>
                <w:szCs w:val="18"/>
              </w:rPr>
              <w:t>利</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2014/11/3</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5</w:t>
      </w:r>
      <w:r>
        <w:rPr/>
        <w:t>）截止报告期末，公司拥有商标情况如下：</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44"/>
        <w:gridCol w:w="2887"/>
        <w:gridCol w:w="1284"/>
        <w:gridCol w:w="1078"/>
        <w:gridCol w:w="3312"/>
        <w:gridCol w:w="658"/>
      </w:tblGrid>
      <w:tr>
        <w:trPr>
          <w:trHeight w:val="350" w:hRule="exact"/>
        </w:trPr>
        <w:tc>
          <w:tcPr>
            <w:tcW w:w="44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left="31"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887" w:type="dxa"/>
            <w:tcBorders>
              <w:top w:val="single" w:sz="10"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b/>
                <w:bCs/>
                <w:sz w:val="18"/>
                <w:szCs w:val="18"/>
              </w:rPr>
              <w:t>商标式样</w:t>
            </w:r>
            <w:r>
              <w:rPr>
                <w:rFonts w:ascii="宋体" w:hAnsi="宋体" w:cs="宋体" w:eastAsia="宋体" w:hint="default"/>
                <w:sz w:val="18"/>
                <w:szCs w:val="18"/>
              </w:rPr>
            </w:r>
          </w:p>
        </w:tc>
        <w:tc>
          <w:tcPr>
            <w:tcW w:w="1284" w:type="dxa"/>
            <w:tcBorders>
              <w:top w:val="single" w:sz="10" w:space="0" w:color="000000"/>
              <w:left w:val="single" w:sz="12" w:space="0" w:color="000000"/>
              <w:bottom w:val="single" w:sz="12" w:space="0" w:color="000000"/>
              <w:right w:val="single" w:sz="12" w:space="0" w:color="000000"/>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078" w:type="dxa"/>
            <w:tcBorders>
              <w:top w:val="single" w:sz="10"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b/>
                <w:bCs/>
                <w:sz w:val="18"/>
                <w:szCs w:val="18"/>
              </w:rPr>
              <w:t>商标注册号</w:t>
            </w:r>
            <w:r>
              <w:rPr>
                <w:rFonts w:ascii="宋体" w:hAnsi="宋体" w:cs="宋体" w:eastAsia="宋体" w:hint="default"/>
                <w:sz w:val="18"/>
                <w:szCs w:val="18"/>
              </w:rPr>
            </w:r>
          </w:p>
        </w:tc>
        <w:tc>
          <w:tcPr>
            <w:tcW w:w="3312" w:type="dxa"/>
            <w:tcBorders>
              <w:top w:val="single" w:sz="10" w:space="0" w:color="000000"/>
              <w:left w:val="single" w:sz="12" w:space="0" w:color="000000"/>
              <w:bottom w:val="single" w:sz="12" w:space="0" w:color="000000"/>
              <w:right w:val="single" w:sz="12" w:space="0" w:color="000000"/>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b/>
                <w:bCs/>
                <w:sz w:val="18"/>
                <w:szCs w:val="18"/>
              </w:rPr>
              <w:t>有效期限</w:t>
            </w:r>
            <w:r>
              <w:rPr>
                <w:rFonts w:ascii="宋体" w:hAnsi="宋体" w:cs="宋体" w:eastAsia="宋体" w:hint="default"/>
                <w:sz w:val="18"/>
                <w:szCs w:val="18"/>
              </w:rPr>
            </w:r>
          </w:p>
        </w:tc>
        <w:tc>
          <w:tcPr>
            <w:tcW w:w="658" w:type="dxa"/>
            <w:tcBorders>
              <w:top w:val="single" w:sz="10"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r>
      <w:tr>
        <w:trPr>
          <w:trHeight w:val="662"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1</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375" w:lineRule="exact"/>
              <w:ind w:left="921"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40547" cy="2381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640547" cy="238125"/>
                          </a:xfrm>
                          <a:prstGeom prst="rect">
                            <a:avLst/>
                          </a:prstGeom>
                        </pic:spPr>
                      </pic:pic>
                    </a:graphicData>
                  </a:graphic>
                </wp:inline>
              </w:drawing>
            </w:r>
            <w:r>
              <w:rPr>
                <w:rFonts w:ascii="宋体" w:hAnsi="宋体" w:cs="宋体" w:eastAsia="宋体" w:hint="default"/>
                <w:position w:val="-7"/>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4204286</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5"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228" w:right="0"/>
              <w:jc w:val="left"/>
              <w:rPr>
                <w:rFonts w:ascii="Times New Roman" w:hAnsi="Times New Roman" w:cs="Times New Roman" w:eastAsia="Times New Roman" w:hint="default"/>
                <w:sz w:val="18"/>
                <w:szCs w:val="18"/>
              </w:rPr>
            </w:pPr>
            <w:r>
              <w:rPr>
                <w:rFonts w:ascii="Times New Roman"/>
                <w:sz w:val="18"/>
              </w:rPr>
              <w:t>2</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6"/>
                <w:szCs w:val="6"/>
              </w:rPr>
            </w:pPr>
          </w:p>
          <w:p>
            <w:pPr>
              <w:pStyle w:val="TableParagraph"/>
              <w:spacing w:line="465" w:lineRule="exact"/>
              <w:ind w:left="1192"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295276" cy="2952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295276" cy="295275"/>
                          </a:xfrm>
                          <a:prstGeom prst="rect">
                            <a:avLst/>
                          </a:prstGeom>
                        </pic:spPr>
                      </pic:pic>
                    </a:graphicData>
                  </a:graphic>
                </wp:inline>
              </w:drawing>
            </w:r>
            <w:r>
              <w:rPr>
                <w:rFonts w:ascii="宋体" w:hAnsi="宋体" w:cs="宋体" w:eastAsia="宋体" w:hint="default"/>
                <w:position w:val="-8"/>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right="4"/>
              <w:jc w:val="center"/>
              <w:rPr>
                <w:rFonts w:ascii="Times New Roman" w:hAnsi="Times New Roman" w:cs="Times New Roman" w:eastAsia="Times New Roman" w:hint="default"/>
                <w:sz w:val="18"/>
                <w:szCs w:val="18"/>
              </w:rPr>
            </w:pPr>
            <w:r>
              <w:rPr>
                <w:rFonts w:ascii="Times New Roman"/>
                <w:sz w:val="18"/>
              </w:rPr>
              <w:t>1298700</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3"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228" w:right="0"/>
              <w:jc w:val="left"/>
              <w:rPr>
                <w:rFonts w:ascii="Times New Roman" w:hAnsi="Times New Roman" w:cs="Times New Roman" w:eastAsia="Times New Roman" w:hint="default"/>
                <w:sz w:val="18"/>
                <w:szCs w:val="18"/>
              </w:rPr>
            </w:pPr>
            <w:r>
              <w:rPr>
                <w:rFonts w:ascii="Times New Roman"/>
                <w:sz w:val="18"/>
              </w:rPr>
              <w:t>3</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4"/>
                <w:szCs w:val="4"/>
              </w:rPr>
            </w:pPr>
          </w:p>
          <w:p>
            <w:pPr>
              <w:pStyle w:val="TableParagraph"/>
              <w:spacing w:line="210" w:lineRule="exact"/>
              <w:ind w:left="727"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880996" cy="1333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880996" cy="133350"/>
                          </a:xfrm>
                          <a:prstGeom prst="rect">
                            <a:avLst/>
                          </a:prstGeom>
                        </pic:spPr>
                      </pic:pic>
                    </a:graphicData>
                  </a:graphic>
                </wp:inline>
              </w:drawing>
            </w:r>
            <w:r>
              <w:rPr>
                <w:rFonts w:ascii="宋体" w:hAnsi="宋体" w:cs="宋体" w:eastAsia="宋体" w:hint="default"/>
                <w:position w:val="-3"/>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
              <w:jc w:val="center"/>
              <w:rPr>
                <w:rFonts w:ascii="Times New Roman" w:hAnsi="Times New Roman" w:cs="Times New Roman" w:eastAsia="Times New Roman" w:hint="default"/>
                <w:sz w:val="18"/>
                <w:szCs w:val="18"/>
              </w:rPr>
            </w:pPr>
            <w:r>
              <w:rPr>
                <w:rFonts w:ascii="Times New Roman"/>
                <w:sz w:val="18"/>
              </w:rPr>
              <w:t>4204285</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0"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4</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3"/>
                <w:szCs w:val="3"/>
              </w:rPr>
            </w:pPr>
          </w:p>
          <w:p>
            <w:pPr>
              <w:pStyle w:val="TableParagraph"/>
              <w:spacing w:line="210" w:lineRule="exact"/>
              <w:ind w:left="727"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880996" cy="1333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5" cstate="print"/>
                          <a:stretch>
                            <a:fillRect/>
                          </a:stretch>
                        </pic:blipFill>
                        <pic:spPr>
                          <a:xfrm>
                            <a:off x="0" y="0"/>
                            <a:ext cx="880996" cy="133350"/>
                          </a:xfrm>
                          <a:prstGeom prst="rect">
                            <a:avLst/>
                          </a:prstGeom>
                        </pic:spPr>
                      </pic:pic>
                    </a:graphicData>
                  </a:graphic>
                </wp:inline>
              </w:drawing>
            </w:r>
            <w:r>
              <w:rPr>
                <w:rFonts w:ascii="宋体" w:hAnsi="宋体" w:cs="宋体" w:eastAsia="宋体" w:hint="default"/>
                <w:position w:val="-3"/>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4204278</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3"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228" w:right="0"/>
              <w:jc w:val="left"/>
              <w:rPr>
                <w:rFonts w:ascii="Times New Roman" w:hAnsi="Times New Roman" w:cs="Times New Roman" w:eastAsia="Times New Roman" w:hint="default"/>
                <w:sz w:val="18"/>
                <w:szCs w:val="18"/>
              </w:rPr>
            </w:pPr>
            <w:r>
              <w:rPr>
                <w:rFonts w:ascii="Times New Roman"/>
                <w:sz w:val="18"/>
              </w:rPr>
              <w:t>5</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4"/>
                <w:szCs w:val="4"/>
              </w:rPr>
            </w:pPr>
          </w:p>
          <w:p>
            <w:pPr>
              <w:pStyle w:val="TableParagraph"/>
              <w:spacing w:line="212" w:lineRule="exact"/>
              <w:ind w:left="727" w:right="0"/>
              <w:jc w:val="left"/>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885615" cy="134683"/>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5" cstate="print"/>
                          <a:stretch>
                            <a:fillRect/>
                          </a:stretch>
                        </pic:blipFill>
                        <pic:spPr>
                          <a:xfrm>
                            <a:off x="0" y="0"/>
                            <a:ext cx="885615" cy="134683"/>
                          </a:xfrm>
                          <a:prstGeom prst="rect">
                            <a:avLst/>
                          </a:prstGeom>
                        </pic:spPr>
                      </pic:pic>
                    </a:graphicData>
                  </a:graphic>
                </wp:inline>
              </w:drawing>
            </w:r>
            <w:r>
              <w:rPr>
                <w:rFonts w:ascii="宋体" w:hAnsi="宋体" w:cs="宋体" w:eastAsia="宋体" w:hint="default"/>
                <w:position w:val="-3"/>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
              <w:jc w:val="center"/>
              <w:rPr>
                <w:rFonts w:ascii="Times New Roman" w:hAnsi="Times New Roman" w:cs="Times New Roman" w:eastAsia="Times New Roman" w:hint="default"/>
                <w:sz w:val="18"/>
                <w:szCs w:val="18"/>
              </w:rPr>
            </w:pPr>
            <w:r>
              <w:rPr>
                <w:rFonts w:ascii="Times New Roman"/>
                <w:sz w:val="18"/>
              </w:rPr>
              <w:t>1277389</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3"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228" w:right="0"/>
              <w:jc w:val="left"/>
              <w:rPr>
                <w:rFonts w:ascii="Times New Roman" w:hAnsi="Times New Roman" w:cs="Times New Roman" w:eastAsia="Times New Roman" w:hint="default"/>
                <w:sz w:val="18"/>
                <w:szCs w:val="18"/>
              </w:rPr>
            </w:pPr>
            <w:r>
              <w:rPr>
                <w:rFonts w:ascii="Times New Roman"/>
                <w:sz w:val="18"/>
              </w:rPr>
              <w:t>6</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195" w:lineRule="exact"/>
              <w:ind w:left="1168" w:right="0"/>
              <w:jc w:val="left"/>
              <w:rPr>
                <w:rFonts w:ascii="宋体" w:hAnsi="宋体" w:cs="宋体" w:eastAsia="宋体" w:hint="default"/>
                <w:sz w:val="19"/>
                <w:szCs w:val="19"/>
              </w:rPr>
            </w:pPr>
            <w:r>
              <w:rPr>
                <w:rFonts w:ascii="宋体" w:hAnsi="宋体" w:cs="宋体" w:eastAsia="宋体" w:hint="default"/>
                <w:position w:val="-3"/>
                <w:sz w:val="19"/>
                <w:szCs w:val="19"/>
              </w:rPr>
              <w:drawing>
                <wp:inline distT="0" distB="0" distL="0" distR="0">
                  <wp:extent cx="325121" cy="123825"/>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6" cstate="print"/>
                          <a:stretch>
                            <a:fillRect/>
                          </a:stretch>
                        </pic:blipFill>
                        <pic:spPr>
                          <a:xfrm>
                            <a:off x="0" y="0"/>
                            <a:ext cx="325121" cy="123825"/>
                          </a:xfrm>
                          <a:prstGeom prst="rect">
                            <a:avLst/>
                          </a:prstGeom>
                        </pic:spPr>
                      </pic:pic>
                    </a:graphicData>
                  </a:graphic>
                </wp:inline>
              </w:drawing>
            </w:r>
            <w:r>
              <w:rPr>
                <w:rFonts w:ascii="宋体" w:hAnsi="宋体" w:cs="宋体" w:eastAsia="宋体" w:hint="default"/>
                <w:position w:val="-3"/>
                <w:sz w:val="19"/>
                <w:szCs w:val="19"/>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
              <w:jc w:val="center"/>
              <w:rPr>
                <w:rFonts w:ascii="Times New Roman" w:hAnsi="Times New Roman" w:cs="Times New Roman" w:eastAsia="Times New Roman" w:hint="default"/>
                <w:sz w:val="18"/>
                <w:szCs w:val="18"/>
              </w:rPr>
            </w:pPr>
            <w:r>
              <w:rPr>
                <w:rFonts w:ascii="Times New Roman"/>
                <w:sz w:val="18"/>
              </w:rPr>
              <w:t>1298713</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0"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7</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4"/>
                <w:szCs w:val="4"/>
              </w:rPr>
            </w:pPr>
          </w:p>
          <w:p>
            <w:pPr>
              <w:pStyle w:val="TableParagraph"/>
              <w:spacing w:line="180" w:lineRule="exact"/>
              <w:ind w:left="727"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885195" cy="114300"/>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7" cstate="print"/>
                          <a:stretch>
                            <a:fillRect/>
                          </a:stretch>
                        </pic:blipFill>
                        <pic:spPr>
                          <a:xfrm>
                            <a:off x="0" y="0"/>
                            <a:ext cx="885195" cy="114300"/>
                          </a:xfrm>
                          <a:prstGeom prst="rect">
                            <a:avLst/>
                          </a:prstGeom>
                        </pic:spPr>
                      </pic:pic>
                    </a:graphicData>
                  </a:graphic>
                </wp:inline>
              </w:drawing>
            </w:r>
            <w:r>
              <w:rPr>
                <w:rFonts w:ascii="宋体" w:hAnsi="宋体" w:cs="宋体" w:eastAsia="宋体" w:hint="default"/>
                <w:position w:val="-3"/>
                <w:sz w:val="18"/>
                <w:szCs w:val="18"/>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1272264</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3"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228" w:right="0"/>
              <w:jc w:val="left"/>
              <w:rPr>
                <w:rFonts w:ascii="Times New Roman" w:hAnsi="Times New Roman" w:cs="Times New Roman" w:eastAsia="Times New Roman" w:hint="default"/>
                <w:sz w:val="18"/>
                <w:szCs w:val="18"/>
              </w:rPr>
            </w:pPr>
            <w:r>
              <w:rPr>
                <w:rFonts w:ascii="Times New Roman"/>
                <w:sz w:val="18"/>
              </w:rPr>
              <w:t>8</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5"/>
                <w:szCs w:val="5"/>
              </w:rPr>
            </w:pPr>
          </w:p>
          <w:p>
            <w:pPr>
              <w:pStyle w:val="TableParagraph"/>
              <w:spacing w:line="180" w:lineRule="exact"/>
              <w:ind w:left="727"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885201" cy="114300"/>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7" cstate="print"/>
                          <a:stretch>
                            <a:fillRect/>
                          </a:stretch>
                        </pic:blipFill>
                        <pic:spPr>
                          <a:xfrm>
                            <a:off x="0" y="0"/>
                            <a:ext cx="885201" cy="114300"/>
                          </a:xfrm>
                          <a:prstGeom prst="rect">
                            <a:avLst/>
                          </a:prstGeom>
                        </pic:spPr>
                      </pic:pic>
                    </a:graphicData>
                  </a:graphic>
                </wp:inline>
              </w:drawing>
            </w:r>
            <w:r>
              <w:rPr>
                <w:rFonts w:ascii="宋体" w:hAnsi="宋体" w:cs="宋体" w:eastAsia="宋体" w:hint="default"/>
                <w:position w:val="-3"/>
                <w:sz w:val="18"/>
                <w:szCs w:val="18"/>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1298714</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3"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228" w:right="0"/>
              <w:jc w:val="left"/>
              <w:rPr>
                <w:rFonts w:ascii="Times New Roman" w:hAnsi="Times New Roman" w:cs="Times New Roman" w:eastAsia="Times New Roman" w:hint="default"/>
                <w:sz w:val="18"/>
                <w:szCs w:val="18"/>
              </w:rPr>
            </w:pPr>
            <w:r>
              <w:rPr>
                <w:rFonts w:ascii="Times New Roman"/>
                <w:sz w:val="18"/>
              </w:rPr>
              <w:t>9</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195" w:lineRule="exact"/>
              <w:ind w:left="748" w:right="0"/>
              <w:jc w:val="left"/>
              <w:rPr>
                <w:rFonts w:ascii="宋体" w:hAnsi="宋体" w:cs="宋体" w:eastAsia="宋体" w:hint="default"/>
                <w:sz w:val="19"/>
                <w:szCs w:val="19"/>
              </w:rPr>
            </w:pPr>
            <w:r>
              <w:rPr>
                <w:rFonts w:ascii="宋体" w:hAnsi="宋体" w:cs="宋体" w:eastAsia="宋体" w:hint="default"/>
                <w:position w:val="-3"/>
                <w:sz w:val="19"/>
                <w:szCs w:val="19"/>
              </w:rPr>
              <w:drawing>
                <wp:inline distT="0" distB="0" distL="0" distR="0">
                  <wp:extent cx="858529" cy="123825"/>
                  <wp:effectExtent l="0" t="0" r="0" b="0"/>
                  <wp:docPr id="19" name="image7.png" descr="?"/>
                  <wp:cNvGraphicFramePr>
                    <a:graphicFrameLocks noChangeAspect="1"/>
                  </wp:cNvGraphicFramePr>
                  <a:graphic>
                    <a:graphicData uri="http://schemas.openxmlformats.org/drawingml/2006/picture">
                      <pic:pic>
                        <pic:nvPicPr>
                          <pic:cNvPr id="20" name="image7.png"/>
                          <pic:cNvPicPr/>
                        </pic:nvPicPr>
                        <pic:blipFill>
                          <a:blip r:embed="rId18" cstate="print"/>
                          <a:stretch>
                            <a:fillRect/>
                          </a:stretch>
                        </pic:blipFill>
                        <pic:spPr>
                          <a:xfrm>
                            <a:off x="0" y="0"/>
                            <a:ext cx="858529" cy="123825"/>
                          </a:xfrm>
                          <a:prstGeom prst="rect">
                            <a:avLst/>
                          </a:prstGeom>
                        </pic:spPr>
                      </pic:pic>
                    </a:graphicData>
                  </a:graphic>
                </wp:inline>
              </w:drawing>
            </w:r>
            <w:r>
              <w:rPr>
                <w:rFonts w:ascii="宋体" w:hAnsi="宋体" w:cs="宋体" w:eastAsia="宋体" w:hint="default"/>
                <w:position w:val="-3"/>
                <w:sz w:val="19"/>
                <w:szCs w:val="19"/>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4"/>
              <w:jc w:val="center"/>
              <w:rPr>
                <w:rFonts w:ascii="Times New Roman" w:hAnsi="Times New Roman" w:cs="Times New Roman" w:eastAsia="Times New Roman" w:hint="default"/>
                <w:sz w:val="18"/>
                <w:szCs w:val="18"/>
              </w:rPr>
            </w:pPr>
            <w:r>
              <w:rPr>
                <w:rFonts w:ascii="Times New Roman"/>
                <w:sz w:val="18"/>
              </w:rPr>
              <w:t>4204281</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0"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82" w:right="0"/>
              <w:jc w:val="left"/>
              <w:rPr>
                <w:rFonts w:ascii="Times New Roman" w:hAnsi="Times New Roman" w:cs="Times New Roman" w:eastAsia="Times New Roman" w:hint="default"/>
                <w:sz w:val="18"/>
                <w:szCs w:val="18"/>
              </w:rPr>
            </w:pPr>
            <w:r>
              <w:rPr>
                <w:rFonts w:ascii="Times New Roman"/>
                <w:sz w:val="18"/>
              </w:rPr>
              <w:t>10</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4"/>
                <w:szCs w:val="4"/>
              </w:rPr>
            </w:pPr>
          </w:p>
          <w:p>
            <w:pPr>
              <w:pStyle w:val="TableParagraph"/>
              <w:spacing w:line="193" w:lineRule="exact"/>
              <w:ind w:left="628" w:right="0"/>
              <w:jc w:val="left"/>
              <w:rPr>
                <w:rFonts w:ascii="宋体" w:hAnsi="宋体" w:cs="宋体" w:eastAsia="宋体" w:hint="default"/>
                <w:sz w:val="19"/>
                <w:szCs w:val="19"/>
              </w:rPr>
            </w:pPr>
            <w:r>
              <w:rPr>
                <w:rFonts w:ascii="宋体" w:hAnsi="宋体" w:cs="宋体" w:eastAsia="宋体" w:hint="default"/>
                <w:position w:val="-3"/>
                <w:sz w:val="19"/>
                <w:szCs w:val="19"/>
              </w:rPr>
              <w:drawing>
                <wp:inline distT="0" distB="0" distL="0" distR="0">
                  <wp:extent cx="1005979" cy="122586"/>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19" cstate="print"/>
                          <a:stretch>
                            <a:fillRect/>
                          </a:stretch>
                        </pic:blipFill>
                        <pic:spPr>
                          <a:xfrm>
                            <a:off x="0" y="0"/>
                            <a:ext cx="1005979" cy="122586"/>
                          </a:xfrm>
                          <a:prstGeom prst="rect">
                            <a:avLst/>
                          </a:prstGeom>
                        </pic:spPr>
                      </pic:pic>
                    </a:graphicData>
                  </a:graphic>
                </wp:inline>
              </w:drawing>
            </w:r>
            <w:r>
              <w:rPr>
                <w:rFonts w:ascii="宋体" w:hAnsi="宋体" w:cs="宋体" w:eastAsia="宋体" w:hint="default"/>
                <w:position w:val="-3"/>
                <w:sz w:val="19"/>
                <w:szCs w:val="19"/>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3775834</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7"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182" w:right="0"/>
              <w:jc w:val="left"/>
              <w:rPr>
                <w:rFonts w:ascii="Times New Roman" w:hAnsi="Times New Roman" w:cs="Times New Roman" w:eastAsia="Times New Roman" w:hint="default"/>
                <w:sz w:val="18"/>
                <w:szCs w:val="18"/>
              </w:rPr>
            </w:pPr>
            <w:r>
              <w:rPr>
                <w:rFonts w:ascii="Times New Roman"/>
                <w:sz w:val="18"/>
              </w:rPr>
              <w:t>11</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7"/>
                <w:szCs w:val="7"/>
              </w:rPr>
            </w:pPr>
          </w:p>
          <w:p>
            <w:pPr>
              <w:pStyle w:val="TableParagraph"/>
              <w:spacing w:line="422" w:lineRule="exact"/>
              <w:ind w:left="751"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57430" cy="268224"/>
                  <wp:effectExtent l="0" t="0" r="0" b="0"/>
                  <wp:docPr id="23" name="image9.jpeg" descr="?"/>
                  <wp:cNvGraphicFramePr>
                    <a:graphicFrameLocks noChangeAspect="1"/>
                  </wp:cNvGraphicFramePr>
                  <a:graphic>
                    <a:graphicData uri="http://schemas.openxmlformats.org/drawingml/2006/picture">
                      <pic:pic>
                        <pic:nvPicPr>
                          <pic:cNvPr id="24" name="image9.jpeg"/>
                          <pic:cNvPicPr/>
                        </pic:nvPicPr>
                        <pic:blipFill>
                          <a:blip r:embed="rId20" cstate="print"/>
                          <a:stretch>
                            <a:fillRect/>
                          </a:stretch>
                        </pic:blipFill>
                        <pic:spPr>
                          <a:xfrm>
                            <a:off x="0" y="0"/>
                            <a:ext cx="857430" cy="268224"/>
                          </a:xfrm>
                          <a:prstGeom prst="rect">
                            <a:avLst/>
                          </a:prstGeom>
                        </pic:spPr>
                      </pic:pic>
                    </a:graphicData>
                  </a:graphic>
                </wp:inline>
              </w:drawing>
            </w:r>
            <w:r>
              <w:rPr>
                <w:rFonts w:ascii="宋体" w:hAnsi="宋体" w:cs="宋体" w:eastAsia="宋体" w:hint="default"/>
                <w:position w:val="-7"/>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3"/>
              <w:ind w:right="5"/>
              <w:jc w:val="center"/>
              <w:rPr>
                <w:rFonts w:ascii="Times New Roman" w:hAnsi="Times New Roman" w:cs="Times New Roman" w:eastAsia="Times New Roman" w:hint="default"/>
                <w:sz w:val="18"/>
                <w:szCs w:val="18"/>
              </w:rPr>
            </w:pPr>
            <w:r>
              <w:rPr>
                <w:rFonts w:ascii="Times New Roman"/>
                <w:sz w:val="18"/>
              </w:rPr>
              <w:t>4204284</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444"/>
        <w:gridCol w:w="2887"/>
        <w:gridCol w:w="1284"/>
        <w:gridCol w:w="1078"/>
        <w:gridCol w:w="3312"/>
        <w:gridCol w:w="658"/>
      </w:tblGrid>
      <w:tr>
        <w:trPr>
          <w:trHeight w:val="355" w:hRule="exact"/>
        </w:trPr>
        <w:tc>
          <w:tcPr>
            <w:tcW w:w="44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z w:val="18"/>
              </w:rPr>
              <w:t>12</w:t>
            </w:r>
          </w:p>
        </w:tc>
        <w:tc>
          <w:tcPr>
            <w:tcW w:w="288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5"/>
                <w:szCs w:val="5"/>
              </w:rPr>
            </w:pPr>
          </w:p>
          <w:p>
            <w:pPr>
              <w:pStyle w:val="TableParagraph"/>
              <w:spacing w:line="180" w:lineRule="exact"/>
              <w:ind w:left="734"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876291" cy="114300"/>
                  <wp:effectExtent l="0" t="0" r="0" b="0"/>
                  <wp:docPr id="25" name="image10.png" descr="?"/>
                  <wp:cNvGraphicFramePr>
                    <a:graphicFrameLocks noChangeAspect="1"/>
                  </wp:cNvGraphicFramePr>
                  <a:graphic>
                    <a:graphicData uri="http://schemas.openxmlformats.org/drawingml/2006/picture">
                      <pic:pic>
                        <pic:nvPicPr>
                          <pic:cNvPr id="26" name="image10.png"/>
                          <pic:cNvPicPr/>
                        </pic:nvPicPr>
                        <pic:blipFill>
                          <a:blip r:embed="rId21" cstate="print"/>
                          <a:stretch>
                            <a:fillRect/>
                          </a:stretch>
                        </pic:blipFill>
                        <pic:spPr>
                          <a:xfrm>
                            <a:off x="0" y="0"/>
                            <a:ext cx="876291" cy="114300"/>
                          </a:xfrm>
                          <a:prstGeom prst="rect">
                            <a:avLst/>
                          </a:prstGeom>
                        </pic:spPr>
                      </pic:pic>
                    </a:graphicData>
                  </a:graphic>
                </wp:inline>
              </w:drawing>
            </w:r>
            <w:r>
              <w:rPr>
                <w:rFonts w:ascii="宋体" w:hAnsi="宋体" w:cs="宋体" w:eastAsia="宋体" w:hint="default"/>
                <w:position w:val="-3"/>
                <w:sz w:val="18"/>
                <w:szCs w:val="18"/>
              </w:rPr>
            </w:r>
          </w:p>
        </w:tc>
        <w:tc>
          <w:tcPr>
            <w:tcW w:w="1284"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left="396"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0"/>
              <w:ind w:left="204" w:right="0"/>
              <w:jc w:val="left"/>
              <w:rPr>
                <w:rFonts w:ascii="Times New Roman" w:hAnsi="Times New Roman" w:cs="Times New Roman" w:eastAsia="Times New Roman" w:hint="default"/>
                <w:sz w:val="18"/>
                <w:szCs w:val="18"/>
              </w:rPr>
            </w:pPr>
            <w:r>
              <w:rPr>
                <w:rFonts w:ascii="Times New Roman"/>
                <w:sz w:val="18"/>
              </w:rPr>
              <w:t>4204280</w:t>
            </w:r>
          </w:p>
        </w:tc>
        <w:tc>
          <w:tcPr>
            <w:tcW w:w="331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5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2"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55"/>
              <w:jc w:val="right"/>
              <w:rPr>
                <w:rFonts w:ascii="Times New Roman" w:hAnsi="Times New Roman" w:cs="Times New Roman" w:eastAsia="Times New Roman" w:hint="default"/>
                <w:sz w:val="18"/>
                <w:szCs w:val="18"/>
              </w:rPr>
            </w:pPr>
            <w:r>
              <w:rPr>
                <w:rFonts w:ascii="Times New Roman"/>
                <w:sz w:val="18"/>
              </w:rPr>
              <w:t>13</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359" w:lineRule="exact"/>
              <w:ind w:left="619"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019794" cy="228028"/>
                  <wp:effectExtent l="0" t="0" r="0" b="0"/>
                  <wp:docPr id="27" name="image11.jpeg" descr="?"/>
                  <wp:cNvGraphicFramePr>
                    <a:graphicFrameLocks noChangeAspect="1"/>
                  </wp:cNvGraphicFramePr>
                  <a:graphic>
                    <a:graphicData uri="http://schemas.openxmlformats.org/drawingml/2006/picture">
                      <pic:pic>
                        <pic:nvPicPr>
                          <pic:cNvPr id="28" name="image11.jpeg"/>
                          <pic:cNvPicPr/>
                        </pic:nvPicPr>
                        <pic:blipFill>
                          <a:blip r:embed="rId22" cstate="print"/>
                          <a:stretch>
                            <a:fillRect/>
                          </a:stretch>
                        </pic:blipFill>
                        <pic:spPr>
                          <a:xfrm>
                            <a:off x="0" y="0"/>
                            <a:ext cx="1019794" cy="228028"/>
                          </a:xfrm>
                          <a:prstGeom prst="rect">
                            <a:avLst/>
                          </a:prstGeom>
                        </pic:spPr>
                      </pic:pic>
                    </a:graphicData>
                  </a:graphic>
                </wp:inline>
              </w:drawing>
            </w:r>
            <w:r>
              <w:rPr>
                <w:rFonts w:ascii="宋体" w:hAnsi="宋体" w:cs="宋体" w:eastAsia="宋体" w:hint="default"/>
                <w:position w:val="-6"/>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95"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04" w:right="0"/>
              <w:jc w:val="left"/>
              <w:rPr>
                <w:rFonts w:ascii="Times New Roman" w:hAnsi="Times New Roman" w:cs="Times New Roman" w:eastAsia="Times New Roman" w:hint="default"/>
                <w:sz w:val="18"/>
                <w:szCs w:val="18"/>
              </w:rPr>
            </w:pPr>
            <w:r>
              <w:rPr>
                <w:rFonts w:ascii="Times New Roman"/>
                <w:sz w:val="18"/>
              </w:rPr>
              <w:t>4204282</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3"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right="55"/>
              <w:jc w:val="right"/>
              <w:rPr>
                <w:rFonts w:ascii="Times New Roman" w:hAnsi="Times New Roman" w:cs="Times New Roman" w:eastAsia="Times New Roman" w:hint="default"/>
                <w:sz w:val="18"/>
                <w:szCs w:val="18"/>
              </w:rPr>
            </w:pPr>
            <w:r>
              <w:rPr>
                <w:rFonts w:ascii="Times New Roman"/>
                <w:sz w:val="18"/>
              </w:rPr>
              <w:t>14</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5"/>
                <w:szCs w:val="5"/>
              </w:rPr>
            </w:pPr>
          </w:p>
          <w:p>
            <w:pPr>
              <w:pStyle w:val="TableParagraph"/>
              <w:spacing w:line="180" w:lineRule="exact"/>
              <w:ind w:left="667" w:right="0"/>
              <w:jc w:val="left"/>
              <w:rPr>
                <w:rFonts w:ascii="宋体" w:hAnsi="宋体" w:cs="宋体" w:eastAsia="宋体" w:hint="default"/>
                <w:sz w:val="18"/>
                <w:szCs w:val="18"/>
              </w:rPr>
            </w:pPr>
            <w:r>
              <w:rPr>
                <w:rFonts w:ascii="宋体" w:hAnsi="宋体" w:cs="宋体" w:eastAsia="宋体" w:hint="default"/>
                <w:position w:val="-3"/>
                <w:sz w:val="18"/>
                <w:szCs w:val="18"/>
              </w:rPr>
              <w:drawing>
                <wp:inline distT="0" distB="0" distL="0" distR="0">
                  <wp:extent cx="961391" cy="114300"/>
                  <wp:effectExtent l="0" t="0" r="0" b="0"/>
                  <wp:docPr id="29" name="image12.png" descr="?"/>
                  <wp:cNvGraphicFramePr>
                    <a:graphicFrameLocks noChangeAspect="1"/>
                  </wp:cNvGraphicFramePr>
                  <a:graphic>
                    <a:graphicData uri="http://schemas.openxmlformats.org/drawingml/2006/picture">
                      <pic:pic>
                        <pic:nvPicPr>
                          <pic:cNvPr id="30" name="image12.png"/>
                          <pic:cNvPicPr/>
                        </pic:nvPicPr>
                        <pic:blipFill>
                          <a:blip r:embed="rId23" cstate="print"/>
                          <a:stretch>
                            <a:fillRect/>
                          </a:stretch>
                        </pic:blipFill>
                        <pic:spPr>
                          <a:xfrm>
                            <a:off x="0" y="0"/>
                            <a:ext cx="961391" cy="114300"/>
                          </a:xfrm>
                          <a:prstGeom prst="rect">
                            <a:avLst/>
                          </a:prstGeom>
                        </pic:spPr>
                      </pic:pic>
                    </a:graphicData>
                  </a:graphic>
                </wp:inline>
              </w:drawing>
            </w:r>
            <w:r>
              <w:rPr>
                <w:rFonts w:ascii="宋体" w:hAnsi="宋体" w:cs="宋体" w:eastAsia="宋体" w:hint="default"/>
                <w:position w:val="-3"/>
                <w:sz w:val="18"/>
                <w:szCs w:val="18"/>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04" w:right="0"/>
              <w:jc w:val="left"/>
              <w:rPr>
                <w:rFonts w:ascii="Times New Roman" w:hAnsi="Times New Roman" w:cs="Times New Roman" w:eastAsia="Times New Roman" w:hint="default"/>
                <w:sz w:val="18"/>
                <w:szCs w:val="18"/>
              </w:rPr>
            </w:pPr>
            <w:r>
              <w:rPr>
                <w:rFonts w:ascii="Times New Roman"/>
                <w:sz w:val="18"/>
              </w:rPr>
              <w:t>4204283</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5"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55"/>
              <w:jc w:val="right"/>
              <w:rPr>
                <w:rFonts w:ascii="Times New Roman" w:hAnsi="Times New Roman" w:cs="Times New Roman" w:eastAsia="Times New Roman" w:hint="default"/>
                <w:sz w:val="18"/>
                <w:szCs w:val="18"/>
              </w:rPr>
            </w:pPr>
            <w:r>
              <w:rPr>
                <w:rFonts w:ascii="Times New Roman"/>
                <w:sz w:val="18"/>
              </w:rPr>
              <w:t>15</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3"/>
                <w:szCs w:val="3"/>
              </w:rPr>
            </w:pPr>
          </w:p>
          <w:p>
            <w:pPr>
              <w:pStyle w:val="TableParagraph"/>
              <w:spacing w:line="528" w:lineRule="exact"/>
              <w:ind w:left="1192"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298169" cy="335279"/>
                  <wp:effectExtent l="0" t="0" r="0" b="0"/>
                  <wp:docPr id="31" name="image13.jpeg" descr="?"/>
                  <wp:cNvGraphicFramePr>
                    <a:graphicFrameLocks noChangeAspect="1"/>
                  </wp:cNvGraphicFramePr>
                  <a:graphic>
                    <a:graphicData uri="http://schemas.openxmlformats.org/drawingml/2006/picture">
                      <pic:pic>
                        <pic:nvPicPr>
                          <pic:cNvPr id="32" name="image13.jpeg"/>
                          <pic:cNvPicPr/>
                        </pic:nvPicPr>
                        <pic:blipFill>
                          <a:blip r:embed="rId24" cstate="print"/>
                          <a:stretch>
                            <a:fillRect/>
                          </a:stretch>
                        </pic:blipFill>
                        <pic:spPr>
                          <a:xfrm>
                            <a:off x="0" y="0"/>
                            <a:ext cx="298169" cy="335279"/>
                          </a:xfrm>
                          <a:prstGeom prst="rect">
                            <a:avLst/>
                          </a:prstGeom>
                        </pic:spPr>
                      </pic:pic>
                    </a:graphicData>
                  </a:graphic>
                </wp:inline>
              </w:drawing>
            </w:r>
            <w:r>
              <w:rPr>
                <w:rFonts w:ascii="宋体" w:hAnsi="宋体" w:cs="宋体" w:eastAsia="宋体" w:hint="default"/>
                <w:position w:val="-10"/>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96"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04" w:right="0"/>
              <w:jc w:val="left"/>
              <w:rPr>
                <w:rFonts w:ascii="Times New Roman" w:hAnsi="Times New Roman" w:cs="Times New Roman" w:eastAsia="Times New Roman" w:hint="default"/>
                <w:sz w:val="18"/>
                <w:szCs w:val="18"/>
              </w:rPr>
            </w:pPr>
            <w:r>
              <w:rPr>
                <w:rFonts w:ascii="Times New Roman"/>
                <w:sz w:val="18"/>
              </w:rPr>
              <w:t>6143543</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2"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55"/>
              <w:jc w:val="right"/>
              <w:rPr>
                <w:rFonts w:ascii="Times New Roman" w:hAnsi="Times New Roman" w:cs="Times New Roman" w:eastAsia="Times New Roman" w:hint="default"/>
                <w:sz w:val="18"/>
                <w:szCs w:val="18"/>
              </w:rPr>
            </w:pPr>
            <w:r>
              <w:rPr>
                <w:rFonts w:ascii="Times New Roman"/>
                <w:sz w:val="18"/>
              </w:rPr>
              <w:t>16</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315" w:lineRule="exact"/>
              <w:ind w:left="621"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1019811" cy="200025"/>
                  <wp:effectExtent l="0" t="0" r="0" b="0"/>
                  <wp:docPr id="33" name="image14.jpeg" descr="?"/>
                  <wp:cNvGraphicFramePr>
                    <a:graphicFrameLocks noChangeAspect="1"/>
                  </wp:cNvGraphicFramePr>
                  <a:graphic>
                    <a:graphicData uri="http://schemas.openxmlformats.org/drawingml/2006/picture">
                      <pic:pic>
                        <pic:nvPicPr>
                          <pic:cNvPr id="34" name="image14.jpeg"/>
                          <pic:cNvPicPr/>
                        </pic:nvPicPr>
                        <pic:blipFill>
                          <a:blip r:embed="rId25" cstate="print"/>
                          <a:stretch>
                            <a:fillRect/>
                          </a:stretch>
                        </pic:blipFill>
                        <pic:spPr>
                          <a:xfrm>
                            <a:off x="0" y="0"/>
                            <a:ext cx="1019811" cy="200025"/>
                          </a:xfrm>
                          <a:prstGeom prst="rect">
                            <a:avLst/>
                          </a:prstGeom>
                        </pic:spPr>
                      </pic:pic>
                    </a:graphicData>
                  </a:graphic>
                </wp:inline>
              </w:drawing>
            </w:r>
            <w:r>
              <w:rPr>
                <w:rFonts w:ascii="宋体" w:hAnsi="宋体" w:cs="宋体" w:eastAsia="宋体" w:hint="default"/>
                <w:position w:val="-5"/>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96"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204" w:right="0"/>
              <w:jc w:val="left"/>
              <w:rPr>
                <w:rFonts w:ascii="Times New Roman" w:hAnsi="Times New Roman" w:cs="Times New Roman" w:eastAsia="Times New Roman" w:hint="default"/>
                <w:sz w:val="18"/>
                <w:szCs w:val="18"/>
              </w:rPr>
            </w:pPr>
            <w:r>
              <w:rPr>
                <w:rFonts w:ascii="Times New Roman"/>
                <w:sz w:val="18"/>
              </w:rPr>
              <w:t>9240531</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 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5"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right="55"/>
              <w:jc w:val="right"/>
              <w:rPr>
                <w:rFonts w:ascii="Times New Roman" w:hAnsi="Times New Roman" w:cs="Times New Roman" w:eastAsia="Times New Roman" w:hint="default"/>
                <w:sz w:val="18"/>
                <w:szCs w:val="18"/>
              </w:rPr>
            </w:pPr>
            <w:r>
              <w:rPr>
                <w:rFonts w:ascii="Times New Roman"/>
                <w:sz w:val="18"/>
              </w:rPr>
              <w:t>17</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399" w:lineRule="exact"/>
              <w:ind w:left="73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7085" cy="253936"/>
                  <wp:effectExtent l="0" t="0" r="0" b="0"/>
                  <wp:docPr id="35" name="image15.jpeg" descr="?"/>
                  <wp:cNvGraphicFramePr>
                    <a:graphicFrameLocks noChangeAspect="1"/>
                  </wp:cNvGraphicFramePr>
                  <a:graphic>
                    <a:graphicData uri="http://schemas.openxmlformats.org/drawingml/2006/picture">
                      <pic:pic>
                        <pic:nvPicPr>
                          <pic:cNvPr id="36" name="image15.jpeg"/>
                          <pic:cNvPicPr/>
                        </pic:nvPicPr>
                        <pic:blipFill>
                          <a:blip r:embed="rId26" cstate="print"/>
                          <a:stretch>
                            <a:fillRect/>
                          </a:stretch>
                        </pic:blipFill>
                        <pic:spPr>
                          <a:xfrm>
                            <a:off x="0" y="0"/>
                            <a:ext cx="867085" cy="253936"/>
                          </a:xfrm>
                          <a:prstGeom prst="rect">
                            <a:avLst/>
                          </a:prstGeom>
                        </pic:spPr>
                      </pic:pic>
                    </a:graphicData>
                  </a:graphic>
                </wp:inline>
              </w:drawing>
            </w:r>
            <w:r>
              <w:rPr>
                <w:rFonts w:ascii="宋体" w:hAnsi="宋体" w:cs="宋体" w:eastAsia="宋体" w:hint="default"/>
                <w:position w:val="-7"/>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60" w:right="0"/>
              <w:jc w:val="left"/>
              <w:rPr>
                <w:rFonts w:ascii="Times New Roman" w:hAnsi="Times New Roman" w:cs="Times New Roman" w:eastAsia="Times New Roman" w:hint="default"/>
                <w:sz w:val="18"/>
                <w:szCs w:val="18"/>
              </w:rPr>
            </w:pPr>
            <w:r>
              <w:rPr>
                <w:rFonts w:ascii="Times New Roman"/>
                <w:sz w:val="18"/>
              </w:rPr>
              <w:t>11714840</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 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5"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55"/>
              <w:jc w:val="right"/>
              <w:rPr>
                <w:rFonts w:ascii="Times New Roman" w:hAnsi="Times New Roman" w:cs="Times New Roman" w:eastAsia="Times New Roman" w:hint="default"/>
                <w:sz w:val="18"/>
                <w:szCs w:val="18"/>
              </w:rPr>
            </w:pPr>
            <w:r>
              <w:rPr>
                <w:rFonts w:ascii="Times New Roman"/>
                <w:sz w:val="18"/>
              </w:rPr>
              <w:t>18</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8"/>
                <w:szCs w:val="8"/>
              </w:rPr>
            </w:pPr>
          </w:p>
          <w:p>
            <w:pPr>
              <w:pStyle w:val="TableParagraph"/>
              <w:spacing w:line="406" w:lineRule="exact"/>
              <w:ind w:left="686"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933469" cy="258032"/>
                  <wp:effectExtent l="0" t="0" r="0" b="0"/>
                  <wp:docPr id="37" name="image16.jpeg" descr="?"/>
                  <wp:cNvGraphicFramePr>
                    <a:graphicFrameLocks noChangeAspect="1"/>
                  </wp:cNvGraphicFramePr>
                  <a:graphic>
                    <a:graphicData uri="http://schemas.openxmlformats.org/drawingml/2006/picture">
                      <pic:pic>
                        <pic:nvPicPr>
                          <pic:cNvPr id="38" name="image16.jpeg"/>
                          <pic:cNvPicPr/>
                        </pic:nvPicPr>
                        <pic:blipFill>
                          <a:blip r:embed="rId27" cstate="print"/>
                          <a:stretch>
                            <a:fillRect/>
                          </a:stretch>
                        </pic:blipFill>
                        <pic:spPr>
                          <a:xfrm>
                            <a:off x="0" y="0"/>
                            <a:ext cx="933469" cy="258032"/>
                          </a:xfrm>
                          <a:prstGeom prst="rect">
                            <a:avLst/>
                          </a:prstGeom>
                        </pic:spPr>
                      </pic:pic>
                    </a:graphicData>
                  </a:graphic>
                </wp:inline>
              </w:drawing>
            </w:r>
            <w:r>
              <w:rPr>
                <w:rFonts w:ascii="宋体" w:hAnsi="宋体" w:cs="宋体" w:eastAsia="宋体" w:hint="default"/>
                <w:position w:val="-7"/>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96"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11714841</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 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2"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55"/>
              <w:jc w:val="right"/>
              <w:rPr>
                <w:rFonts w:ascii="Times New Roman" w:hAnsi="Times New Roman" w:cs="Times New Roman" w:eastAsia="Times New Roman" w:hint="default"/>
                <w:sz w:val="18"/>
                <w:szCs w:val="18"/>
              </w:rPr>
            </w:pPr>
            <w:r>
              <w:rPr>
                <w:rFonts w:ascii="Times New Roman"/>
                <w:sz w:val="18"/>
              </w:rPr>
              <w:t>19</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328" w:lineRule="exact"/>
              <w:ind w:left="770"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838082" cy="208883"/>
                  <wp:effectExtent l="0" t="0" r="0" b="0"/>
                  <wp:docPr id="39" name="image17.jpeg" descr="?"/>
                  <wp:cNvGraphicFramePr>
                    <a:graphicFrameLocks noChangeAspect="1"/>
                  </wp:cNvGraphicFramePr>
                  <a:graphic>
                    <a:graphicData uri="http://schemas.openxmlformats.org/drawingml/2006/picture">
                      <pic:pic>
                        <pic:nvPicPr>
                          <pic:cNvPr id="40" name="image17.jpeg"/>
                          <pic:cNvPicPr/>
                        </pic:nvPicPr>
                        <pic:blipFill>
                          <a:blip r:embed="rId28" cstate="print"/>
                          <a:stretch>
                            <a:fillRect/>
                          </a:stretch>
                        </pic:blipFill>
                        <pic:spPr>
                          <a:xfrm>
                            <a:off x="0" y="0"/>
                            <a:ext cx="838082" cy="208883"/>
                          </a:xfrm>
                          <a:prstGeom prst="rect">
                            <a:avLst/>
                          </a:prstGeom>
                        </pic:spPr>
                      </pic:pic>
                    </a:graphicData>
                  </a:graphic>
                </wp:inline>
              </w:drawing>
            </w:r>
            <w:r>
              <w:rPr>
                <w:rFonts w:ascii="宋体" w:hAnsi="宋体" w:cs="宋体" w:eastAsia="宋体" w:hint="default"/>
                <w:position w:val="-6"/>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95"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11714842</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 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3"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right="55"/>
              <w:jc w:val="right"/>
              <w:rPr>
                <w:rFonts w:ascii="Times New Roman" w:hAnsi="Times New Roman" w:cs="Times New Roman" w:eastAsia="Times New Roman" w:hint="default"/>
                <w:sz w:val="18"/>
                <w:szCs w:val="18"/>
              </w:rPr>
            </w:pPr>
            <w:r>
              <w:rPr>
                <w:rFonts w:ascii="Times New Roman"/>
                <w:sz w:val="18"/>
              </w:rPr>
              <w:t>20</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309" w:lineRule="exact"/>
              <w:ind w:left="631"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1002537" cy="196596"/>
                  <wp:effectExtent l="0" t="0" r="0" b="0"/>
                  <wp:docPr id="41" name="image18.jpeg" descr="?"/>
                  <wp:cNvGraphicFramePr>
                    <a:graphicFrameLocks noChangeAspect="1"/>
                  </wp:cNvGraphicFramePr>
                  <a:graphic>
                    <a:graphicData uri="http://schemas.openxmlformats.org/drawingml/2006/picture">
                      <pic:pic>
                        <pic:nvPicPr>
                          <pic:cNvPr id="42" name="image18.jpeg"/>
                          <pic:cNvPicPr/>
                        </pic:nvPicPr>
                        <pic:blipFill>
                          <a:blip r:embed="rId29" cstate="print"/>
                          <a:stretch>
                            <a:fillRect/>
                          </a:stretch>
                        </pic:blipFill>
                        <pic:spPr>
                          <a:xfrm>
                            <a:off x="0" y="0"/>
                            <a:ext cx="1002537" cy="196596"/>
                          </a:xfrm>
                          <a:prstGeom prst="rect">
                            <a:avLst/>
                          </a:prstGeom>
                        </pic:spPr>
                      </pic:pic>
                    </a:graphicData>
                  </a:graphic>
                </wp:inline>
              </w:drawing>
            </w:r>
            <w:r>
              <w:rPr>
                <w:rFonts w:ascii="宋体" w:hAnsi="宋体" w:cs="宋体" w:eastAsia="宋体" w:hint="default"/>
                <w:position w:val="-5"/>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60" w:right="0"/>
              <w:jc w:val="left"/>
              <w:rPr>
                <w:rFonts w:ascii="Times New Roman" w:hAnsi="Times New Roman" w:cs="Times New Roman" w:eastAsia="Times New Roman" w:hint="default"/>
                <w:sz w:val="18"/>
                <w:szCs w:val="18"/>
              </w:rPr>
            </w:pPr>
            <w:r>
              <w:rPr>
                <w:rFonts w:ascii="Times New Roman"/>
                <w:sz w:val="18"/>
              </w:rPr>
              <w:t>11714843</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 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353" w:hRule="exact"/>
        </w:trPr>
        <w:tc>
          <w:tcPr>
            <w:tcW w:w="44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right="55"/>
              <w:jc w:val="right"/>
              <w:rPr>
                <w:rFonts w:ascii="Times New Roman" w:hAnsi="Times New Roman" w:cs="Times New Roman" w:eastAsia="Times New Roman" w:hint="default"/>
                <w:sz w:val="18"/>
                <w:szCs w:val="18"/>
              </w:rPr>
            </w:pPr>
            <w:r>
              <w:rPr>
                <w:rFonts w:ascii="Times New Roman"/>
                <w:sz w:val="18"/>
              </w:rPr>
              <w:t>21</w:t>
            </w:r>
          </w:p>
        </w:tc>
        <w:tc>
          <w:tcPr>
            <w:tcW w:w="2887" w:type="dxa"/>
            <w:tcBorders>
              <w:top w:val="single" w:sz="12" w:space="0" w:color="000000"/>
              <w:left w:val="single" w:sz="12" w:space="0" w:color="000000"/>
              <w:bottom w:val="single" w:sz="12" w:space="0" w:color="000000"/>
              <w:right w:val="single" w:sz="12" w:space="0" w:color="000000"/>
            </w:tcBorders>
          </w:tcPr>
          <w:p>
            <w:pPr>
              <w:pStyle w:val="TableParagraph"/>
              <w:spacing w:line="297" w:lineRule="exact"/>
              <w:ind w:left="187"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1565827" cy="188595"/>
                  <wp:effectExtent l="0" t="0" r="0" b="0"/>
                  <wp:docPr id="43" name="image19.jpeg" descr="?"/>
                  <wp:cNvGraphicFramePr>
                    <a:graphicFrameLocks noChangeAspect="1"/>
                  </wp:cNvGraphicFramePr>
                  <a:graphic>
                    <a:graphicData uri="http://schemas.openxmlformats.org/drawingml/2006/picture">
                      <pic:pic>
                        <pic:nvPicPr>
                          <pic:cNvPr id="44" name="image19.jpeg"/>
                          <pic:cNvPicPr/>
                        </pic:nvPicPr>
                        <pic:blipFill>
                          <a:blip r:embed="rId30" cstate="print"/>
                          <a:stretch>
                            <a:fillRect/>
                          </a:stretch>
                        </pic:blipFill>
                        <pic:spPr>
                          <a:xfrm>
                            <a:off x="0" y="0"/>
                            <a:ext cx="1565827" cy="188595"/>
                          </a:xfrm>
                          <a:prstGeom prst="rect">
                            <a:avLst/>
                          </a:prstGeom>
                        </pic:spPr>
                      </pic:pic>
                    </a:graphicData>
                  </a:graphic>
                </wp:inline>
              </w:drawing>
            </w:r>
            <w:r>
              <w:rPr>
                <w:rFonts w:ascii="宋体" w:hAnsi="宋体" w:cs="宋体" w:eastAsia="宋体" w:hint="default"/>
                <w:position w:val="-5"/>
                <w:sz w:val="20"/>
                <w:szCs w:val="20"/>
              </w:rPr>
            </w:r>
          </w:p>
        </w:tc>
        <w:tc>
          <w:tcPr>
            <w:tcW w:w="128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96"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0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11539512</w:t>
            </w:r>
          </w:p>
        </w:tc>
        <w:tc>
          <w:tcPr>
            <w:tcW w:w="3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 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6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8" w:right="0"/>
              <w:jc w:val="left"/>
              <w:rPr>
                <w:rFonts w:ascii="宋体" w:hAnsi="宋体" w:cs="宋体" w:eastAsia="宋体" w:hint="default"/>
                <w:sz w:val="18"/>
                <w:szCs w:val="18"/>
              </w:rPr>
            </w:pPr>
            <w:r>
              <w:rPr>
                <w:rFonts w:ascii="宋体" w:hAnsi="宋体" w:cs="宋体" w:eastAsia="宋体" w:hint="default"/>
                <w:sz w:val="18"/>
                <w:szCs w:val="18"/>
              </w:rPr>
              <w:t>东方通</w:t>
            </w:r>
          </w:p>
        </w:tc>
      </w:tr>
    </w:tbl>
    <w:p>
      <w:pPr>
        <w:pStyle w:val="BodyText"/>
        <w:spacing w:line="240" w:lineRule="auto" w:before="8"/>
        <w:ind w:right="0"/>
        <w:jc w:val="left"/>
      </w:pPr>
      <w:r>
        <w:rPr>
          <w:rFonts w:ascii="Times New Roman" w:hAnsi="Times New Roman" w:cs="Times New Roman" w:eastAsia="Times New Roman" w:hint="default"/>
        </w:rPr>
        <w:t>6</w:t>
      </w:r>
      <w:r>
        <w:rPr/>
        <w:t>）通过并购整合，拓宽了公司产品线，提升了竞争力。</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19"/>
        <w:jc w:val="left"/>
      </w:pPr>
      <w:r>
        <w:rPr>
          <w:rFonts w:ascii="Times New Roman" w:hAnsi="Times New Roman" w:cs="Times New Roman" w:eastAsia="Times New Roman" w:hint="default"/>
        </w:rPr>
        <w:t>1</w:t>
      </w:r>
      <w:r>
        <w:rPr/>
        <w:t>）对外投资情况</w:t>
      </w:r>
    </w:p>
    <w:p>
      <w:pPr>
        <w:pStyle w:val="BodyText"/>
        <w:spacing w:line="350" w:lineRule="auto" w:before="101"/>
        <w:ind w:right="-19"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公司报告期无对外投资。 </w:t>
      </w:r>
      <w:r>
        <w:rPr>
          <w:rFonts w:ascii="Times New Roman" w:hAnsi="Times New Roman" w:cs="Times New Roman" w:eastAsia="Times New Roman" w:hint="default"/>
        </w:rPr>
        <w:t>2</w:t>
      </w:r>
      <w:r>
        <w:rPr/>
        <w:t>）募集资金使用情况</w:t>
      </w:r>
    </w:p>
    <w:p>
      <w:pPr>
        <w:pStyle w:val="BodyText"/>
        <w:spacing w:line="240" w:lineRule="auto" w:before="9"/>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53" w:right="-19"/>
        <w:jc w:val="left"/>
      </w:pPr>
      <w:r>
        <w:rPr>
          <w:rFonts w:ascii="Times New Roman" w:hAnsi="Times New Roman" w:cs="Times New Roman" w:eastAsia="Times New Roman" w:hint="default"/>
        </w:rPr>
        <w:t>1.</w:t>
      </w:r>
      <w:r>
        <w:rPr/>
        <w:t>募集资金总体使用情况</w:t>
      </w:r>
    </w:p>
    <w:p>
      <w:pPr>
        <w:pStyle w:val="BodyText"/>
        <w:spacing w:line="240" w:lineRule="auto" w:before="103"/>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1"/>
        <w:ind w:right="0"/>
        <w:jc w:val="left"/>
      </w:pPr>
      <w:r>
        <w:rPr/>
        <w:t>单位：万元</w:t>
      </w:r>
    </w:p>
    <w:p>
      <w:pPr>
        <w:spacing w:after="0" w:line="240" w:lineRule="auto"/>
        <w:jc w:val="left"/>
        <w:sectPr>
          <w:type w:val="continuous"/>
          <w:pgSz w:w="11910" w:h="16840"/>
          <w:pgMar w:top="1060" w:bottom="1180" w:left="980" w:right="980"/>
          <w:cols w:num="2" w:equalWidth="0">
            <w:col w:w="2133" w:space="6606"/>
            <w:col w:w="121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99"/>
        <w:gridCol w:w="5470"/>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24,852.99</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4,380.53</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9,327.52</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2,286.35</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2,286.35</w:t>
            </w:r>
          </w:p>
        </w:tc>
      </w:tr>
      <w:tr>
        <w:trPr>
          <w:trHeight w:val="407"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9.20%</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1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1"/>
                <w:sz w:val="18"/>
                <w:szCs w:val="18"/>
              </w:rPr>
              <w:t>报告期内，公司严格按照《募集资金管理办法》的规定和要求，对募集资金的存放和使用进行有效的管理，以确保用于募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集资金投资项目的建设。在使用募集资金时，严格履行相应的申请和审批手续，同时及时知会保荐机构，并随时接受保荐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6"/>
                <w:sz w:val="18"/>
                <w:szCs w:val="18"/>
              </w:rPr>
              <w:t>代表人的监督。（</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）首次公开发行股票募集资金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月，公司首次公开发行股票募集资金净额</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111,530,000.00</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元。截</w:t>
            </w:r>
            <w:r>
              <w:rPr>
                <w:rFonts w:ascii="宋体" w:hAnsi="宋体" w:cs="宋体" w:eastAsia="宋体" w:hint="default"/>
                <w:sz w:val="18"/>
                <w:szCs w:val="18"/>
              </w:rPr>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日，已累计投入募集资金总额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93,275,165.54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元，累计利息收入扣减手续费后净额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210,386.65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元。首次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发行股份募集资金余额为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元（含扣除手续费后的累计利息收入净额</w:t>
            </w:r>
            <w:r>
              <w:rPr>
                <w:rFonts w:ascii="宋体" w:hAnsi="宋体" w:cs="宋体" w:eastAsia="宋体" w:hint="default"/>
                <w:spacing w:val="-92"/>
                <w:sz w:val="18"/>
                <w:szCs w:val="18"/>
              </w:rPr>
              <w:t>）</w:t>
            </w:r>
            <w:r>
              <w:rPr>
                <w:rFonts w:ascii="宋体" w:hAnsi="宋体" w:cs="宋体" w:eastAsia="宋体" w:hint="default"/>
                <w:sz w:val="18"/>
                <w:szCs w:val="18"/>
              </w:rPr>
              <w:t>，暂时</w:t>
            </w:r>
            <w:r>
              <w:rPr>
                <w:rFonts w:ascii="宋体" w:hAnsi="宋体" w:cs="宋体" w:eastAsia="宋体" w:hint="default"/>
                <w:spacing w:val="2"/>
                <w:sz w:val="18"/>
                <w:szCs w:val="18"/>
              </w:rPr>
              <w:t>补</w:t>
            </w:r>
            <w:r>
              <w:rPr>
                <w:rFonts w:ascii="宋体" w:hAnsi="宋体" w:cs="宋体" w:eastAsia="宋体" w:hint="default"/>
                <w:sz w:val="18"/>
                <w:szCs w:val="18"/>
              </w:rPr>
              <w:t>充流动资金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40" w:lineRule="auto"/>
        <w:jc w:val="both"/>
        <w:rPr>
          <w:rFonts w:ascii="宋体" w:hAnsi="宋体" w:cs="宋体" w:eastAsia="宋体" w:hint="default"/>
          <w:sz w:val="18"/>
          <w:szCs w:val="18"/>
        </w:rPr>
        <w:sectPr>
          <w:type w:val="continuous"/>
          <w:pgSz w:w="11910" w:h="16840"/>
          <w:pgMar w:top="1060" w:bottom="1180" w:left="980" w:right="980"/>
        </w:sectPr>
      </w:pPr>
    </w:p>
    <w:p>
      <w:pPr>
        <w:spacing w:line="240" w:lineRule="auto" w:before="11"/>
        <w:rPr>
          <w:rFonts w:ascii="宋体" w:hAnsi="宋体" w:cs="宋体" w:eastAsia="宋体" w:hint="default"/>
          <w:sz w:val="28"/>
          <w:szCs w:val="28"/>
        </w:rPr>
      </w:pPr>
    </w:p>
    <w:p>
      <w:pPr>
        <w:spacing w:line="5666" w:lineRule="exact"/>
        <w:ind w:left="152" w:right="0" w:firstLine="0"/>
        <w:rPr>
          <w:rFonts w:ascii="宋体" w:hAnsi="宋体" w:cs="宋体" w:eastAsia="宋体" w:hint="default"/>
          <w:sz w:val="20"/>
          <w:szCs w:val="20"/>
        </w:rPr>
      </w:pPr>
      <w:r>
        <w:rPr>
          <w:rFonts w:ascii="宋体" w:hAnsi="宋体" w:cs="宋体" w:eastAsia="宋体" w:hint="default"/>
          <w:position w:val="-112"/>
          <w:sz w:val="20"/>
          <w:szCs w:val="20"/>
        </w:rPr>
        <w:pict>
          <v:shape style="width:478.45pt;height:283.350pt;mso-position-horizontal-relative:char;mso-position-vertical-relative:line" type="#_x0000_t202" filled="false" stroked="true" strokeweight=".48pt" strokecolor="#000000">
            <w10:anchorlock/>
            <v:textbox inset="0,0,0,0">
              <w:txbxContent>
                <w:p>
                  <w:pPr>
                    <w:pStyle w:val="BodyText"/>
                    <w:spacing w:line="240" w:lineRule="auto" w:before="8"/>
                    <w:ind w:left="23" w:right="0"/>
                    <w:jc w:val="left"/>
                  </w:pP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日归还</w:t>
                  </w:r>
                  <w:r>
                    <w:rPr>
                      <w:spacing w:val="-92"/>
                    </w:rPr>
                    <w:t>）</w:t>
                  </w:r>
                  <w:r>
                    <w:rPr/>
                    <w:t>，尚未使用募集资金</w:t>
                  </w:r>
                  <w:r>
                    <w:rPr>
                      <w:spacing w:val="-45"/>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21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元。报告期内募投项目快速推进，其中</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4"/>
                    </w:rPr>
                    <w:t>T</w:t>
                  </w:r>
                  <w:r>
                    <w:rPr>
                      <w:rFonts w:ascii="Times New Roman" w:hAnsi="Times New Roman" w:cs="Times New Roman" w:eastAsia="Times New Roman" w:hint="default"/>
                      <w:spacing w:val="1"/>
                    </w:rPr>
                    <w:t>on</w:t>
                  </w:r>
                  <w:r>
                    <w:rPr>
                      <w:rFonts w:ascii="Times New Roman" w:hAnsi="Times New Roman" w:cs="Times New Roman" w:eastAsia="Times New Roman" w:hint="default"/>
                    </w:rPr>
                    <w:t>g</w:t>
                  </w:r>
                  <w:r>
                    <w:rPr>
                      <w:rFonts w:ascii="Times New Roman" w:hAnsi="Times New Roman" w:cs="Times New Roman" w:eastAsia="Times New Roman" w:hint="default"/>
                      <w:spacing w:val="-1"/>
                    </w:rPr>
                    <w:t> </w:t>
                  </w:r>
                  <w:r>
                    <w:rPr/>
                    <w:t>系列中间件产品</w:t>
                  </w:r>
                </w:p>
                <w:p>
                  <w:pPr>
                    <w:pStyle w:val="BodyText"/>
                    <w:spacing w:line="309" w:lineRule="auto" w:before="63"/>
                    <w:ind w:left="23" w:right="19"/>
                    <w:jc w:val="left"/>
                  </w:pPr>
                  <w:r>
                    <w:rPr/>
                    <w:t>升级项目</w:t>
                  </w:r>
                  <w:r>
                    <w:rPr>
                      <w:rFonts w:ascii="Times New Roman" w:hAnsi="Times New Roman" w:cs="Times New Roman" w:eastAsia="Times New Roman" w:hint="default"/>
                    </w:rPr>
                    <w:t>”</w:t>
                  </w:r>
                  <w:r>
                    <w:rPr/>
                    <w:t>计划投资额</w:t>
                  </w:r>
                  <w:r>
                    <w:rPr>
                      <w:spacing w:val="-44"/>
                    </w:rPr>
                    <w:t> </w:t>
                  </w:r>
                  <w:r>
                    <w:rPr>
                      <w:rFonts w:ascii="Times New Roman" w:hAnsi="Times New Roman" w:cs="Times New Roman" w:eastAsia="Times New Roman" w:hint="default"/>
                    </w:rPr>
                    <w:t>79,6300,000.00</w:t>
                  </w:r>
                  <w:r>
                    <w:rPr>
                      <w:rFonts w:ascii="Times New Roman" w:hAnsi="Times New Roman" w:cs="Times New Roman" w:eastAsia="Times New Roman" w:hint="default"/>
                      <w:spacing w:val="2"/>
                    </w:rPr>
                    <w:t> </w:t>
                  </w:r>
                  <w:r>
                    <w:rPr>
                      <w:spacing w:val="-3"/>
                    </w:rPr>
                    <w:t>元，累计实际项目投入</w:t>
                  </w:r>
                  <w:r>
                    <w:rPr>
                      <w:spacing w:val="-44"/>
                    </w:rPr>
                    <w:t> </w:t>
                  </w:r>
                  <w:r>
                    <w:rPr>
                      <w:rFonts w:ascii="Times New Roman" w:hAnsi="Times New Roman" w:cs="Times New Roman" w:eastAsia="Times New Roman" w:hint="default"/>
                    </w:rPr>
                    <w:t>61,305,167.63</w:t>
                  </w:r>
                  <w:r>
                    <w:rPr>
                      <w:rFonts w:ascii="Times New Roman" w:hAnsi="Times New Roman" w:cs="Times New Roman" w:eastAsia="Times New Roman" w:hint="default"/>
                      <w:spacing w:val="2"/>
                    </w:rPr>
                    <w:t> </w:t>
                  </w:r>
                  <w:r>
                    <w:rPr>
                      <w:spacing w:val="-3"/>
                    </w:rPr>
                    <w:t>元，临时补充公司流动资金</w:t>
                  </w:r>
                  <w:r>
                    <w:rPr>
                      <w:spacing w:val="-44"/>
                    </w:rPr>
                    <w:t> </w:t>
                  </w:r>
                  <w:r>
                    <w:rPr>
                      <w:rFonts w:ascii="Times New Roman" w:hAnsi="Times New Roman" w:cs="Times New Roman" w:eastAsia="Times New Roman" w:hint="default"/>
                    </w:rPr>
                    <w:t>1,200</w:t>
                  </w:r>
                  <w:r>
                    <w:rPr>
                      <w:rFonts w:ascii="Times New Roman" w:hAnsi="Times New Roman" w:cs="Times New Roman" w:eastAsia="Times New Roman" w:hint="default"/>
                      <w:spacing w:val="4"/>
                    </w:rPr>
                    <w:t> </w:t>
                  </w:r>
                  <w:r>
                    <w:rPr>
                      <w:spacing w:val="-5"/>
                    </w:rPr>
                    <w:t>万元（经公司</w:t>
                  </w:r>
                  <w:r>
                    <w:rPr/>
                    <w:t> </w:t>
                  </w:r>
                  <w:r>
                    <w:rPr>
                      <w:spacing w:val="-2"/>
                    </w:rPr>
                    <w:t>第二届董事会第九次会议审议通过）。通过本项目的实施，年初至报告期末新增软件产品登记十七项，新增申请发明专利</w:t>
                  </w:r>
                  <w:r>
                    <w:rPr>
                      <w:spacing w:val="-74"/>
                    </w:rPr>
                    <w:t> </w:t>
                  </w:r>
                  <w:r>
                    <w:rPr>
                      <w:spacing w:val="-74"/>
                    </w:rPr>
                  </w:r>
                  <w:r>
                    <w:rPr/>
                    <w:t>二项；原</w:t>
                  </w:r>
                  <w:r>
                    <w:rPr>
                      <w:rFonts w:ascii="Times New Roman" w:hAnsi="Times New Roman" w:cs="Times New Roman" w:eastAsia="Times New Roman" w:hint="default"/>
                    </w:rPr>
                    <w:t>“</w:t>
                  </w:r>
                  <w:r>
                    <w:rPr/>
                    <w:t>营销服务平台扩建项目</w:t>
                  </w:r>
                  <w:r>
                    <w:rPr>
                      <w:rFonts w:ascii="Times New Roman" w:hAnsi="Times New Roman" w:cs="Times New Roman" w:eastAsia="Times New Roman" w:hint="default"/>
                    </w:rPr>
                    <w:t>”</w:t>
                  </w:r>
                  <w:r>
                    <w:rPr/>
                    <w:t>截止本报告期末已实施完毕。本项目计划投资额</w:t>
                  </w:r>
                  <w:r>
                    <w:rPr>
                      <w:spacing w:val="-48"/>
                    </w:rPr>
                    <w:t> </w:t>
                  </w:r>
                  <w:r>
                    <w:rPr>
                      <w:rFonts w:ascii="Times New Roman" w:hAnsi="Times New Roman" w:cs="Times New Roman" w:eastAsia="Times New Roman" w:hint="default"/>
                    </w:rPr>
                    <w:t>31,900,000.00</w:t>
                  </w:r>
                  <w:r>
                    <w:rPr>
                      <w:rFonts w:ascii="Times New Roman" w:hAnsi="Times New Roman" w:cs="Times New Roman" w:eastAsia="Times New Roman" w:hint="default"/>
                      <w:spacing w:val="-3"/>
                    </w:rPr>
                    <w:t> </w:t>
                  </w:r>
                  <w:r>
                    <w:rPr/>
                    <w:t>元，累计实际项目投入</w:t>
                  </w:r>
                </w:p>
                <w:p>
                  <w:pPr>
                    <w:pStyle w:val="BodyText"/>
                    <w:spacing w:line="240" w:lineRule="auto" w:before="5"/>
                    <w:ind w:left="23"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元</w:t>
                  </w:r>
                  <w:r>
                    <w:rPr>
                      <w:spacing w:val="-92"/>
                    </w:rPr>
                    <w:t>，</w:t>
                  </w:r>
                  <w:r>
                    <w:rPr/>
                    <w:t>扣除手续费后累计利息收入净额</w:t>
                  </w:r>
                  <w:r>
                    <w:rPr>
                      <w:spacing w:val="-57"/>
                    </w:rPr>
                    <w:t> </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04</w:t>
                  </w:r>
                  <w:r>
                    <w:rPr>
                      <w:rFonts w:ascii="Times New Roman" w:hAnsi="Times New Roman" w:cs="Times New Roman" w:eastAsia="Times New Roman" w:hint="default"/>
                      <w:spacing w:val="-2"/>
                    </w:rPr>
                    <w:t>.7</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spacing w:val="-3"/>
                    </w:rPr>
                    <w:t>元</w:t>
                  </w:r>
                  <w:r>
                    <w:rPr/>
                    <w:t>募集资金专用账户余额</w:t>
                  </w:r>
                  <w:r>
                    <w:rPr>
                      <w:spacing w:val="-57"/>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元</w:t>
                  </w:r>
                  <w:r>
                    <w:rPr>
                      <w:spacing w:val="-94"/>
                    </w:rPr>
                    <w:t>。</w:t>
                  </w:r>
                  <w:r>
                    <w:rPr/>
                    <w:t>其中原项目投入</w:t>
                  </w:r>
                  <w:r>
                    <w:rPr>
                      <w:spacing w:val="-57"/>
                    </w:rPr>
                    <w:t> </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00</w:t>
                  </w:r>
                  <w:r>
                    <w:rPr>
                      <w:rFonts w:ascii="Times New Roman" w:hAnsi="Times New Roman" w:cs="Times New Roman" w:eastAsia="Times New Roman" w:hint="default"/>
                    </w:rPr>
                  </w:r>
                </w:p>
                <w:p>
                  <w:pPr>
                    <w:pStyle w:val="BodyText"/>
                    <w:spacing w:line="309" w:lineRule="auto" w:before="63"/>
                    <w:ind w:left="23" w:right="-3"/>
                    <w:jc w:val="left"/>
                  </w:pPr>
                  <w:r>
                    <w:rPr/>
                    <w:t>元，变更用途投入</w:t>
                  </w:r>
                  <w:r>
                    <w:rPr>
                      <w:spacing w:val="-47"/>
                    </w:rPr>
                    <w:t> </w:t>
                  </w:r>
                  <w:r>
                    <w:rPr>
                      <w:rFonts w:ascii="Times New Roman" w:hAnsi="Times New Roman" w:cs="Times New Roman" w:eastAsia="Times New Roman" w:hint="default"/>
                    </w:rPr>
                    <w:t>22,933,497.91</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日公司第二届董事会第十次会议，以及</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 </w:t>
                  </w:r>
                  <w:r>
                    <w:rPr>
                      <w:spacing w:val="-2"/>
                    </w:rPr>
                    <w:t>次临时股东大会审议通过了《关于变更部分募集资金投资项目的议案》，公司拟变更本募集资金项目，并以其专项账户余</w:t>
                  </w:r>
                  <w:r>
                    <w:rPr>
                      <w:spacing w:val="-74"/>
                    </w:rPr>
                    <w:t> </w:t>
                  </w:r>
                  <w:r>
                    <w:rPr>
                      <w:spacing w:val="-74"/>
                    </w:rPr>
                  </w:r>
                  <w:r>
                    <w:rPr/>
                    <w:t>额用于支付现金人民币</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万元收购北京同德一心科技有限公司的部分对价，不足部分以自有资金支付。</w:t>
                  </w: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9 </w:t>
                  </w:r>
                  <w:r>
                    <w:rPr>
                      <w:spacing w:val="-3"/>
                    </w:rPr>
                    <w:t>月，</w:t>
                  </w:r>
                  <w:r>
                    <w:rPr/>
                  </w:r>
                </w:p>
                <w:p>
                  <w:pPr>
                    <w:pStyle w:val="BodyText"/>
                    <w:spacing w:line="240" w:lineRule="auto" w:before="5"/>
                    <w:ind w:left="23" w:right="0"/>
                    <w:jc w:val="left"/>
                  </w:pPr>
                  <w:r>
                    <w:rPr/>
                    <w:t>公司以本项目专项账户余额</w:t>
                  </w:r>
                  <w:r>
                    <w:rPr>
                      <w:spacing w:val="-45"/>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93</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97</w:t>
                  </w:r>
                  <w:r>
                    <w:rPr>
                      <w:rFonts w:ascii="Times New Roman" w:hAnsi="Times New Roman" w:cs="Times New Roman" w:eastAsia="Times New Roman" w:hint="default"/>
                      <w:spacing w:val="-2"/>
                    </w:rPr>
                    <w:t>.9</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元向北京同德一</w:t>
                  </w:r>
                  <w:r>
                    <w:rPr>
                      <w:spacing w:val="-3"/>
                    </w:rPr>
                    <w:t>心</w:t>
                  </w:r>
                  <w:r>
                    <w:rPr/>
                    <w:t>科技有限公司股东支付交易对价</w:t>
                  </w:r>
                  <w:r>
                    <w:rPr>
                      <w:spacing w:val="-128"/>
                    </w:rPr>
                    <w:t>。</w:t>
                  </w:r>
                  <w:r>
                    <w:rPr/>
                    <w:t>（</w:t>
                  </w:r>
                  <w:r>
                    <w:rPr>
                      <w:rFonts w:ascii="Times New Roman" w:hAnsi="Times New Roman" w:cs="Times New Roman" w:eastAsia="Times New Roman" w:hint="default"/>
                      <w:spacing w:val="1"/>
                    </w:rPr>
                    <w:t>2</w:t>
                  </w:r>
                  <w:r>
                    <w:rPr>
                      <w:spacing w:val="-36"/>
                    </w:rPr>
                    <w:t>）</w:t>
                  </w:r>
                  <w:r>
                    <w:rPr/>
                    <w:t>非公开发行股票募集配</w:t>
                  </w:r>
                </w:p>
                <w:p>
                  <w:pPr>
                    <w:pStyle w:val="BodyText"/>
                    <w:spacing w:line="240" w:lineRule="auto" w:before="63"/>
                    <w:ind w:left="23" w:right="0"/>
                    <w:jc w:val="left"/>
                  </w:pPr>
                  <w:r>
                    <w:rPr/>
                    <w:t>套资金根据本公司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年第二次临时股东大会决议和中国证券监督管理委员会《关于核准北京东方通科技股份有限公司</w:t>
                  </w:r>
                </w:p>
                <w:p>
                  <w:pPr>
                    <w:pStyle w:val="BodyText"/>
                    <w:spacing w:line="240" w:lineRule="auto" w:before="63"/>
                    <w:ind w:left="23" w:right="0"/>
                    <w:jc w:val="left"/>
                  </w:pPr>
                  <w:r>
                    <w:rPr/>
                    <w:t>向李健等发行股份购买资产并募集配套资金的批复</w:t>
                  </w:r>
                  <w:r>
                    <w:rPr>
                      <w:spacing w:val="-96"/>
                    </w:rPr>
                    <w:t>》</w:t>
                  </w:r>
                  <w:r>
                    <w:rPr/>
                    <w:t>（证监</w:t>
                  </w:r>
                  <w:r>
                    <w:rPr>
                      <w:spacing w:val="2"/>
                    </w:rPr>
                    <w:t>许</w:t>
                  </w:r>
                  <w:r>
                    <w:rPr/>
                    <w:t>可</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spacing w:val="-5"/>
                    </w:rPr>
                    <w:t>）</w:t>
                  </w:r>
                  <w:r>
                    <w:rPr/>
                    <w:t>核准</w:t>
                  </w:r>
                  <w:r>
                    <w:rPr>
                      <w:spacing w:val="-5"/>
                    </w:rPr>
                    <w:t>，</w:t>
                  </w:r>
                  <w:r>
                    <w:rPr/>
                    <w:t>公</w:t>
                  </w:r>
                  <w:r>
                    <w:rPr>
                      <w:spacing w:val="-3"/>
                    </w:rPr>
                    <w:t>司</w:t>
                  </w:r>
                  <w:r>
                    <w:rPr/>
                    <w:t>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日非公开发</w:t>
                  </w:r>
                </w:p>
                <w:p>
                  <w:pPr>
                    <w:pStyle w:val="BodyText"/>
                    <w:spacing w:line="240" w:lineRule="auto" w:before="63"/>
                    <w:ind w:left="23" w:right="0"/>
                    <w:jc w:val="left"/>
                  </w:pPr>
                  <w:r>
                    <w:rPr/>
                    <w:t>行股票</w:t>
                  </w:r>
                  <w:r>
                    <w:rPr>
                      <w:spacing w:val="-49"/>
                    </w:rPr>
                    <w:t> </w:t>
                  </w:r>
                  <w:r>
                    <w:rPr>
                      <w:rFonts w:ascii="Times New Roman" w:hAnsi="Times New Roman" w:cs="Times New Roman" w:eastAsia="Times New Roman" w:hint="default"/>
                    </w:rPr>
                    <w:t>1,696,969</w:t>
                  </w:r>
                  <w:r>
                    <w:rPr>
                      <w:rFonts w:ascii="Times New Roman" w:hAnsi="Times New Roman" w:cs="Times New Roman" w:eastAsia="Times New Roman" w:hint="default"/>
                      <w:spacing w:val="-4"/>
                    </w:rPr>
                    <w:t> </w:t>
                  </w:r>
                  <w:r>
                    <w:rPr/>
                    <w:t>股，发行价格</w:t>
                  </w:r>
                  <w:r>
                    <w:rPr>
                      <w:spacing w:val="-49"/>
                    </w:rPr>
                    <w:t> </w:t>
                  </w:r>
                  <w:r>
                    <w:rPr>
                      <w:rFonts w:ascii="Times New Roman" w:hAnsi="Times New Roman" w:cs="Times New Roman" w:eastAsia="Times New Roman" w:hint="default"/>
                    </w:rPr>
                    <w:t>82.50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股，募集资金</w:t>
                  </w:r>
                  <w:r>
                    <w:rPr>
                      <w:spacing w:val="-49"/>
                    </w:rPr>
                    <w:t> </w:t>
                  </w:r>
                  <w:r>
                    <w:rPr>
                      <w:rFonts w:ascii="Times New Roman" w:hAnsi="Times New Roman" w:cs="Times New Roman" w:eastAsia="Times New Roman" w:hint="default"/>
                    </w:rPr>
                    <w:t>139,999,942.50</w:t>
                  </w:r>
                  <w:r>
                    <w:rPr>
                      <w:rFonts w:ascii="Times New Roman" w:hAnsi="Times New Roman" w:cs="Times New Roman" w:eastAsia="Times New Roman" w:hint="default"/>
                      <w:spacing w:val="-4"/>
                    </w:rPr>
                    <w:t> </w:t>
                  </w:r>
                  <w:r>
                    <w:rPr/>
                    <w:t>元，用于支付北京惠捷朗科技有限公司</w:t>
                  </w:r>
                  <w:r>
                    <w:rPr>
                      <w:spacing w:val="-49"/>
                    </w:rPr>
                    <w:t> </w:t>
                  </w:r>
                  <w:r>
                    <w:rPr>
                      <w:rFonts w:ascii="Times New Roman" w:hAnsi="Times New Roman" w:cs="Times New Roman" w:eastAsia="Times New Roman" w:hint="default"/>
                    </w:rPr>
                    <w:t>100%</w:t>
                  </w:r>
                  <w:r>
                    <w:rPr/>
                    <w:t>股权的</w:t>
                  </w:r>
                </w:p>
                <w:p>
                  <w:pPr>
                    <w:pStyle w:val="BodyText"/>
                    <w:spacing w:line="240" w:lineRule="auto" w:before="63"/>
                    <w:ind w:left="23" w:right="0"/>
                    <w:jc w:val="left"/>
                  </w:pPr>
                  <w:r>
                    <w:rPr>
                      <w:spacing w:val="-5"/>
                    </w:rPr>
                    <w:t>现金对价。国信证券股份有限公司于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30 </w:t>
                  </w:r>
                  <w:r>
                    <w:rPr/>
                    <w:t>日将扣除与本次非公开发行相关的财务顾问费</w:t>
                  </w:r>
                  <w:r>
                    <w:rPr>
                      <w:spacing w:val="-46"/>
                    </w:rPr>
                    <w:t> </w:t>
                  </w:r>
                  <w:r>
                    <w:rPr>
                      <w:rFonts w:ascii="Times New Roman" w:hAnsi="Times New Roman" w:cs="Times New Roman" w:eastAsia="Times New Roman" w:hint="default"/>
                    </w:rPr>
                    <w:t>3,000,000.00 </w:t>
                  </w:r>
                  <w:r>
                    <w:rPr/>
                    <w:t>元后的金</w:t>
                  </w:r>
                </w:p>
                <w:p>
                  <w:pPr>
                    <w:pStyle w:val="BodyText"/>
                    <w:spacing w:line="240" w:lineRule="auto" w:before="63"/>
                    <w:ind w:left="23" w:right="0"/>
                    <w:jc w:val="left"/>
                  </w:pPr>
                  <w:r>
                    <w:rPr/>
                    <w:t>额</w:t>
                  </w:r>
                  <w:r>
                    <w:rPr>
                      <w:spacing w:val="-48"/>
                    </w:rPr>
                    <w:t> </w:t>
                  </w:r>
                  <w:r>
                    <w:rPr>
                      <w:rFonts w:ascii="Times New Roman" w:hAnsi="Times New Roman" w:cs="Times New Roman" w:eastAsia="Times New Roman" w:hint="default"/>
                    </w:rPr>
                    <w:t>136,999,942.50</w:t>
                  </w:r>
                  <w:r>
                    <w:rPr>
                      <w:rFonts w:ascii="Times New Roman" w:hAnsi="Times New Roman" w:cs="Times New Roman" w:eastAsia="Times New Roman" w:hint="default"/>
                      <w:spacing w:val="-2"/>
                    </w:rPr>
                    <w:t> </w:t>
                  </w:r>
                  <w:r>
                    <w:rPr/>
                    <w:t>元汇入公司账户。</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日，本公司向北京惠捷朗科技有限公司的原股东支付现金对价（含代</w:t>
                  </w:r>
                </w:p>
                <w:p>
                  <w:pPr>
                    <w:pStyle w:val="BodyText"/>
                    <w:spacing w:line="240" w:lineRule="auto" w:before="63"/>
                    <w:ind w:left="23" w:right="0"/>
                    <w:jc w:val="left"/>
                  </w:pPr>
                  <w:r>
                    <w:rPr/>
                    <w:t>扣代缴个人所得税）</w:t>
                  </w:r>
                  <w:r>
                    <w:rPr>
                      <w:rFonts w:ascii="Times New Roman" w:hAnsi="Times New Roman" w:cs="Times New Roman" w:eastAsia="Times New Roman" w:hint="default"/>
                    </w:rPr>
                    <w:t>134,937,600.00</w:t>
                  </w:r>
                  <w:r>
                    <w:rPr>
                      <w:rFonts w:ascii="Times New Roman" w:hAnsi="Times New Roman" w:cs="Times New Roman" w:eastAsia="Times New Roman" w:hint="default"/>
                      <w:spacing w:val="-4"/>
                    </w:rPr>
                    <w:t> </w:t>
                  </w:r>
                  <w:r>
                    <w:rPr/>
                    <w:t>元。截止</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日，扣除相关发行费用</w:t>
                  </w:r>
                  <w:r>
                    <w:rPr>
                      <w:spacing w:val="-50"/>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4"/>
                    </w:rPr>
                    <w:t> </w:t>
                  </w:r>
                  <w:r>
                    <w:rPr/>
                    <w:t>元，加上扣除手续费后累计</w:t>
                  </w:r>
                </w:p>
                <w:p>
                  <w:pPr>
                    <w:pStyle w:val="BodyText"/>
                    <w:spacing w:line="240" w:lineRule="auto" w:before="63"/>
                    <w:ind w:left="23" w:right="0"/>
                    <w:jc w:val="left"/>
                  </w:pPr>
                  <w:r>
                    <w:rPr/>
                    <w:t>净利息收入</w:t>
                  </w:r>
                  <w:r>
                    <w:rPr>
                      <w:spacing w:val="-47"/>
                    </w:rPr>
                    <w:t> </w:t>
                  </w:r>
                  <w:r>
                    <w:rPr>
                      <w:rFonts w:ascii="Times New Roman" w:hAnsi="Times New Roman" w:cs="Times New Roman" w:eastAsia="Times New Roman" w:hint="default"/>
                    </w:rPr>
                    <w:t>50,250.90</w:t>
                  </w:r>
                  <w:r>
                    <w:rPr>
                      <w:rFonts w:ascii="Times New Roman" w:hAnsi="Times New Roman" w:cs="Times New Roman" w:eastAsia="Times New Roman" w:hint="default"/>
                      <w:spacing w:val="-1"/>
                    </w:rPr>
                    <w:t> </w:t>
                  </w:r>
                  <w:r>
                    <w:rPr/>
                    <w:t>元，剩余募集资金余额为</w:t>
                  </w:r>
                  <w:r>
                    <w:rPr>
                      <w:spacing w:val="-47"/>
                    </w:rPr>
                    <w:t> </w:t>
                  </w:r>
                  <w:r>
                    <w:rPr>
                      <w:rFonts w:ascii="Times New Roman" w:hAnsi="Times New Roman" w:cs="Times New Roman" w:eastAsia="Times New Roman" w:hint="default"/>
                    </w:rPr>
                    <w:t>1,312,593.40</w:t>
                  </w:r>
                  <w:r>
                    <w:rPr>
                      <w:rFonts w:ascii="Times New Roman" w:hAnsi="Times New Roman" w:cs="Times New Roman" w:eastAsia="Times New Roman" w:hint="default"/>
                      <w:spacing w:val="-3"/>
                    </w:rPr>
                    <w:t> </w:t>
                  </w:r>
                  <w:r>
                    <w:rPr/>
                    <w:t>元。截止</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日，前次募集资金均已达到预期使用</w:t>
                  </w:r>
                </w:p>
                <w:p>
                  <w:pPr>
                    <w:pStyle w:val="BodyText"/>
                    <w:spacing w:line="300" w:lineRule="auto" w:before="63"/>
                    <w:ind w:left="23" w:right="19"/>
                    <w:jc w:val="left"/>
                  </w:pPr>
                  <w:r>
                    <w:rPr>
                      <w:spacing w:val="-3"/>
                    </w:rPr>
                    <w:t>效果，已申请结项，剩余募集资金共计</w:t>
                  </w:r>
                  <w:r>
                    <w:rPr>
                      <w:spacing w:val="-48"/>
                    </w:rPr>
                    <w:t> </w:t>
                  </w:r>
                  <w:r>
                    <w:rPr>
                      <w:rFonts w:ascii="Times New Roman" w:hAnsi="Times New Roman" w:cs="Times New Roman" w:eastAsia="Times New Roman" w:hint="default"/>
                    </w:rPr>
                    <w:t>13,959,054.75</w:t>
                  </w:r>
                  <w:r>
                    <w:rPr>
                      <w:rFonts w:ascii="Times New Roman" w:hAnsi="Times New Roman" w:cs="Times New Roman" w:eastAsia="Times New Roman" w:hint="default"/>
                      <w:spacing w:val="-2"/>
                    </w:rPr>
                    <w:t> </w:t>
                  </w:r>
                  <w:r>
                    <w:rPr/>
                    <w:t>元（含扣除手续费后累计净利息收入</w:t>
                  </w:r>
                  <w:r>
                    <w:rPr>
                      <w:spacing w:val="-48"/>
                    </w:rPr>
                    <w:t> </w:t>
                  </w:r>
                  <w:r>
                    <w:rPr>
                      <w:rFonts w:ascii="Times New Roman" w:hAnsi="Times New Roman" w:cs="Times New Roman" w:eastAsia="Times New Roman" w:hint="default"/>
                    </w:rPr>
                    <w:t>260,473.56</w:t>
                  </w:r>
                  <w:r>
                    <w:rPr>
                      <w:rFonts w:ascii="Times New Roman" w:hAnsi="Times New Roman" w:cs="Times New Roman" w:eastAsia="Times New Roman" w:hint="default"/>
                      <w:spacing w:val="-2"/>
                    </w:rPr>
                    <w:t> </w:t>
                  </w:r>
                  <w:r>
                    <w:rPr>
                      <w:spacing w:val="-3"/>
                    </w:rPr>
                    <w:t>元）拟全部用于永久</w:t>
                  </w:r>
                  <w:r>
                    <w:rPr/>
                    <w:t> 性补充公司流动资金。</w:t>
                  </w:r>
                </w:p>
              </w:txbxContent>
            </v:textbox>
          </v:shape>
        </w:pict>
      </w:r>
      <w:r>
        <w:rPr>
          <w:rFonts w:ascii="宋体" w:hAnsi="宋体" w:cs="宋体" w:eastAsia="宋体" w:hint="default"/>
          <w:position w:val="-112"/>
          <w:sz w:val="20"/>
          <w:szCs w:val="20"/>
        </w:rPr>
      </w:r>
    </w:p>
    <w:p>
      <w:pPr>
        <w:spacing w:after="0" w:line="5666" w:lineRule="exact"/>
        <w:rPr>
          <w:rFonts w:ascii="宋体" w:hAnsi="宋体" w:cs="宋体" w:eastAsia="宋体" w:hint="default"/>
          <w:sz w:val="20"/>
          <w:szCs w:val="20"/>
        </w:rPr>
        <w:sectPr>
          <w:pgSz w:w="11910" w:h="16840"/>
          <w:pgMar w:header="745" w:footer="982" w:top="1060" w:bottom="1180" w:left="980" w:right="980"/>
        </w:sectPr>
      </w:pPr>
    </w:p>
    <w:p>
      <w:pPr>
        <w:pStyle w:val="BodyText"/>
        <w:spacing w:line="240" w:lineRule="auto" w:before="54"/>
        <w:ind w:right="-18"/>
        <w:jc w:val="left"/>
      </w:pPr>
      <w:r>
        <w:rPr>
          <w:rFonts w:ascii="Times New Roman" w:hAnsi="Times New Roman" w:cs="Times New Roman" w:eastAsia="Times New Roman" w:hint="default"/>
        </w:rPr>
        <w:t>2.</w:t>
      </w:r>
      <w:r>
        <w:rPr/>
        <w:t>募集资金承诺项目情况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80" w:left="980" w:right="980"/>
          <w:cols w:num="2" w:equalWidth="0">
            <w:col w:w="2090" w:space="6649"/>
            <w:col w:w="121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2"/>
        <w:gridCol w:w="703"/>
        <w:gridCol w:w="752"/>
        <w:gridCol w:w="720"/>
        <w:gridCol w:w="720"/>
        <w:gridCol w:w="706"/>
        <w:gridCol w:w="739"/>
        <w:gridCol w:w="720"/>
        <w:gridCol w:w="722"/>
        <w:gridCol w:w="722"/>
        <w:gridCol w:w="722"/>
        <w:gridCol w:w="722"/>
      </w:tblGrid>
      <w:tr>
        <w:trPr>
          <w:trHeight w:val="1649" w:hRule="exact"/>
        </w:trPr>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362" w:right="78"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70" w:right="21"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5" w:right="84"/>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4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9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Tong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系列中间件产 品升级项目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1,900.49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6,130.52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76.99%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1,074.17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2,015.84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营销服务平台扩建 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903.65</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186.68</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903.65</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支付现金购买北京 同德一心科技有限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2,286.35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2,293.35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2,293.35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100.31%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4,380.53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9,327.52</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1,074.17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2,015.84</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20" w:hRule="exact"/>
        </w:trPr>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1"/>
              <w:jc w:val="right"/>
              <w:rPr>
                <w:rFonts w:ascii="Times New Roman" w:hAnsi="Times New Roman" w:cs="Times New Roman" w:eastAsia="Times New Roman" w:hint="default"/>
                <w:sz w:val="18"/>
                <w:szCs w:val="18"/>
              </w:rPr>
            </w:pPr>
            <w:r>
              <w:rPr>
                <w:rFonts w:ascii="Times New Roman"/>
                <w:sz w:val="18"/>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4,380.53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2"/>
              <w:jc w:val="right"/>
              <w:rPr>
                <w:rFonts w:ascii="Times New Roman" w:hAnsi="Times New Roman" w:cs="Times New Roman" w:eastAsia="Times New Roman" w:hint="default"/>
                <w:sz w:val="18"/>
                <w:szCs w:val="18"/>
              </w:rPr>
            </w:pPr>
            <w:r>
              <w:rPr>
                <w:rFonts w:ascii="Times New Roman"/>
                <w:spacing w:val="-1"/>
                <w:sz w:val="18"/>
              </w:rPr>
              <w:t>9,327.5</w:t>
            </w:r>
          </w:p>
          <w:p>
            <w:pPr>
              <w:pStyle w:val="TableParagraph"/>
              <w:spacing w:line="240" w:lineRule="auto" w:before="105"/>
              <w:ind w:right="54"/>
              <w:jc w:val="right"/>
              <w:rPr>
                <w:rFonts w:ascii="Times New Roman" w:hAnsi="Times New Roman" w:cs="Times New Roman" w:eastAsia="Times New Roman" w:hint="default"/>
                <w:sz w:val="18"/>
                <w:szCs w:val="18"/>
              </w:rPr>
            </w:pPr>
            <w:r>
              <w:rPr>
                <w:rFonts w:ascii="Times New Roman"/>
                <w:sz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2"/>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1,074.17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2,015.84</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79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pacing w:val="-1"/>
                <w:sz w:val="18"/>
                <w:szCs w:val="18"/>
              </w:rPr>
              <w:t>营销服务平台扩建项目：根据公司整体战略，为尽快完善全线基础软件产品线和市场布局，最大限度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8985pt;width:479.25pt;height:690.0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1"/>
                    <w:gridCol w:w="7939"/>
                  </w:tblGrid>
                  <w:tr>
                    <w:trPr>
                      <w:trHeight w:val="1922" w:hRule="exact"/>
                    </w:trPr>
                    <w:tc>
                      <w:tcPr>
                        <w:tcW w:w="1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2" w:right="-22"/>
                          <w:jc w:val="left"/>
                          <w:rPr>
                            <w:rFonts w:ascii="宋体" w:hAnsi="宋体" w:cs="宋体" w:eastAsia="宋体" w:hint="default"/>
                            <w:sz w:val="18"/>
                            <w:szCs w:val="18"/>
                          </w:rPr>
                        </w:pPr>
                        <w:r>
                          <w:rPr>
                            <w:rFonts w:ascii="宋体" w:hAnsi="宋体" w:cs="宋体" w:eastAsia="宋体" w:hint="default"/>
                            <w:sz w:val="18"/>
                            <w:szCs w:val="18"/>
                          </w:rPr>
                          <w:t>预计收益的情况和 原因（分具体项目）</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6" w:right="19"/>
                          <w:jc w:val="both"/>
                          <w:rPr>
                            <w:rFonts w:ascii="宋体" w:hAnsi="宋体" w:cs="宋体" w:eastAsia="宋体" w:hint="default"/>
                            <w:sz w:val="18"/>
                            <w:szCs w:val="18"/>
                          </w:rPr>
                        </w:pPr>
                        <w:r>
                          <w:rPr>
                            <w:rFonts w:ascii="宋体" w:hAnsi="宋体" w:cs="宋体" w:eastAsia="宋体" w:hint="default"/>
                            <w:spacing w:val="-1"/>
                            <w:sz w:val="18"/>
                            <w:szCs w:val="18"/>
                          </w:rPr>
                          <w:t>发挥募资资金使用效率，提升公司整体经营业绩，决定暂缓营销服务网点和客户体验中心的长期资产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日公司第二届董事会第十次会议，以及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 </w:t>
                        </w:r>
                        <w:r>
                          <w:rPr>
                            <w:rFonts w:ascii="宋体" w:hAnsi="宋体" w:cs="宋体" w:eastAsia="宋体" w:hint="default"/>
                            <w:spacing w:val="-3"/>
                            <w:sz w:val="18"/>
                            <w:szCs w:val="18"/>
                          </w:rPr>
                          <w:t>东大会审议通过了《关于变更部分募集资金投资项目的议案》，公司拟变更本募集资金项目，并以其</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专项账户余额用于支付现金人民币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万元收购北京同德一心科技有限公司的部分对价，不足部分</w:t>
                        </w:r>
                      </w:p>
                      <w:p>
                        <w:pPr>
                          <w:pStyle w:val="TableParagraph"/>
                          <w:spacing w:line="300" w:lineRule="auto" w:before="3"/>
                          <w:ind w:left="26" w:right="69"/>
                          <w:jc w:val="both"/>
                          <w:rPr>
                            <w:rFonts w:ascii="宋体" w:hAnsi="宋体" w:cs="宋体" w:eastAsia="宋体" w:hint="default"/>
                            <w:sz w:val="18"/>
                            <w:szCs w:val="18"/>
                          </w:rPr>
                        </w:pPr>
                        <w:r>
                          <w:rPr>
                            <w:rFonts w:ascii="宋体" w:hAnsi="宋体" w:cs="宋体" w:eastAsia="宋体" w:hint="default"/>
                            <w:sz w:val="18"/>
                            <w:szCs w:val="18"/>
                          </w:rPr>
                          <w:t>以自有资金支付。</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月，公司以本项目专项账户余额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22,933,497.91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元向北京同德一心科技有 限公司股东支付交易对价。</w:t>
                        </w:r>
                      </w:p>
                    </w:tc>
                  </w:tr>
                  <w:tr>
                    <w:trPr>
                      <w:trHeight w:val="713" w:hRule="exact"/>
                    </w:trPr>
                    <w:tc>
                      <w:tcPr>
                        <w:tcW w:w="1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2" w:right="19"/>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5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1" w:type="dxa"/>
                        <w:vMerge/>
                        <w:tcBorders>
                          <w:left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316" w:lineRule="auto"/>
                          <w:ind w:left="22" w:right="15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31" w:type="dxa"/>
                        <w:vMerge/>
                        <w:tcBorders>
                          <w:left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273"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both"/>
                          <w:rPr>
                            <w:rFonts w:ascii="宋体" w:hAnsi="宋体" w:cs="宋体" w:eastAsia="宋体" w:hint="default"/>
                            <w:sz w:val="18"/>
                            <w:szCs w:val="18"/>
                          </w:rPr>
                        </w:pPr>
                        <w:r>
                          <w:rPr>
                            <w:rFonts w:ascii="宋体" w:hAnsi="宋体" w:cs="宋体" w:eastAsia="宋体" w:hint="default"/>
                            <w:spacing w:val="-1"/>
                            <w:sz w:val="18"/>
                            <w:szCs w:val="18"/>
                          </w:rPr>
                          <w:t>营销服务平台扩建项目：根据公司整体战略，为尽快完善全线基础软件产品线和市场布局，最大限度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发挥募资资金使用效率，提升公司整体经营业绩，决定暂缓营销服务网点和客户体验中心的长期资产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日公司第二届董事会第十次会议，以及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 </w:t>
                        </w:r>
                        <w:r>
                          <w:rPr>
                            <w:rFonts w:ascii="宋体" w:hAnsi="宋体" w:cs="宋体" w:eastAsia="宋体" w:hint="default"/>
                            <w:spacing w:val="-3"/>
                            <w:sz w:val="18"/>
                            <w:szCs w:val="18"/>
                          </w:rPr>
                          <w:t>东大会审议通过了《关于变更部分募集资金投资项目的议案》，公司拟变更本募集资金项目，并以其</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专项账户余额用于支付现金人民币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万元收购北京同德一心科技有限公司的部分对价，不足部分</w:t>
                        </w:r>
                      </w:p>
                      <w:p>
                        <w:pPr>
                          <w:pStyle w:val="TableParagraph"/>
                          <w:spacing w:line="300" w:lineRule="auto" w:before="1"/>
                          <w:ind w:left="26" w:right="69"/>
                          <w:jc w:val="both"/>
                          <w:rPr>
                            <w:rFonts w:ascii="宋体" w:hAnsi="宋体" w:cs="宋体" w:eastAsia="宋体" w:hint="default"/>
                            <w:sz w:val="18"/>
                            <w:szCs w:val="18"/>
                          </w:rPr>
                        </w:pPr>
                        <w:r>
                          <w:rPr>
                            <w:rFonts w:ascii="宋体" w:hAnsi="宋体" w:cs="宋体" w:eastAsia="宋体" w:hint="default"/>
                            <w:sz w:val="18"/>
                            <w:szCs w:val="18"/>
                          </w:rPr>
                          <w:t>以自有资金支付。</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月，公司以本项目专项账户余额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22,933,497.91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元向北京同德一心科技有 限公司股东支付交易对价。</w:t>
                        </w: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5"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日，公司第二届董事会第八次会议审议通过了《关于以募集资金置换先期投入募集 </w:t>
                        </w:r>
                        <w:r>
                          <w:rPr>
                            <w:rFonts w:ascii="宋体" w:hAnsi="宋体" w:cs="宋体" w:eastAsia="宋体" w:hint="default"/>
                            <w:spacing w:val="-3"/>
                            <w:sz w:val="18"/>
                            <w:szCs w:val="18"/>
                          </w:rPr>
                          <w:t>资金项目的自筹资金的议案》。根据深圳证券交易所《深圳证券交易所创业板上市公司规范运作指引</w:t>
                        </w:r>
                        <w:r>
                          <w:rPr>
                            <w:rFonts w:ascii="宋体" w:hAnsi="宋体" w:cs="宋体" w:eastAsia="宋体" w:hint="default"/>
                            <w:sz w:val="18"/>
                            <w:szCs w:val="18"/>
                          </w:rPr>
                          <w:t> </w:t>
                        </w:r>
                        <w:r>
                          <w:rPr>
                            <w:rFonts w:ascii="宋体" w:hAnsi="宋体" w:cs="宋体" w:eastAsia="宋体" w:hint="default"/>
                            <w:spacing w:val="-4"/>
                            <w:sz w:val="18"/>
                            <w:szCs w:val="18"/>
                          </w:rPr>
                          <w:t>等规范性文件的有关规定，公司计划以募集资金人民币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6,050.05</w:t>
                        </w:r>
                        <w:r>
                          <w:rPr>
                            <w:rFonts w:ascii="Times New Roman" w:hAnsi="Times New Roman" w:cs="Times New Roman" w:eastAsia="Times New Roman" w:hint="default"/>
                            <w:spacing w:val="30"/>
                            <w:sz w:val="18"/>
                            <w:szCs w:val="18"/>
                          </w:rPr>
                          <w:t> </w:t>
                        </w:r>
                        <w:r>
                          <w:rPr>
                            <w:rFonts w:ascii="宋体" w:hAnsi="宋体" w:cs="宋体" w:eastAsia="宋体" w:hint="default"/>
                            <w:spacing w:val="-1"/>
                            <w:sz w:val="18"/>
                            <w:szCs w:val="18"/>
                          </w:rPr>
                          <w:t>万元置换公司预先已投入募集资金投</w:t>
                        </w:r>
                      </w:p>
                      <w:p>
                        <w:pPr>
                          <w:pStyle w:val="TableParagraph"/>
                          <w:spacing w:line="240" w:lineRule="auto" w:before="5"/>
                          <w:ind w:left="26" w:right="0"/>
                          <w:jc w:val="both"/>
                          <w:rPr>
                            <w:rFonts w:ascii="宋体" w:hAnsi="宋体" w:cs="宋体" w:eastAsia="宋体" w:hint="default"/>
                            <w:sz w:val="18"/>
                            <w:szCs w:val="18"/>
                          </w:rPr>
                        </w:pPr>
                        <w:r>
                          <w:rPr>
                            <w:rFonts w:ascii="宋体" w:hAnsi="宋体" w:cs="宋体" w:eastAsia="宋体" w:hint="default"/>
                            <w:sz w:val="18"/>
                            <w:szCs w:val="18"/>
                          </w:rPr>
                          <w:t>资项目的自筹资金人民币 </w:t>
                        </w:r>
                        <w:r>
                          <w:rPr>
                            <w:rFonts w:ascii="Times New Roman" w:hAnsi="Times New Roman" w:cs="Times New Roman" w:eastAsia="Times New Roman" w:hint="default"/>
                            <w:sz w:val="18"/>
                            <w:szCs w:val="18"/>
                          </w:rPr>
                          <w:t>6,050.05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万元。公司本次使用募集资金不存在变相改变募集资金用途的情</w:t>
                        </w:r>
                      </w:p>
                      <w:p>
                        <w:pPr>
                          <w:pStyle w:val="TableParagraph"/>
                          <w:spacing w:line="312" w:lineRule="auto" w:before="62"/>
                          <w:ind w:left="26" w:right="19" w:hanging="1"/>
                          <w:jc w:val="both"/>
                          <w:rPr>
                            <w:rFonts w:ascii="宋体" w:hAnsi="宋体" w:cs="宋体" w:eastAsia="宋体" w:hint="default"/>
                            <w:sz w:val="18"/>
                            <w:szCs w:val="18"/>
                          </w:rPr>
                        </w:pPr>
                        <w:r>
                          <w:rPr>
                            <w:rFonts w:ascii="宋体" w:hAnsi="宋体" w:cs="宋体" w:eastAsia="宋体" w:hint="default"/>
                            <w:sz w:val="18"/>
                            <w:szCs w:val="18"/>
                          </w:rPr>
                          <w:t>况，置换时间距离募集资金到账时间未超过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个月。公司独立董事对该议案发表了独立意见，监事会</w:t>
                        </w:r>
                        <w:r>
                          <w:rPr>
                            <w:rFonts w:ascii="宋体" w:hAnsi="宋体" w:cs="宋体" w:eastAsia="宋体" w:hint="default"/>
                            <w:sz w:val="18"/>
                            <w:szCs w:val="18"/>
                          </w:rPr>
                          <w:t> </w:t>
                        </w:r>
                        <w:r>
                          <w:rPr>
                            <w:rFonts w:ascii="宋体" w:hAnsi="宋体" w:cs="宋体" w:eastAsia="宋体" w:hint="default"/>
                            <w:spacing w:val="-1"/>
                            <w:sz w:val="18"/>
                            <w:szCs w:val="18"/>
                          </w:rPr>
                          <w:t>发表了审核意见，审计机构对公司募集资金投资项目预先投入自筹资金的实际投资情况进行了专项审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核，并出具了《北京东方通科技股份有限公司以自筹资金预先投入募集资金投资项目的鉴证报告》，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保荐机构对该议案出具了核查意见。</w:t>
                        </w: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3"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日公司召开第二届董事会第九次会议，审议通过了《关于使用闲置募集资金临时补</w:t>
                        </w:r>
                      </w:p>
                      <w:p>
                        <w:pPr>
                          <w:pStyle w:val="TableParagraph"/>
                          <w:spacing w:line="307" w:lineRule="auto" w:before="62"/>
                          <w:ind w:left="26" w:right="17"/>
                          <w:jc w:val="both"/>
                          <w:rPr>
                            <w:rFonts w:ascii="宋体" w:hAnsi="宋体" w:cs="宋体" w:eastAsia="宋体" w:hint="default"/>
                            <w:sz w:val="18"/>
                            <w:szCs w:val="18"/>
                          </w:rPr>
                        </w:pPr>
                        <w:r>
                          <w:rPr>
                            <w:rFonts w:ascii="宋体" w:hAnsi="宋体" w:cs="宋体" w:eastAsia="宋体" w:hint="default"/>
                            <w:spacing w:val="-6"/>
                            <w:sz w:val="18"/>
                            <w:szCs w:val="18"/>
                          </w:rPr>
                          <w:t>充流动资金的议案》。本次使用闲置募集资金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万元用于临时补充流动资金，可以提高募集资金使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用效率，降低公司财务成本、缓解公司流动资金的需求压力，提升经济效益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以实现募集资金的有效利</w:t>
                        </w:r>
                        <w:r>
                          <w:rPr>
                            <w:rFonts w:ascii="宋体" w:hAnsi="宋体" w:cs="宋体" w:eastAsia="宋体" w:hint="default"/>
                            <w:spacing w:val="-85"/>
                            <w:sz w:val="18"/>
                            <w:szCs w:val="18"/>
                          </w:rPr>
                          <w:t> </w:t>
                        </w:r>
                        <w:r>
                          <w:rPr>
                            <w:rFonts w:ascii="宋体" w:hAnsi="宋体" w:cs="宋体" w:eastAsia="宋体" w:hint="default"/>
                            <w:spacing w:val="-1"/>
                            <w:sz w:val="18"/>
                            <w:szCs w:val="18"/>
                          </w:rPr>
                          <w:t>用，使股东利益最大化。此议案经第二届监事会第六次会议审议通过，公司独立董事、保荐人发表了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同意的意见。</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日，公司使用闲置资金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万元暂时补充流动资金。截至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00" w:lineRule="auto" w:before="7"/>
                          <w:ind w:left="26" w:right="21" w:hanging="1"/>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日，公司已将上述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万元临时补充流动资金的募集资金全部归还至募集资金专项账户，并已将 上述募集资金归还情况通知了保荐机构及保荐代表人。</w:t>
                        </w:r>
                      </w:p>
                    </w:tc>
                  </w:tr>
                  <w:tr>
                    <w:trPr>
                      <w:trHeight w:val="403" w:hRule="exact"/>
                    </w:trPr>
                    <w:tc>
                      <w:tcPr>
                        <w:tcW w:w="1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0" w:right="158"/>
        <w:jc w:val="right"/>
      </w:pP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4"/>
        <w:ind w:left="0" w:right="155"/>
        <w:jc w:val="right"/>
      </w:pPr>
      <w:r>
        <w:rPr/>
        <w:pict>
          <v:shape style="position:absolute;margin-left:56.459999pt;margin-top:-47.529289pt;width:479.25pt;height:263.6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1"/>
                    <w:gridCol w:w="7939"/>
                  </w:tblGrid>
                  <w:tr>
                    <w:trPr>
                      <w:trHeight w:val="3521" w:hRule="exact"/>
                    </w:trPr>
                    <w:tc>
                      <w:tcPr>
                        <w:tcW w:w="1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2" w:right="156"/>
                          <w:jc w:val="left"/>
                          <w:rPr>
                            <w:rFonts w:ascii="宋体" w:hAnsi="宋体" w:cs="宋体" w:eastAsia="宋体" w:hint="default"/>
                            <w:sz w:val="18"/>
                            <w:szCs w:val="18"/>
                          </w:rPr>
                        </w:pPr>
                        <w:r>
                          <w:rPr>
                            <w:rFonts w:ascii="宋体" w:hAnsi="宋体" w:cs="宋体" w:eastAsia="宋体" w:hint="default"/>
                            <w:sz w:val="18"/>
                            <w:szCs w:val="18"/>
                          </w:rPr>
                          <w:t>资金结余的金额及 原因</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）首次公开发行股票募集资金</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Tong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系列中间件产品升级项目：截止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金专户余额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6,465,214.25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日，归还补充原补充流动资金金额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月募投项目支出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5,818,595.77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日，募投项目拟结项，募集资金专户结余</w:t>
                        </w:r>
                      </w:p>
                      <w:p>
                        <w:pPr>
                          <w:pStyle w:val="TableParagraph"/>
                          <w:spacing w:line="240" w:lineRule="auto" w:before="6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12,646,454.49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元，用于永久补充流动资金。营销服务平台扩建项目：本项目累计投入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9,036,500.00 </w:t>
                        </w:r>
                        <w:r>
                          <w:rPr>
                            <w:rFonts w:ascii="宋体" w:hAnsi="宋体" w:cs="宋体" w:eastAsia="宋体" w:hint="default"/>
                            <w:sz w:val="18"/>
                            <w:szCs w:val="18"/>
                          </w:rPr>
                          <w:t>元</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月实施完毕，结余资金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22,863,500.00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元，变更用途后结余资金及利息收入用于支付收</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购北京同德一心科技有限公司的部分对价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22,933,497.91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日，募集资金专户结</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元，拟用于永久补充</w:t>
                        </w:r>
                        <w:r>
                          <w:rPr>
                            <w:rFonts w:ascii="宋体" w:hAnsi="宋体" w:cs="宋体" w:eastAsia="宋体" w:hint="default"/>
                            <w:spacing w:val="-3"/>
                            <w:sz w:val="18"/>
                            <w:szCs w:val="18"/>
                          </w:rPr>
                          <w:t>流</w:t>
                        </w:r>
                        <w:r>
                          <w:rPr>
                            <w:rFonts w:ascii="宋体" w:hAnsi="宋体" w:cs="宋体" w:eastAsia="宋体" w:hint="default"/>
                            <w:sz w:val="18"/>
                            <w:szCs w:val="18"/>
                          </w:rPr>
                          <w:t>动资金</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）非公开发行股票募集配套资金截止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2"/>
                          <w:ind w:left="25"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136,999,942.50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元尚未用于支付收购股权现金对价；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日，本公司向北京惠捷</w:t>
                        </w:r>
                      </w:p>
                      <w:p>
                        <w:pPr>
                          <w:pStyle w:val="TableParagraph"/>
                          <w:spacing w:line="240" w:lineRule="auto" w:before="62"/>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朗科技有限公司的原股东支付现金对价（含代扣代缴个人所得税）</w:t>
                        </w:r>
                        <w:r>
                          <w:rPr>
                            <w:rFonts w:ascii="Times New Roman" w:hAnsi="Times New Roman" w:cs="Times New Roman" w:eastAsia="Times New Roman" w:hint="default"/>
                            <w:sz w:val="18"/>
                            <w:szCs w:val="18"/>
                          </w:rPr>
                          <w:t>134,937,600.00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日，扣除相关发行费用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元，加上扣除手续费后累计净利息收入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50,250.90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元，剩余募</w:t>
                        </w:r>
                      </w:p>
                      <w:p>
                        <w:pPr>
                          <w:pStyle w:val="TableParagraph"/>
                          <w:spacing w:line="240" w:lineRule="auto" w:before="62"/>
                          <w:ind w:left="25" w:right="0"/>
                          <w:jc w:val="left"/>
                          <w:rPr>
                            <w:rFonts w:ascii="宋体" w:hAnsi="宋体" w:cs="宋体" w:eastAsia="宋体" w:hint="default"/>
                            <w:sz w:val="18"/>
                            <w:szCs w:val="18"/>
                          </w:rPr>
                        </w:pPr>
                        <w:r>
                          <w:rPr>
                            <w:rFonts w:ascii="宋体" w:hAnsi="宋体" w:cs="宋体" w:eastAsia="宋体" w:hint="default"/>
                            <w:sz w:val="18"/>
                            <w:szCs w:val="18"/>
                          </w:rPr>
                          <w:t>集资金余额为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1,312,593.40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元，拟用于永久补充流动资金。</w:t>
                        </w:r>
                      </w:p>
                    </w:tc>
                  </w:tr>
                  <w:tr>
                    <w:trPr>
                      <w:trHeight w:val="715" w:hRule="exact"/>
                    </w:trPr>
                    <w:tc>
                      <w:tcPr>
                        <w:tcW w:w="1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拟全部用于永久补充流动资金。</w:t>
                        </w:r>
                      </w:p>
                    </w:tc>
                  </w:tr>
                  <w:tr>
                    <w:trPr>
                      <w:trHeight w:val="1027" w:hRule="exact"/>
                    </w:trPr>
                    <w:tc>
                      <w:tcPr>
                        <w:tcW w:w="1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2" w:top="1060" w:bottom="1180" w:left="980" w:right="980"/>
        </w:sectPr>
      </w:pPr>
    </w:p>
    <w:p>
      <w:pPr>
        <w:pStyle w:val="BodyText"/>
        <w:spacing w:line="240" w:lineRule="auto" w:before="44"/>
        <w:ind w:right="-18"/>
        <w:jc w:val="left"/>
      </w:pPr>
      <w:r>
        <w:rPr>
          <w:rFonts w:ascii="Times New Roman" w:hAnsi="Times New Roman" w:cs="Times New Roman" w:eastAsia="Times New Roman" w:hint="default"/>
        </w:rPr>
        <w:t>3.</w:t>
      </w:r>
      <w:r>
        <w:rPr/>
        <w:t>募集资金变更项目情况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80" w:left="980" w:right="980"/>
          <w:cols w:num="2" w:equalWidth="0">
            <w:col w:w="2090" w:space="6649"/>
            <w:col w:w="121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exact" w:before="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支付现金购 买北京同德 一心科技有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营销服务平 台扩建项目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2,286.35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2,293.35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2,293.35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2,286.35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2,293.35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2,293.35</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96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日，公司第二届董事会第十次会议，审议通过了《关于变更部分募集 </w:t>
            </w:r>
            <w:r>
              <w:rPr>
                <w:rFonts w:ascii="宋体" w:hAnsi="宋体" w:cs="宋体" w:eastAsia="宋体" w:hint="default"/>
                <w:spacing w:val="-3"/>
                <w:sz w:val="18"/>
                <w:szCs w:val="18"/>
              </w:rPr>
              <w:t>资金投资项目的议案》，公司拟变更本募集资金项目，并以其专项账户余额用于支付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现金人民币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万元收购北京同德一心科技有限公司的部分对价，不足部分以自有</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资金支付。</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年第二次临时股东大会审议通过了《关于变</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更部分募集资金投资项目的议案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以本项目专项账户余额</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22,933,497.91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元向北京同德一心科技有限公司股东支付交易对价。</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rFonts w:ascii="Times New Roman" w:hAnsi="Times New Roman" w:cs="Times New Roman" w:eastAsia="Times New Roman" w:hint="default"/>
        </w:rPr>
        <w:t>3</w:t>
      </w:r>
      <w:r>
        <w:rPr/>
        <w:t>）非募集资金投资的重大项目情况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公司报告期无非募集资金投资的重大项目。</w:t>
      </w:r>
    </w:p>
    <w:p>
      <w:pPr>
        <w:pStyle w:val="BodyText"/>
        <w:spacing w:line="240" w:lineRule="auto" w:before="117"/>
        <w:ind w:right="0"/>
        <w:jc w:val="left"/>
      </w:pPr>
      <w:r>
        <w:rPr>
          <w:rFonts w:ascii="Times New Roman" w:hAnsi="Times New Roman" w:cs="Times New Roman" w:eastAsia="Times New Roman" w:hint="default"/>
        </w:rPr>
        <w:t>4</w:t>
      </w:r>
      <w:r>
        <w:rPr/>
        <w:t>）持有其他上市公司股权情况</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5</w:t>
      </w:r>
      <w:r>
        <w:rPr/>
        <w:t>）持有金融企业股权情况</w:t>
      </w:r>
    </w:p>
    <w:p>
      <w:pPr>
        <w:pStyle w:val="BodyText"/>
        <w:spacing w:line="348" w:lineRule="auto" w:before="103"/>
        <w:ind w:left="153" w:right="70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53"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19"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2313" w:space="6605"/>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3"/>
        <w:gridCol w:w="943"/>
        <w:gridCol w:w="941"/>
        <w:gridCol w:w="946"/>
        <w:gridCol w:w="943"/>
        <w:gridCol w:w="943"/>
        <w:gridCol w:w="809"/>
        <w:gridCol w:w="1075"/>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北京惠捷 朗科技有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软件与信 息技术业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无线网优 测试</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60,754,601.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52,375,198.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15,861,306.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11,552,91</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2.67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9,725,745.62</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成都东方 通科技有 限责任公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87"/>
              <w:jc w:val="left"/>
              <w:rPr>
                <w:rFonts w:ascii="宋体" w:hAnsi="宋体" w:cs="宋体" w:eastAsia="宋体" w:hint="default"/>
                <w:sz w:val="18"/>
                <w:szCs w:val="18"/>
              </w:rPr>
            </w:pPr>
            <w:r>
              <w:rPr>
                <w:rFonts w:ascii="宋体" w:hAnsi="宋体" w:cs="宋体" w:eastAsia="宋体" w:hint="default"/>
                <w:sz w:val="18"/>
                <w:szCs w:val="18"/>
              </w:rPr>
              <w:t>软件与信 息技术业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87"/>
              <w:jc w:val="left"/>
              <w:rPr>
                <w:rFonts w:ascii="宋体" w:hAnsi="宋体" w:cs="宋体" w:eastAsia="宋体" w:hint="default"/>
                <w:sz w:val="18"/>
                <w:szCs w:val="18"/>
              </w:rPr>
            </w:pPr>
            <w:r>
              <w:rPr>
                <w:rFonts w:ascii="宋体" w:hAnsi="宋体" w:cs="宋体" w:eastAsia="宋体" w:hint="default"/>
                <w:sz w:val="18"/>
                <w:szCs w:val="18"/>
              </w:rPr>
              <w:t>中间件软 件</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28,086,058.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19,794,294.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21,089,245.</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7,014.34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2,476,607.44</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上海东方 通泰软件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7"/>
              <w:jc w:val="left"/>
              <w:rPr>
                <w:rFonts w:ascii="宋体" w:hAnsi="宋体" w:cs="宋体" w:eastAsia="宋体" w:hint="default"/>
                <w:sz w:val="18"/>
                <w:szCs w:val="18"/>
              </w:rPr>
            </w:pPr>
            <w:r>
              <w:rPr>
                <w:rFonts w:ascii="宋体" w:hAnsi="宋体" w:cs="宋体" w:eastAsia="宋体" w:hint="default"/>
                <w:sz w:val="18"/>
                <w:szCs w:val="18"/>
              </w:rPr>
              <w:t>软件与信 息技术业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7"/>
              <w:jc w:val="left"/>
              <w:rPr>
                <w:rFonts w:ascii="宋体" w:hAnsi="宋体" w:cs="宋体" w:eastAsia="宋体" w:hint="default"/>
                <w:sz w:val="18"/>
                <w:szCs w:val="18"/>
              </w:rPr>
            </w:pPr>
            <w:r>
              <w:rPr>
                <w:rFonts w:ascii="宋体" w:hAnsi="宋体" w:cs="宋体" w:eastAsia="宋体" w:hint="default"/>
                <w:sz w:val="18"/>
                <w:szCs w:val="18"/>
              </w:rPr>
              <w:t>中间件软 件</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47,957,229.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46,479,578.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16,916,060.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3,107,483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3,587,919.61</w:t>
            </w:r>
          </w:p>
        </w:tc>
      </w:tr>
    </w:tbl>
    <w:p>
      <w:pPr>
        <w:pStyle w:val="BodyText"/>
        <w:spacing w:line="357" w:lineRule="auto" w:before="49"/>
        <w:ind w:right="7254"/>
        <w:jc w:val="left"/>
      </w:pPr>
      <w:r>
        <w:rPr/>
        <w:t>主要子公司、参股公司情况说明 北京惠捷朗科技有限公司：</w:t>
      </w:r>
    </w:p>
    <w:p>
      <w:pPr>
        <w:pStyle w:val="BodyText"/>
        <w:spacing w:line="237" w:lineRule="exact"/>
        <w:ind w:right="0" w:firstLine="360"/>
        <w:jc w:val="left"/>
      </w:pPr>
      <w:r>
        <w:rPr/>
        <w:t>公司所属行业为信息技术业。产品是无线网络优化系列软件，包括</w:t>
      </w:r>
      <w:r>
        <w:rPr>
          <w:rFonts w:ascii="Times New Roman" w:hAnsi="Times New Roman" w:cs="Times New Roman" w:eastAsia="Times New Roman" w:hint="default"/>
        </w:rPr>
        <w:t>CDS</w:t>
      </w:r>
      <w:r>
        <w:rPr/>
        <w:t>（</w:t>
      </w:r>
      <w:r>
        <w:rPr>
          <w:rFonts w:ascii="Times New Roman" w:hAnsi="Times New Roman" w:cs="Times New Roman" w:eastAsia="Times New Roman" w:hint="default"/>
        </w:rPr>
        <w:t>Cellular</w:t>
      </w:r>
      <w:r>
        <w:rPr>
          <w:rFonts w:ascii="Times New Roman" w:hAnsi="Times New Roman" w:cs="Times New Roman" w:eastAsia="Times New Roman" w:hint="default"/>
          <w:spacing w:val="-25"/>
        </w:rPr>
        <w:t> </w:t>
      </w:r>
      <w:r>
        <w:rPr>
          <w:rFonts w:ascii="Times New Roman" w:hAnsi="Times New Roman" w:cs="Times New Roman" w:eastAsia="Times New Roman" w:hint="default"/>
        </w:rPr>
        <w:t>Drive</w:t>
      </w:r>
      <w:r>
        <w:rPr>
          <w:rFonts w:ascii="Times New Roman" w:hAnsi="Times New Roman" w:cs="Times New Roman" w:eastAsia="Times New Roman" w:hint="default"/>
          <w:spacing w:val="-24"/>
        </w:rPr>
        <w:t> </w:t>
      </w:r>
      <w:r>
        <w:rPr>
          <w:rFonts w:ascii="Times New Roman" w:hAnsi="Times New Roman" w:cs="Times New Roman" w:eastAsia="Times New Roman" w:hint="default"/>
        </w:rPr>
        <w:t>Test</w:t>
      </w:r>
      <w:r>
        <w:rPr>
          <w:rFonts w:ascii="Times New Roman" w:hAnsi="Times New Roman" w:cs="Times New Roman" w:eastAsia="Times New Roman" w:hint="default"/>
          <w:spacing w:val="-24"/>
        </w:rPr>
        <w:t> </w:t>
      </w:r>
      <w:r>
        <w:rPr>
          <w:rFonts w:ascii="Times New Roman" w:hAnsi="Times New Roman" w:cs="Times New Roman" w:eastAsia="Times New Roman" w:hint="default"/>
        </w:rPr>
        <w:t>System</w:t>
      </w:r>
      <w:r>
        <w:rPr/>
        <w:t>）测试软件、便携式</w:t>
      </w:r>
    </w:p>
    <w:p>
      <w:pPr>
        <w:pStyle w:val="BodyText"/>
        <w:spacing w:line="300" w:lineRule="auto" w:before="63"/>
        <w:ind w:right="194"/>
        <w:jc w:val="left"/>
      </w:pPr>
      <w:r>
        <w:rPr>
          <w:rFonts w:ascii="Times New Roman" w:hAnsi="Times New Roman" w:cs="Times New Roman" w:eastAsia="Times New Roman" w:hint="default"/>
        </w:rPr>
        <w:t>WLAN</w:t>
      </w:r>
      <w:r>
        <w:rPr/>
        <w:t>测试软件、手持式</w:t>
      </w:r>
      <w:r>
        <w:rPr>
          <w:rFonts w:ascii="Times New Roman" w:hAnsi="Times New Roman" w:cs="Times New Roman" w:eastAsia="Times New Roman" w:hint="default"/>
        </w:rPr>
        <w:t>WLAN</w:t>
      </w:r>
      <w:r>
        <w:rPr/>
        <w:t>测试软件、</w:t>
      </w:r>
      <w:r>
        <w:rPr>
          <w:rFonts w:ascii="Times New Roman" w:hAnsi="Times New Roman" w:cs="Times New Roman" w:eastAsia="Times New Roman" w:hint="default"/>
        </w:rPr>
        <w:t>WLAN</w:t>
      </w:r>
      <w:r>
        <w:rPr/>
        <w:t>网络客户感知分析系统、</w:t>
      </w:r>
      <w:r>
        <w:rPr>
          <w:rFonts w:ascii="Times New Roman" w:hAnsi="Times New Roman" w:cs="Times New Roman" w:eastAsia="Times New Roman" w:hint="default"/>
        </w:rPr>
        <w:t>WSA</w:t>
      </w:r>
      <w:r>
        <w:rPr/>
        <w:t>采集分析平台等。法定住所为北京市海淀 区花园路</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4</w:t>
      </w:r>
      <w:r>
        <w:rPr/>
        <w:t>号楼中城写字楼</w:t>
      </w:r>
      <w:r>
        <w:rPr>
          <w:rFonts w:ascii="Times New Roman" w:hAnsi="Times New Roman" w:cs="Times New Roman" w:eastAsia="Times New Roman" w:hint="default"/>
        </w:rPr>
        <w:t>503</w:t>
      </w:r>
      <w:r>
        <w:rPr/>
        <w:t>室，法定代表人李健。</w:t>
      </w:r>
    </w:p>
    <w:p>
      <w:pPr>
        <w:pStyle w:val="BodyText"/>
        <w:spacing w:line="316" w:lineRule="auto" w:before="13"/>
        <w:ind w:left="512" w:right="204" w:hanging="360"/>
        <w:jc w:val="left"/>
      </w:pPr>
      <w:r>
        <w:rPr/>
        <w:t>成都东方通科技有限责任公司： 公司经营范围为计算机软件开发、销售及技术服务。公司住所成都高新区天府大道中段</w:t>
      </w:r>
      <w:r>
        <w:rPr>
          <w:rFonts w:ascii="Times New Roman" w:hAnsi="Times New Roman" w:cs="Times New Roman" w:eastAsia="Times New Roman" w:hint="default"/>
        </w:rPr>
        <w:t>801</w:t>
      </w:r>
      <w:r>
        <w:rPr/>
        <w:t>号天府软件园</w:t>
      </w:r>
      <w:r>
        <w:rPr>
          <w:rFonts w:ascii="Times New Roman" w:hAnsi="Times New Roman" w:cs="Times New Roman" w:eastAsia="Times New Roman" w:hint="default"/>
        </w:rPr>
        <w:t>B3</w:t>
      </w:r>
      <w:r>
        <w:rPr/>
        <w:t>栋</w:t>
      </w:r>
      <w:r>
        <w:rPr>
          <w:rFonts w:ascii="Times New Roman" w:hAnsi="Times New Roman" w:cs="Times New Roman" w:eastAsia="Times New Roman" w:hint="default"/>
        </w:rPr>
        <w:t>4</w:t>
      </w:r>
      <w:r>
        <w:rPr/>
        <w:t>层，法</w:t>
      </w:r>
    </w:p>
    <w:p>
      <w:pPr>
        <w:pStyle w:val="BodyText"/>
        <w:spacing w:line="316" w:lineRule="auto"/>
        <w:ind w:right="7074"/>
        <w:jc w:val="left"/>
      </w:pPr>
      <w:r>
        <w:rPr/>
        <w:t>定代表人孙亚明。 上海东方通泰软件科技有限公司：</w:t>
      </w:r>
    </w:p>
    <w:p>
      <w:pPr>
        <w:pStyle w:val="BodyText"/>
        <w:spacing w:line="316" w:lineRule="auto" w:before="19"/>
        <w:ind w:right="306" w:firstLine="288"/>
        <w:jc w:val="left"/>
      </w:pPr>
      <w:r>
        <w:rPr/>
        <w:t>公司经营范围为在计算机软件科技专业领域内从事技术开发、技术咨询、技术转让、技术服务，计算机软件的销售。 公司住所江场三路</w:t>
      </w:r>
      <w:r>
        <w:rPr>
          <w:rFonts w:ascii="Times New Roman" w:hAnsi="Times New Roman" w:cs="Times New Roman" w:eastAsia="Times New Roman" w:hint="default"/>
        </w:rPr>
        <w:t>26</w:t>
      </w:r>
      <w:r>
        <w:rPr/>
        <w:t>、</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303</w:t>
      </w:r>
      <w:r>
        <w:rPr/>
        <w:t>室，法定代表人朱律玮。</w:t>
      </w:r>
    </w:p>
    <w:p>
      <w:pPr>
        <w:pStyle w:val="BodyText"/>
        <w:spacing w:line="240" w:lineRule="auto" w:before="40"/>
        <w:ind w:right="0"/>
        <w:jc w:val="left"/>
      </w:pPr>
      <w:r>
        <w:rPr/>
        <w:t>报告期内取得和处置子公司的情况</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465"/>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65"/>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2" w:right="94"/>
        <w:jc w:val="left"/>
      </w:pPr>
      <w:r>
        <w:rPr/>
        <w:t>（一）公司发展战略 当今，信息技术已经渗透到各行各业，成为社会经济发展的新一代基础设施，而软件在信息技术领域的地位也日益凸</w:t>
      </w:r>
    </w:p>
    <w:p>
      <w:pPr>
        <w:pStyle w:val="BodyText"/>
        <w:spacing w:line="316" w:lineRule="auto" w:before="18"/>
        <w:ind w:right="94"/>
        <w:jc w:val="left"/>
      </w:pPr>
      <w:r>
        <w:rPr>
          <w:spacing w:val="-4"/>
        </w:rPr>
        <w:t>显，具有广阔的市场成长空间。随着互联网、移动互联网、物联网的普及应用，软件基础设施目前正处于技术升级换代阶段，</w:t>
      </w:r>
      <w:r>
        <w:rPr>
          <w:spacing w:val="-45"/>
        </w:rPr>
        <w:t> </w:t>
      </w:r>
      <w:r>
        <w:rPr>
          <w:spacing w:val="-45"/>
        </w:rPr>
      </w:r>
      <w:r>
        <w:rPr>
          <w:spacing w:val="-2"/>
        </w:rPr>
        <w:t>新一代技术大多以开源形式出现，大大缩小了国内和先进国家的技术差距。于此同时，国家高度重视信息安全，给国内提供</w:t>
      </w:r>
      <w:r>
        <w:rPr>
          <w:spacing w:val="-64"/>
        </w:rPr>
        <w:t> </w:t>
      </w:r>
      <w:r>
        <w:rPr>
          <w:spacing w:val="-64"/>
        </w:rPr>
      </w:r>
      <w:r>
        <w:rPr>
          <w:spacing w:val="-2"/>
        </w:rPr>
        <w:t>软件基础设施相关企业的发展创造了良好的条件。在这样的大环境下，东方通作为目前唯一在国内上市的专业软件基础设施</w:t>
      </w:r>
      <w:r>
        <w:rPr>
          <w:spacing w:val="-64"/>
        </w:rPr>
        <w:t> </w:t>
      </w:r>
      <w:r>
        <w:rPr>
          <w:spacing w:val="-64"/>
        </w:rPr>
      </w:r>
      <w:r>
        <w:rPr/>
        <w:t>提供商，面临着难得的历史发展机遇。</w:t>
      </w:r>
    </w:p>
    <w:p>
      <w:pPr>
        <w:pStyle w:val="BodyText"/>
        <w:spacing w:line="309" w:lineRule="auto" w:before="18"/>
        <w:ind w:right="195" w:firstLine="419"/>
        <w:jc w:val="both"/>
      </w:pPr>
      <w:r>
        <w:rPr/>
        <w:t>公司将继续秉承责任、信任、创新、共赢的核心价值观进行</w:t>
      </w:r>
      <w:r>
        <w:rPr>
          <w:rFonts w:ascii="Times New Roman" w:hAnsi="Times New Roman" w:cs="Times New Roman" w:eastAsia="Times New Roman" w:hint="default"/>
        </w:rPr>
        <w:t>“</w:t>
      </w:r>
      <w:r>
        <w:rPr/>
        <w:t>二次创业</w:t>
      </w:r>
      <w:r>
        <w:rPr>
          <w:rFonts w:ascii="Times New Roman" w:hAnsi="Times New Roman" w:cs="Times New Roman" w:eastAsia="Times New Roman" w:hint="default"/>
        </w:rPr>
        <w:t>”</w:t>
      </w:r>
      <w:r>
        <w:rPr/>
        <w:t>，充分发挥上市公司优势，采用内生与外延并 </w:t>
      </w:r>
      <w:r>
        <w:rPr>
          <w:spacing w:val="-2"/>
        </w:rPr>
        <w:t>举的方式，积极进取、整合资源，快速在云计算、大数据、移动互联、物联网等新一代技术领域布局，成为国内软件基础设</w:t>
      </w:r>
      <w:r>
        <w:rPr>
          <w:spacing w:val="-73"/>
        </w:rPr>
        <w:t> </w:t>
      </w:r>
      <w:r>
        <w:rPr>
          <w:spacing w:val="-73"/>
        </w:rPr>
      </w:r>
      <w:r>
        <w:rPr/>
        <w:t>施产品、解决方案及运营服务的领导供应商，为客户创造价值、为员工创造幸福、为股东创造利益、为社会做出贡献。</w:t>
      </w:r>
    </w:p>
    <w:p>
      <w:pPr>
        <w:pStyle w:val="BodyText"/>
        <w:spacing w:line="240" w:lineRule="auto" w:before="24"/>
        <w:ind w:left="572" w:right="465"/>
        <w:jc w:val="left"/>
      </w:pPr>
      <w:r>
        <w:rPr/>
        <w:t>（二）</w:t>
      </w:r>
      <w:r>
        <w:rPr>
          <w:rFonts w:ascii="Times New Roman" w:hAnsi="Times New Roman" w:cs="Times New Roman" w:eastAsia="Times New Roman" w:hint="default"/>
        </w:rPr>
        <w:t>2015</w:t>
      </w:r>
      <w:r>
        <w:rPr/>
        <w:t>年经营计划</w:t>
      </w:r>
    </w:p>
    <w:p>
      <w:pPr>
        <w:pStyle w:val="BodyText"/>
        <w:spacing w:line="300" w:lineRule="auto" w:before="62"/>
        <w:ind w:right="111" w:firstLine="419"/>
        <w:jc w:val="both"/>
      </w:pPr>
      <w:r>
        <w:rPr>
          <w:rFonts w:ascii="Times New Roman" w:hAnsi="Times New Roman" w:cs="Times New Roman" w:eastAsia="Times New Roman" w:hint="default"/>
        </w:rPr>
        <w:t>2015</w:t>
      </w:r>
      <w:r>
        <w:rPr/>
        <w:t>年将会是公司加速整体战略布局的一年，公司将在实现</w:t>
      </w:r>
      <w:r>
        <w:rPr>
          <w:rFonts w:ascii="Times New Roman" w:hAnsi="Times New Roman" w:cs="Times New Roman" w:eastAsia="Times New Roman" w:hint="default"/>
        </w:rPr>
        <w:t>30%</w:t>
      </w:r>
      <w:r>
        <w:rPr/>
        <w:t>以上业绩增长的基础上通过加大内部投入及外部并购</w:t>
      </w:r>
      <w:r>
        <w:rPr>
          <w:spacing w:val="2"/>
        </w:rPr>
        <w:t> </w:t>
      </w:r>
      <w:r>
        <w:rPr/>
        <w:t>力度等方式完善在新一代软件基础设施领域的布局，同时进一步加强内部管理、提升效率，为公司未来加速发展奠定基础。</w:t>
      </w:r>
    </w:p>
    <w:p>
      <w:pPr>
        <w:pStyle w:val="BodyText"/>
        <w:spacing w:line="240" w:lineRule="auto" w:before="31"/>
        <w:ind w:left="678" w:right="465"/>
        <w:jc w:val="left"/>
      </w:pPr>
      <w:r>
        <w:rPr>
          <w:rFonts w:ascii="Times New Roman" w:hAnsi="Times New Roman" w:cs="Times New Roman" w:eastAsia="Times New Roman" w:hint="default"/>
        </w:rPr>
        <w:t>2015</w:t>
      </w:r>
      <w:r>
        <w:rPr/>
        <w:t>年公司将重点开展以下工作：</w:t>
      </w:r>
    </w:p>
    <w:p>
      <w:pPr>
        <w:pStyle w:val="BodyText"/>
        <w:spacing w:line="240" w:lineRule="auto" w:before="62"/>
        <w:ind w:left="572" w:right="465"/>
        <w:jc w:val="left"/>
      </w:pPr>
      <w:r>
        <w:rPr>
          <w:rFonts w:ascii="Times New Roman" w:hAnsi="Times New Roman" w:cs="Times New Roman" w:eastAsia="Times New Roman" w:hint="default"/>
        </w:rPr>
        <w:t>1</w:t>
      </w:r>
      <w:r>
        <w:rPr/>
        <w:t>、继续加强产品研发</w:t>
      </w:r>
    </w:p>
    <w:p>
      <w:pPr>
        <w:pStyle w:val="BodyText"/>
        <w:spacing w:line="300" w:lineRule="auto" w:before="62"/>
        <w:ind w:right="190" w:firstLine="419"/>
        <w:jc w:val="both"/>
      </w:pPr>
      <w:r>
        <w:rPr>
          <w:spacing w:val="-2"/>
        </w:rPr>
        <w:t>（</w:t>
      </w:r>
      <w:r>
        <w:rPr>
          <w:rFonts w:ascii="Times New Roman" w:hAnsi="Times New Roman" w:cs="Times New Roman" w:eastAsia="Times New Roman" w:hint="default"/>
          <w:spacing w:val="-2"/>
        </w:rPr>
        <w:t>1</w:t>
      </w:r>
      <w:r>
        <w:rPr>
          <w:spacing w:val="-2"/>
        </w:rPr>
        <w:t>）标准中间件产品方向：</w:t>
      </w:r>
      <w:r>
        <w:rPr>
          <w:rFonts w:ascii="Times New Roman" w:hAnsi="Times New Roman" w:cs="Times New Roman" w:eastAsia="Times New Roman" w:hint="default"/>
          <w:spacing w:val="-2"/>
        </w:rPr>
        <w:t>2015</w:t>
      </w:r>
      <w:r>
        <w:rPr>
          <w:spacing w:val="-2"/>
        </w:rPr>
        <w:t>年一季度，公司上市时规划的原</w:t>
      </w:r>
      <w:r>
        <w:rPr>
          <w:rFonts w:ascii="Times New Roman" w:hAnsi="Times New Roman" w:cs="Times New Roman" w:eastAsia="Times New Roman" w:hint="default"/>
          <w:spacing w:val="-2"/>
        </w:rPr>
        <w:t>Tong</w:t>
      </w:r>
      <w:r>
        <w:rPr>
          <w:spacing w:val="-2"/>
        </w:rPr>
        <w:t>系列产品中间件升级项目功能点均已实现，进行</w:t>
      </w:r>
      <w:r>
        <w:rPr/>
        <w:t> </w:t>
      </w:r>
      <w:r>
        <w:rPr>
          <w:spacing w:val="-1"/>
        </w:rPr>
        <w:t>全面结项。计划推出支持国产数据库适配的</w:t>
      </w:r>
      <w:r>
        <w:rPr>
          <w:rFonts w:ascii="Times New Roman" w:hAnsi="Times New Roman" w:cs="Times New Roman" w:eastAsia="Times New Roman" w:hint="default"/>
          <w:spacing w:val="-1"/>
        </w:rPr>
        <w:t>ETL</w:t>
      </w:r>
      <w:r>
        <w:rPr>
          <w:spacing w:val="-1"/>
        </w:rPr>
        <w:t>产品以及云应用服务器；推出安全版系列中间件产品；推出更易用、智能维</w:t>
      </w:r>
      <w:r>
        <w:rPr/>
        <w:t> 护版的系列中间件产品。</w:t>
      </w:r>
    </w:p>
    <w:p>
      <w:pPr>
        <w:pStyle w:val="BodyText"/>
        <w:spacing w:line="300" w:lineRule="auto" w:before="31"/>
        <w:ind w:right="190" w:firstLine="419"/>
        <w:jc w:val="both"/>
      </w:pPr>
      <w:r>
        <w:rPr>
          <w:spacing w:val="-1"/>
        </w:rPr>
        <w:t>（</w:t>
      </w:r>
      <w:r>
        <w:rPr>
          <w:rFonts w:ascii="Times New Roman" w:hAnsi="Times New Roman" w:cs="Times New Roman" w:eastAsia="Times New Roman" w:hint="default"/>
          <w:spacing w:val="-1"/>
        </w:rPr>
        <w:t>2</w:t>
      </w:r>
      <w:r>
        <w:rPr>
          <w:spacing w:val="-1"/>
        </w:rPr>
        <w:t>）平台类产品方向：完善数据交换产品的功能，开发新的升级版本；适应新一代的云与物联网特性，推出新一代通</w:t>
      </w:r>
      <w:r>
        <w:rPr/>
        <w:t> 用文件传输产品版本</w:t>
      </w:r>
      <w:r>
        <w:rPr>
          <w:rFonts w:ascii="Times New Roman" w:hAnsi="Times New Roman" w:cs="Times New Roman" w:eastAsia="Times New Roman" w:hint="default"/>
        </w:rPr>
        <w:t>GTP8.0</w:t>
      </w:r>
      <w:r>
        <w:rPr/>
        <w:t>；创新产品</w:t>
      </w:r>
      <w:r>
        <w:rPr>
          <w:rFonts w:ascii="Times New Roman" w:hAnsi="Times New Roman" w:cs="Times New Roman" w:eastAsia="Times New Roman" w:hint="default"/>
        </w:rPr>
        <w:t>TongLB</w:t>
      </w:r>
      <w:r>
        <w:rPr/>
        <w:t>与公司现有产品融合实现升级。开发针对数据中心的灾备等方向的平台新产 品。</w:t>
      </w:r>
    </w:p>
    <w:p>
      <w:pPr>
        <w:pStyle w:val="BodyText"/>
        <w:spacing w:line="300" w:lineRule="auto" w:before="31"/>
        <w:ind w:left="153" w:right="94" w:firstLine="419"/>
        <w:jc w:val="left"/>
      </w:pPr>
      <w:r>
        <w:rPr/>
        <w:t>（</w:t>
      </w:r>
      <w:r>
        <w:rPr>
          <w:rFonts w:ascii="Times New Roman" w:hAnsi="Times New Roman" w:cs="Times New Roman" w:eastAsia="Times New Roman" w:hint="default"/>
        </w:rPr>
        <w:t>3</w:t>
      </w:r>
      <w:r>
        <w:rPr/>
        <w:t>）虚拟化产品方向：在虚拟化平台</w:t>
      </w:r>
      <w:r>
        <w:rPr>
          <w:rFonts w:ascii="Times New Roman" w:hAnsi="Times New Roman" w:cs="Times New Roman" w:eastAsia="Times New Roman" w:hint="default"/>
        </w:rPr>
        <w:t>V4.5</w:t>
      </w:r>
      <w:r>
        <w:rPr/>
        <w:t>基础之上实现网络虚拟化、</w:t>
      </w:r>
      <w:r>
        <w:rPr>
          <w:rFonts w:ascii="Times New Roman" w:hAnsi="Times New Roman" w:cs="Times New Roman" w:eastAsia="Times New Roman" w:hint="default"/>
        </w:rPr>
        <w:t>B/S</w:t>
      </w:r>
      <w:r>
        <w:rPr/>
        <w:t>管理架构等大功能模块的整合同时实现与第 三方安全产品的融合对接；进一步丰富虚拟化产品功能，整合分布式存储和云管理平台</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推出</w:t>
      </w:r>
      <w:r>
        <w:rPr>
          <w:rFonts w:ascii="Times New Roman" w:hAnsi="Times New Roman" w:cs="Times New Roman" w:eastAsia="Times New Roman" w:hint="default"/>
        </w:rPr>
        <w:t>V5.0</w:t>
      </w:r>
      <w:r>
        <w:rPr/>
        <w:t>新版本。</w:t>
      </w:r>
    </w:p>
    <w:p>
      <w:pPr>
        <w:pStyle w:val="BodyText"/>
        <w:spacing w:line="300" w:lineRule="auto" w:before="13"/>
        <w:ind w:left="153" w:right="94" w:firstLine="419"/>
        <w:jc w:val="left"/>
      </w:pPr>
      <w:r>
        <w:rPr>
          <w:spacing w:val="-2"/>
        </w:rPr>
        <w:t>（</w:t>
      </w:r>
      <w:r>
        <w:rPr>
          <w:rFonts w:ascii="Times New Roman" w:hAnsi="Times New Roman" w:cs="Times New Roman" w:eastAsia="Times New Roman" w:hint="default"/>
          <w:spacing w:val="-2"/>
        </w:rPr>
        <w:t>4</w:t>
      </w:r>
      <w:r>
        <w:rPr>
          <w:spacing w:val="-2"/>
        </w:rPr>
        <w:t>）大数据应用方向：继续加强云计算、大数据以及物联网为代表的新技术的产品研发。重点布局内生式大数据创新</w:t>
      </w:r>
      <w:r>
        <w:rPr/>
        <w:t> 业务模式，主要针对智慧城市大数据中心相关投资运营类应用项目进行研发。</w:t>
      </w:r>
    </w:p>
    <w:p>
      <w:pPr>
        <w:pStyle w:val="BodyText"/>
        <w:spacing w:line="300" w:lineRule="auto" w:before="31"/>
        <w:ind w:left="153" w:right="209" w:firstLine="419"/>
        <w:jc w:val="left"/>
      </w:pPr>
      <w:r>
        <w:rPr/>
        <w:t>（</w:t>
      </w:r>
      <w:r>
        <w:rPr>
          <w:rFonts w:ascii="Times New Roman" w:hAnsi="Times New Roman" w:cs="Times New Roman" w:eastAsia="Times New Roman" w:hint="default"/>
        </w:rPr>
        <w:t>5</w:t>
      </w:r>
      <w:r>
        <w:rPr/>
        <w:t>）网络优化方向：在手持终端领域积极探索深度数据挖掘和分析研究，在</w:t>
      </w:r>
      <w:r>
        <w:rPr>
          <w:rFonts w:ascii="Times New Roman" w:hAnsi="Times New Roman" w:cs="Times New Roman" w:eastAsia="Times New Roman" w:hint="default"/>
        </w:rPr>
        <w:t>PC</w:t>
      </w:r>
      <w:r>
        <w:rPr/>
        <w:t>版软件积极研究端到端的优化方案及</w:t>
      </w:r>
      <w:r>
        <w:rPr>
          <w:spacing w:val="2"/>
        </w:rPr>
        <w:t> </w:t>
      </w:r>
      <w:r>
        <w:rPr/>
        <w:t>数据分析。开展</w:t>
      </w:r>
      <w:r>
        <w:rPr>
          <w:rFonts w:ascii="Times New Roman" w:hAnsi="Times New Roman" w:cs="Times New Roman" w:eastAsia="Times New Roman" w:hint="default"/>
        </w:rPr>
        <w:t>LTE</w:t>
      </w:r>
      <w:r>
        <w:rPr/>
        <w:t>载波聚合功能的测试研究。</w:t>
      </w:r>
    </w:p>
    <w:p>
      <w:pPr>
        <w:pStyle w:val="BodyText"/>
        <w:spacing w:line="300" w:lineRule="auto" w:before="13"/>
        <w:ind w:left="573" w:right="94"/>
        <w:jc w:val="left"/>
      </w:pPr>
      <w:r>
        <w:rPr>
          <w:rFonts w:ascii="Times New Roman" w:hAnsi="Times New Roman" w:cs="Times New Roman" w:eastAsia="Times New Roman" w:hint="default"/>
        </w:rPr>
        <w:t>2</w:t>
      </w:r>
      <w:r>
        <w:rPr/>
        <w:t>、加大品牌宣传投入力度，加强渠道伙伴建设 公司将加强品牌宣传的市场投入，重塑品牌形象，为公司持续健康发展打下品牌基础。另外，加强渠道伙伴合作，拓</w:t>
      </w:r>
    </w:p>
    <w:p>
      <w:pPr>
        <w:pStyle w:val="BodyText"/>
        <w:spacing w:line="240" w:lineRule="auto" w:before="31"/>
        <w:ind w:left="153" w:right="0"/>
        <w:jc w:val="both"/>
      </w:pPr>
      <w:r>
        <w:rPr/>
        <w:t>展引进总代和分销机制，实行分级授权，并加强对合作伙伴的认证和培训。</w:t>
      </w:r>
    </w:p>
    <w:p>
      <w:pPr>
        <w:pStyle w:val="BodyText"/>
        <w:spacing w:line="300" w:lineRule="auto" w:before="76"/>
        <w:ind w:left="573" w:right="94"/>
        <w:jc w:val="left"/>
      </w:pPr>
      <w:r>
        <w:rPr>
          <w:rFonts w:ascii="Times New Roman" w:hAnsi="Times New Roman" w:cs="Times New Roman" w:eastAsia="Times New Roman" w:hint="default"/>
        </w:rPr>
        <w:t>3</w:t>
      </w:r>
      <w:r>
        <w:rPr/>
        <w:t>、提升营销能力，积极拓展市场 倡导全员营销理念，宣贯公司发展战略，进一步实行扁平化管理，划小销售团队，取消行业和区域市场壁垒，关注新</w:t>
      </w:r>
    </w:p>
    <w:p>
      <w:pPr>
        <w:pStyle w:val="BodyText"/>
        <w:spacing w:line="316" w:lineRule="auto" w:before="31"/>
        <w:ind w:left="153" w:right="190"/>
        <w:jc w:val="both"/>
      </w:pPr>
      <w:r>
        <w:rPr>
          <w:spacing w:val="-2"/>
        </w:rPr>
        <w:t>兴市场出现的商机，实行以目标为导向的有竞争力的薪酬体系，突出以现金流为核心的市场营销，加大回款力度。同时强化</w:t>
      </w:r>
      <w:r>
        <w:rPr>
          <w:spacing w:val="-64"/>
        </w:rPr>
        <w:t> </w:t>
      </w:r>
      <w:r>
        <w:rPr>
          <w:spacing w:val="-64"/>
        </w:rPr>
      </w:r>
      <w:r>
        <w:rPr>
          <w:spacing w:val="-2"/>
        </w:rPr>
        <w:t>对营销中心在新产品、新业务、新技术领域和商务方面的培训，与各产品部门良好配合和协作，快速适应由专业的中间件产</w:t>
      </w:r>
      <w:r>
        <w:rPr>
          <w:spacing w:val="-65"/>
        </w:rPr>
        <w:t> </w:t>
      </w:r>
      <w:r>
        <w:rPr>
          <w:spacing w:val="-65"/>
        </w:rPr>
      </w:r>
      <w:r>
        <w:rPr/>
        <w:t>品公司向新一代软件基础设施提供商转变的步伐。</w:t>
      </w:r>
    </w:p>
    <w:p>
      <w:pPr>
        <w:pStyle w:val="BodyText"/>
        <w:spacing w:line="300" w:lineRule="auto" w:before="18"/>
        <w:ind w:left="573" w:right="94"/>
        <w:jc w:val="left"/>
      </w:pPr>
      <w:r>
        <w:rPr>
          <w:rFonts w:ascii="Times New Roman" w:hAnsi="Times New Roman" w:cs="Times New Roman" w:eastAsia="Times New Roman" w:hint="default"/>
        </w:rPr>
        <w:t>4</w:t>
      </w:r>
      <w:r>
        <w:rPr/>
        <w:t>、继续积极探索外延式发展，进一步完善公司的产业战略布局 充分利用资本市场，积极寻求在基础软件、云计算、大数据、物联网、移动互联等领域外延式发展机会，通过投资、</w:t>
      </w:r>
    </w:p>
    <w:p>
      <w:pPr>
        <w:pStyle w:val="BodyText"/>
        <w:spacing w:line="240" w:lineRule="auto" w:before="31"/>
        <w:ind w:left="153" w:right="0"/>
        <w:jc w:val="both"/>
      </w:pPr>
      <w:r>
        <w:rPr/>
        <w:t>并购、合作等多种方式，加快新一代软件基础设施提供商的战略布局，提升公司业绩，并做好技术和通道的准备，择机进入</w:t>
      </w:r>
    </w:p>
    <w:p>
      <w:pPr>
        <w:spacing w:after="0" w:line="24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海外市场。</w:t>
      </w:r>
    </w:p>
    <w:p>
      <w:pPr>
        <w:pStyle w:val="BodyText"/>
        <w:spacing w:line="316" w:lineRule="auto" w:before="76"/>
        <w:ind w:right="196" w:firstLine="419"/>
        <w:jc w:val="both"/>
      </w:pPr>
      <w:r>
        <w:rPr/>
        <w:t>公司将加快推进收购北京惠捷朗科技有限公司的后续整合工作。计划上半年完成对子公司北京同德一心科技有限公司 的吸收合并，完成注销手续。</w:t>
      </w:r>
    </w:p>
    <w:p>
      <w:pPr>
        <w:pStyle w:val="BodyText"/>
        <w:spacing w:line="300" w:lineRule="auto" w:before="18"/>
        <w:ind w:left="572" w:right="94"/>
        <w:jc w:val="left"/>
      </w:pPr>
      <w:r>
        <w:rPr>
          <w:rFonts w:ascii="Times New Roman" w:hAnsi="Times New Roman" w:cs="Times New Roman" w:eastAsia="Times New Roman" w:hint="default"/>
        </w:rPr>
        <w:t>5</w:t>
      </w:r>
      <w:r>
        <w:rPr/>
        <w:t>、计划实施再融资，为公司战略布局的投入储备资金 鉴于截止本报告日，前次募集资金已实施完毕并结项，公司计划在</w:t>
      </w:r>
      <w:r>
        <w:rPr>
          <w:rFonts w:ascii="Times New Roman" w:hAnsi="Times New Roman" w:cs="Times New Roman" w:eastAsia="Times New Roman" w:hint="default"/>
        </w:rPr>
        <w:t>2015</w:t>
      </w:r>
      <w:r>
        <w:rPr/>
        <w:t>年度以非公开发行股票方式进行再融资。围绕</w:t>
      </w:r>
    </w:p>
    <w:p>
      <w:pPr>
        <w:pStyle w:val="BodyText"/>
        <w:spacing w:line="316" w:lineRule="auto" w:before="13"/>
        <w:ind w:right="94"/>
        <w:jc w:val="left"/>
      </w:pPr>
      <w:r>
        <w:rPr>
          <w:spacing w:val="-2"/>
        </w:rPr>
        <w:t>公司内生和外延发展的战略布局，发挥募集资金投资项目整体协同效应，更好地实现公司战略目标。同时，公司将加强募集</w:t>
      </w:r>
      <w:r>
        <w:rPr>
          <w:spacing w:val="-64"/>
        </w:rPr>
        <w:t> </w:t>
      </w:r>
      <w:r>
        <w:rPr>
          <w:spacing w:val="-64"/>
        </w:rPr>
      </w:r>
      <w:r>
        <w:rPr/>
        <w:t>资金和日常流动资金的管理工作，提高资金使用效率和效率。</w:t>
      </w:r>
    </w:p>
    <w:p>
      <w:pPr>
        <w:pStyle w:val="BodyText"/>
        <w:spacing w:line="300" w:lineRule="auto" w:before="18"/>
        <w:ind w:left="572" w:right="86"/>
        <w:jc w:val="left"/>
      </w:pPr>
      <w:r>
        <w:rPr>
          <w:rFonts w:ascii="Times New Roman" w:hAnsi="Times New Roman" w:cs="Times New Roman" w:eastAsia="Times New Roman" w:hint="default"/>
        </w:rPr>
        <w:t>6</w:t>
      </w:r>
      <w:r>
        <w:rPr/>
        <w:t>、深化自主管理，全面提升企业管理水平 </w:t>
      </w:r>
      <w:r>
        <w:rPr>
          <w:spacing w:val="-1"/>
        </w:rPr>
        <w:t>进一步强化财务管理，充分发挥财务预算、计划、控制职能作用。进一步加强人力资源管理，完善组织绩效管理框架，</w:t>
      </w:r>
    </w:p>
    <w:p>
      <w:pPr>
        <w:pStyle w:val="BodyText"/>
        <w:spacing w:line="316" w:lineRule="auto" w:before="31"/>
        <w:ind w:right="195"/>
        <w:jc w:val="both"/>
      </w:pPr>
      <w:r>
        <w:rPr>
          <w:spacing w:val="-2"/>
        </w:rPr>
        <w:t>以及绩效考核机制和激励机制。引进高端人才，加强人才梯队建设，夯实人才基础。优化公司组织机构和人员结构，降低公</w:t>
      </w:r>
      <w:r>
        <w:rPr>
          <w:spacing w:val="-67"/>
        </w:rPr>
        <w:t> </w:t>
      </w:r>
      <w:r>
        <w:rPr>
          <w:spacing w:val="-67"/>
        </w:rPr>
      </w:r>
      <w:r>
        <w:rPr>
          <w:spacing w:val="-2"/>
        </w:rPr>
        <w:t>司运营成本。同时，加强内部审计对制度流程的监督检查。进一步加强企业文化建设，健全内部管理制度体系，为今后公司</w:t>
      </w:r>
      <w:r>
        <w:rPr>
          <w:spacing w:val="-67"/>
        </w:rPr>
        <w:t> </w:t>
      </w:r>
      <w:r>
        <w:rPr>
          <w:spacing w:val="-67"/>
        </w:rPr>
      </w:r>
      <w:r>
        <w:rPr/>
        <w:t>实行集团化管控奠定基础，促进公司长期可持续健康发展。</w:t>
      </w:r>
    </w:p>
    <w:p>
      <w:pPr>
        <w:pStyle w:val="BodyText"/>
        <w:spacing w:line="300" w:lineRule="auto" w:before="18"/>
        <w:ind w:left="572" w:right="94"/>
        <w:jc w:val="left"/>
      </w:pPr>
      <w:r>
        <w:rPr>
          <w:rFonts w:ascii="Times New Roman" w:hAnsi="Times New Roman" w:cs="Times New Roman" w:eastAsia="Times New Roman" w:hint="default"/>
        </w:rPr>
        <w:t>7</w:t>
      </w:r>
      <w:r>
        <w:rPr/>
        <w:t>、进一步加强投资者关系管理工作以及对董监高人员的培训 公司将进一步加强投资者关系管理工作，提升管理水平。通过各种形式提高与投资者互动交流的质量和效率，促进公</w:t>
      </w:r>
    </w:p>
    <w:p>
      <w:pPr>
        <w:pStyle w:val="BodyText"/>
        <w:spacing w:line="316" w:lineRule="auto" w:before="31"/>
        <w:ind w:right="94"/>
        <w:jc w:val="left"/>
      </w:pPr>
      <w:r>
        <w:rPr>
          <w:spacing w:val="-2"/>
        </w:rPr>
        <w:t>司与投资者之间建立长期、良好、融洽的互动关系，维护公司良好市场形象。同时，向董监高人员、核心员工及时宣贯监管</w:t>
      </w:r>
      <w:r>
        <w:rPr>
          <w:spacing w:val="-68"/>
        </w:rPr>
        <w:t> </w:t>
      </w:r>
      <w:r>
        <w:rPr>
          <w:spacing w:val="-68"/>
        </w:rPr>
      </w:r>
      <w:r>
        <w:rPr/>
        <w:t>部门管理理念和政策，进一步增强风险意识和相关培训，完善公司治理结构。</w:t>
      </w:r>
    </w:p>
    <w:p>
      <w:pPr>
        <w:pStyle w:val="BodyText"/>
        <w:spacing w:line="316" w:lineRule="auto" w:before="18"/>
        <w:ind w:right="196" w:firstLine="419"/>
        <w:jc w:val="both"/>
      </w:pPr>
      <w:r>
        <w:rPr/>
        <w:t>以上经营计划并不构成本公司对投资者及相关人士的承诺，请投资者及相关人士对此保持足够的风险认识，并应当理 解计划、预测与承诺之间的差异。</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3"/>
        <w:ind w:right="190" w:firstLine="419"/>
        <w:jc w:val="both"/>
      </w:pPr>
      <w:r>
        <w:rPr/>
        <w:t>财政部于</w:t>
      </w:r>
      <w:r>
        <w:rPr>
          <w:rFonts w:ascii="宋体" w:hAnsi="宋体" w:cs="宋体" w:eastAsia="宋体" w:hint="default"/>
        </w:rPr>
        <w:t>2014</w:t>
      </w:r>
      <w:r>
        <w:rPr/>
        <w:t>年依次修订，或者新颁布了《企业会计准则第</w:t>
      </w:r>
      <w:r>
        <w:rPr>
          <w:rFonts w:ascii="宋体" w:hAnsi="宋体" w:cs="宋体" w:eastAsia="宋体" w:hint="default"/>
        </w:rPr>
        <w:t>39</w:t>
      </w:r>
      <w:r>
        <w:rPr/>
        <w:t>号公允价值计量》、《企业会计准则第</w:t>
      </w:r>
      <w:r>
        <w:rPr>
          <w:rFonts w:ascii="宋体" w:hAnsi="宋体" w:cs="宋体" w:eastAsia="宋体" w:hint="default"/>
        </w:rPr>
        <w:t>30</w:t>
      </w:r>
      <w:r>
        <w:rPr/>
        <w:t>号财务报表列 </w:t>
      </w:r>
      <w:r>
        <w:rPr>
          <w:spacing w:val="-4"/>
        </w:rPr>
        <w:t>报》、《企业会计准则第</w:t>
      </w:r>
      <w:r>
        <w:rPr>
          <w:rFonts w:ascii="宋体" w:hAnsi="宋体" w:cs="宋体" w:eastAsia="宋体" w:hint="default"/>
          <w:spacing w:val="-4"/>
        </w:rPr>
        <w:t>9</w:t>
      </w:r>
      <w:r>
        <w:rPr>
          <w:spacing w:val="-4"/>
        </w:rPr>
        <w:t>号职工薪酬》、《企业会计准则第</w:t>
      </w:r>
      <w:r>
        <w:rPr>
          <w:rFonts w:ascii="宋体" w:hAnsi="宋体" w:cs="宋体" w:eastAsia="宋体" w:hint="default"/>
          <w:spacing w:val="-4"/>
        </w:rPr>
        <w:t>40</w:t>
      </w:r>
      <w:r>
        <w:rPr>
          <w:spacing w:val="-4"/>
        </w:rPr>
        <w:t>号合营安排》、《企业会计准则第</w:t>
      </w:r>
      <w:r>
        <w:rPr>
          <w:rFonts w:ascii="宋体" w:hAnsi="宋体" w:cs="宋体" w:eastAsia="宋体" w:hint="default"/>
          <w:spacing w:val="-4"/>
        </w:rPr>
        <w:t>33</w:t>
      </w:r>
      <w:r>
        <w:rPr>
          <w:spacing w:val="-4"/>
        </w:rPr>
        <w:t>号合并财务报表》、《企</w:t>
      </w:r>
      <w:r>
        <w:rPr>
          <w:spacing w:val="-36"/>
        </w:rPr>
        <w:t> </w:t>
      </w:r>
      <w:r>
        <w:rPr>
          <w:spacing w:val="-36"/>
        </w:rPr>
      </w:r>
      <w:r>
        <w:rPr/>
        <w:t>业会计准则第</w:t>
      </w:r>
      <w:r>
        <w:rPr>
          <w:rFonts w:ascii="宋体" w:hAnsi="宋体" w:cs="宋体" w:eastAsia="宋体" w:hint="default"/>
        </w:rPr>
        <w:t>2</w:t>
      </w:r>
      <w:r>
        <w:rPr/>
        <w:t>号长期股权投资》、《企业会计准则第</w:t>
      </w:r>
      <w:r>
        <w:rPr>
          <w:rFonts w:ascii="宋体" w:hAnsi="宋体" w:cs="宋体" w:eastAsia="宋体" w:hint="default"/>
        </w:rPr>
        <w:t>41</w:t>
      </w:r>
      <w:r>
        <w:rPr/>
        <w:t>号在其他主体中权益的披露》、《企业会计准则第</w:t>
      </w:r>
      <w:r>
        <w:rPr>
          <w:rFonts w:ascii="宋体" w:hAnsi="宋体" w:cs="宋体" w:eastAsia="宋体" w:hint="default"/>
        </w:rPr>
        <w:t>37</w:t>
      </w:r>
      <w:r>
        <w:rPr/>
        <w:t>号金融工具列</w:t>
      </w:r>
      <w:r>
        <w:rPr>
          <w:spacing w:val="-84"/>
        </w:rPr>
        <w:t> </w:t>
      </w:r>
      <w:r>
        <w:rPr>
          <w:spacing w:val="-2"/>
        </w:rPr>
        <w:t>报》、《企业会计准则</w:t>
      </w:r>
      <w:r>
        <w:rPr>
          <w:rFonts w:ascii="宋体" w:hAnsi="宋体" w:cs="宋体" w:eastAsia="宋体" w:hint="default"/>
          <w:spacing w:val="-2"/>
        </w:rPr>
        <w:t>——</w:t>
      </w:r>
      <w:r>
        <w:rPr>
          <w:spacing w:val="-2"/>
        </w:rPr>
        <w:t>基本准则》等企业会计准则。除《企业会计准则第</w:t>
      </w:r>
      <w:r>
        <w:rPr>
          <w:rFonts w:ascii="宋体" w:hAnsi="宋体" w:cs="宋体" w:eastAsia="宋体" w:hint="default"/>
          <w:spacing w:val="-2"/>
        </w:rPr>
        <w:t>37</w:t>
      </w:r>
      <w:r>
        <w:rPr>
          <w:spacing w:val="-2"/>
        </w:rPr>
        <w:t>号金融工具列报》、《企业会计准则</w:t>
      </w:r>
      <w:r>
        <w:rPr>
          <w:rFonts w:ascii="宋体" w:hAnsi="宋体" w:cs="宋体" w:eastAsia="宋体" w:hint="default"/>
          <w:spacing w:val="-2"/>
        </w:rPr>
        <w:t>——</w:t>
      </w:r>
      <w:r>
        <w:rPr>
          <w:spacing w:val="-2"/>
        </w:rPr>
        <w:t>基</w:t>
      </w:r>
      <w:r>
        <w:rPr>
          <w:spacing w:val="-68"/>
        </w:rPr>
        <w:t> </w:t>
      </w:r>
      <w:r>
        <w:rPr>
          <w:spacing w:val="-2"/>
        </w:rPr>
        <w:t>本准则》外，本公司及合并范围内子公司自</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日起执行，《企业会计准则第</w:t>
      </w:r>
      <w:r>
        <w:rPr>
          <w:rFonts w:ascii="宋体" w:hAnsi="宋体" w:cs="宋体" w:eastAsia="宋体" w:hint="default"/>
          <w:spacing w:val="-2"/>
        </w:rPr>
        <w:t>37</w:t>
      </w:r>
      <w:r>
        <w:rPr>
          <w:spacing w:val="-2"/>
        </w:rPr>
        <w:t>号金融工具列报》自</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日执</w:t>
      </w:r>
      <w:r>
        <w:rPr>
          <w:spacing w:val="-62"/>
        </w:rPr>
        <w:t> </w:t>
      </w:r>
      <w:r>
        <w:rPr/>
        <w:t>行，《企业会计准则</w:t>
      </w:r>
      <w:r>
        <w:rPr>
          <w:rFonts w:ascii="宋体" w:hAnsi="宋体" w:cs="宋体" w:eastAsia="宋体" w:hint="default"/>
        </w:rPr>
        <w:t>——</w:t>
      </w:r>
      <w:r>
        <w:rPr/>
        <w:t>基本准则》自</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23</w:t>
      </w:r>
      <w:r>
        <w:rPr/>
        <w:t>日执行。</w:t>
      </w:r>
    </w:p>
    <w:p>
      <w:pPr>
        <w:spacing w:line="240" w:lineRule="auto" w:before="4"/>
        <w:rPr>
          <w:rFonts w:ascii="宋体" w:hAnsi="宋体" w:cs="宋体" w:eastAsia="宋体" w:hint="default"/>
          <w:sz w:val="25"/>
          <w:szCs w:val="25"/>
        </w:rPr>
      </w:pPr>
    </w:p>
    <w:p>
      <w:pPr>
        <w:pStyle w:val="BodyText"/>
        <w:spacing w:line="316" w:lineRule="auto"/>
        <w:ind w:left="153" w:right="190" w:firstLine="419"/>
        <w:jc w:val="both"/>
      </w:pPr>
      <w:r>
        <w:rPr/>
        <w:t>依据上述企业会计准则，本公司将递延收益自其他非流动负债项目调整至递延收益项目列报，并调整了比较报表；将 应付职工薪酬的附注按修订后的《企业会计准则第</w:t>
      </w:r>
      <w:r>
        <w:rPr>
          <w:rFonts w:ascii="宋体" w:hAnsi="宋体" w:cs="宋体" w:eastAsia="宋体" w:hint="default"/>
        </w:rPr>
        <w:t>9</w:t>
      </w:r>
      <w:r>
        <w:rPr/>
        <w:t>号职工薪酬》进行了重分类调整；在其他主体中的权益，按《企业会计</w:t>
      </w:r>
      <w:r>
        <w:rPr>
          <w:spacing w:val="-84"/>
        </w:rPr>
        <w:t> </w:t>
      </w:r>
      <w:r>
        <w:rPr>
          <w:spacing w:val="-84"/>
        </w:rPr>
      </w:r>
      <w:r>
        <w:rPr>
          <w:spacing w:val="-2"/>
        </w:rPr>
        <w:t>准则第</w:t>
      </w:r>
      <w:r>
        <w:rPr>
          <w:rFonts w:ascii="宋体" w:hAnsi="宋体" w:cs="宋体" w:eastAsia="宋体" w:hint="default"/>
          <w:spacing w:val="-2"/>
        </w:rPr>
        <w:t>41</w:t>
      </w:r>
      <w:r>
        <w:rPr>
          <w:spacing w:val="-2"/>
        </w:rPr>
        <w:t>号在其他主体中权益的披露》对附注中相关披露进行了调整。除此外，上述修订，或者新颁布的企业会计准则对本</w:t>
      </w:r>
      <w:r>
        <w:rPr>
          <w:spacing w:val="-63"/>
        </w:rPr>
        <w:t> </w:t>
      </w:r>
      <w:r>
        <w:rPr>
          <w:spacing w:val="-63"/>
        </w:rPr>
      </w:r>
      <w:r>
        <w:rPr/>
        <w:t>公司无重大影响，对当期及列报前期净损益无影响。</w:t>
      </w:r>
    </w:p>
    <w:p>
      <w:pPr>
        <w:spacing w:line="240" w:lineRule="auto" w:before="4"/>
        <w:rPr>
          <w:rFonts w:ascii="宋体" w:hAnsi="宋体" w:cs="宋体" w:eastAsia="宋体" w:hint="default"/>
          <w:sz w:val="25"/>
          <w:szCs w:val="25"/>
        </w:rPr>
      </w:pPr>
    </w:p>
    <w:p>
      <w:pPr>
        <w:pStyle w:val="BodyText"/>
        <w:spacing w:line="240" w:lineRule="auto"/>
        <w:ind w:left="573" w:right="465"/>
        <w:jc w:val="left"/>
      </w:pPr>
      <w:r>
        <w:rPr/>
        <w:t>除上述外，本报告期公司其他会计政策未发生变更。</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4" w:firstLine="420"/>
        <w:jc w:val="left"/>
      </w:pP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18</w:t>
      </w:r>
      <w:r>
        <w:rPr>
          <w:spacing w:val="-3"/>
        </w:rPr>
        <w:t>日，经</w:t>
      </w:r>
      <w:r>
        <w:rPr>
          <w:rFonts w:ascii="宋体" w:hAnsi="宋体" w:cs="宋体" w:eastAsia="宋体" w:hint="default"/>
          <w:spacing w:val="-3"/>
        </w:rPr>
        <w:t>2013</w:t>
      </w:r>
      <w:r>
        <w:rPr>
          <w:spacing w:val="-3"/>
        </w:rPr>
        <w:t>年年度股东大会审议通过，公司</w:t>
      </w:r>
      <w:r>
        <w:rPr>
          <w:rFonts w:ascii="宋体" w:hAnsi="宋体" w:cs="宋体" w:eastAsia="宋体" w:hint="default"/>
          <w:spacing w:val="-3"/>
        </w:rPr>
        <w:t>2013</w:t>
      </w:r>
      <w:r>
        <w:rPr>
          <w:spacing w:val="-3"/>
        </w:rPr>
        <w:t>年年度权益分派方案为：以公司</w:t>
      </w:r>
      <w:r>
        <w:rPr>
          <w:rFonts w:ascii="宋体" w:hAnsi="宋体" w:cs="宋体" w:eastAsia="宋体" w:hint="default"/>
          <w:spacing w:val="-3"/>
        </w:rPr>
        <w:t>2014</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25</w:t>
      </w:r>
      <w:r>
        <w:rPr>
          <w:spacing w:val="-3"/>
        </w:rPr>
        <w:t>日</w:t>
      </w:r>
      <w:r>
        <w:rPr>
          <w:rFonts w:ascii="宋体" w:hAnsi="宋体" w:cs="宋体" w:eastAsia="宋体" w:hint="default"/>
          <w:spacing w:val="-3"/>
        </w:rPr>
        <w:t>51,433,181</w:t>
      </w:r>
      <w:r>
        <w:rPr>
          <w:rFonts w:ascii="宋体" w:hAnsi="宋体" w:cs="宋体" w:eastAsia="宋体" w:hint="default"/>
          <w:spacing w:val="1"/>
        </w:rPr>
        <w:t> </w:t>
      </w:r>
      <w:r>
        <w:rPr>
          <w:spacing w:val="-6"/>
        </w:rPr>
        <w:t>股总股本数为基数，向全体股东以未分配利润每</w:t>
      </w:r>
      <w:r>
        <w:rPr>
          <w:rFonts w:ascii="宋体" w:hAnsi="宋体" w:cs="宋体" w:eastAsia="宋体" w:hint="default"/>
          <w:spacing w:val="-6"/>
        </w:rPr>
        <w:t>10</w:t>
      </w:r>
      <w:r>
        <w:rPr>
          <w:spacing w:val="-6"/>
        </w:rPr>
        <w:t>股派发现金股利</w:t>
      </w:r>
      <w:r>
        <w:rPr>
          <w:rFonts w:ascii="宋体" w:hAnsi="宋体" w:cs="宋体" w:eastAsia="宋体" w:hint="default"/>
          <w:spacing w:val="-6"/>
        </w:rPr>
        <w:t>2</w:t>
      </w:r>
      <w:r>
        <w:rPr>
          <w:spacing w:val="-6"/>
        </w:rPr>
        <w:t>元（含税），共计派发现金红利</w:t>
      </w:r>
      <w:r>
        <w:rPr>
          <w:rFonts w:ascii="宋体" w:hAnsi="宋体" w:cs="宋体" w:eastAsia="宋体" w:hint="default"/>
          <w:spacing w:val="-6"/>
        </w:rPr>
        <w:t>10,286,636.20</w:t>
      </w:r>
      <w:r>
        <w:rPr>
          <w:spacing w:val="-6"/>
        </w:rPr>
        <w:t>元（含税）；</w:t>
      </w:r>
      <w:r>
        <w:rPr>
          <w:spacing w:val="-66"/>
        </w:rPr>
        <w:t> </w:t>
      </w:r>
      <w:r>
        <w:rPr>
          <w:spacing w:val="-66"/>
        </w:rPr>
      </w:r>
      <w:r>
        <w:rPr>
          <w:spacing w:val="-2"/>
        </w:rPr>
        <w:t>累计剩余未分配利润</w:t>
      </w:r>
      <w:r>
        <w:rPr>
          <w:rFonts w:ascii="宋体" w:hAnsi="宋体" w:cs="宋体" w:eastAsia="宋体" w:hint="default"/>
          <w:spacing w:val="-2"/>
        </w:rPr>
        <w:t>54,537,980.48</w:t>
      </w:r>
      <w:r>
        <w:rPr>
          <w:spacing w:val="-2"/>
        </w:rPr>
        <w:t>元。本次利润不送股、不转增。公司于</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日发布《</w:t>
      </w:r>
      <w:r>
        <w:rPr>
          <w:rFonts w:ascii="宋体" w:hAnsi="宋体" w:cs="宋体" w:eastAsia="宋体" w:hint="default"/>
          <w:spacing w:val="-2"/>
        </w:rPr>
        <w:t>2013</w:t>
      </w:r>
      <w:r>
        <w:rPr>
          <w:spacing w:val="-2"/>
        </w:rPr>
        <w:t>年年度权益分派实施公</w:t>
      </w:r>
      <w:r>
        <w:rPr>
          <w:spacing w:val="-49"/>
        </w:rPr>
        <w:t> </w:t>
      </w:r>
      <w:r>
        <w:rPr>
          <w:spacing w:val="-2"/>
        </w:rPr>
        <w:t>告》，本次权益分派股权登记日为：</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日，除权除息日为：</w:t>
      </w: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29</w:t>
      </w:r>
      <w:r>
        <w:rPr>
          <w:spacing w:val="-2"/>
        </w:rPr>
        <w:t>日。截止本报告期末，该利润分配方案已</w:t>
      </w:r>
      <w:r>
        <w:rPr>
          <w:spacing w:val="-62"/>
        </w:rPr>
        <w:t> </w:t>
      </w:r>
      <w:r>
        <w:rPr>
          <w:spacing w:val="-62"/>
        </w:rPr>
      </w:r>
      <w:r>
        <w:rPr/>
        <w:t>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4"/>
        <w:ind w:left="0" w:right="202"/>
        <w:jc w:val="right"/>
      </w:pPr>
      <w:r>
        <w:rPr/>
        <w:pict>
          <v:shape style="position:absolute;margin-left:56.400002pt;margin-top:-127.928253pt;width:479.2pt;height:297.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18" w:hRule="exact"/>
                    </w:trPr>
                    <w:tc>
                      <w:tcPr>
                        <w:tcW w:w="4783" w:type="dxa"/>
                        <w:tcBorders>
                          <w:top w:val="single" w:sz="4" w:space="0" w:color="000000"/>
                          <w:left w:val="single" w:sz="4" w:space="0" w:color="000000"/>
                          <w:bottom w:val="nil" w:sz="6" w:space="0" w:color="auto"/>
                          <w:right w:val="single" w:sz="4" w:space="0" w:color="000000"/>
                        </w:tcBorders>
                        <w:shd w:val="clear" w:color="auto" w:fill="D4D4D4"/>
                      </w:tcPr>
                      <w:p>
                        <w:pPr/>
                      </w:p>
                    </w:tc>
                    <w:tc>
                      <w:tcPr>
                        <w:tcW w:w="4786" w:type="dxa"/>
                        <w:vMerge w:val="restart"/>
                        <w:tcBorders>
                          <w:top w:val="single" w:sz="4" w:space="0" w:color="000000"/>
                          <w:left w:val="single" w:sz="4" w:space="0" w:color="000000"/>
                          <w:right w:val="single" w:sz="4" w:space="0" w:color="000000"/>
                        </w:tcBorders>
                      </w:tcPr>
                      <w:p>
                        <w:pPr>
                          <w:pStyle w:val="TableParagraph"/>
                          <w:spacing w:line="300"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年度利润分配预案》是严格按照《公司章程》中关于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现金分红政策执行，并经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 在规定时间内按决议严格实施。</w:t>
                        </w:r>
                      </w:p>
                    </w:tc>
                  </w:tr>
                  <w:tr>
                    <w:trPr>
                      <w:trHeight w:val="391" w:hRule="exact"/>
                    </w:trPr>
                    <w:tc>
                      <w:tcPr>
                        <w:tcW w:w="47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vMerge/>
                        <w:tcBorders>
                          <w:left w:val="single" w:sz="4" w:space="0" w:color="000000"/>
                          <w:right w:val="single" w:sz="4" w:space="0" w:color="000000"/>
                        </w:tcBorders>
                      </w:tcPr>
                      <w:p>
                        <w:pPr/>
                      </w:p>
                    </w:tc>
                  </w:tr>
                  <w:tr>
                    <w:trPr>
                      <w:trHeight w:val="317" w:hRule="exact"/>
                    </w:trPr>
                    <w:tc>
                      <w:tcPr>
                        <w:tcW w:w="4783" w:type="dxa"/>
                        <w:tcBorders>
                          <w:top w:val="nil" w:sz="6" w:space="0" w:color="auto"/>
                          <w:left w:val="single" w:sz="4" w:space="0" w:color="000000"/>
                          <w:bottom w:val="single" w:sz="4" w:space="0" w:color="000000"/>
                          <w:right w:val="single" w:sz="4" w:space="0" w:color="000000"/>
                        </w:tcBorders>
                        <w:shd w:val="clear" w:color="auto" w:fill="D4D4D4"/>
                      </w:tcPr>
                      <w:p>
                        <w:pPr/>
                      </w:p>
                    </w:tc>
                    <w:tc>
                      <w:tcPr>
                        <w:tcW w:w="4786" w:type="dxa"/>
                        <w:vMerge/>
                        <w:tcBorders>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分红标准和比例明确、清晰。</w:t>
                        </w:r>
                      </w:p>
                    </w:tc>
                  </w:tr>
                  <w:tr>
                    <w:trPr>
                      <w:trHeight w:val="162" w:hRule="exact"/>
                    </w:trPr>
                    <w:tc>
                      <w:tcPr>
                        <w:tcW w:w="4783" w:type="dxa"/>
                        <w:tcBorders>
                          <w:top w:val="single" w:sz="4" w:space="0" w:color="000000"/>
                          <w:left w:val="single" w:sz="4" w:space="0" w:color="000000"/>
                          <w:bottom w:val="nil" w:sz="6" w:space="0" w:color="auto"/>
                          <w:right w:val="single" w:sz="4" w:space="0" w:color="000000"/>
                        </w:tcBorders>
                        <w:shd w:val="clear" w:color="auto" w:fill="D4D4D4"/>
                      </w:tcPr>
                      <w:p>
                        <w:pPr/>
                      </w:p>
                    </w:tc>
                    <w:tc>
                      <w:tcPr>
                        <w:tcW w:w="4786" w:type="dxa"/>
                        <w:vMerge w:val="restart"/>
                        <w:tcBorders>
                          <w:top w:val="single" w:sz="4" w:space="0" w:color="000000"/>
                          <w:left w:val="single" w:sz="4" w:space="0" w:color="000000"/>
                          <w:right w:val="single" w:sz="4" w:space="0" w:color="000000"/>
                        </w:tcBorders>
                      </w:tcPr>
                      <w:p>
                        <w:pPr>
                          <w:pStyle w:val="TableParagraph"/>
                          <w:spacing w:line="297"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年度利润分配预案》已经董事会、监事会、股东大会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审议通过，履行了相关决策程序。</w:t>
                        </w:r>
                      </w:p>
                    </w:tc>
                  </w:tr>
                  <w:tr>
                    <w:trPr>
                      <w:trHeight w:val="391" w:hRule="exact"/>
                    </w:trPr>
                    <w:tc>
                      <w:tcPr>
                        <w:tcW w:w="47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vMerge/>
                        <w:tcBorders>
                          <w:left w:val="single" w:sz="4" w:space="0" w:color="000000"/>
                          <w:right w:val="single" w:sz="4" w:space="0" w:color="000000"/>
                        </w:tcBorders>
                      </w:tcPr>
                      <w:p>
                        <w:pPr/>
                      </w:p>
                    </w:tc>
                  </w:tr>
                  <w:tr>
                    <w:trPr>
                      <w:trHeight w:val="161" w:hRule="exact"/>
                    </w:trPr>
                    <w:tc>
                      <w:tcPr>
                        <w:tcW w:w="4783" w:type="dxa"/>
                        <w:tcBorders>
                          <w:top w:val="nil" w:sz="6" w:space="0" w:color="auto"/>
                          <w:left w:val="single" w:sz="4" w:space="0" w:color="000000"/>
                          <w:bottom w:val="single" w:sz="4" w:space="0" w:color="000000"/>
                          <w:right w:val="single" w:sz="4" w:space="0" w:color="000000"/>
                        </w:tcBorders>
                        <w:shd w:val="clear" w:color="auto" w:fill="D4D4D4"/>
                      </w:tcPr>
                      <w:p>
                        <w:pPr/>
                      </w:p>
                    </w:tc>
                    <w:tc>
                      <w:tcPr>
                        <w:tcW w:w="4786" w:type="dxa"/>
                        <w:vMerge/>
                        <w:tcBorders>
                          <w:left w:val="single" w:sz="4" w:space="0" w:color="000000"/>
                          <w:bottom w:val="single" w:sz="4" w:space="0" w:color="000000"/>
                          <w:right w:val="single" w:sz="4" w:space="0" w:color="000000"/>
                        </w:tcBorders>
                      </w:tcPr>
                      <w:p>
                        <w:pPr/>
                      </w:p>
                    </w:tc>
                  </w:tr>
                  <w:tr>
                    <w:trPr>
                      <w:trHeight w:val="785" w:hRule="exact"/>
                    </w:trPr>
                    <w:tc>
                      <w:tcPr>
                        <w:tcW w:w="4783" w:type="dxa"/>
                        <w:tcBorders>
                          <w:top w:val="single" w:sz="4" w:space="0" w:color="000000"/>
                          <w:left w:val="single" w:sz="4" w:space="0" w:color="000000"/>
                          <w:bottom w:val="nil" w:sz="6" w:space="0" w:color="auto"/>
                          <w:right w:val="single" w:sz="4" w:space="0" w:color="000000"/>
                        </w:tcBorders>
                        <w:shd w:val="clear" w:color="auto" w:fill="D4D4D4"/>
                      </w:tcPr>
                      <w:p>
                        <w:pPr/>
                      </w:p>
                    </w:tc>
                    <w:tc>
                      <w:tcPr>
                        <w:tcW w:w="4786"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pacing w:val="-7"/>
                            <w:sz w:val="18"/>
                            <w:szCs w:val="18"/>
                          </w:rPr>
                          <w:t>独立董事对《</w:t>
                        </w:r>
                        <w:r>
                          <w:rPr>
                            <w:rFonts w:ascii="Times New Roman" w:hAnsi="Times New Roman" w:cs="Times New Roman" w:eastAsia="Times New Roman" w:hint="default"/>
                            <w:spacing w:val="-7"/>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年度利润分配预案》发表了独立意见认为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年度利润分配方案符合《公司法》和《公司章程》 的有关规定，在综合考虑公司利润水平、未来发展潜力的前 提下，符合公司实际发展情况，与公司业绩成长相匹配，不 存在损害公司及全体股东尤其中小股东的利益，有利于公司 的正常经营和健康发展。</w:t>
                        </w:r>
                      </w:p>
                    </w:tc>
                  </w:tr>
                  <w:tr>
                    <w:trPr>
                      <w:trHeight w:val="391" w:hRule="exact"/>
                    </w:trPr>
                    <w:tc>
                      <w:tcPr>
                        <w:tcW w:w="47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vMerge/>
                        <w:tcBorders>
                          <w:left w:val="single" w:sz="4" w:space="0" w:color="000000"/>
                          <w:right w:val="single" w:sz="4" w:space="0" w:color="000000"/>
                        </w:tcBorders>
                      </w:tcPr>
                      <w:p>
                        <w:pPr/>
                      </w:p>
                    </w:tc>
                  </w:tr>
                  <w:tr>
                    <w:trPr>
                      <w:trHeight w:val="786" w:hRule="exact"/>
                    </w:trPr>
                    <w:tc>
                      <w:tcPr>
                        <w:tcW w:w="4783" w:type="dxa"/>
                        <w:tcBorders>
                          <w:top w:val="nil" w:sz="6" w:space="0" w:color="auto"/>
                          <w:left w:val="single" w:sz="4" w:space="0" w:color="000000"/>
                          <w:bottom w:val="single" w:sz="4" w:space="0" w:color="000000"/>
                          <w:right w:val="single" w:sz="4" w:space="0" w:color="000000"/>
                        </w:tcBorders>
                        <w:shd w:val="clear" w:color="auto" w:fill="D4D4D4"/>
                      </w:tcPr>
                      <w:p>
                        <w:pPr/>
                      </w:p>
                    </w:tc>
                    <w:tc>
                      <w:tcPr>
                        <w:tcW w:w="4786" w:type="dxa"/>
                        <w:vMerge/>
                        <w:tcBorders>
                          <w:left w:val="single" w:sz="4" w:space="0" w:color="000000"/>
                          <w:bottom w:val="single" w:sz="4" w:space="0" w:color="000000"/>
                          <w:right w:val="single" w:sz="4" w:space="0" w:color="000000"/>
                        </w:tcBorders>
                      </w:tcPr>
                      <w:p>
                        <w:pP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4"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314" w:lineRule="auto" w:before="50"/>
                          <w:ind w:left="16" w:right="71"/>
                          <w:jc w:val="left"/>
                          <w:rPr>
                            <w:rFonts w:ascii="宋体" w:hAnsi="宋体" w:cs="宋体" w:eastAsia="宋体" w:hint="default"/>
                            <w:sz w:val="18"/>
                            <w:szCs w:val="18"/>
                          </w:rPr>
                        </w:pPr>
                        <w:r>
                          <w:rPr>
                            <w:rFonts w:ascii="宋体" w:hAnsi="宋体" w:cs="宋体" w:eastAsia="宋体" w:hint="default"/>
                            <w:sz w:val="18"/>
                            <w:szCs w:val="18"/>
                          </w:rPr>
                          <w:t>公司利润分配决策程序和机制完备，切实保证了全体股东的 利益。</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right="465"/>
        <w:jc w:val="left"/>
      </w:pPr>
      <w:r>
        <w:rPr/>
        <w:t>公司报告期利润分配预案及资本公积金转增股本预案与公司章程和分红管理办法等的相关规定一致</w:t>
      </w:r>
    </w:p>
    <w:p>
      <w:pPr>
        <w:pStyle w:val="BodyText"/>
        <w:spacing w:line="348" w:lineRule="auto" w:before="115"/>
        <w:ind w:left="153" w:right="333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w:t>
            </w:r>
            <w:r>
              <w:rPr>
                <w:rFonts w:ascii="Times New Roman"/>
                <w:sz w:val="18"/>
              </w:rPr>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57,610,150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11,522,030.00</w:t>
            </w:r>
            <w:r>
              <w:rPr>
                <w:rFonts w:ascii="Times New Roman"/>
                <w:sz w:val="18"/>
              </w:rPr>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93,271,659.43</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7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根据立信会计师事务所（特殊普通合伙）审计，公司</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年度实现归属于母公司所有者的净利润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57,116,020.86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元，其中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母公司实现净利润为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43,037,421.06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元。根据《公司章程》的有关规定，以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年度实现的母公司净利润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43,037,421.06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11"/>
        <w:rPr>
          <w:rFonts w:ascii="宋体" w:hAnsi="宋体" w:cs="宋体" w:eastAsia="宋体" w:hint="default"/>
          <w:sz w:val="28"/>
          <w:szCs w:val="28"/>
        </w:rPr>
      </w:pPr>
    </w:p>
    <w:p>
      <w:pPr>
        <w:spacing w:line="2234" w:lineRule="exact"/>
        <w:ind w:left="152" w:right="0" w:firstLine="0"/>
        <w:rPr>
          <w:rFonts w:ascii="宋体" w:hAnsi="宋体" w:cs="宋体" w:eastAsia="宋体" w:hint="default"/>
          <w:sz w:val="20"/>
          <w:szCs w:val="20"/>
        </w:rPr>
      </w:pPr>
      <w:r>
        <w:rPr>
          <w:rFonts w:ascii="宋体" w:hAnsi="宋体" w:cs="宋体" w:eastAsia="宋体" w:hint="default"/>
          <w:position w:val="-44"/>
          <w:sz w:val="20"/>
          <w:szCs w:val="20"/>
        </w:rPr>
        <w:pict>
          <v:shape style="width:478.45pt;height:111.75pt;mso-position-horizontal-relative:char;mso-position-vertical-relative:line" type="#_x0000_t202" filled="false" stroked="true" strokeweight=".48pt" strokecolor="#000000">
            <w10:anchorlock/>
            <v:textbox inset="0,0,0,0">
              <w:txbxContent>
                <w:p>
                  <w:pPr>
                    <w:pStyle w:val="BodyText"/>
                    <w:spacing w:line="240" w:lineRule="auto" w:before="8"/>
                    <w:ind w:left="23" w:right="0"/>
                    <w:jc w:val="left"/>
                  </w:pPr>
                  <w:r>
                    <w:rPr>
                      <w:spacing w:val="-3"/>
                    </w:rPr>
                    <w:t>为基数，提取</w:t>
                  </w:r>
                  <w:r>
                    <w:rPr>
                      <w:spacing w:val="-49"/>
                    </w:rPr>
                    <w:t> </w:t>
                  </w:r>
                  <w:r>
                    <w:rPr>
                      <w:rFonts w:ascii="Times New Roman" w:hAnsi="Times New Roman" w:cs="Times New Roman" w:eastAsia="Times New Roman" w:hint="default"/>
                    </w:rPr>
                    <w:t>10%</w:t>
                  </w:r>
                  <w:r>
                    <w:rPr/>
                    <w:t>法定盈余公积合计</w:t>
                  </w:r>
                  <w:r>
                    <w:rPr>
                      <w:spacing w:val="-49"/>
                    </w:rPr>
                    <w:t> </w:t>
                  </w:r>
                  <w:r>
                    <w:rPr>
                      <w:rFonts w:ascii="Times New Roman" w:hAnsi="Times New Roman" w:cs="Times New Roman" w:eastAsia="Times New Roman" w:hint="default"/>
                    </w:rPr>
                    <w:t>4,303,742.11</w:t>
                  </w:r>
                  <w:r>
                    <w:rPr>
                      <w:rFonts w:ascii="Times New Roman" w:hAnsi="Times New Roman" w:cs="Times New Roman" w:eastAsia="Times New Roman" w:hint="default"/>
                      <w:spacing w:val="-3"/>
                    </w:rPr>
                    <w:t> </w:t>
                  </w:r>
                  <w:r>
                    <w:rPr/>
                    <w:t>元，加年初未分配利润</w:t>
                  </w:r>
                  <w:r>
                    <w:rPr>
                      <w:spacing w:val="-49"/>
                    </w:rPr>
                    <w:t> </w:t>
                  </w:r>
                  <w:r>
                    <w:rPr>
                      <w:rFonts w:ascii="Times New Roman" w:hAnsi="Times New Roman" w:cs="Times New Roman" w:eastAsia="Times New Roman" w:hint="default"/>
                    </w:rPr>
                    <w:t>64,824,616.68</w:t>
                  </w:r>
                  <w:r>
                    <w:rPr>
                      <w:rFonts w:ascii="Times New Roman" w:hAnsi="Times New Roman" w:cs="Times New Roman" w:eastAsia="Times New Roman" w:hint="default"/>
                      <w:spacing w:val="-3"/>
                    </w:rPr>
                    <w:t> </w:t>
                  </w:r>
                  <w:r>
                    <w:rPr>
                      <w:spacing w:val="-4"/>
                    </w:rPr>
                    <w:t>元，减去</w:t>
                  </w:r>
                  <w:r>
                    <w:rPr>
                      <w:spacing w:val="-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9"/>
                    </w:rPr>
                    <w:t> </w:t>
                  </w:r>
                  <w:r>
                    <w:rPr/>
                    <w:t>年上半年分配利润</w:t>
                  </w:r>
                </w:p>
                <w:p>
                  <w:pPr>
                    <w:pStyle w:val="BodyText"/>
                    <w:spacing w:line="240" w:lineRule="auto" w:before="63"/>
                    <w:ind w:left="23" w:right="0"/>
                    <w:jc w:val="left"/>
                  </w:pPr>
                  <w:r>
                    <w:rPr>
                      <w:rFonts w:ascii="Times New Roman" w:hAnsi="Times New Roman" w:cs="Times New Roman" w:eastAsia="Times New Roman" w:hint="default"/>
                    </w:rPr>
                    <w:t>10,286,636.20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年度可用于股东分配的利润为</w:t>
                  </w:r>
                  <w:r>
                    <w:rPr>
                      <w:spacing w:val="-50"/>
                    </w:rPr>
                    <w:t> </w:t>
                  </w:r>
                  <w:r>
                    <w:rPr>
                      <w:rFonts w:ascii="Times New Roman" w:hAnsi="Times New Roman" w:cs="Times New Roman" w:eastAsia="Times New Roman" w:hint="default"/>
                    </w:rPr>
                    <w:t>93,271,659.43</w:t>
                  </w:r>
                  <w:r>
                    <w:rPr>
                      <w:rFonts w:ascii="Times New Roman" w:hAnsi="Times New Roman" w:cs="Times New Roman" w:eastAsia="Times New Roman" w:hint="default"/>
                      <w:spacing w:val="-4"/>
                    </w:rPr>
                    <w:t> </w:t>
                  </w:r>
                  <w:r>
                    <w:rPr/>
                    <w:t>元。鉴于公司上市后经营规模、资产规模持续扩大，</w:t>
                  </w:r>
                </w:p>
                <w:p>
                  <w:pPr>
                    <w:pStyle w:val="BodyText"/>
                    <w:spacing w:line="240" w:lineRule="auto" w:before="63"/>
                    <w:ind w:left="23" w:right="0"/>
                    <w:jc w:val="left"/>
                  </w:pPr>
                  <w:r>
                    <w:rPr/>
                    <w:t>根据公司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年度的实际经营情况，综合考虑公司盈利水平、财务状况和未来发展前景，为使公司股本规模和经营规模</w:t>
                  </w:r>
                </w:p>
                <w:p>
                  <w:pPr>
                    <w:pStyle w:val="BodyText"/>
                    <w:spacing w:line="240" w:lineRule="auto" w:before="63"/>
                    <w:ind w:left="23" w:right="-5"/>
                    <w:jc w:val="left"/>
                  </w:pPr>
                  <w:r>
                    <w:rPr/>
                    <w:t>的发展相匹配，同时与全体股东分享公司发展的经营成果，提议公司 </w:t>
                  </w:r>
                  <w:r>
                    <w:rPr>
                      <w:rFonts w:ascii="Times New Roman" w:hAnsi="Times New Roman" w:cs="Times New Roman" w:eastAsia="Times New Roman" w:hint="default"/>
                    </w:rPr>
                    <w:t>2014</w:t>
                  </w:r>
                  <w:r>
                    <w:rPr>
                      <w:rFonts w:ascii="Times New Roman" w:hAnsi="Times New Roman" w:cs="Times New Roman" w:eastAsia="Times New Roman" w:hint="default"/>
                      <w:spacing w:val="42"/>
                    </w:rPr>
                    <w:t> </w:t>
                  </w:r>
                  <w:r>
                    <w:rPr/>
                    <w:t>年度利润分配及资本公积金转增股本预案为：</w:t>
                  </w:r>
                </w:p>
                <w:p>
                  <w:pPr>
                    <w:pStyle w:val="BodyText"/>
                    <w:spacing w:line="240" w:lineRule="auto" w:before="63"/>
                    <w:ind w:left="23" w:right="0"/>
                    <w:jc w:val="left"/>
                  </w:pPr>
                  <w:r>
                    <w:rPr/>
                    <w:t>以公司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日总</w:t>
                  </w:r>
                  <w:r>
                    <w:rPr>
                      <w:spacing w:val="-3"/>
                    </w:rPr>
                    <w:t>股</w:t>
                  </w:r>
                  <w:r>
                    <w:rPr/>
                    <w:t>本数</w:t>
                  </w:r>
                  <w:r>
                    <w:rPr>
                      <w:spacing w:val="-45"/>
                    </w:rPr>
                    <w:t> </w:t>
                  </w:r>
                  <w:r>
                    <w:rPr>
                      <w:rFonts w:ascii="Times New Roman" w:hAnsi="Times New Roman" w:cs="Times New Roman" w:eastAsia="Times New Roman" w:hint="default"/>
                      <w:spacing w:val="1"/>
                    </w:rPr>
                    <w:t>57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股为基数，</w:t>
                  </w:r>
                  <w:r>
                    <w:rPr>
                      <w:spacing w:val="-3"/>
                    </w:rPr>
                    <w:t>向</w:t>
                  </w:r>
                  <w:r>
                    <w:rPr/>
                    <w:t>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股派发现金股</w:t>
                  </w:r>
                  <w:r>
                    <w:rPr>
                      <w:spacing w:val="-3"/>
                    </w:rPr>
                    <w:t>利</w:t>
                  </w:r>
                  <w:r>
                    <w:rPr/>
                    <w:t>人民币</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元（含税</w:t>
                  </w:r>
                  <w:r>
                    <w:rPr>
                      <w:spacing w:val="-92"/>
                    </w:rPr>
                    <w:t>）</w:t>
                  </w:r>
                  <w:r>
                    <w:rPr/>
                    <w:t>，共计</w:t>
                  </w:r>
                </w:p>
                <w:p>
                  <w:pPr>
                    <w:pStyle w:val="BodyText"/>
                    <w:spacing w:line="240" w:lineRule="auto" w:before="63"/>
                    <w:ind w:left="23" w:right="0"/>
                    <w:jc w:val="left"/>
                  </w:pPr>
                  <w:r>
                    <w:rPr/>
                    <w:t>派发现金股利</w:t>
                  </w:r>
                  <w:r>
                    <w:rPr>
                      <w:spacing w:val="-45"/>
                    </w:rPr>
                    <w:t> </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t>（含税</w:t>
                  </w:r>
                  <w:r>
                    <w:rPr>
                      <w:spacing w:val="-92"/>
                    </w:rPr>
                    <w:t>）</w:t>
                  </w:r>
                  <w:r>
                    <w:rPr/>
                    <w:t>。同时，以资本公积</w:t>
                  </w:r>
                  <w:r>
                    <w:rPr>
                      <w:spacing w:val="2"/>
                    </w:rPr>
                    <w:t>金</w:t>
                  </w:r>
                  <w:r>
                    <w:rPr/>
                    <w:t>向全体股东每</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转</w:t>
                  </w:r>
                  <w:r>
                    <w:rPr/>
                    <w:t>增</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股</w:t>
                  </w:r>
                  <w:r>
                    <w:rPr/>
                    <w:t>，合计转增</w:t>
                  </w:r>
                  <w:r>
                    <w:rPr>
                      <w:spacing w:val="-45"/>
                    </w:rPr>
                    <w:t> </w:t>
                  </w:r>
                  <w:r>
                    <w:rPr>
                      <w:rFonts w:ascii="Times New Roman" w:hAnsi="Times New Roman" w:cs="Times New Roman" w:eastAsia="Times New Roman" w:hint="default"/>
                      <w:spacing w:val="1"/>
                    </w:rPr>
                    <w:t>57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股，转</w:t>
                  </w:r>
                </w:p>
                <w:p>
                  <w:pPr>
                    <w:pStyle w:val="BodyText"/>
                    <w:spacing w:line="240" w:lineRule="auto" w:before="63"/>
                    <w:ind w:left="23" w:right="0"/>
                    <w:jc w:val="left"/>
                  </w:pPr>
                  <w:r>
                    <w:rPr/>
                    <w:t>增后公司总股本为</w:t>
                  </w:r>
                  <w:r>
                    <w:rPr>
                      <w:spacing w:val="-48"/>
                    </w:rPr>
                    <w:t> </w:t>
                  </w:r>
                  <w:r>
                    <w:rPr>
                      <w:rFonts w:ascii="Times New Roman" w:hAnsi="Times New Roman" w:cs="Times New Roman" w:eastAsia="Times New Roman" w:hint="default"/>
                    </w:rPr>
                    <w:t>115,220,300</w:t>
                  </w:r>
                  <w:r>
                    <w:rPr>
                      <w:rFonts w:ascii="Times New Roman" w:hAnsi="Times New Roman" w:cs="Times New Roman" w:eastAsia="Times New Roman" w:hint="default"/>
                      <w:spacing w:val="-4"/>
                    </w:rPr>
                    <w:t> </w:t>
                  </w:r>
                  <w:r>
                    <w:rPr/>
                    <w:t>股。本议案尚需提交公司</w:t>
                  </w:r>
                  <w:r>
                    <w:rPr>
                      <w:spacing w:val="-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年度股东大会审议。</w:t>
                  </w:r>
                </w:p>
              </w:txbxContent>
            </v:textbox>
          </v:shape>
        </w:pict>
      </w:r>
      <w:r>
        <w:rPr>
          <w:rFonts w:ascii="宋体" w:hAnsi="宋体" w:cs="宋体" w:eastAsia="宋体" w:hint="default"/>
          <w:position w:val="-44"/>
          <w:sz w:val="20"/>
          <w:szCs w:val="20"/>
        </w:rPr>
      </w:r>
    </w:p>
    <w:p>
      <w:pPr>
        <w:pStyle w:val="BodyText"/>
        <w:spacing w:line="240" w:lineRule="auto" w:before="54"/>
        <w:ind w:right="465"/>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1"/>
        <w:ind w:left="572" w:right="465"/>
        <w:jc w:val="left"/>
      </w:pPr>
      <w:r>
        <w:rPr>
          <w:rFonts w:ascii="宋体" w:hAnsi="宋体" w:cs="宋体" w:eastAsia="宋体" w:hint="default"/>
        </w:rPr>
        <w:t>1</w:t>
      </w:r>
      <w:r>
        <w:rPr/>
        <w:t>、</w:t>
      </w:r>
      <w:r>
        <w:rPr>
          <w:rFonts w:ascii="宋体" w:hAnsi="宋体" w:cs="宋体" w:eastAsia="宋体" w:hint="default"/>
        </w:rPr>
        <w:t>2012</w:t>
      </w:r>
      <w:r>
        <w:rPr/>
        <w:t>年未进行利润分配。</w:t>
      </w:r>
    </w:p>
    <w:p>
      <w:pPr>
        <w:pStyle w:val="BodyText"/>
        <w:spacing w:line="316" w:lineRule="auto" w:before="76"/>
        <w:ind w:left="572" w:right="94"/>
        <w:jc w:val="left"/>
      </w:pPr>
      <w:r>
        <w:rPr>
          <w:rFonts w:ascii="宋体" w:hAnsi="宋体" w:cs="宋体" w:eastAsia="宋体" w:hint="default"/>
        </w:rPr>
        <w:t>2</w:t>
      </w:r>
      <w:r>
        <w:rPr/>
        <w:t>、</w:t>
      </w:r>
      <w:r>
        <w:rPr>
          <w:rFonts w:ascii="宋体" w:hAnsi="宋体" w:cs="宋体" w:eastAsia="宋体" w:hint="default"/>
        </w:rPr>
        <w:t>2013</w:t>
      </w:r>
      <w:r>
        <w:rPr/>
        <w:t>年利润分配方案情况 </w:t>
      </w:r>
      <w:r>
        <w:rPr>
          <w:spacing w:val="-2"/>
        </w:rPr>
        <w:t>以</w:t>
      </w:r>
      <w:r>
        <w:rPr>
          <w:rFonts w:ascii="宋体" w:hAnsi="宋体" w:cs="宋体" w:eastAsia="宋体" w:hint="default"/>
          <w:spacing w:val="-2"/>
        </w:rPr>
        <w:t>2013</w:t>
      </w:r>
      <w:r>
        <w:rPr>
          <w:spacing w:val="-2"/>
        </w:rPr>
        <w:t>年度实现的母公司净利润</w:t>
      </w:r>
      <w:r>
        <w:rPr>
          <w:rFonts w:ascii="宋体" w:hAnsi="宋体" w:cs="宋体" w:eastAsia="宋体" w:hint="default"/>
          <w:spacing w:val="-2"/>
        </w:rPr>
        <w:t>38,517,379.07</w:t>
      </w:r>
      <w:r>
        <w:rPr>
          <w:spacing w:val="-2"/>
        </w:rPr>
        <w:t>元为基数，提取</w:t>
      </w:r>
      <w:r>
        <w:rPr>
          <w:rFonts w:ascii="宋体" w:hAnsi="宋体" w:cs="宋体" w:eastAsia="宋体" w:hint="default"/>
          <w:spacing w:val="-2"/>
        </w:rPr>
        <w:t>10%</w:t>
      </w:r>
      <w:r>
        <w:rPr>
          <w:spacing w:val="-2"/>
        </w:rPr>
        <w:t>法定盈余公积合计</w:t>
      </w:r>
      <w:r>
        <w:rPr>
          <w:rFonts w:ascii="宋体" w:hAnsi="宋体" w:cs="宋体" w:eastAsia="宋体" w:hint="default"/>
          <w:spacing w:val="-2"/>
        </w:rPr>
        <w:t>3,851,737.91</w:t>
      </w:r>
      <w:r>
        <w:rPr>
          <w:spacing w:val="-2"/>
        </w:rPr>
        <w:t>元，</w:t>
      </w:r>
      <w:r>
        <w:rPr>
          <w:rFonts w:ascii="宋体" w:hAnsi="宋体" w:cs="宋体" w:eastAsia="宋体" w:hint="default"/>
          <w:spacing w:val="-2"/>
        </w:rPr>
        <w:t>2013</w:t>
      </w:r>
      <w:r>
        <w:rPr>
          <w:rFonts w:ascii="宋体" w:hAnsi="宋体" w:cs="宋体" w:eastAsia="宋体" w:hint="default"/>
          <w:spacing w:val="65"/>
        </w:rPr>
        <w:t> </w:t>
      </w:r>
      <w:r>
        <w:rPr/>
        <w:t>年度可用</w:t>
      </w:r>
    </w:p>
    <w:p>
      <w:pPr>
        <w:pStyle w:val="BodyText"/>
        <w:spacing w:line="316" w:lineRule="auto" w:before="18"/>
        <w:ind w:right="94"/>
        <w:jc w:val="left"/>
      </w:pPr>
      <w:r>
        <w:rPr>
          <w:spacing w:val="-2"/>
        </w:rPr>
        <w:t>于股东分配的利润为</w:t>
      </w:r>
      <w:r>
        <w:rPr>
          <w:rFonts w:ascii="宋体" w:hAnsi="宋体" w:cs="宋体" w:eastAsia="宋体" w:hint="default"/>
          <w:spacing w:val="-2"/>
        </w:rPr>
        <w:t>34,665,641.16</w:t>
      </w:r>
      <w:r>
        <w:rPr>
          <w:spacing w:val="-2"/>
        </w:rPr>
        <w:t>元，加上</w:t>
      </w:r>
      <w:r>
        <w:rPr>
          <w:rFonts w:ascii="宋体" w:hAnsi="宋体" w:cs="宋体" w:eastAsia="宋体" w:hint="default"/>
          <w:spacing w:val="-2"/>
        </w:rPr>
        <w:t>2013</w:t>
      </w:r>
      <w:r>
        <w:rPr>
          <w:spacing w:val="-2"/>
        </w:rPr>
        <w:t>年年初未分配</w:t>
      </w:r>
      <w:r>
        <w:rPr>
          <w:rFonts w:ascii="宋体" w:hAnsi="宋体" w:cs="宋体" w:eastAsia="宋体" w:hint="default"/>
          <w:spacing w:val="-2"/>
        </w:rPr>
        <w:t>30,158,975.52</w:t>
      </w:r>
      <w:r>
        <w:rPr>
          <w:spacing w:val="-2"/>
        </w:rPr>
        <w:t>元，截止</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日可供分配利润总额为</w:t>
      </w:r>
      <w:r>
        <w:rPr>
          <w:spacing w:val="-46"/>
        </w:rPr>
        <w:t> </w:t>
      </w:r>
      <w:r>
        <w:rPr>
          <w:spacing w:val="-46"/>
        </w:rPr>
      </w:r>
      <w:r>
        <w:rPr>
          <w:rFonts w:ascii="宋体" w:hAnsi="宋体" w:cs="宋体" w:eastAsia="宋体" w:hint="default"/>
        </w:rPr>
        <w:t>64,824,616.68</w:t>
      </w:r>
      <w:r>
        <w:rPr/>
        <w:t>元。鉴于目前公司仍处于发展阶段，属成长期。在保证公司健康持续发展的情况下，建议公司</w:t>
      </w:r>
      <w:r>
        <w:rPr>
          <w:rFonts w:ascii="宋体" w:hAnsi="宋体" w:cs="宋体" w:eastAsia="宋体" w:hint="default"/>
        </w:rPr>
        <w:t>2013</w:t>
      </w:r>
      <w:r>
        <w:rPr/>
        <w:t>年度利润 </w:t>
      </w:r>
      <w:r>
        <w:rPr>
          <w:spacing w:val="-6"/>
        </w:rPr>
        <w:t>分配预案为：以公司</w:t>
      </w:r>
      <w:r>
        <w:rPr>
          <w:rFonts w:ascii="宋体" w:hAnsi="宋体" w:cs="宋体" w:eastAsia="宋体" w:hint="default"/>
          <w:spacing w:val="-6"/>
        </w:rPr>
        <w:t>2014</w:t>
      </w:r>
      <w:r>
        <w:rPr>
          <w:spacing w:val="-6"/>
        </w:rPr>
        <w:t>年</w:t>
      </w:r>
      <w:r>
        <w:rPr>
          <w:rFonts w:ascii="宋体" w:hAnsi="宋体" w:cs="宋体" w:eastAsia="宋体" w:hint="default"/>
          <w:spacing w:val="-6"/>
        </w:rPr>
        <w:t>3</w:t>
      </w:r>
      <w:r>
        <w:rPr>
          <w:spacing w:val="-6"/>
        </w:rPr>
        <w:t>月</w:t>
      </w:r>
      <w:r>
        <w:rPr>
          <w:rFonts w:ascii="宋体" w:hAnsi="宋体" w:cs="宋体" w:eastAsia="宋体" w:hint="default"/>
          <w:spacing w:val="-6"/>
        </w:rPr>
        <w:t>25</w:t>
      </w:r>
      <w:r>
        <w:rPr>
          <w:spacing w:val="-6"/>
        </w:rPr>
        <w:t>日</w:t>
      </w:r>
      <w:r>
        <w:rPr>
          <w:rFonts w:ascii="宋体" w:hAnsi="宋体" w:cs="宋体" w:eastAsia="宋体" w:hint="default"/>
          <w:spacing w:val="-6"/>
        </w:rPr>
        <w:t>51,433,181</w:t>
      </w:r>
      <w:r>
        <w:rPr>
          <w:spacing w:val="-6"/>
        </w:rPr>
        <w:t>股总股本数为基数，向全体股东以未分配利润每</w:t>
      </w:r>
      <w:r>
        <w:rPr>
          <w:rFonts w:ascii="宋体" w:hAnsi="宋体" w:cs="宋体" w:eastAsia="宋体" w:hint="default"/>
          <w:spacing w:val="-6"/>
        </w:rPr>
        <w:t>10</w:t>
      </w:r>
      <w:r>
        <w:rPr>
          <w:spacing w:val="-6"/>
        </w:rPr>
        <w:t>股派发现金股利</w:t>
      </w:r>
      <w:r>
        <w:rPr>
          <w:rFonts w:ascii="宋体" w:hAnsi="宋体" w:cs="宋体" w:eastAsia="宋体" w:hint="default"/>
          <w:spacing w:val="-6"/>
        </w:rPr>
        <w:t>2</w:t>
      </w:r>
      <w:r>
        <w:rPr>
          <w:spacing w:val="-6"/>
        </w:rPr>
        <w:t>元（含税），</w:t>
      </w:r>
      <w:r>
        <w:rPr>
          <w:spacing w:val="-55"/>
        </w:rPr>
        <w:t> </w:t>
      </w:r>
      <w:r>
        <w:rPr>
          <w:spacing w:val="-55"/>
        </w:rPr>
      </w:r>
      <w:r>
        <w:rPr/>
        <w:t>共计派发现金红利</w:t>
      </w:r>
      <w:r>
        <w:rPr>
          <w:rFonts w:ascii="宋体" w:hAnsi="宋体" w:cs="宋体" w:eastAsia="宋体" w:hint="default"/>
        </w:rPr>
        <w:t>10,286,636.20</w:t>
      </w:r>
      <w:r>
        <w:rPr/>
        <w:t>元（含税）；累计剩余未分配利润</w:t>
      </w:r>
      <w:r>
        <w:rPr>
          <w:rFonts w:ascii="宋体" w:hAnsi="宋体" w:cs="宋体" w:eastAsia="宋体" w:hint="default"/>
        </w:rPr>
        <w:t>54,537,980.48</w:t>
      </w:r>
      <w:r>
        <w:rPr/>
        <w:t>元。本次利润不送股、不转增。</w:t>
      </w:r>
    </w:p>
    <w:p>
      <w:pPr>
        <w:pStyle w:val="BodyText"/>
        <w:spacing w:line="316" w:lineRule="auto" w:before="18"/>
        <w:ind w:left="573" w:right="94"/>
        <w:jc w:val="left"/>
      </w:pPr>
      <w:r>
        <w:rPr>
          <w:rFonts w:ascii="宋体" w:hAnsi="宋体" w:cs="宋体" w:eastAsia="宋体" w:hint="default"/>
        </w:rPr>
        <w:t>3</w:t>
      </w:r>
      <w:r>
        <w:rPr/>
        <w:t>、</w:t>
      </w:r>
      <w:r>
        <w:rPr>
          <w:rFonts w:ascii="宋体" w:hAnsi="宋体" w:cs="宋体" w:eastAsia="宋体" w:hint="default"/>
        </w:rPr>
        <w:t>2014</w:t>
      </w:r>
      <w:r>
        <w:rPr/>
        <w:t>年利润分配方案情况 以公司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日总股本数为基数，向全体股东每</w:t>
      </w:r>
      <w:r>
        <w:rPr>
          <w:rFonts w:ascii="宋体" w:hAnsi="宋体" w:cs="宋体" w:eastAsia="宋体" w:hint="default"/>
        </w:rPr>
        <w:t>10</w:t>
      </w:r>
      <w:r>
        <w:rPr/>
        <w:t>股派发现金股利人民币</w:t>
      </w:r>
      <w:r>
        <w:rPr>
          <w:rFonts w:ascii="宋体" w:hAnsi="宋体" w:cs="宋体" w:eastAsia="宋体" w:hint="default"/>
        </w:rPr>
        <w:t>2.00</w:t>
      </w:r>
      <w:r>
        <w:rPr/>
        <w:t>元（含税），共计派发现金股利</w:t>
      </w:r>
    </w:p>
    <w:p>
      <w:pPr>
        <w:pStyle w:val="BodyText"/>
        <w:spacing w:line="316" w:lineRule="auto" w:before="18"/>
        <w:ind w:left="153" w:right="183"/>
        <w:jc w:val="left"/>
      </w:pPr>
      <w:r>
        <w:rPr>
          <w:rFonts w:ascii="宋体" w:hAnsi="宋体" w:cs="宋体" w:eastAsia="宋体" w:hint="default"/>
        </w:rPr>
        <w:t>11,522,030.00</w:t>
      </w:r>
      <w:r>
        <w:rPr/>
        <w:t>元（含税）。同时，以资本公积金向全体股东每</w:t>
      </w:r>
      <w:r>
        <w:rPr>
          <w:rFonts w:ascii="宋体" w:hAnsi="宋体" w:cs="宋体" w:eastAsia="宋体" w:hint="default"/>
        </w:rPr>
        <w:t>10</w:t>
      </w:r>
      <w:r>
        <w:rPr/>
        <w:t>股转增</w:t>
      </w:r>
      <w:r>
        <w:rPr>
          <w:rFonts w:ascii="宋体" w:hAnsi="宋体" w:cs="宋体" w:eastAsia="宋体" w:hint="default"/>
        </w:rPr>
        <w:t>10</w:t>
      </w:r>
      <w:r>
        <w:rPr/>
        <w:t>股，合计转增</w:t>
      </w:r>
      <w:r>
        <w:rPr>
          <w:rFonts w:ascii="宋体" w:hAnsi="宋体" w:cs="宋体" w:eastAsia="宋体" w:hint="default"/>
        </w:rPr>
        <w:t>57,610,150</w:t>
      </w:r>
      <w:r>
        <w:rPr/>
        <w:t>股，转增后公司总股本 为</w:t>
      </w:r>
      <w:r>
        <w:rPr>
          <w:rFonts w:ascii="宋体" w:hAnsi="宋体" w:cs="宋体" w:eastAsia="宋体" w:hint="default"/>
        </w:rPr>
        <w:t>115,220,300</w:t>
      </w:r>
      <w:r>
        <w:rPr/>
        <w:t>股。</w:t>
      </w:r>
    </w:p>
    <w:p>
      <w:pPr>
        <w:pStyle w:val="BodyText"/>
        <w:spacing w:line="240" w:lineRule="auto" w:before="18"/>
        <w:ind w:left="573" w:right="465"/>
        <w:jc w:val="left"/>
      </w:pPr>
      <w:r>
        <w:rPr/>
        <w:t>本议案尚需提交公司</w:t>
      </w:r>
      <w:r>
        <w:rPr>
          <w:spacing w:val="-1"/>
        </w:rPr>
        <w:t> </w:t>
      </w:r>
      <w:r>
        <w:rPr>
          <w:rFonts w:ascii="宋体" w:hAnsi="宋体" w:cs="宋体" w:eastAsia="宋体" w:hint="default"/>
        </w:rPr>
        <w:t>2014</w:t>
      </w:r>
      <w:r>
        <w:rPr/>
        <w:t>年度股东大会审议。</w:t>
      </w:r>
    </w:p>
    <w:p>
      <w:pPr>
        <w:spacing w:line="240" w:lineRule="auto" w:before="5"/>
        <w:rPr>
          <w:rFonts w:ascii="宋体" w:hAnsi="宋体" w:cs="宋体" w:eastAsia="宋体" w:hint="default"/>
          <w:sz w:val="29"/>
          <w:szCs w:val="29"/>
        </w:rPr>
      </w:pPr>
    </w:p>
    <w:p>
      <w:pPr>
        <w:pStyle w:val="BodyText"/>
        <w:spacing w:line="240" w:lineRule="auto" w:before="44"/>
        <w:ind w:left="153" w:right="465"/>
        <w:jc w:val="left"/>
      </w:pPr>
      <w:r>
        <w:rPr/>
        <w:t>公司近三年现金分红情况表</w:t>
      </w:r>
    </w:p>
    <w:p>
      <w:pPr>
        <w:pStyle w:val="BodyText"/>
        <w:spacing w:line="240" w:lineRule="auto" w:before="117"/>
        <w:ind w:left="0" w:right="19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1027"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 w:right="110"/>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 w:right="110"/>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11,522,030.00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10,286,636.20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45,475,926.05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40,020,524.15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465"/>
        <w:jc w:val="left"/>
      </w:pPr>
      <w:r>
        <w:rPr/>
        <w:t>公司报告期内盈利且母公司未分配利润为正但未提出现金红利分配预案</w:t>
      </w:r>
    </w:p>
    <w:p>
      <w:pPr>
        <w:pStyle w:val="BodyText"/>
        <w:spacing w:line="240" w:lineRule="auto" w:before="117"/>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65"/>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0" w:firstLine="419"/>
        <w:jc w:val="left"/>
      </w:pPr>
      <w:r>
        <w:rPr>
          <w:rFonts w:ascii="宋体" w:hAnsi="宋体" w:cs="宋体" w:eastAsia="宋体" w:hint="default"/>
          <w:spacing w:val="-1"/>
        </w:rPr>
        <w:t>2014</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25</w:t>
      </w:r>
      <w:r>
        <w:rPr>
          <w:spacing w:val="-1"/>
        </w:rPr>
        <w:t>日公司第二届董事会第五次会议通过了《关于审议公司相关管理制度的议案》，其中通过了《内幕信息知</w:t>
      </w:r>
      <w:r>
        <w:rPr/>
        <w:t> 情人登记管理制度》。</w:t>
      </w:r>
    </w:p>
    <w:p>
      <w:pPr>
        <w:pStyle w:val="BodyText"/>
        <w:spacing w:line="316" w:lineRule="auto" w:before="18"/>
        <w:ind w:right="94" w:firstLine="419"/>
        <w:jc w:val="left"/>
      </w:pPr>
      <w:r>
        <w:rPr/>
        <w:t>报告期内，公司严格履行制度，与相关内幕信息知情人签订了保密协议或履行了告知义务，在进入敏感期前以电话、 </w:t>
      </w:r>
      <w:r>
        <w:rPr>
          <w:spacing w:val="-4"/>
        </w:rPr>
        <w:t>邮件、短信等形式向内幕信息知情人明确告知相关保密义务，严防董监高及其他内幕信息知情人进行违法违规的交易。同时，</w:t>
      </w:r>
      <w:r>
        <w:rPr>
          <w:spacing w:val="-44"/>
        </w:rPr>
        <w:t> </w:t>
      </w:r>
      <w:r>
        <w:rPr>
          <w:spacing w:val="-44"/>
        </w:rPr>
      </w:r>
      <w:r>
        <w:rPr>
          <w:spacing w:val="-2"/>
        </w:rPr>
        <w:t>严格规范信息传递流程，在定期报告披露期间，对于未公开信息，公司董秘办严格控制知情人范围并组织相关内幕信息知情</w:t>
      </w:r>
      <w:r>
        <w:rPr>
          <w:spacing w:val="-63"/>
        </w:rPr>
        <w:t> </w:t>
      </w:r>
      <w:r>
        <w:rPr>
          <w:spacing w:val="-63"/>
        </w:rPr>
      </w:r>
      <w:r>
        <w:rPr>
          <w:spacing w:val="-2"/>
        </w:rPr>
        <w:t>人填写《内幕信息知情人登记表》，如实、完整记录上述信息在公开前的所有内幕信息知情人名单，以及知情人知悉内幕信</w:t>
      </w:r>
      <w:r>
        <w:rPr>
          <w:spacing w:val="-65"/>
        </w:rPr>
        <w:t> </w:t>
      </w:r>
      <w:r>
        <w:rPr>
          <w:spacing w:val="-65"/>
        </w:rPr>
      </w:r>
      <w:r>
        <w:rPr>
          <w:spacing w:val="-4"/>
        </w:rPr>
        <w:t>息的时间，对于未公开信息公司董秘办公室严格控制知情人范围并组织相关内幕信息知情人填写《内幕信息知情人登记表》，</w:t>
      </w:r>
      <w:r>
        <w:rPr>
          <w:spacing w:val="-44"/>
        </w:rPr>
        <w:t> </w:t>
      </w:r>
      <w:r>
        <w:rPr>
          <w:spacing w:val="-44"/>
        </w:rPr>
      </w:r>
      <w:r>
        <w:rPr>
          <w:spacing w:val="-2"/>
        </w:rPr>
        <w:t>如实、完整地记录上述信息在公开前的所有内幕信息知情人名单，以及获悉内幕信息的时间等内容，并及时向深交所进行报</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备。</w:t>
      </w:r>
    </w:p>
    <w:p>
      <w:pPr>
        <w:pStyle w:val="BodyText"/>
        <w:spacing w:line="240" w:lineRule="auto" w:before="76"/>
        <w:ind w:left="572" w:right="0"/>
        <w:jc w:val="left"/>
      </w:pPr>
      <w:r>
        <w:rPr/>
        <w:t>报告期内公司未出现内部信息知情人涉嫌内幕交易情况。</w:t>
      </w:r>
    </w:p>
    <w:p>
      <w:pPr>
        <w:spacing w:line="240" w:lineRule="auto" w:before="3"/>
        <w:rPr>
          <w:rFonts w:ascii="宋体" w:hAnsi="宋体" w:cs="宋体" w:eastAsia="宋体" w:hint="default"/>
          <w:sz w:val="23"/>
          <w:szCs w:val="23"/>
        </w:rPr>
      </w:pPr>
    </w:p>
    <w:p>
      <w:pPr>
        <w:pStyle w:val="Heading2"/>
        <w:spacing w:line="240" w:lineRule="auto" w:before="26"/>
        <w:ind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pict>
          <v:shape style="position:absolute;margin-left:370.923004pt;margin-top:53.351734pt;width:164.05pt;height:563.550pt;mso-position-horizontal-relative:page;mso-position-vertical-relative:paragraph;z-index:-8363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spacing w:line="240" w:lineRule="auto"/>
                    <w:ind w:left="0" w:right="0" w:firstLine="360"/>
                    <w:jc w:val="left"/>
                  </w:pPr>
                  <w:r>
                    <w:rPr/>
                    <w:t>广发证券；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ind w:left="360" w:right="0" w:hanging="360"/>
                    <w:jc w:val="left"/>
                  </w:pPr>
                  <w:r>
                    <w:rPr/>
                    <w:t>航天科工财务；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360" w:right="0"/>
                    <w:jc w:val="left"/>
                  </w:pPr>
                  <w:r>
                    <w:rPr/>
                    <w:t>华夏财富；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636" w:lineRule="auto" w:before="119"/>
                    <w:ind w:left="360" w:right="2018"/>
                    <w:jc w:val="left"/>
                  </w:pPr>
                  <w:r>
                    <w:rPr/>
                    <w:t>英大基金； 招商证券；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ind w:left="360" w:right="0"/>
                    <w:jc w:val="left"/>
                  </w:pPr>
                  <w:r>
                    <w:rPr/>
                    <w:t>中信建投；</w:t>
                  </w:r>
                </w:p>
              </w:txbxContent>
            </v:textbox>
            <w10:wrap type="none"/>
          </v:shape>
        </w:pict>
      </w:r>
      <w:r>
        <w:rPr/>
        <w:pict>
          <v:group style="position:absolute;margin-left:431.040009pt;margin-top:53.351734pt;width:107.3pt;height:563.550pt;mso-position-horizontal-relative:page;mso-position-vertical-relative:paragraph;z-index:-836344" coordorigin="8621,1067" coordsize="2146,11271">
            <v:group style="position:absolute;left:8621;top:1067;width:2079;height:11271" coordorigin="8621,1067" coordsize="2079,11271">
              <v:shape style="position:absolute;left:8621;top:1067;width:2079;height:11271" coordorigin="8621,1067" coordsize="2079,11271" path="m8621,12337l10699,12337,10699,1067,8621,1067,8621,12337xe" filled="true" fillcolor="#ffffff" stroked="false">
                <v:path arrowok="t"/>
                <v:fill type="solid"/>
              </v:shape>
            </v:group>
            <v:group style="position:absolute;left:8645;top:6196;width:2031;height:351" coordorigin="8645,6196" coordsize="2031,351">
              <v:shape style="position:absolute;left:8645;top:6196;width:2031;height:351" coordorigin="8645,6196" coordsize="2031,351" path="m8645,6546l10675,6546,10675,6196,8645,6196,8645,6546xe" filled="true" fillcolor="#ffffff" stroked="false">
                <v:path arrowok="t"/>
                <v:fill type="solid"/>
              </v:shape>
            </v:group>
            <v:group style="position:absolute;left:8645;top:6546;width:2031;height:312" coordorigin="8645,6546" coordsize="2031,312">
              <v:shape style="position:absolute;left:8645;top:6546;width:2031;height:312" coordorigin="8645,6546" coordsize="2031,312" path="m8645,6858l10675,6858,10675,6546,8645,6546,8645,6858xe" filled="true" fillcolor="#ffffff" stroked="false">
                <v:path arrowok="t"/>
                <v:fill type="solid"/>
              </v:shape>
            </v:group>
            <v:group style="position:absolute;left:8645;top:6858;width:2031;height:353" coordorigin="8645,6858" coordsize="2031,353">
              <v:shape style="position:absolute;left:8645;top:6858;width:2031;height:353" coordorigin="8645,6858" coordsize="2031,353" path="m8645,7211l10675,7211,10675,6858,8645,6858,8645,7211xe" filled="true" fillcolor="#ffffff" stroked="false">
                <v:path arrowok="t"/>
                <v:fill type="solid"/>
              </v:shape>
              <v:shape style="position:absolute;left:10586;top:630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5" w:hRule="exact"/>
        </w:trPr>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128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安信证券；博时基 金；长城证券；长 信基金；大成基金 管理；东北证券； 光大永明资产；光 大证券； 国都证券；国海证 券；国泰基金；海 富通基金；海通证 券； 华宝投资；华融证 券；华商基金；华 泰证券； 华夏基金；汇利资 产管理；君创富民 资产；民森投资； 民生加银基金；民 生证券；农银汇理 基金；诺德基金； 人保资产管理；融 通基金管理；瑞丰 投资；三峡财务； 山西证券；上海璟 琦投资管理；上海 玖歌；神农投资； 万家基金；信达澳 银基金；兴业全球 基金；兴业证券； 益民基金管理；银 河基金； 育泉资产管理；云 阳资本； 浙商证券；中航证 券；中金公司；中 融信托中海诚；中 天证券；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pacing w:val="-4"/>
                <w:sz w:val="18"/>
                <w:szCs w:val="18"/>
              </w:rPr>
              <w:t>公司基本情况、市场前景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竞争优势、未来发展等。 未提供资料。</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0.923004pt;margin-top:72.47998pt;width:164.05pt;height:111.25pt;mso-position-horizontal-relative:page;mso-position-vertical-relative:page;z-index:-836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360" w:right="0" w:hanging="360"/>
                    <w:jc w:val="left"/>
                  </w:pPr>
                  <w:r>
                    <w:rPr/>
                    <w:t>中原英石基金；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360" w:right="0"/>
                    <w:jc w:val="left"/>
                  </w:pPr>
                  <w:r>
                    <w:rPr/>
                    <w:t>阳光资管；</w:t>
                  </w:r>
                </w:p>
              </w:txbxContent>
            </v:textbox>
            <w10:wrap type="none"/>
          </v:shape>
        </w:pict>
      </w:r>
      <w:r>
        <w:rPr/>
        <w:pict>
          <v:shape style="position:absolute;margin-left:388.923004pt;margin-top:184.199982pt;width:146.050pt;height:97.6pt;mso-position-horizontal-relative:page;mso-position-vertical-relative:page;z-index:-836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636" w:lineRule="auto"/>
                    <w:ind w:left="0" w:right="2018"/>
                    <w:jc w:val="left"/>
                  </w:pPr>
                  <w:r>
                    <w:rPr/>
                    <w:t>英大财险； 勤益投资；</w:t>
                  </w:r>
                </w:p>
              </w:txbxContent>
            </v:textbox>
            <w10:wrap type="none"/>
          </v:shape>
        </w:pict>
      </w:r>
      <w:r>
        <w:rPr/>
        <w:pict>
          <v:shape style="position:absolute;margin-left:370.923004pt;margin-top:282.239990pt;width:164.05pt;height:300.5pt;mso-position-horizontal-relative:page;mso-position-vertical-relative:page;z-index:-836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636" w:lineRule="auto"/>
                    <w:ind w:left="360" w:right="2018"/>
                    <w:jc w:val="left"/>
                  </w:pPr>
                  <w:r>
                    <w:rPr/>
                    <w:t>东兴证券； 国都证券；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7"/>
                      <w:szCs w:val="17"/>
                    </w:rPr>
                  </w:pPr>
                </w:p>
                <w:p>
                  <w:pPr>
                    <w:pStyle w:val="BodyText"/>
                    <w:spacing w:line="240" w:lineRule="auto"/>
                    <w:ind w:left="360" w:right="0"/>
                    <w:jc w:val="left"/>
                  </w:pPr>
                  <w:r>
                    <w:rPr/>
                    <w:t>嘉熙资产；</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636" w:lineRule="auto"/>
                    <w:ind w:left="0" w:right="2018" w:firstLine="360"/>
                    <w:jc w:val="left"/>
                  </w:pPr>
                  <w:r>
                    <w:rPr/>
                    <w:t>益民基金； 中信建设证券；</w:t>
                  </w:r>
                </w:p>
              </w:txbxContent>
            </v:textbox>
            <w10:wrap type="none"/>
          </v:shape>
        </w:pict>
      </w:r>
      <w:r>
        <w:rPr/>
        <w:pict>
          <v:shape style="position:absolute;margin-left:388.923004pt;margin-top:583.200012pt;width:146.050pt;height:173.65pt;mso-position-horizontal-relative:page;mso-position-vertical-relative:page;z-index:-836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星石投资；</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东莞证券；</w:t>
                  </w:r>
                </w:p>
              </w:txbxContent>
            </v:textbox>
            <w10:wrap type="none"/>
          </v:shape>
        </w:pict>
      </w:r>
      <w:r>
        <w:rPr/>
        <w:pict>
          <v:group style="position:absolute;margin-left:431.040009pt;margin-top:72.47998pt;width:107.3pt;height:684.4pt;mso-position-horizontal-relative:page;mso-position-vertical-relative:page;z-index:-836152" coordorigin="8621,1450" coordsize="2146,13688">
            <v:group style="position:absolute;left:8621;top:1450;width:2079;height:2225" coordorigin="8621,1450" coordsize="2079,2225">
              <v:shape style="position:absolute;left:8621;top:1450;width:2079;height:2225" coordorigin="8621,1450" coordsize="2079,2225" path="m8621,3674l10699,3674,10699,1450,8621,1450,8621,3674xe" filled="true" fillcolor="#ffffff" stroked="false">
                <v:path arrowok="t"/>
                <v:fill type="solid"/>
              </v:shape>
            </v:group>
            <v:group style="position:absolute;left:8621;top:3684;width:2079;height:1952" coordorigin="8621,3684" coordsize="2079,1952">
              <v:shape style="position:absolute;left:8621;top:3684;width:2079;height:1952" coordorigin="8621,3684" coordsize="2079,1952" path="m8621,5635l10699,5635,10699,3684,8621,3684,8621,5635xe" filled="true" fillcolor="#ffffff" stroked="false">
                <v:path arrowok="t"/>
                <v:fill type="solid"/>
              </v:shape>
            </v:group>
            <v:group style="position:absolute;left:8645;top:4152;width:2031;height:353" coordorigin="8645,4152" coordsize="2031,353">
              <v:shape style="position:absolute;left:8645;top:4152;width:2031;height:353" coordorigin="8645,4152" coordsize="2031,353" path="m8645,4505l10675,4505,10675,4152,8645,4152,8645,4505xe" filled="true" fillcolor="#ffffff" stroked="false">
                <v:path arrowok="t"/>
                <v:fill type="solid"/>
              </v:shape>
            </v:group>
            <v:group style="position:absolute;left:8645;top:4505;width:2031;height:312" coordorigin="8645,4505" coordsize="2031,312">
              <v:shape style="position:absolute;left:8645;top:4505;width:2031;height:312" coordorigin="8645,4505" coordsize="2031,312" path="m8645,4817l10675,4817,10675,4505,8645,4505,8645,4817xe" filled="true" fillcolor="#ffffff" stroked="false">
                <v:path arrowok="t"/>
                <v:fill type="solid"/>
              </v:shape>
            </v:group>
            <v:group style="position:absolute;left:8645;top:4817;width:2031;height:351" coordorigin="8645,4817" coordsize="2031,351">
              <v:shape style="position:absolute;left:8645;top:4817;width:2031;height:351" coordorigin="8645,4817" coordsize="2031,351" path="m8645,5167l10675,5167,10675,4817,8645,4817,8645,5167xe" filled="true" fillcolor="#ffffff" stroked="false">
                <v:path arrowok="t"/>
                <v:fill type="solid"/>
              </v:shape>
            </v:group>
            <v:group style="position:absolute;left:8621;top:5645;width:2079;height:6010" coordorigin="8621,5645" coordsize="2079,6010">
              <v:shape style="position:absolute;left:8621;top:5645;width:2079;height:6010" coordorigin="8621,5645" coordsize="2079,6010" path="m8621,11654l10699,11654,10699,5645,8621,5645,8621,11654xe" filled="true" fillcolor="#ffffff" stroked="false">
                <v:path arrowok="t"/>
                <v:fill type="solid"/>
              </v:shape>
            </v:group>
            <v:group style="position:absolute;left:8645;top:8141;width:2031;height:353" coordorigin="8645,8141" coordsize="2031,353">
              <v:shape style="position:absolute;left:8645;top:8141;width:2031;height:353" coordorigin="8645,8141" coordsize="2031,353" path="m8645,8494l10675,8494,10675,8141,8645,8141,8645,8494xe" filled="true" fillcolor="#ffffff" stroked="false">
                <v:path arrowok="t"/>
                <v:fill type="solid"/>
              </v:shape>
            </v:group>
            <v:group style="position:absolute;left:8645;top:8494;width:2031;height:312" coordorigin="8645,8494" coordsize="2031,312">
              <v:shape style="position:absolute;left:8645;top:8494;width:2031;height:312" coordorigin="8645,8494" coordsize="2031,312" path="m8645,8806l10675,8806,10675,8494,8645,8494,8645,8806xe" filled="true" fillcolor="#ffffff" stroked="false">
                <v:path arrowok="t"/>
                <v:fill type="solid"/>
              </v:shape>
            </v:group>
            <v:group style="position:absolute;left:8645;top:8806;width:2031;height:353" coordorigin="8645,8806" coordsize="2031,353">
              <v:shape style="position:absolute;left:8645;top:8806;width:2031;height:353" coordorigin="8645,8806" coordsize="2031,353" path="m8645,9158l10675,9158,10675,8806,8645,8806,8645,9158xe" filled="true" fillcolor="#ffffff" stroked="false">
                <v:path arrowok="t"/>
                <v:fill type="solid"/>
              </v:shape>
            </v:group>
            <v:group style="position:absolute;left:8621;top:11664;width:2079;height:3473" coordorigin="8621,11664" coordsize="2079,3473">
              <v:shape style="position:absolute;left:8621;top:11664;width:2079;height:3473" coordorigin="8621,11664" coordsize="2079,3473" path="m8621,15137l10699,15137,10699,11664,8621,11664,8621,15137xe" filled="true" fillcolor="#ffffff" stroked="false">
                <v:path arrowok="t"/>
                <v:fill type="solid"/>
              </v:shape>
            </v:group>
            <v:group style="position:absolute;left:8645;top:12581;width:2031;height:351" coordorigin="8645,12581" coordsize="2031,351">
              <v:shape style="position:absolute;left:8645;top:12581;width:2031;height:351" coordorigin="8645,12581" coordsize="2031,351" path="m8645,12931l10675,12931,10675,12581,8645,12581,8645,12931xe" filled="true" fillcolor="#ffffff" stroked="false">
                <v:path arrowok="t"/>
                <v:fill type="solid"/>
              </v:shape>
            </v:group>
            <v:group style="position:absolute;left:8645;top:12931;width:2031;height:312" coordorigin="8645,12931" coordsize="2031,312">
              <v:shape style="position:absolute;left:8645;top:12931;width:2031;height:312" coordorigin="8645,12931" coordsize="2031,312" path="m8645,13243l10675,13243,10675,12931,8645,12931,8645,13243xe" filled="true" fillcolor="#ffffff" stroked="false">
                <v:path arrowok="t"/>
                <v:fill type="solid"/>
              </v:shape>
            </v:group>
            <v:group style="position:absolute;left:8645;top:13243;width:2031;height:312" coordorigin="8645,13243" coordsize="2031,312">
              <v:shape style="position:absolute;left:8645;top:13243;width:2031;height:312" coordorigin="8645,13243" coordsize="2031,312" path="m8645,13555l10675,13555,10675,13243,8645,13243,8645,13555xe" filled="true" fillcolor="#ffffff" stroked="false">
                <v:path arrowok="t"/>
                <v:fill type="solid"/>
              </v:shape>
            </v:group>
            <v:group style="position:absolute;left:8645;top:13555;width:2031;height:312" coordorigin="8645,13555" coordsize="2031,312">
              <v:shape style="position:absolute;left:8645;top:13555;width:2031;height:312" coordorigin="8645,13555" coordsize="2031,312" path="m8645,13867l10675,13867,10675,13555,8645,13555,8645,13867xe" filled="true" fillcolor="#ffffff" stroked="false">
                <v:path arrowok="t"/>
                <v:fill type="solid"/>
              </v:shape>
            </v:group>
            <v:group style="position:absolute;left:8645;top:13867;width:2031;height:353" coordorigin="8645,13867" coordsize="2031,353">
              <v:shape style="position:absolute;left:8645;top:13867;width:2031;height:353" coordorigin="8645,13867" coordsize="2031,353" path="m8645,14220l10675,14220,10675,13867,8645,13867,8645,14220xe" filled="true" fillcolor="#ffffff" stroked="false">
                <v:path arrowok="t"/>
                <v:fill type="solid"/>
              </v:shape>
              <v:shape style="position:absolute;left:10586;top:425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0586;top:824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0586;top:1393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315" w:hRule="exact"/>
        </w:trPr>
        <w:tc>
          <w:tcPr>
            <w:tcW w:w="1495" w:type="dxa"/>
            <w:vMerge w:val="restart"/>
            <w:tcBorders>
              <w:top w:val="single" w:sz="4" w:space="0" w:color="000000"/>
              <w:left w:val="single" w:sz="4" w:space="0" w:color="000000"/>
              <w:right w:val="single" w:sz="4" w:space="0" w:color="000000"/>
            </w:tcBorders>
          </w:tcPr>
          <w:p>
            <w:pPr/>
          </w:p>
        </w:tc>
        <w:tc>
          <w:tcPr>
            <w:tcW w:w="1495"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中银基金；中邮基</w:t>
            </w:r>
          </w:p>
        </w:tc>
        <w:tc>
          <w:tcPr>
            <w:tcW w:w="2086" w:type="dxa"/>
            <w:vMerge w:val="restart"/>
            <w:tcBorders>
              <w:top w:val="single" w:sz="4" w:space="0" w:color="000000"/>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君合泰达；宏源证</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券；天弘基金；原</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点资产；</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中欧基金管理；华</w:t>
            </w:r>
          </w:p>
        </w:tc>
        <w:tc>
          <w:tcPr>
            <w:tcW w:w="2086" w:type="dxa"/>
            <w:vMerge/>
            <w:tcBorders>
              <w:left w:val="single" w:sz="4" w:space="0" w:color="000000"/>
              <w:right w:val="single" w:sz="4" w:space="0" w:color="000000"/>
            </w:tcBorders>
          </w:tcPr>
          <w:p>
            <w:pPr/>
          </w:p>
        </w:tc>
      </w:tr>
      <w:tr>
        <w:trPr>
          <w:trHeight w:val="360" w:hRule="exact"/>
        </w:trPr>
        <w:tc>
          <w:tcPr>
            <w:tcW w:w="1495" w:type="dxa"/>
            <w:vMerge/>
            <w:tcBorders>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夏人寿保；</w:t>
            </w:r>
          </w:p>
        </w:tc>
        <w:tc>
          <w:tcPr>
            <w:tcW w:w="2086" w:type="dxa"/>
            <w:vMerge/>
            <w:tcBorders>
              <w:left w:val="single" w:sz="4" w:space="0" w:color="000000"/>
              <w:bottom w:val="single" w:sz="4" w:space="0" w:color="000000"/>
              <w:right w:val="single" w:sz="4" w:space="0" w:color="000000"/>
            </w:tcBorders>
          </w:tcPr>
          <w:p>
            <w:pPr/>
          </w:p>
        </w:tc>
      </w:tr>
      <w:tr>
        <w:trPr>
          <w:trHeight w:val="355"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天安财险；齐鲁证</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券；英大基金；合 众资产； 光大证券；航天科 技财务；</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pacing w:val="-4"/>
                <w:sz w:val="18"/>
                <w:szCs w:val="18"/>
              </w:rPr>
              <w:t>公司基本情况、市场前景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竞争优势、未来发展等。 未提供资料。</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海通证券；</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奔富凌云；长城人</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寿；承川资本；东</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方基金；</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歌萨尔金投资；广</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发证券；</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国泰君安；中信证</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券；海通证券；和</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君富春；恒运盛投</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资；华商基金；嘉</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公司基本情况、市场前景</w:t>
            </w:r>
          </w:p>
        </w:tc>
      </w:tr>
      <w:tr>
        <w:trPr>
          <w:trHeight w:val="317"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实基金；</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竞争优势、未来发展等。</w:t>
            </w:r>
          </w:p>
        </w:tc>
      </w:tr>
      <w:tr>
        <w:trPr>
          <w:trHeight w:val="307"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金百镕投资；君合</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未提供资料。</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泰达；诺安基金；</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齐鲁证券；尚雅投</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资；万家基金；新</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华基金；</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远策投资；招商证</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中信证券；中邮创</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业基金</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安信证券；鼎萨投</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资；龙鼎投资；勤</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益投资；</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长城人寿；长盛基</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公司基本情况，包括东方</w:t>
            </w:r>
          </w:p>
        </w:tc>
      </w:tr>
      <w:tr>
        <w:trPr>
          <w:trHeight w:val="936"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314" w:lineRule="auto" w:before="158"/>
              <w:ind w:left="23" w:right="108"/>
              <w:jc w:val="left"/>
              <w:rPr>
                <w:rFonts w:ascii="宋体" w:hAnsi="宋体" w:cs="宋体" w:eastAsia="宋体" w:hint="default"/>
                <w:sz w:val="18"/>
                <w:szCs w:val="18"/>
              </w:rPr>
            </w:pPr>
            <w:r>
              <w:rPr>
                <w:rFonts w:ascii="宋体" w:hAnsi="宋体" w:cs="宋体" w:eastAsia="宋体" w:hint="default"/>
                <w:sz w:val="18"/>
                <w:szCs w:val="18"/>
              </w:rPr>
              <w:t>艾丽华酒店</w:t>
            </w:r>
            <w:r>
              <w:rPr>
                <w:rFonts w:ascii="宋体" w:hAnsi="宋体" w:cs="宋体" w:eastAsia="宋体" w:hint="default"/>
                <w:spacing w:val="1"/>
                <w:sz w:val="18"/>
                <w:szCs w:val="18"/>
              </w:rPr>
              <w:t> </w:t>
            </w:r>
            <w:r>
              <w:rPr>
                <w:rFonts w:ascii="宋体" w:hAnsi="宋体" w:cs="宋体" w:eastAsia="宋体" w:hint="default"/>
                <w:sz w:val="18"/>
                <w:szCs w:val="18"/>
              </w:rPr>
              <w:t>北京</w:t>
            </w:r>
            <w:r>
              <w:rPr>
                <w:rFonts w:ascii="宋体" w:hAnsi="宋体" w:cs="宋体" w:eastAsia="宋体" w:hint="default"/>
                <w:sz w:val="18"/>
                <w:szCs w:val="18"/>
              </w:rPr>
              <w:t> 厅</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23"/>
              <w:jc w:val="left"/>
              <w:rPr>
                <w:rFonts w:ascii="宋体" w:hAnsi="宋体" w:cs="宋体" w:eastAsia="宋体" w:hint="default"/>
                <w:sz w:val="18"/>
                <w:szCs w:val="18"/>
              </w:rPr>
            </w:pPr>
            <w:r>
              <w:rPr>
                <w:rFonts w:ascii="宋体" w:hAnsi="宋体" w:cs="宋体" w:eastAsia="宋体" w:hint="default"/>
                <w:sz w:val="18"/>
                <w:szCs w:val="18"/>
              </w:rPr>
              <w:t>金；大成基金；东 方证券； 广发基金；广发证</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通及重组标的公司所处的 行业发展趋势和外部环 境，公司发展历程，未来</w:t>
            </w:r>
          </w:p>
        </w:tc>
      </w:tr>
      <w:tr>
        <w:trPr>
          <w:trHeight w:val="323"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券；广州证券；国</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发展方向等。未提供资料</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泰君；宏源证券；</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华创证券；华西证</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券；华夏财富创新</w:t>
            </w:r>
          </w:p>
        </w:tc>
        <w:tc>
          <w:tcPr>
            <w:tcW w:w="208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0.923004pt;margin-top:72.47998pt;width:164.05pt;height:329.65pt;mso-position-horizontal-relative:page;mso-position-vertical-relative:page;z-index:-836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pStyle w:val="BodyText"/>
                    <w:spacing w:line="240" w:lineRule="auto"/>
                    <w:ind w:left="0" w:right="0" w:firstLine="360"/>
                    <w:jc w:val="left"/>
                  </w:pPr>
                  <w:r>
                    <w:rPr/>
                    <w:t>诺安基金；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360" w:right="0" w:hanging="360"/>
                    <w:jc w:val="left"/>
                  </w:pPr>
                  <w:r>
                    <w:rPr/>
                    <w:t>名禹资产管理；</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360" w:right="0"/>
                    <w:jc w:val="left"/>
                  </w:pPr>
                  <w:r>
                    <w:rPr/>
                    <w:t>兴业证券；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636" w:lineRule="auto"/>
                    <w:ind w:left="360" w:right="2018"/>
                    <w:jc w:val="left"/>
                  </w:pPr>
                  <w:r>
                    <w:rPr/>
                    <w:t>英大证券； 国际金融；</w:t>
                  </w:r>
                </w:p>
              </w:txbxContent>
            </v:textbox>
            <w10:wrap type="none"/>
          </v:shape>
        </w:pict>
      </w:r>
      <w:r>
        <w:rPr/>
        <w:pict>
          <v:shape style="position:absolute;margin-left:388.923004pt;margin-top:402.599976pt;width:146.050pt;height:113.2pt;mso-position-horizontal-relative:page;mso-position-vertical-relative:page;z-index:-836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636" w:lineRule="auto"/>
                    <w:ind w:left="0" w:right="2018"/>
                    <w:jc w:val="left"/>
                  </w:pPr>
                  <w:r>
                    <w:rPr/>
                    <w:t>国海证券； 中信建投；</w:t>
                  </w:r>
                </w:p>
              </w:txbxContent>
            </v:textbox>
            <w10:wrap type="none"/>
          </v:shape>
        </w:pict>
      </w:r>
      <w:r>
        <w:rPr/>
        <w:pict>
          <v:group style="position:absolute;margin-left:431.040009pt;margin-top:72.47998pt;width:107.3pt;height:443.3pt;mso-position-horizontal-relative:page;mso-position-vertical-relative:page;z-index:-836056" coordorigin="8621,1450" coordsize="2146,8866">
            <v:group style="position:absolute;left:8621;top:1450;width:2079;height:6593" coordorigin="8621,1450" coordsize="2079,6593">
              <v:shape style="position:absolute;left:8621;top:1450;width:2079;height:6593" coordorigin="8621,1450" coordsize="2079,6593" path="m8621,8042l10699,8042,10699,1450,8621,1450,8621,8042xe" filled="true" fillcolor="#ffffff" stroked="false">
                <v:path arrowok="t"/>
                <v:fill type="solid"/>
              </v:shape>
            </v:group>
            <v:group style="position:absolute;left:8621;top:8052;width:2079;height:2264" coordorigin="8621,8052" coordsize="2079,2264">
              <v:shape style="position:absolute;left:8621;top:8052;width:2079;height:2264" coordorigin="8621,8052" coordsize="2079,2264" path="m8621,10315l10699,10315,10699,8052,8621,8052,8621,10315xe" filled="true" fillcolor="#ffffff" stroked="false">
                <v:path arrowok="t"/>
                <v:fill type="solid"/>
              </v:shape>
            </v:group>
            <v:group style="position:absolute;left:8645;top:8520;width:2031;height:353" coordorigin="8645,8520" coordsize="2031,353">
              <v:shape style="position:absolute;left:8645;top:8520;width:2031;height:353" coordorigin="8645,8520" coordsize="2031,353" path="m8645,8873l10675,8873,10675,8520,8645,8520,8645,8873xe" filled="true" fillcolor="#ffffff" stroked="false">
                <v:path arrowok="t"/>
                <v:fill type="solid"/>
              </v:shape>
            </v:group>
            <v:group style="position:absolute;left:8645;top:8873;width:2031;height:312" coordorigin="8645,8873" coordsize="2031,312">
              <v:shape style="position:absolute;left:8645;top:8873;width:2031;height:312" coordorigin="8645,8873" coordsize="2031,312" path="m8645,9185l10675,9185,10675,8873,8645,8873,8645,9185xe" filled="true" fillcolor="#ffffff" stroked="false">
                <v:path arrowok="t"/>
                <v:fill type="solid"/>
              </v:shape>
            </v:group>
            <v:group style="position:absolute;left:8645;top:9185;width:2031;height:312" coordorigin="8645,9185" coordsize="2031,312">
              <v:shape style="position:absolute;left:8645;top:9185;width:2031;height:312" coordorigin="8645,9185" coordsize="2031,312" path="m8645,9497l10675,9497,10675,9185,8645,9185,8645,9497xe" filled="true" fillcolor="#ffffff" stroked="false">
                <v:path arrowok="t"/>
                <v:fill type="solid"/>
              </v:shape>
            </v:group>
            <v:group style="position:absolute;left:8645;top:9497;width:2031;height:351" coordorigin="8645,9497" coordsize="2031,351">
              <v:shape style="position:absolute;left:8645;top:9497;width:2031;height:351" coordorigin="8645,9497" coordsize="2031,351" path="m8645,9847l10675,9847,10675,9497,8645,9497,8645,9847xe" filled="true" fillcolor="#ffffff" stroked="false">
                <v:path arrowok="t"/>
                <v:fill type="solid"/>
              </v:shape>
              <v:shape style="position:absolute;left:10586;top:9249;width:1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315" w:hRule="exact"/>
        </w:trPr>
        <w:tc>
          <w:tcPr>
            <w:tcW w:w="1495" w:type="dxa"/>
            <w:vMerge w:val="restart"/>
            <w:tcBorders>
              <w:top w:val="single" w:sz="4" w:space="0" w:color="000000"/>
              <w:left w:val="single" w:sz="4" w:space="0" w:color="000000"/>
              <w:right w:val="single" w:sz="4" w:space="0" w:color="000000"/>
            </w:tcBorders>
          </w:tcPr>
          <w:p>
            <w:pPr/>
          </w:p>
        </w:tc>
        <w:tc>
          <w:tcPr>
            <w:tcW w:w="1495"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投资；建信基金；</w:t>
            </w:r>
          </w:p>
        </w:tc>
        <w:tc>
          <w:tcPr>
            <w:tcW w:w="2086" w:type="dxa"/>
            <w:vMerge w:val="restart"/>
            <w:tcBorders>
              <w:top w:val="single" w:sz="4" w:space="0" w:color="000000"/>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君合泰达投资；民</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生证券；</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平安资产管理；浦</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银安盛基金；融通</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基金；汇利资产管</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如壹投资；上投摩</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根；申国银河；前</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海瑞穗资本；时间</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投资；拾贝投资；</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天弘基金；万家基</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金；西南证券；信</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达证券；</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阳光保险；益民基</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金；银华基金；英</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大基金；</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圆信永丰基金；招</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商证券；</w:t>
            </w:r>
          </w:p>
        </w:tc>
        <w:tc>
          <w:tcPr>
            <w:tcW w:w="2086" w:type="dxa"/>
            <w:vMerge/>
            <w:tcBorders>
              <w:left w:val="single" w:sz="4" w:space="0" w:color="000000"/>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银河投资；银河证</w:t>
            </w:r>
          </w:p>
        </w:tc>
        <w:tc>
          <w:tcPr>
            <w:tcW w:w="2086" w:type="dxa"/>
            <w:vMerge/>
            <w:tcBorders>
              <w:left w:val="single" w:sz="4" w:space="0" w:color="000000"/>
              <w:right w:val="single" w:sz="4" w:space="0" w:color="000000"/>
            </w:tcBorders>
          </w:tcPr>
          <w:p>
            <w:pPr/>
          </w:p>
        </w:tc>
      </w:tr>
      <w:tr>
        <w:trPr>
          <w:trHeight w:val="360" w:hRule="exact"/>
        </w:trPr>
        <w:tc>
          <w:tcPr>
            <w:tcW w:w="1495" w:type="dxa"/>
            <w:vMerge/>
            <w:tcBorders>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券；中信证券</w:t>
            </w:r>
          </w:p>
        </w:tc>
        <w:tc>
          <w:tcPr>
            <w:tcW w:w="2086" w:type="dxa"/>
            <w:vMerge/>
            <w:tcBorders>
              <w:left w:val="single" w:sz="4" w:space="0" w:color="000000"/>
              <w:bottom w:val="single" w:sz="4" w:space="0" w:color="000000"/>
              <w:right w:val="single" w:sz="4" w:space="0" w:color="000000"/>
            </w:tcBorders>
          </w:tcPr>
          <w:p>
            <w:pPr/>
          </w:p>
        </w:tc>
      </w:tr>
      <w:tr>
        <w:trPr>
          <w:trHeight w:val="355"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长江证券；国海证</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券；中投证券；长 城基金； 圆信永丰基金；中 再资产； 中新融创；长盛基</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公司基本情况，东方通及 所收购的同德一心、惠捷 </w:t>
            </w:r>
            <w:r>
              <w:rPr>
                <w:rFonts w:ascii="宋体" w:hAnsi="宋体" w:cs="宋体" w:eastAsia="宋体" w:hint="default"/>
                <w:spacing w:val="-4"/>
                <w:sz w:val="18"/>
                <w:szCs w:val="18"/>
              </w:rPr>
              <w:t>朗的市场前景、竞争优势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未来发展等。未提供资料</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08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35"/>
        <w:jc w:val="center"/>
        <w:rPr>
          <w:b w:val="0"/>
          <w:bCs w:val="0"/>
        </w:rPr>
      </w:pPr>
      <w:bookmarkStart w:name="_TOC_250004" w:id="35"/>
      <w:bookmarkStart w:name="第五节 重要事项" w:id="36"/>
      <w:r>
        <w:rPr>
          <w:b w:val="0"/>
          <w:bCs w:val="0"/>
        </w:rPr>
      </w:r>
      <w:r>
        <w:rPr/>
        <w:t>第五节</w:t>
      </w:r>
      <w:r>
        <w:rPr>
          <w:spacing w:val="-4"/>
        </w:rPr>
        <w:t> </w:t>
      </w:r>
      <w:r>
        <w:rPr/>
        <w:t>重要事项</w:t>
      </w:r>
      <w:bookmarkEnd w:id="3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36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公司报告期不存在上市公司发生控股股东及其关联方非经营性占用资金情况。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956"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60" w:right="67"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8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北京同德 一心科技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2014</w:t>
            </w:r>
          </w:p>
          <w:p>
            <w:pPr>
              <w:pStyle w:val="TableParagraph"/>
              <w:spacing w:line="314" w:lineRule="auto" w:before="60"/>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日巨潮资 </w:t>
            </w:r>
            <w:r>
              <w:rPr>
                <w:rFonts w:ascii="宋体" w:hAnsi="宋体" w:cs="宋体" w:eastAsia="宋体" w:hint="default"/>
                <w:spacing w:val="-18"/>
                <w:sz w:val="18"/>
                <w:szCs w:val="18"/>
              </w:rPr>
              <w:t>讯网《关于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签订《股权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转让协议 的公告。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自本期初 至报告期 末为上市 公司贡献</w:t>
            </w:r>
          </w:p>
          <w:p>
            <w:pPr>
              <w:pStyle w:val="TableParagraph"/>
              <w:spacing w:line="196" w:lineRule="exact" w:before="19"/>
              <w:ind w:left="23" w:right="0"/>
              <w:jc w:val="both"/>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15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263" w:lineRule="exact"/>
              <w:ind w:left="2" w:right="-51"/>
              <w:jc w:val="left"/>
              <w:rPr>
                <w:rFonts w:ascii="宋体" w:hAnsi="宋体" w:cs="宋体" w:eastAsia="宋体" w:hint="default"/>
                <w:sz w:val="20"/>
                <w:szCs w:val="20"/>
              </w:rPr>
            </w:pPr>
            <w:r>
              <w:rPr>
                <w:rFonts w:ascii="宋体" w:hAnsi="宋体" w:cs="宋体" w:eastAsia="宋体" w:hint="default"/>
                <w:position w:val="-44"/>
                <w:sz w:val="20"/>
                <w:szCs w:val="20"/>
              </w:rPr>
              <w:pict>
                <v:group style="width:42.85pt;height:113.2pt;mso-position-horizontal-relative:char;mso-position-vertical-relative:line" coordorigin="0,0" coordsize="857,2264">
                  <v:group style="position:absolute;left:0;top:0;width:857;height:2264" coordorigin="0,0" coordsize="857,2264">
                    <v:shape style="position:absolute;left:0;top:0;width:857;height:2264" coordorigin="0,0" coordsize="857,2264" path="m0,2263l857,2263,857,0,0,0,0,2263xe" filled="true" fillcolor="#ffffff" stroked="false">
                      <v:path arrowok="t"/>
                      <v:fill type="solid"/>
                    </v:shape>
                  </v:group>
                  <v:group style="position:absolute;left:22;top:156;width:814;height:351" coordorigin="22,156" coordsize="814,351">
                    <v:shape style="position:absolute;left:22;top:156;width:814;height:351" coordorigin="22,156" coordsize="814,351" path="m22,506l835,506,835,156,22,156,22,506xe" filled="true" fillcolor="#ffffff" stroked="false">
                      <v:path arrowok="t"/>
                      <v:fill type="solid"/>
                    </v:shape>
                  </v:group>
                  <v:group style="position:absolute;left:22;top:506;width:814;height:312" coordorigin="22,506" coordsize="814,312">
                    <v:shape style="position:absolute;left:22;top:506;width:814;height:312" coordorigin="22,506" coordsize="814,312" path="m22,818l835,818,835,506,22,506,22,818xe" filled="true" fillcolor="#ffffff" stroked="false">
                      <v:path arrowok="t"/>
                      <v:fill type="solid"/>
                    </v:shape>
                  </v:group>
                  <v:group style="position:absolute;left:22;top:818;width:814;height:312" coordorigin="22,818" coordsize="814,312">
                    <v:shape style="position:absolute;left:22;top:818;width:814;height:312" coordorigin="22,818" coordsize="814,312" path="m22,1130l835,1130,835,818,22,818,22,1130xe" filled="true" fillcolor="#ffffff" stroked="false">
                      <v:path arrowok="t"/>
                      <v:fill type="solid"/>
                    </v:shape>
                  </v:group>
                  <v:group style="position:absolute;left:22;top:1130;width:814;height:312" coordorigin="22,1130" coordsize="814,312">
                    <v:shape style="position:absolute;left:22;top:1130;width:814;height:312" coordorigin="22,1130" coordsize="814,312" path="m22,1442l835,1442,835,1130,22,1130,22,1442xe" filled="true" fillcolor="#ffffff" stroked="false">
                      <v:path arrowok="t"/>
                      <v:fill type="solid"/>
                    </v:shape>
                  </v:group>
                  <v:group style="position:absolute;left:22;top:1442;width:814;height:312" coordorigin="22,1442" coordsize="814,312">
                    <v:shape style="position:absolute;left:22;top:1442;width:814;height:312" coordorigin="22,1442" coordsize="814,312" path="m22,1754l835,1754,835,1442,22,1442,22,1754xe" filled="true" fillcolor="#ffffff" stroked="false">
                      <v:path arrowok="t"/>
                      <v:fill type="solid"/>
                    </v:shape>
                  </v:group>
                  <v:group style="position:absolute;left:22;top:1754;width:814;height:353" coordorigin="22,1754" coordsize="814,353">
                    <v:shape style="position:absolute;left:22;top:1754;width:814;height:353" coordorigin="22,1754" coordsize="814,353" path="m22,2107l835,2107,835,1754,22,1754,22,2107xe" filled="true" fillcolor="#ffffff" stroked="false">
                      <v:path arrowok="t"/>
                      <v:fill type="solid"/>
                    </v:shape>
                  </v:group>
                </v:group>
              </w:pict>
            </w:r>
            <w:r>
              <w:rPr>
                <w:rFonts w:ascii="宋体" w:hAnsi="宋体" w:cs="宋体" w:eastAsia="宋体" w:hint="default"/>
                <w:position w:val="-44"/>
                <w:sz w:val="20"/>
                <w:szCs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2014-056</w:t>
            </w:r>
          </w:p>
        </w:tc>
      </w:tr>
      <w:tr>
        <w:trPr>
          <w:trHeight w:val="192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北京惠捷 朗科技有 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115"/>
              <w:jc w:val="both"/>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2014</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 </w:t>
            </w:r>
            <w:r>
              <w:rPr>
                <w:rFonts w:ascii="宋体" w:hAnsi="宋体" w:cs="宋体" w:eastAsia="宋体" w:hint="default"/>
                <w:spacing w:val="-18"/>
                <w:sz w:val="18"/>
                <w:szCs w:val="18"/>
              </w:rPr>
              <w:t>讯网《发行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股份及支 付现金购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自本期初 至报告期 末为上市 公司贡献 净利润</w:t>
            </w:r>
          </w:p>
          <w:p>
            <w:pPr>
              <w:pStyle w:val="TableParagraph"/>
              <w:spacing w:line="240" w:lineRule="auto" w:before="1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972.57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17.03%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92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3"/>
              <w:jc w:val="both"/>
              <w:rPr>
                <w:rFonts w:ascii="宋体" w:hAnsi="宋体" w:cs="宋体" w:eastAsia="宋体" w:hint="default"/>
                <w:sz w:val="18"/>
                <w:szCs w:val="18"/>
              </w:rPr>
            </w:pPr>
            <w:r>
              <w:rPr>
                <w:rFonts w:ascii="宋体" w:hAnsi="宋体" w:cs="宋体" w:eastAsia="宋体" w:hint="default"/>
                <w:sz w:val="18"/>
                <w:szCs w:val="18"/>
              </w:rPr>
              <w:t>买资产并 募集配套 资金暨重 大资产重 组报告书</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465"/>
        <w:jc w:val="left"/>
      </w:pPr>
      <w:r>
        <w:rPr/>
        <w:t>收购资产情况说明</w:t>
      </w:r>
    </w:p>
    <w:p>
      <w:pPr>
        <w:pStyle w:val="BodyText"/>
        <w:spacing w:line="316" w:lineRule="auto" w:before="115"/>
        <w:ind w:right="94" w:firstLine="420"/>
        <w:jc w:val="left"/>
      </w:pP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28</w:t>
      </w:r>
      <w:r>
        <w:rPr/>
        <w:t>日，本公司与庄小凡、龙启斌、陈少龙及北京同德一心科技有限公司签署《股权转让协议》，拟收购北京 同德一心科技有限公司</w:t>
      </w:r>
      <w:r>
        <w:rPr>
          <w:rFonts w:ascii="宋体" w:hAnsi="宋体" w:cs="宋体" w:eastAsia="宋体" w:hint="default"/>
        </w:rPr>
        <w:t>100%</w:t>
      </w:r>
      <w:r>
        <w:rPr/>
        <w:t>股权。</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14</w:t>
      </w:r>
      <w:r>
        <w:rPr/>
        <w:t>日，本公司第二届董事会第十次会议决议，同意该收购议案。</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12</w:t>
      </w:r>
      <w:r>
        <w:rPr>
          <w:rFonts w:ascii="宋体" w:hAnsi="宋体" w:cs="宋体" w:eastAsia="宋体" w:hint="default"/>
          <w:spacing w:val="-16"/>
        </w:rPr>
        <w:t> </w:t>
      </w:r>
      <w:r>
        <w:rPr/>
        <w:t>日，北京同德一心科技有限公司办理工商变更登记手续，成为本公司全资子公司。</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18</w:t>
      </w:r>
      <w:r>
        <w:rPr/>
        <w:t>日，本公司向庄小凡、龙启</w:t>
      </w:r>
      <w:r>
        <w:rPr>
          <w:spacing w:val="-85"/>
        </w:rPr>
        <w:t> </w:t>
      </w:r>
      <w:r>
        <w:rPr/>
        <w:t>斌、陈少龙支付北京同德一心科技有限公司股权对价</w:t>
      </w:r>
      <w:r>
        <w:rPr>
          <w:rFonts w:ascii="宋体" w:hAnsi="宋体" w:cs="宋体" w:eastAsia="宋体" w:hint="default"/>
        </w:rPr>
        <w:t>2,300</w:t>
      </w:r>
      <w:r>
        <w:rPr/>
        <w:t>万元（含税），尚余</w:t>
      </w:r>
      <w:r>
        <w:rPr>
          <w:rFonts w:ascii="宋体" w:hAnsi="宋体" w:cs="宋体" w:eastAsia="宋体" w:hint="default"/>
        </w:rPr>
        <w:t>700</w:t>
      </w:r>
      <w:r>
        <w:rPr/>
        <w:t>万元未付。根据前述《股权转让协议》， 本公司将于自</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14</w:t>
      </w:r>
      <w:r>
        <w:rPr/>
        <w:t>日起满十八个月、三十六个月后分别支付</w:t>
      </w:r>
      <w:r>
        <w:rPr>
          <w:rFonts w:ascii="宋体" w:hAnsi="宋体" w:cs="宋体" w:eastAsia="宋体" w:hint="default"/>
        </w:rPr>
        <w:t>350</w:t>
      </w:r>
      <w:r>
        <w:rPr/>
        <w:t>万元。</w:t>
      </w:r>
    </w:p>
    <w:p>
      <w:pPr>
        <w:pStyle w:val="BodyText"/>
        <w:spacing w:line="316" w:lineRule="auto" w:before="18"/>
        <w:ind w:right="191" w:firstLine="420"/>
        <w:jc w:val="both"/>
      </w:pPr>
      <w:r>
        <w:rPr>
          <w:rFonts w:ascii="宋体" w:hAnsi="宋体" w:cs="宋体" w:eastAsia="宋体" w:hint="default"/>
          <w:spacing w:val="-2"/>
        </w:rPr>
        <w:t>2014</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14</w:t>
      </w:r>
      <w:r>
        <w:rPr>
          <w:spacing w:val="-2"/>
        </w:rPr>
        <w:t>日，本公司与李健、王晋敏、王熙春、李飚签署《发行股份及支付现金购买资产协议》，本公司拟收购北</w:t>
      </w:r>
      <w:r>
        <w:rPr/>
        <w:t> </w:t>
      </w:r>
      <w:r>
        <w:rPr>
          <w:spacing w:val="-2"/>
        </w:rPr>
        <w:t>京惠捷朗科技有限公司</w:t>
      </w:r>
      <w:r>
        <w:rPr>
          <w:rFonts w:ascii="宋体" w:hAnsi="宋体" w:cs="宋体" w:eastAsia="宋体" w:hint="default"/>
          <w:spacing w:val="-2"/>
        </w:rPr>
        <w:t>100%</w:t>
      </w:r>
      <w:r>
        <w:rPr>
          <w:spacing w:val="-2"/>
        </w:rPr>
        <w:t>股权。</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15</w:t>
      </w:r>
      <w:r>
        <w:rPr>
          <w:spacing w:val="-2"/>
        </w:rPr>
        <w:t>日，中国证券监督管理委员会以《关于核准北京东方通科技股份有限公司向</w:t>
      </w:r>
      <w:r>
        <w:rPr>
          <w:spacing w:val="-61"/>
        </w:rPr>
        <w:t> </w:t>
      </w:r>
      <w:r>
        <w:rPr>
          <w:spacing w:val="-61"/>
        </w:rPr>
      </w:r>
      <w:r>
        <w:rPr/>
        <w:t>李健等发行股份购买资产并募集配套资金的批复》（证监许可</w:t>
      </w:r>
      <w:r>
        <w:rPr>
          <w:rFonts w:ascii="宋体" w:hAnsi="宋体" w:cs="宋体" w:eastAsia="宋体" w:hint="default"/>
        </w:rPr>
        <w:t>[2014]1354</w:t>
      </w:r>
      <w:r>
        <w:rPr/>
        <w:t>号）核准本公司向李健等发行</w:t>
      </w:r>
      <w:r>
        <w:rPr>
          <w:rFonts w:ascii="宋体" w:hAnsi="宋体" w:cs="宋体" w:eastAsia="宋体" w:hint="default"/>
        </w:rPr>
        <w:t>4,480,000</w:t>
      </w:r>
      <w:r>
        <w:rPr/>
        <w:t>股股票以 </w:t>
      </w:r>
      <w:r>
        <w:rPr>
          <w:spacing w:val="-2"/>
        </w:rPr>
        <w:t>购买北京惠捷朗科技有限公司</w:t>
      </w:r>
      <w:r>
        <w:rPr>
          <w:rFonts w:ascii="宋体" w:hAnsi="宋体" w:cs="宋体" w:eastAsia="宋体" w:hint="default"/>
          <w:spacing w:val="-2"/>
        </w:rPr>
        <w:t>100%</w:t>
      </w:r>
      <w:r>
        <w:rPr>
          <w:spacing w:val="-2"/>
        </w:rPr>
        <w:t>股权，并非公开发行股票募集配套资金不超过</w:t>
      </w:r>
      <w:r>
        <w:rPr>
          <w:rFonts w:ascii="宋体" w:hAnsi="宋体" w:cs="宋体" w:eastAsia="宋体" w:hint="default"/>
          <w:spacing w:val="-2"/>
        </w:rPr>
        <w:t>14,000</w:t>
      </w:r>
      <w:r>
        <w:rPr>
          <w:spacing w:val="-2"/>
        </w:rPr>
        <w:t>万元。同日，北京惠捷朗科技有限公</w:t>
      </w:r>
      <w:r>
        <w:rPr>
          <w:spacing w:val="-61"/>
        </w:rPr>
        <w:t> </w:t>
      </w:r>
      <w:r>
        <w:rPr>
          <w:spacing w:val="-61"/>
        </w:rPr>
      </w:r>
      <w:r>
        <w:rPr/>
        <w:t>司办理工商变更登记手续，成为本公司全资子公司。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19</w:t>
      </w:r>
      <w:r>
        <w:rPr/>
        <w:t>日，本公司向李健等发行股票</w:t>
      </w:r>
      <w:r>
        <w:rPr>
          <w:rFonts w:ascii="宋体" w:hAnsi="宋体" w:cs="宋体" w:eastAsia="宋体" w:hint="default"/>
        </w:rPr>
        <w:t>4,480,000</w:t>
      </w:r>
      <w:r>
        <w:rPr/>
        <w:t>股。</w:t>
      </w:r>
      <w:r>
        <w:rPr>
          <w:rFonts w:ascii="宋体" w:hAnsi="宋体" w:cs="宋体" w:eastAsia="宋体" w:hint="default"/>
        </w:rPr>
        <w:t>2014</w:t>
      </w:r>
      <w:r>
        <w:rPr/>
        <w:t>年</w:t>
      </w:r>
      <w:r>
        <w:rPr>
          <w:rFonts w:ascii="宋体" w:hAnsi="宋体" w:cs="宋体" w:eastAsia="宋体" w:hint="default"/>
        </w:rPr>
        <w:t>12</w:t>
      </w:r>
      <w:r>
        <w:rPr/>
        <w:t>月 </w:t>
      </w:r>
      <w:r>
        <w:rPr>
          <w:rFonts w:ascii="宋体" w:hAnsi="宋体" w:cs="宋体" w:eastAsia="宋体" w:hint="default"/>
          <w:spacing w:val="-2"/>
        </w:rPr>
        <w:t>29</w:t>
      </w:r>
      <w:r>
        <w:rPr>
          <w:spacing w:val="-2"/>
        </w:rPr>
        <w:t>日，本公司向东海基金管理有限责任公司等</w:t>
      </w:r>
      <w:r>
        <w:rPr>
          <w:rFonts w:ascii="宋体" w:hAnsi="宋体" w:cs="宋体" w:eastAsia="宋体" w:hint="default"/>
          <w:spacing w:val="-2"/>
        </w:rPr>
        <w:t>3</w:t>
      </w:r>
      <w:r>
        <w:rPr>
          <w:spacing w:val="-2"/>
        </w:rPr>
        <w:t>名特定投资者非公开发行股票</w:t>
      </w:r>
      <w:r>
        <w:rPr>
          <w:rFonts w:ascii="宋体" w:hAnsi="宋体" w:cs="宋体" w:eastAsia="宋体" w:hint="default"/>
          <w:spacing w:val="-2"/>
        </w:rPr>
        <w:t>1,696,969</w:t>
      </w:r>
      <w:r>
        <w:rPr>
          <w:spacing w:val="-2"/>
        </w:rPr>
        <w:t>股，募集配套资金用于支付惠捷朗股</w:t>
      </w:r>
      <w:r>
        <w:rPr>
          <w:spacing w:val="-58"/>
        </w:rPr>
        <w:t> </w:t>
      </w:r>
      <w:r>
        <w:rPr>
          <w:spacing w:val="-58"/>
        </w:rPr>
      </w:r>
      <w:r>
        <w:rPr/>
        <w:t>东的现金对价。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465"/>
        <w:jc w:val="left"/>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公司报告期未出售资产。</w:t>
      </w:r>
    </w:p>
    <w:p>
      <w:pPr>
        <w:spacing w:line="240" w:lineRule="auto" w:before="3"/>
        <w:rPr>
          <w:rFonts w:ascii="宋体" w:hAnsi="宋体" w:cs="宋体" w:eastAsia="宋体" w:hint="default"/>
          <w:sz w:val="21"/>
          <w:szCs w:val="21"/>
        </w:rPr>
      </w:pPr>
    </w:p>
    <w:p>
      <w:pPr>
        <w:pStyle w:val="Heading3"/>
        <w:spacing w:line="240" w:lineRule="auto"/>
        <w:ind w:right="465"/>
        <w:jc w:val="left"/>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公司报告期未发生企业合并情况。</w:t>
      </w:r>
    </w:p>
    <w:p>
      <w:pPr>
        <w:spacing w:line="240" w:lineRule="auto" w:before="3"/>
        <w:rPr>
          <w:rFonts w:ascii="宋体" w:hAnsi="宋体" w:cs="宋体" w:eastAsia="宋体" w:hint="default"/>
          <w:sz w:val="21"/>
          <w:szCs w:val="21"/>
        </w:rPr>
      </w:pPr>
    </w:p>
    <w:p>
      <w:pPr>
        <w:pStyle w:val="Heading3"/>
        <w:spacing w:line="259" w:lineRule="auto"/>
        <w:ind w:right="94"/>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3"/>
        <w:rPr>
          <w:rFonts w:ascii="宋体" w:hAnsi="宋体" w:cs="宋体" w:eastAsia="宋体" w:hint="default"/>
          <w:b/>
          <w:bCs/>
          <w:sz w:val="26"/>
          <w:szCs w:val="26"/>
        </w:rPr>
      </w:pPr>
    </w:p>
    <w:p>
      <w:pPr>
        <w:pStyle w:val="BodyText"/>
        <w:spacing w:line="338" w:lineRule="auto"/>
        <w:ind w:right="81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进展情况：</w:t>
      </w:r>
    </w:p>
    <w:p>
      <w:pPr>
        <w:pStyle w:val="BodyText"/>
        <w:spacing w:line="240" w:lineRule="auto" w:before="2"/>
        <w:ind w:left="212" w:right="465"/>
        <w:jc w:val="left"/>
      </w:pPr>
      <w:r>
        <w:rPr>
          <w:rFonts w:ascii="宋体" w:hAnsi="宋体" w:cs="宋体" w:eastAsia="宋体" w:hint="default"/>
        </w:rPr>
        <w:t>1.</w:t>
      </w:r>
      <w:r>
        <w:rPr>
          <w:rFonts w:ascii="宋体" w:hAnsi="宋体" w:cs="宋体" w:eastAsia="宋体" w:hint="default"/>
          <w:spacing w:val="8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日收到中国证券监督管理委员会出具的《中国证监会行政许可申请受理通知书》（</w:t>
      </w:r>
      <w:r>
        <w:rPr>
          <w:rFonts w:ascii="Times New Roman" w:hAnsi="Times New Roman" w:cs="Times New Roman" w:eastAsia="Times New Roman" w:hint="default"/>
        </w:rPr>
        <w:t>141126</w:t>
      </w:r>
      <w:r>
        <w:rPr/>
        <w:t>号）。</w:t>
      </w:r>
    </w:p>
    <w:p>
      <w:pPr>
        <w:pStyle w:val="BodyText"/>
        <w:spacing w:line="240" w:lineRule="auto" w:before="62"/>
        <w:ind w:left="212" w:right="94"/>
        <w:jc w:val="left"/>
        <w:rPr>
          <w:rFonts w:ascii="Times New Roman" w:hAnsi="Times New Roman" w:cs="Times New Roman" w:eastAsia="Times New Roman" w:hint="default"/>
        </w:rPr>
      </w:pPr>
      <w:r>
        <w:rPr>
          <w:rFonts w:ascii="宋体" w:hAnsi="宋体" w:cs="宋体" w:eastAsia="宋体" w:hint="default"/>
        </w:rPr>
        <w:t>2. </w:t>
      </w:r>
      <w:r>
        <w:rPr>
          <w:rFonts w:ascii="宋体" w:hAnsi="宋体" w:cs="宋体" w:eastAsia="宋体" w:hint="default"/>
          <w:spacing w:val="2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日收到中国证券监督管理委员会出具的《中国证监会行政许可项目审查一次反馈意见通知书》（</w:t>
      </w:r>
      <w:r>
        <w:rPr>
          <w:rFonts w:ascii="Times New Roman" w:hAnsi="Times New Roman" w:cs="Times New Roman" w:eastAsia="Times New Roman" w:hint="default"/>
        </w:rPr>
        <w:t>141126</w:t>
      </w:r>
    </w:p>
    <w:p>
      <w:pPr>
        <w:pStyle w:val="BodyText"/>
        <w:spacing w:line="240" w:lineRule="auto" w:before="62"/>
        <w:ind w:left="572" w:right="465"/>
        <w:jc w:val="left"/>
      </w:pPr>
      <w:r>
        <w:rPr/>
        <w:t>号）。</w:t>
      </w:r>
    </w:p>
    <w:p>
      <w:pPr>
        <w:pStyle w:val="BodyText"/>
        <w:spacing w:line="300" w:lineRule="auto" w:before="76"/>
        <w:ind w:left="572" w:right="209" w:hanging="360"/>
        <w:jc w:val="left"/>
      </w:pPr>
      <w:r>
        <w:rPr>
          <w:rFonts w:ascii="宋体" w:hAnsi="宋体" w:cs="宋体" w:eastAsia="宋体" w:hint="default"/>
        </w:rPr>
        <w:t>3.</w:t>
      </w:r>
      <w:r>
        <w:rPr>
          <w:rFonts w:ascii="宋体" w:hAnsi="宋体" w:cs="宋体" w:eastAsia="宋体" w:hint="default"/>
          <w:spacing w:val="2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日收到中国证券监督管理委员会出具的《关于核准北京东方通科技股份有限公司向李健等发行股份购买</w:t>
      </w:r>
      <w:r>
        <w:rPr>
          <w:spacing w:val="-88"/>
        </w:rPr>
        <w:t> </w:t>
      </w:r>
      <w:r>
        <w:rPr>
          <w:spacing w:val="-88"/>
        </w:rPr>
      </w:r>
      <w:r>
        <w:rPr/>
        <w:t>资产并募集配套资金的批复》（证监许可</w:t>
      </w:r>
      <w:r>
        <w:rPr>
          <w:rFonts w:ascii="Times New Roman" w:hAnsi="Times New Roman" w:cs="Times New Roman" w:eastAsia="Times New Roman" w:hint="default"/>
        </w:rPr>
        <w:t>[2014]1354</w:t>
      </w:r>
      <w:r>
        <w:rPr/>
        <w:t>号）。</w:t>
      </w:r>
    </w:p>
    <w:p>
      <w:pPr>
        <w:pStyle w:val="BodyText"/>
        <w:spacing w:line="240" w:lineRule="auto" w:before="13"/>
        <w:ind w:left="212" w:right="465"/>
        <w:jc w:val="left"/>
      </w:pPr>
      <w:r>
        <w:rPr>
          <w:rFonts w:ascii="宋体" w:hAnsi="宋体" w:cs="宋体" w:eastAsia="宋体" w:hint="default"/>
        </w:rPr>
        <w:t>4.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日惠捷朗</w:t>
      </w:r>
      <w:r>
        <w:rPr>
          <w:rFonts w:ascii="Times New Roman" w:hAnsi="Times New Roman" w:cs="Times New Roman" w:eastAsia="Times New Roman" w:hint="default"/>
        </w:rPr>
        <w:t>100%</w:t>
      </w:r>
      <w:r>
        <w:rPr/>
        <w:t>股权过户至上市公司名下，本次交易资产交割完成。</w:t>
      </w:r>
    </w:p>
    <w:p>
      <w:pPr>
        <w:pStyle w:val="BodyText"/>
        <w:spacing w:line="300" w:lineRule="auto" w:before="62"/>
        <w:ind w:left="572" w:right="209" w:hanging="360"/>
        <w:jc w:val="left"/>
      </w:pPr>
      <w:r>
        <w:rPr>
          <w:rFonts w:ascii="宋体" w:hAnsi="宋体" w:cs="宋体" w:eastAsia="宋体" w:hint="default"/>
        </w:rPr>
        <w:t>5.</w:t>
      </w:r>
      <w:r>
        <w:rPr>
          <w:rFonts w:ascii="宋体" w:hAnsi="宋体" w:cs="宋体" w:eastAsia="宋体" w:hint="default"/>
          <w:spacing w:val="2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日，东方通在中国证券登记结算有限责任公司深圳分公司办理了股权登记手续，上市公司已办理完毕新</w:t>
      </w:r>
      <w:r>
        <w:rPr>
          <w:spacing w:val="-88"/>
        </w:rPr>
        <w:t> </w:t>
      </w:r>
      <w:r>
        <w:rPr>
          <w:spacing w:val="-88"/>
        </w:rPr>
      </w:r>
      <w:r>
        <w:rPr/>
        <w:t>增股份</w:t>
      </w:r>
      <w:r>
        <w:rPr>
          <w:spacing w:val="-23"/>
        </w:rPr>
        <w:t> </w:t>
      </w:r>
      <w:r>
        <w:rPr>
          <w:rFonts w:ascii="Times New Roman" w:hAnsi="Times New Roman" w:cs="Times New Roman" w:eastAsia="Times New Roman" w:hint="default"/>
        </w:rPr>
        <w:t>448</w:t>
      </w:r>
      <w:r>
        <w:rPr/>
        <w:t>万股的登记手续。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日，上述股份完成上市手续。</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72" w:right="137" w:hanging="360"/>
        <w:jc w:val="left"/>
      </w:pPr>
      <w:r>
        <w:rPr>
          <w:rFonts w:ascii="宋体" w:hAnsi="宋体" w:cs="宋体" w:eastAsia="宋体" w:hint="default"/>
        </w:rPr>
        <w:t>6.</w:t>
      </w:r>
      <w:r>
        <w:rPr>
          <w:rFonts w:ascii="宋体" w:hAnsi="宋体" w:cs="宋体" w:eastAsia="宋体" w:hint="default"/>
          <w:spacing w:val="37"/>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日，东方通在中国证券登记结算有限责任公司深圳分公司就本次配套融资发行的</w:t>
      </w:r>
      <w:r>
        <w:rPr>
          <w:rFonts w:ascii="Times New Roman" w:hAnsi="Times New Roman" w:cs="Times New Roman" w:eastAsia="Times New Roman" w:hint="default"/>
        </w:rPr>
        <w:t>1,696,969</w:t>
      </w:r>
      <w:r>
        <w:rPr/>
        <w:t>股股份办理了股 权登记手续。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日，上述股份完成上市手续。</w:t>
      </w:r>
    </w:p>
    <w:p>
      <w:pPr>
        <w:spacing w:line="240" w:lineRule="auto" w:before="11"/>
        <w:rPr>
          <w:rFonts w:ascii="宋体" w:hAnsi="宋体" w:cs="宋体" w:eastAsia="宋体" w:hint="default"/>
          <w:sz w:val="24"/>
          <w:szCs w:val="24"/>
        </w:rPr>
      </w:pPr>
    </w:p>
    <w:p>
      <w:pPr>
        <w:pStyle w:val="BodyText"/>
        <w:spacing w:line="316" w:lineRule="auto"/>
        <w:ind w:right="0" w:firstLine="419"/>
        <w:jc w:val="left"/>
      </w:pPr>
      <w:r>
        <w:rPr/>
        <w:t>现尚需就本次发行股份及支付现金购买资产并募集配套资金新增股份上市事宜办理注册资本、公司章程及经营范围等 工商登记变更手续。</w:t>
      </w:r>
    </w:p>
    <w:p>
      <w:pPr>
        <w:spacing w:line="240" w:lineRule="auto" w:before="4"/>
        <w:rPr>
          <w:rFonts w:ascii="宋体" w:hAnsi="宋体" w:cs="宋体" w:eastAsia="宋体" w:hint="default"/>
          <w:sz w:val="25"/>
          <w:szCs w:val="25"/>
        </w:rPr>
      </w:pPr>
    </w:p>
    <w:p>
      <w:pPr>
        <w:pStyle w:val="BodyText"/>
        <w:spacing w:line="240" w:lineRule="auto"/>
        <w:ind w:right="0"/>
        <w:jc w:val="left"/>
      </w:pPr>
      <w:r>
        <w:rPr/>
        <w:t>对报告期影响：</w:t>
      </w:r>
    </w:p>
    <w:p>
      <w:pPr>
        <w:pStyle w:val="BodyText"/>
        <w:spacing w:line="316" w:lineRule="auto" w:before="76"/>
        <w:ind w:right="0" w:firstLine="419"/>
        <w:jc w:val="left"/>
      </w:pPr>
      <w:r>
        <w:rPr/>
        <w:t>本次并购完成后，惠捷朗纳入合并报表的收入</w:t>
      </w:r>
      <w:r>
        <w:rPr>
          <w:rFonts w:ascii="宋体" w:hAnsi="宋体" w:cs="宋体" w:eastAsia="宋体" w:hint="default"/>
        </w:rPr>
        <w:t>1586.13</w:t>
      </w:r>
      <w:r>
        <w:rPr/>
        <w:t>万元、占当期收入总额的</w:t>
      </w:r>
      <w:r>
        <w:rPr>
          <w:rFonts w:ascii="宋体" w:hAnsi="宋体" w:cs="宋体" w:eastAsia="宋体" w:hint="default"/>
        </w:rPr>
        <w:t>8.17%</w:t>
      </w:r>
      <w:r>
        <w:rPr/>
        <w:t>，惠捷朗按并购日资产的公允价 值对报表进行调整后纳入合并报表的净利润</w:t>
      </w:r>
      <w:r>
        <w:rPr>
          <w:rFonts w:ascii="宋体" w:hAnsi="宋体" w:cs="宋体" w:eastAsia="宋体" w:hint="default"/>
        </w:rPr>
        <w:t>939.29</w:t>
      </w:r>
      <w:r>
        <w:rPr/>
        <w:t>万元、占当期净利润的</w:t>
      </w:r>
      <w:r>
        <w:rPr>
          <w:rFonts w:ascii="宋体" w:hAnsi="宋体" w:cs="宋体" w:eastAsia="宋体" w:hint="default"/>
        </w:rPr>
        <w:t>16.45%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3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公司报告期无股权激励计划及其实施情况。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六、重大关联交易" w:id="46"/>
      <w:bookmarkEnd w:id="46"/>
      <w:r>
        <w:rPr>
          <w:b w:val="0"/>
          <w:bCs w:val="0"/>
        </w:rPr>
      </w:r>
      <w:r>
        <w:rPr/>
        <w:t>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公司报告期未发生共同对外投资的重大关联交易。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50"/>
      <w:bookmarkEnd w:id="5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465"/>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465"/>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465"/>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465"/>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465"/>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1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316" w:lineRule="auto" w:before="39"/>
        <w:ind w:right="140" w:firstLine="419"/>
        <w:jc w:val="both"/>
      </w:pPr>
      <w:r>
        <w:rPr>
          <w:rFonts w:ascii="宋体" w:hAnsi="宋体" w:cs="宋体" w:eastAsia="宋体" w:hint="default"/>
        </w:rPr>
        <w:t>1</w:t>
      </w:r>
      <w:r>
        <w:rPr/>
        <w:t>、根据本公司与北京信息基础设施建设股份有限公司签署的《中关村瀚海国际大厦写字楼租赁合同》及其补充协议， </w:t>
      </w:r>
      <w:r>
        <w:rPr>
          <w:spacing w:val="-3"/>
        </w:rPr>
        <w:t>本公司续租中关村瀚海国际大厦</w:t>
      </w:r>
      <w:r>
        <w:rPr>
          <w:rFonts w:ascii="宋体" w:hAnsi="宋体" w:cs="宋体" w:eastAsia="宋体" w:hint="default"/>
          <w:spacing w:val="-3"/>
        </w:rPr>
        <w:t>2</w:t>
      </w:r>
      <w:r>
        <w:rPr>
          <w:spacing w:val="-3"/>
        </w:rPr>
        <w:t>层</w:t>
      </w:r>
      <w:r>
        <w:rPr>
          <w:rFonts w:ascii="宋体" w:hAnsi="宋体" w:cs="宋体" w:eastAsia="宋体" w:hint="default"/>
          <w:spacing w:val="-3"/>
        </w:rPr>
        <w:t>203</w:t>
      </w:r>
      <w:r>
        <w:rPr>
          <w:spacing w:val="-3"/>
        </w:rPr>
        <w:t>室、</w:t>
      </w:r>
      <w:r>
        <w:rPr>
          <w:rFonts w:ascii="宋体" w:hAnsi="宋体" w:cs="宋体" w:eastAsia="宋体" w:hint="default"/>
          <w:spacing w:val="-3"/>
        </w:rPr>
        <w:t>3</w:t>
      </w:r>
      <w:r>
        <w:rPr>
          <w:spacing w:val="-3"/>
        </w:rPr>
        <w:t>层</w:t>
      </w:r>
      <w:r>
        <w:rPr>
          <w:rFonts w:ascii="宋体" w:hAnsi="宋体" w:cs="宋体" w:eastAsia="宋体" w:hint="default"/>
          <w:spacing w:val="-3"/>
        </w:rPr>
        <w:t>305</w:t>
      </w:r>
      <w:r>
        <w:rPr>
          <w:spacing w:val="-3"/>
        </w:rPr>
        <w:t>室及</w:t>
      </w:r>
      <w:r>
        <w:rPr>
          <w:rFonts w:ascii="宋体" w:hAnsi="宋体" w:cs="宋体" w:eastAsia="宋体" w:hint="default"/>
          <w:spacing w:val="-3"/>
        </w:rPr>
        <w:t>13</w:t>
      </w:r>
      <w:r>
        <w:rPr>
          <w:spacing w:val="-3"/>
        </w:rPr>
        <w:t>层</w:t>
      </w:r>
      <w:r>
        <w:rPr>
          <w:rFonts w:ascii="宋体" w:hAnsi="宋体" w:cs="宋体" w:eastAsia="宋体" w:hint="default"/>
          <w:spacing w:val="-3"/>
        </w:rPr>
        <w:t>1306</w:t>
      </w:r>
      <w:r>
        <w:rPr>
          <w:spacing w:val="-3"/>
        </w:rPr>
        <w:t>室房产，用于办公，该房产建筑面积</w:t>
      </w:r>
      <w:r>
        <w:rPr>
          <w:rFonts w:ascii="宋体" w:hAnsi="宋体" w:cs="宋体" w:eastAsia="宋体" w:hint="default"/>
          <w:spacing w:val="-3"/>
        </w:rPr>
        <w:t>2,439.18</w:t>
      </w:r>
      <w:r>
        <w:rPr>
          <w:spacing w:val="-3"/>
        </w:rPr>
        <w:t>㎡</w:t>
      </w:r>
      <w:r>
        <w:rPr>
          <w:rFonts w:ascii="宋体" w:hAnsi="宋体" w:cs="宋体" w:eastAsia="宋体" w:hint="default"/>
          <w:spacing w:val="-3"/>
        </w:rPr>
        <w:t>,</w:t>
      </w:r>
      <w:r>
        <w:rPr>
          <w:spacing w:val="-3"/>
        </w:rPr>
        <w:t>租期自</w:t>
      </w:r>
      <w:r>
        <w:rPr>
          <w:rFonts w:ascii="宋体" w:hAnsi="宋体" w:cs="宋体" w:eastAsia="宋体" w:hint="default"/>
          <w:spacing w:val="-3"/>
        </w:rPr>
        <w:t>2013</w:t>
      </w:r>
      <w:r>
        <w:rPr>
          <w:rFonts w:ascii="宋体" w:hAnsi="宋体" w:cs="宋体" w:eastAsia="宋体" w:hint="default"/>
          <w:spacing w:val="-67"/>
        </w:rPr>
        <w:t> </w:t>
      </w:r>
      <w:r>
        <w:rPr>
          <w:rFonts w:ascii="宋体" w:hAnsi="宋体" w:cs="宋体" w:eastAsia="宋体" w:hint="default"/>
          <w:spacing w:val="-67"/>
        </w:rPr>
      </w:r>
      <w:r>
        <w:rPr/>
        <w:t>年</w:t>
      </w:r>
      <w:r>
        <w:rPr>
          <w:rFonts w:ascii="宋体" w:hAnsi="宋体" w:cs="宋体" w:eastAsia="宋体" w:hint="default"/>
        </w:rPr>
        <w:t>11</w:t>
      </w:r>
      <w:r>
        <w:rPr/>
        <w:t>月</w:t>
      </w:r>
      <w:r>
        <w:rPr>
          <w:rFonts w:ascii="宋体" w:hAnsi="宋体" w:cs="宋体" w:eastAsia="宋体" w:hint="default"/>
        </w:rPr>
        <w:t>1</w:t>
      </w:r>
      <w:r>
        <w:rPr/>
        <w:t>日至</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31</w:t>
      </w:r>
      <w:r>
        <w:rPr/>
        <w:t>日计</w:t>
      </w:r>
      <w:r>
        <w:rPr>
          <w:rFonts w:ascii="宋体" w:hAnsi="宋体" w:cs="宋体" w:eastAsia="宋体" w:hint="default"/>
        </w:rPr>
        <w:t>36</w:t>
      </w:r>
      <w:r>
        <w:rPr/>
        <w:t>个自然月，自</w:t>
      </w:r>
      <w:r>
        <w:rPr>
          <w:rFonts w:ascii="宋体" w:hAnsi="宋体" w:cs="宋体" w:eastAsia="宋体" w:hint="default"/>
        </w:rPr>
        <w:t>2014</w:t>
      </w:r>
      <w:r>
        <w:rPr/>
        <w:t>年</w:t>
      </w:r>
      <w:r>
        <w:rPr>
          <w:rFonts w:ascii="宋体" w:hAnsi="宋体" w:cs="宋体" w:eastAsia="宋体" w:hint="default"/>
        </w:rPr>
        <w:t>8</w:t>
      </w:r>
      <w:r>
        <w:rPr/>
        <w:t>月起月租金</w:t>
      </w:r>
      <w:r>
        <w:rPr>
          <w:rFonts w:ascii="宋体" w:hAnsi="宋体" w:cs="宋体" w:eastAsia="宋体" w:hint="default"/>
        </w:rPr>
        <w:t>408,054.49</w:t>
      </w:r>
      <w:r>
        <w:rPr/>
        <w:t>元，每三个月预付。</w:t>
      </w:r>
    </w:p>
    <w:p>
      <w:pPr>
        <w:pStyle w:val="BodyText"/>
        <w:spacing w:line="316" w:lineRule="auto" w:before="18"/>
        <w:ind w:left="153" w:right="192" w:firstLine="420"/>
        <w:jc w:val="both"/>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8</w:t>
      </w:r>
      <w:r>
        <w:rPr/>
        <w:t>日，本公司与自然人刘星星签订《广州市房屋租赁合同》，承租其位于天河区林和西街</w:t>
      </w:r>
      <w:r>
        <w:rPr>
          <w:rFonts w:ascii="宋体" w:hAnsi="宋体" w:cs="宋体" w:eastAsia="宋体" w:hint="default"/>
        </w:rPr>
        <w:t>167</w:t>
      </w:r>
      <w:r>
        <w:rPr/>
        <w:t>号</w:t>
      </w:r>
      <w:r>
        <w:rPr>
          <w:rFonts w:ascii="宋体" w:hAnsi="宋体" w:cs="宋体" w:eastAsia="宋体" w:hint="default"/>
        </w:rPr>
        <w:t>1411</w:t>
      </w:r>
      <w:r>
        <w:rPr/>
        <w:t>、</w:t>
      </w:r>
      <w:r>
        <w:rPr>
          <w:rFonts w:ascii="宋体" w:hAnsi="宋体" w:cs="宋体" w:eastAsia="宋体" w:hint="default"/>
        </w:rPr>
        <w:t>1412</w:t>
      </w:r>
      <w:r>
        <w:rPr>
          <w:rFonts w:ascii="宋体" w:hAnsi="宋体" w:cs="宋体" w:eastAsia="宋体" w:hint="default"/>
          <w:spacing w:val="-2"/>
        </w:rPr>
        <w:t> </w:t>
      </w:r>
      <w:r>
        <w:rPr/>
        <w:t>房号的房产，用于办公。该房产建筑面积</w:t>
      </w:r>
      <w:r>
        <w:rPr>
          <w:rFonts w:ascii="宋体" w:hAnsi="宋体" w:cs="宋体" w:eastAsia="宋体" w:hint="default"/>
        </w:rPr>
        <w:t>103</w:t>
      </w:r>
      <w:r>
        <w:rPr/>
        <w:t>㎡，租期自</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8</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7</w:t>
      </w:r>
      <w:r>
        <w:rPr/>
        <w:t>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8</w:t>
      </w:r>
      <w:r>
        <w:rPr/>
        <w:t>日至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7</w:t>
      </w:r>
      <w:r>
        <w:rPr/>
        <w:t>日 月租金</w:t>
      </w:r>
      <w:r>
        <w:rPr>
          <w:rFonts w:ascii="宋体" w:hAnsi="宋体" w:cs="宋体" w:eastAsia="宋体" w:hint="default"/>
        </w:rPr>
        <w:t>1.12</w:t>
      </w:r>
      <w:r>
        <w:rPr/>
        <w:t>万元，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8</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7</w:t>
      </w:r>
      <w:r>
        <w:rPr/>
        <w:t>日月租金</w:t>
      </w:r>
      <w:r>
        <w:rPr>
          <w:rFonts w:ascii="宋体" w:hAnsi="宋体" w:cs="宋体" w:eastAsia="宋体" w:hint="default"/>
        </w:rPr>
        <w:t>1.19</w:t>
      </w:r>
      <w:r>
        <w:rPr/>
        <w:t>万元，租金按月支付。</w:t>
      </w:r>
    </w:p>
    <w:p>
      <w:pPr>
        <w:pStyle w:val="BodyText"/>
        <w:spacing w:line="316" w:lineRule="auto" w:before="18"/>
        <w:ind w:left="153" w:right="189" w:firstLine="419"/>
        <w:jc w:val="both"/>
      </w:pPr>
      <w:r>
        <w:rPr>
          <w:rFonts w:ascii="宋体" w:hAnsi="宋体" w:cs="宋体" w:eastAsia="宋体" w:hint="default"/>
          <w:spacing w:val="-1"/>
        </w:rPr>
        <w:t>2</w:t>
      </w:r>
      <w:r>
        <w:rPr>
          <w:spacing w:val="-1"/>
        </w:rPr>
        <w:t>、根据成都东方通科技有限责任公司与成都高新置业有限公司和成都天府软件园有限公司签订的《天府软件园房屋租</w:t>
      </w:r>
      <w:r>
        <w:rPr/>
        <w:t> </w:t>
      </w:r>
      <w:r>
        <w:rPr>
          <w:spacing w:val="-2"/>
        </w:rPr>
        <w:t>赁协议》（</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w:t>
      </w:r>
      <w:r>
        <w:rPr>
          <w:spacing w:val="-2"/>
        </w:rPr>
        <w:t>日签订）及其补充协议一（</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13</w:t>
      </w:r>
      <w:r>
        <w:rPr>
          <w:spacing w:val="-2"/>
        </w:rPr>
        <w:t>日签订）、补充协议二（</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日签订），以及《天</w:t>
      </w:r>
      <w:r>
        <w:rPr>
          <w:spacing w:val="-57"/>
        </w:rPr>
        <w:t> </w:t>
      </w:r>
      <w:r>
        <w:rPr>
          <w:spacing w:val="-57"/>
        </w:rPr>
      </w:r>
      <w:r>
        <w:rPr/>
        <w:t>府软件园房屋租赁协议》（</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12</w:t>
      </w:r>
      <w:r>
        <w:rPr/>
        <w:t>日签订），本公司承租成都高新区天府大道中段</w:t>
      </w:r>
      <w:r>
        <w:rPr>
          <w:rFonts w:ascii="宋体" w:hAnsi="宋体" w:cs="宋体" w:eastAsia="宋体" w:hint="default"/>
        </w:rPr>
        <w:t>1268</w:t>
      </w:r>
      <w:r>
        <w:rPr/>
        <w:t>号（天府软件园</w:t>
      </w:r>
      <w:r>
        <w:rPr>
          <w:rFonts w:ascii="宋体" w:hAnsi="宋体" w:cs="宋体" w:eastAsia="宋体" w:hint="default"/>
        </w:rPr>
        <w:t>E</w:t>
      </w:r>
      <w:r>
        <w:rPr/>
        <w:t>区</w:t>
      </w:r>
      <w:r>
        <w:rPr>
          <w:rFonts w:ascii="宋体" w:hAnsi="宋体" w:cs="宋体" w:eastAsia="宋体" w:hint="default"/>
        </w:rPr>
        <w:t>1</w:t>
      </w:r>
      <w:r>
        <w:rPr/>
        <w:t>号楼）</w:t>
      </w:r>
      <w:r>
        <w:rPr>
          <w:rFonts w:ascii="宋体" w:hAnsi="宋体" w:cs="宋体" w:eastAsia="宋体" w:hint="default"/>
        </w:rPr>
        <w:t>11</w:t>
      </w:r>
      <w:r>
        <w:rPr>
          <w:rFonts w:ascii="宋体" w:hAnsi="宋体" w:cs="宋体" w:eastAsia="宋体" w:hint="default"/>
          <w:spacing w:val="-2"/>
        </w:rPr>
        <w:t> </w:t>
      </w:r>
      <w:r>
        <w:rPr/>
        <w:t>层</w:t>
      </w:r>
      <w:r>
        <w:rPr>
          <w:rFonts w:ascii="宋体" w:hAnsi="宋体" w:cs="宋体" w:eastAsia="宋体" w:hint="default"/>
        </w:rPr>
        <w:t>27</w:t>
      </w:r>
      <w:r>
        <w:rPr/>
        <w:t>、</w:t>
      </w:r>
      <w:r>
        <w:rPr>
          <w:rFonts w:ascii="宋体" w:hAnsi="宋体" w:cs="宋体" w:eastAsia="宋体" w:hint="default"/>
        </w:rPr>
        <w:t>28</w:t>
      </w:r>
      <w:r>
        <w:rPr/>
        <w:t>、</w:t>
      </w:r>
      <w:r>
        <w:rPr>
          <w:rFonts w:ascii="宋体" w:hAnsi="宋体" w:cs="宋体" w:eastAsia="宋体" w:hint="default"/>
        </w:rPr>
        <w:t>29</w:t>
      </w:r>
      <w:r>
        <w:rPr/>
        <w:t>、</w:t>
      </w:r>
      <w:r>
        <w:rPr>
          <w:rFonts w:ascii="宋体" w:hAnsi="宋体" w:cs="宋体" w:eastAsia="宋体" w:hint="default"/>
        </w:rPr>
        <w:t>30</w:t>
      </w:r>
      <w:r>
        <w:rPr/>
        <w:t>号房间，用于科研、办公，该房屋建筑面积</w:t>
      </w:r>
      <w:r>
        <w:rPr>
          <w:rFonts w:ascii="宋体" w:hAnsi="宋体" w:cs="宋体" w:eastAsia="宋体" w:hint="default"/>
        </w:rPr>
        <w:t>842.25</w:t>
      </w:r>
      <w:r>
        <w:rPr/>
        <w:t>㎡，租期自</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15</w:t>
      </w:r>
      <w:r>
        <w:rPr/>
        <w:t>日起至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日止。租 </w:t>
      </w:r>
      <w:r>
        <w:rPr>
          <w:spacing w:val="-2"/>
        </w:rPr>
        <w:t>金自</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日起算，月租金</w:t>
      </w:r>
      <w:r>
        <w:rPr>
          <w:rFonts w:ascii="宋体" w:hAnsi="宋体" w:cs="宋体" w:eastAsia="宋体" w:hint="default"/>
          <w:spacing w:val="-2"/>
        </w:rPr>
        <w:t>42,112.50</w:t>
      </w:r>
      <w:r>
        <w:rPr>
          <w:spacing w:val="-2"/>
        </w:rPr>
        <w:t>元，按季预付。天府软件园由成都高新置业有限公司开发建设，成都天府软件园</w:t>
      </w:r>
      <w:r>
        <w:rPr>
          <w:spacing w:val="-57"/>
        </w:rPr>
        <w:t> </w:t>
      </w:r>
      <w:r>
        <w:rPr>
          <w:spacing w:val="-57"/>
        </w:rPr>
      </w:r>
      <w:r>
        <w:rPr/>
        <w:t>有限公司受托经营管理。</w:t>
      </w:r>
    </w:p>
    <w:p>
      <w:pPr>
        <w:pStyle w:val="BodyText"/>
        <w:spacing w:line="316" w:lineRule="auto" w:before="18"/>
        <w:ind w:left="154" w:right="105" w:firstLine="419"/>
        <w:jc w:val="left"/>
      </w:pP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w:t>
      </w:r>
      <w:r>
        <w:rPr/>
        <w:t>日，上海东方通泰软件科技有限公司与上海市北高新（集团）有限公司签订《市北高新技术服务业园区 房屋租赁合同》，承租该公司位于上海市闸北江场三路</w:t>
      </w:r>
      <w:r>
        <w:rPr>
          <w:rFonts w:ascii="宋体" w:hAnsi="宋体" w:cs="宋体" w:eastAsia="宋体" w:hint="default"/>
        </w:rPr>
        <w:t>26</w:t>
      </w:r>
      <w:r>
        <w:rPr/>
        <w:t>、</w:t>
      </w:r>
      <w:r>
        <w:rPr>
          <w:rFonts w:ascii="宋体" w:hAnsi="宋体" w:cs="宋体" w:eastAsia="宋体" w:hint="default"/>
        </w:rPr>
        <w:t>28</w:t>
      </w:r>
      <w:r>
        <w:rPr/>
        <w:t>号</w:t>
      </w:r>
      <w:r>
        <w:rPr>
          <w:rFonts w:ascii="宋体" w:hAnsi="宋体" w:cs="宋体" w:eastAsia="宋体" w:hint="default"/>
        </w:rPr>
        <w:t>3</w:t>
      </w:r>
      <w:r>
        <w:rPr/>
        <w:t>层</w:t>
      </w:r>
      <w:r>
        <w:rPr>
          <w:rFonts w:ascii="宋体" w:hAnsi="宋体" w:cs="宋体" w:eastAsia="宋体" w:hint="default"/>
        </w:rPr>
        <w:t>303-304</w:t>
      </w:r>
      <w:r>
        <w:rPr/>
        <w:t>室，用于研发经营，该房屋建筑面积</w:t>
      </w:r>
      <w:r>
        <w:rPr>
          <w:rFonts w:ascii="宋体" w:hAnsi="宋体" w:cs="宋体" w:eastAsia="宋体" w:hint="default"/>
        </w:rPr>
        <w:t>570.31</w:t>
      </w:r>
      <w:r>
        <w:rPr/>
        <w:t>㎡， </w:t>
      </w:r>
      <w:r>
        <w:rPr>
          <w:spacing w:val="-2"/>
        </w:rPr>
        <w:t>租期自</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w:t>
      </w:r>
      <w:r>
        <w:rPr>
          <w:rFonts w:ascii="宋体" w:hAnsi="宋体" w:cs="宋体" w:eastAsia="宋体" w:hint="default"/>
          <w:spacing w:val="-2"/>
        </w:rPr>
        <w:t>2010</w:t>
      </w:r>
      <w:r>
        <w:rPr>
          <w:spacing w:val="-2"/>
        </w:rPr>
        <w:t>年前三个月为装修期，免租金；</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日止，日租</w:t>
      </w:r>
      <w:r>
        <w:rPr>
          <w:spacing w:val="-48"/>
        </w:rPr>
        <w:t> </w:t>
      </w:r>
      <w:r>
        <w:rPr>
          <w:spacing w:val="-48"/>
        </w:rPr>
      </w:r>
      <w:r>
        <w:rPr>
          <w:spacing w:val="-4"/>
        </w:rPr>
        <w:t>金</w:t>
      </w:r>
      <w:r>
        <w:rPr>
          <w:rFonts w:ascii="宋体" w:hAnsi="宋体" w:cs="宋体" w:eastAsia="宋体" w:hint="default"/>
          <w:spacing w:val="-4"/>
        </w:rPr>
        <w:t>1.80</w:t>
      </w:r>
      <w:r>
        <w:rPr>
          <w:spacing w:val="-4"/>
        </w:rPr>
        <w:t>元</w:t>
      </w:r>
      <w:r>
        <w:rPr>
          <w:rFonts w:ascii="宋体" w:hAnsi="宋体" w:cs="宋体" w:eastAsia="宋体" w:hint="default"/>
          <w:spacing w:val="-4"/>
        </w:rPr>
        <w:t>/</w:t>
      </w:r>
      <w:r>
        <w:rPr>
          <w:spacing w:val="-4"/>
        </w:rPr>
        <w:t>㎡；</w:t>
      </w:r>
      <w:r>
        <w:rPr>
          <w:rFonts w:ascii="宋体" w:hAnsi="宋体" w:cs="宋体" w:eastAsia="宋体" w:hint="default"/>
          <w:spacing w:val="-4"/>
        </w:rPr>
        <w:t>2015</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日至</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日止，日租金</w:t>
      </w:r>
      <w:r>
        <w:rPr>
          <w:rFonts w:ascii="宋体" w:hAnsi="宋体" w:cs="宋体" w:eastAsia="宋体" w:hint="default"/>
          <w:spacing w:val="-4"/>
        </w:rPr>
        <w:t>2.20</w:t>
      </w:r>
      <w:r>
        <w:rPr>
          <w:spacing w:val="-4"/>
        </w:rPr>
        <w:t>元</w:t>
      </w:r>
      <w:r>
        <w:rPr>
          <w:rFonts w:ascii="宋体" w:hAnsi="宋体" w:cs="宋体" w:eastAsia="宋体" w:hint="default"/>
          <w:spacing w:val="-4"/>
        </w:rPr>
        <w:t>/</w:t>
      </w:r>
      <w:r>
        <w:rPr>
          <w:spacing w:val="-4"/>
        </w:rPr>
        <w:t>㎡。租金按季预付。自</w:t>
      </w:r>
      <w:r>
        <w:rPr>
          <w:rFonts w:ascii="宋体" w:hAnsi="宋体" w:cs="宋体" w:eastAsia="宋体" w:hint="default"/>
          <w:spacing w:val="-4"/>
        </w:rPr>
        <w:t>2014</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w:t>
      </w:r>
      <w:r>
        <w:rPr>
          <w:spacing w:val="-4"/>
        </w:rPr>
        <w:t>日起，上海市北高新（集</w:t>
      </w:r>
      <w:r>
        <w:rPr/>
        <w:t> </w:t>
      </w:r>
      <w:r>
        <w:rPr>
          <w:spacing w:val="-2"/>
        </w:rPr>
        <w:t>团）有限公司在前述《市北高新技术服务业园区房屋租赁合同》中的权利义务无偿划转至上海市北生产性企业服务发展有限</w:t>
      </w:r>
      <w:r>
        <w:rPr>
          <w:spacing w:val="-66"/>
        </w:rPr>
        <w:t> </w:t>
      </w:r>
      <w:r>
        <w:rPr>
          <w:spacing w:val="-66"/>
        </w:rPr>
      </w:r>
      <w:r>
        <w:rPr/>
        <w:t>公司。</w:t>
      </w:r>
    </w:p>
    <w:p>
      <w:pPr>
        <w:pStyle w:val="BodyText"/>
        <w:spacing w:line="316" w:lineRule="auto" w:before="18"/>
        <w:ind w:left="154" w:right="190" w:firstLine="419"/>
        <w:jc w:val="both"/>
      </w:pP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14</w:t>
      </w:r>
      <w:r>
        <w:rPr>
          <w:spacing w:val="-2"/>
        </w:rPr>
        <w:t>日，上海东方通泰软件科技有限公司与中国计量学院资产经营有限责任公司签订《房屋租赁合同》，续租</w:t>
      </w:r>
      <w:r>
        <w:rPr/>
        <w:t> 杭州市西湖区万塘路</w:t>
      </w:r>
      <w:r>
        <w:rPr>
          <w:rFonts w:ascii="宋体" w:hAnsi="宋体" w:cs="宋体" w:eastAsia="宋体" w:hint="default"/>
        </w:rPr>
        <w:t>252</w:t>
      </w:r>
      <w:r>
        <w:rPr/>
        <w:t>号</w:t>
      </w:r>
      <w:r>
        <w:rPr>
          <w:rFonts w:ascii="宋体" w:hAnsi="宋体" w:cs="宋体" w:eastAsia="宋体" w:hint="default"/>
        </w:rPr>
        <w:t>1</w:t>
      </w:r>
      <w:r>
        <w:rPr/>
        <w:t>幢</w:t>
      </w:r>
      <w:r>
        <w:rPr>
          <w:rFonts w:ascii="宋体" w:hAnsi="宋体" w:cs="宋体" w:eastAsia="宋体" w:hint="default"/>
        </w:rPr>
        <w:t>(806</w:t>
      </w:r>
      <w:r>
        <w:rPr>
          <w:rFonts w:ascii="宋体" w:hAnsi="宋体" w:cs="宋体" w:eastAsia="宋体" w:hint="default"/>
          <w:spacing w:val="-18"/>
        </w:rPr>
        <w:t> </w:t>
      </w:r>
      <w:r>
        <w:rPr>
          <w:rFonts w:ascii="宋体" w:hAnsi="宋体" w:cs="宋体" w:eastAsia="宋体" w:hint="default"/>
          <w:spacing w:val="-2"/>
        </w:rPr>
        <w:t>808)</w:t>
      </w:r>
      <w:r>
        <w:rPr>
          <w:spacing w:val="-2"/>
        </w:rPr>
        <w:t>，该房屋建筑面积</w:t>
      </w:r>
      <w:r>
        <w:rPr>
          <w:rFonts w:ascii="宋体" w:hAnsi="宋体" w:cs="宋体" w:eastAsia="宋体" w:hint="default"/>
          <w:spacing w:val="-2"/>
        </w:rPr>
        <w:t>107</w:t>
      </w:r>
      <w:r>
        <w:rPr>
          <w:spacing w:val="-2"/>
        </w:rPr>
        <w:t>㎡，租期为</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14</w:t>
      </w:r>
      <w:r>
        <w:rPr>
          <w:spacing w:val="-2"/>
        </w:rPr>
        <w:t>日，租金</w:t>
      </w:r>
      <w:r>
        <w:rPr>
          <w:rFonts w:ascii="宋体" w:hAnsi="宋体" w:cs="宋体" w:eastAsia="宋体" w:hint="default"/>
          <w:spacing w:val="-2"/>
        </w:rPr>
        <w:t>109,354.00</w:t>
      </w:r>
      <w:r>
        <w:rPr>
          <w:rFonts w:ascii="宋体" w:hAnsi="宋体" w:cs="宋体" w:eastAsia="宋体" w:hint="default"/>
          <w:spacing w:val="-70"/>
        </w:rPr>
        <w:t> </w:t>
      </w:r>
      <w:r>
        <w:rPr>
          <w:rFonts w:ascii="宋体" w:hAnsi="宋体" w:cs="宋体" w:eastAsia="宋体" w:hint="default"/>
          <w:spacing w:val="-70"/>
        </w:rPr>
      </w:r>
      <w:r>
        <w:rPr/>
        <w:t>元</w:t>
      </w:r>
      <w:r>
        <w:rPr>
          <w:rFonts w:ascii="宋体" w:hAnsi="宋体" w:cs="宋体" w:eastAsia="宋体" w:hint="default"/>
        </w:rPr>
        <w:t>/</w:t>
      </w:r>
      <w:r>
        <w:rPr/>
        <w:t>年，先付租金后使用，每</w:t>
      </w:r>
      <w:r>
        <w:rPr>
          <w:rFonts w:ascii="宋体" w:hAnsi="宋体" w:cs="宋体" w:eastAsia="宋体" w:hint="default"/>
        </w:rPr>
        <w:t>6</w:t>
      </w:r>
      <w:r>
        <w:rPr/>
        <w:t>个月为一期，分期支付。</w:t>
      </w:r>
    </w:p>
    <w:p>
      <w:pPr>
        <w:pStyle w:val="BodyText"/>
        <w:spacing w:line="316" w:lineRule="auto" w:before="18"/>
        <w:ind w:left="154" w:right="186" w:firstLine="419"/>
        <w:jc w:val="both"/>
      </w:pPr>
      <w:r>
        <w:rPr>
          <w:rFonts w:ascii="宋体" w:hAnsi="宋体" w:cs="宋体" w:eastAsia="宋体" w:hint="default"/>
          <w:spacing w:val="-1"/>
        </w:rPr>
        <w:t>4</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27</w:t>
      </w:r>
      <w:r>
        <w:rPr>
          <w:spacing w:val="-1"/>
        </w:rPr>
        <w:t>日，北京惠捷朗科技有限公司与中国城乡建设发展有限公司签署《中城写字楼租赁合同》，承租该公</w:t>
      </w:r>
      <w:r>
        <w:rPr/>
        <w:t> </w:t>
      </w:r>
      <w:r>
        <w:rPr>
          <w:spacing w:val="-2"/>
        </w:rPr>
        <w:t>司位于北京市海淀区花园路</w:t>
      </w:r>
      <w:r>
        <w:rPr>
          <w:rFonts w:ascii="宋体" w:hAnsi="宋体" w:cs="宋体" w:eastAsia="宋体" w:hint="default"/>
          <w:spacing w:val="-2"/>
        </w:rPr>
        <w:t>2</w:t>
      </w:r>
      <w:r>
        <w:rPr>
          <w:spacing w:val="-2"/>
        </w:rPr>
        <w:t>号院四号楼（中城写字楼）</w:t>
      </w:r>
      <w:r>
        <w:rPr>
          <w:rFonts w:ascii="宋体" w:hAnsi="宋体" w:cs="宋体" w:eastAsia="宋体" w:hint="default"/>
          <w:spacing w:val="-2"/>
        </w:rPr>
        <w:t>503</w:t>
      </w:r>
      <w:r>
        <w:rPr>
          <w:spacing w:val="-2"/>
        </w:rPr>
        <w:t>室，用于办公。该房产租赁面积</w:t>
      </w:r>
      <w:r>
        <w:rPr>
          <w:rFonts w:ascii="宋体" w:hAnsi="宋体" w:cs="宋体" w:eastAsia="宋体" w:hint="default"/>
          <w:spacing w:val="-2"/>
        </w:rPr>
        <w:t>302.15</w:t>
      </w:r>
      <w:r>
        <w:rPr>
          <w:spacing w:val="-2"/>
        </w:rPr>
        <w:t>㎡，租期自</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10</w:t>
      </w:r>
      <w:r>
        <w:rPr>
          <w:rFonts w:ascii="宋体" w:hAnsi="宋体" w:cs="宋体" w:eastAsia="宋体" w:hint="default"/>
          <w:spacing w:val="-50"/>
        </w:rPr>
        <w:t> </w:t>
      </w:r>
      <w:r>
        <w:rPr/>
        <w:t>日至次年</w:t>
      </w:r>
      <w:r>
        <w:rPr>
          <w:rFonts w:ascii="宋体" w:hAnsi="宋体" w:cs="宋体" w:eastAsia="宋体" w:hint="default"/>
        </w:rPr>
        <w:t>11</w:t>
      </w:r>
      <w:r>
        <w:rPr/>
        <w:t>月</w:t>
      </w:r>
      <w:r>
        <w:rPr>
          <w:rFonts w:ascii="宋体" w:hAnsi="宋体" w:cs="宋体" w:eastAsia="宋体" w:hint="default"/>
        </w:rPr>
        <w:t>9</w:t>
      </w:r>
      <w:r>
        <w:rPr/>
        <w:t>日止，日租金</w:t>
      </w:r>
      <w:r>
        <w:rPr>
          <w:rFonts w:ascii="宋体" w:hAnsi="宋体" w:cs="宋体" w:eastAsia="宋体" w:hint="default"/>
        </w:rPr>
        <w:t>5.60</w:t>
      </w:r>
      <w:r>
        <w:rPr/>
        <w:t>元</w:t>
      </w:r>
      <w:r>
        <w:rPr>
          <w:rFonts w:ascii="宋体" w:hAnsi="宋体" w:cs="宋体" w:eastAsia="宋体" w:hint="default"/>
        </w:rPr>
        <w:t>/</w:t>
      </w:r>
      <w:r>
        <w:rPr/>
        <w:t>㎡</w:t>
      </w:r>
      <w:r>
        <w:rPr>
          <w:rFonts w:ascii="宋体" w:hAnsi="宋体" w:cs="宋体" w:eastAsia="宋体" w:hint="default"/>
        </w:rPr>
        <w:t>,</w:t>
      </w:r>
      <w:r>
        <w:rPr/>
        <w:t>月租金</w:t>
      </w:r>
      <w:r>
        <w:rPr>
          <w:rFonts w:ascii="宋体" w:hAnsi="宋体" w:cs="宋体" w:eastAsia="宋体" w:hint="default"/>
        </w:rPr>
        <w:t>51,466.22</w:t>
      </w:r>
      <w:r>
        <w:rPr/>
        <w:t>元，每</w:t>
      </w:r>
      <w:r>
        <w:rPr>
          <w:rFonts w:ascii="宋体" w:hAnsi="宋体" w:cs="宋体" w:eastAsia="宋体" w:hint="default"/>
        </w:rPr>
        <w:t>3</w:t>
      </w:r>
      <w:r>
        <w:rPr/>
        <w:t>个月预付。</w:t>
      </w:r>
    </w:p>
    <w:p>
      <w:pPr>
        <w:pStyle w:val="BodyText"/>
        <w:spacing w:line="240" w:lineRule="auto" w:before="59"/>
        <w:ind w:left="155" w:right="465"/>
        <w:jc w:val="left"/>
      </w:pPr>
      <w:r>
        <w:rPr/>
        <w:t>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40" w:lineRule="auto" w:before="103"/>
        <w:ind w:left="155"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委托理财、衍生品投资和委托贷款情况" w:id="58"/>
      <w:bookmarkEnd w:id="58"/>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59"/>
      <w:bookmarkEnd w:id="5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衍生品投资情况" w:id="60"/>
      <w:bookmarkEnd w:id="6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2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委托贷款情况" w:id="61"/>
      <w:bookmarkEnd w:id="61"/>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62"/>
      <w:bookmarkEnd w:id="6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承诺事项履行情况" w:id="63"/>
      <w:bookmarkEnd w:id="63"/>
      <w:r>
        <w:rPr>
          <w:b w:val="0"/>
          <w:bCs w:val="0"/>
        </w:rPr>
      </w: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或持股5%以上股东在报告期内发生或以前期间发生但持续到报告期内的承诺事项" w:id="64"/>
      <w:bookmarkEnd w:id="64"/>
      <w:r>
        <w:rPr>
          <w:b w:val="0"/>
          <w:bCs w:val="0"/>
        </w:rPr>
      </w:r>
      <w:r>
        <w:rPr>
          <w:rFonts w:ascii="Times New Roman" w:hAnsi="Times New Roman" w:cs="Times New Roman" w:eastAsia="Times New Roman" w:hint="default"/>
        </w:rPr>
        <w:t>1</w:t>
      </w:r>
      <w:r>
        <w:rPr/>
        <w:t>、公司或持股</w:t>
      </w:r>
      <w:r>
        <w:rPr>
          <w:spacing w:val="-56"/>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12" w:space="0" w:color="D4D4D4"/>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31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pacing w:val="-7"/>
                <w:sz w:val="18"/>
                <w:szCs w:val="18"/>
              </w:rPr>
              <w:t>控股股东、实际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控制人：张齐 </w:t>
            </w:r>
            <w:r>
              <w:rPr>
                <w:rFonts w:ascii="宋体" w:hAnsi="宋体" w:cs="宋体" w:eastAsia="宋体" w:hint="default"/>
                <w:spacing w:val="-7"/>
                <w:sz w:val="18"/>
                <w:szCs w:val="18"/>
              </w:rPr>
              <w:t>春、朱海东、朱</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自东方通股票 上市之日起的 三十六个月内， 不转让或委托</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自东方通股票 上市之日起的 三十六个月内</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454" w:hRule="exact"/>
        </w:trPr>
        <w:tc>
          <w:tcPr>
            <w:tcW w:w="31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0"/>
      </w:tblGrid>
      <w:tr>
        <w:trPr>
          <w:trHeight w:val="13738"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他人管理本人 所直接或间接 持有的东方通 </w:t>
            </w:r>
            <w:r>
              <w:rPr>
                <w:rFonts w:ascii="宋体" w:hAnsi="宋体" w:cs="宋体" w:eastAsia="宋体" w:hint="default"/>
                <w:spacing w:val="-6"/>
                <w:sz w:val="18"/>
                <w:szCs w:val="18"/>
              </w:rPr>
              <w:t>股份，也不由东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方通回购本人 所直接或间接 持有的东方通 </w:t>
            </w:r>
            <w:r>
              <w:rPr>
                <w:rFonts w:ascii="宋体" w:hAnsi="宋体" w:cs="宋体" w:eastAsia="宋体" w:hint="default"/>
                <w:spacing w:val="-6"/>
                <w:sz w:val="18"/>
                <w:szCs w:val="18"/>
              </w:rPr>
              <w:t>股份；前述锁定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期满后，在担任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东方通董事（或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 </w:t>
            </w:r>
            <w:r>
              <w:rPr>
                <w:rFonts w:ascii="宋体" w:hAnsi="宋体" w:cs="宋体" w:eastAsia="宋体" w:hint="default"/>
                <w:spacing w:val="-6"/>
                <w:sz w:val="18"/>
                <w:szCs w:val="18"/>
              </w:rPr>
              <w:t>人员）期间，每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年转让的股份 不超过本人所 持有的东方通 股份总数的百 </w:t>
            </w:r>
            <w:r>
              <w:rPr>
                <w:rFonts w:ascii="宋体" w:hAnsi="宋体" w:cs="宋体" w:eastAsia="宋体" w:hint="default"/>
                <w:spacing w:val="-6"/>
                <w:sz w:val="18"/>
                <w:szCs w:val="18"/>
              </w:rPr>
              <w:t>分之二十五；在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申报离职后半 年内不转让本 人所持有的东 </w:t>
            </w:r>
            <w:r>
              <w:rPr>
                <w:rFonts w:ascii="宋体" w:hAnsi="宋体" w:cs="宋体" w:eastAsia="宋体" w:hint="default"/>
                <w:spacing w:val="-6"/>
                <w:sz w:val="18"/>
                <w:szCs w:val="18"/>
              </w:rPr>
              <w:t>方通股份；所持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东方通股票在 锁定期满后两 </w:t>
            </w:r>
            <w:r>
              <w:rPr>
                <w:rFonts w:ascii="宋体" w:hAnsi="宋体" w:cs="宋体" w:eastAsia="宋体" w:hint="default"/>
                <w:spacing w:val="-6"/>
                <w:sz w:val="18"/>
                <w:szCs w:val="18"/>
              </w:rPr>
              <w:t>年内减持的，减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持价格不低于 </w:t>
            </w:r>
            <w:r>
              <w:rPr>
                <w:rFonts w:ascii="宋体" w:hAnsi="宋体" w:cs="宋体" w:eastAsia="宋体" w:hint="default"/>
                <w:spacing w:val="-6"/>
                <w:sz w:val="18"/>
                <w:szCs w:val="18"/>
              </w:rPr>
              <w:t>发行价；东方通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上市后六个月 内如东方通股 票连续二十个 交易日的收盘 价均低于发行 </w:t>
            </w:r>
            <w:r>
              <w:rPr>
                <w:rFonts w:ascii="宋体" w:hAnsi="宋体" w:cs="宋体" w:eastAsia="宋体" w:hint="default"/>
                <w:spacing w:val="-6"/>
                <w:sz w:val="18"/>
                <w:szCs w:val="18"/>
              </w:rPr>
              <w:t>价，或者上市后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六个月期末收 盘价低于发行 </w:t>
            </w:r>
            <w:r>
              <w:rPr>
                <w:rFonts w:ascii="宋体" w:hAnsi="宋体" w:cs="宋体" w:eastAsia="宋体" w:hint="default"/>
                <w:spacing w:val="-6"/>
                <w:sz w:val="18"/>
                <w:szCs w:val="18"/>
              </w:rPr>
              <w:t>价，持有东方通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股票的锁定期 限自动延长六 </w:t>
            </w:r>
            <w:r>
              <w:rPr>
                <w:rFonts w:ascii="宋体" w:hAnsi="宋体" w:cs="宋体" w:eastAsia="宋体" w:hint="default"/>
                <w:spacing w:val="-6"/>
                <w:sz w:val="18"/>
                <w:szCs w:val="18"/>
              </w:rPr>
              <w:t>个月。如遇除权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除息，上述减持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价格及收盘价 均作相应调整。 上述承诺不因 职务变更或离 职等原因而失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2"/>
      </w:tblGrid>
      <w:tr>
        <w:trPr>
          <w:trHeight w:val="1610"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效。如未履行上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述承诺，转让相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关股份所取得 的收益归东方 通所有。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3193"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股东东华软件 </w:t>
            </w:r>
            <w:r>
              <w:rPr>
                <w:rFonts w:ascii="宋体" w:hAnsi="宋体" w:cs="宋体" w:eastAsia="宋体" w:hint="default"/>
                <w:spacing w:val="-7"/>
                <w:sz w:val="18"/>
                <w:szCs w:val="18"/>
              </w:rPr>
              <w:t>股份公司、盈富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泰克创业投资 </w:t>
            </w:r>
            <w:r>
              <w:rPr>
                <w:rFonts w:ascii="宋体" w:hAnsi="宋体" w:cs="宋体" w:eastAsia="宋体" w:hint="default"/>
                <w:spacing w:val="-7"/>
                <w:sz w:val="18"/>
                <w:szCs w:val="18"/>
              </w:rPr>
              <w:t>有限公司、涌金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实业（集团）有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自东方通股票 上市之日起十 </w:t>
            </w:r>
            <w:r>
              <w:rPr>
                <w:rFonts w:ascii="宋体" w:hAnsi="宋体" w:cs="宋体" w:eastAsia="宋体" w:hint="default"/>
                <w:spacing w:val="-6"/>
                <w:sz w:val="18"/>
                <w:szCs w:val="18"/>
              </w:rPr>
              <w:t>二个月内，不转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人管理我公司 本次发行前已 持有的东方通 </w:t>
            </w:r>
            <w:r>
              <w:rPr>
                <w:rFonts w:ascii="宋体" w:hAnsi="宋体" w:cs="宋体" w:eastAsia="宋体" w:hint="default"/>
                <w:spacing w:val="-6"/>
                <w:sz w:val="18"/>
                <w:szCs w:val="18"/>
              </w:rPr>
              <w:t>的股份，也不由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东方通回购我 公司持有的上 述股份。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自东方通股票 上市之日起的 十二个月内</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459" w:hRule="exact"/>
        </w:trPr>
        <w:tc>
          <w:tcPr>
            <w:tcW w:w="3193"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0"/>
              <w:jc w:val="left"/>
              <w:rPr>
                <w:rFonts w:ascii="宋体" w:hAnsi="宋体" w:cs="宋体" w:eastAsia="宋体" w:hint="default"/>
                <w:sz w:val="18"/>
                <w:szCs w:val="18"/>
              </w:rPr>
            </w:pPr>
            <w:r>
              <w:rPr>
                <w:rFonts w:ascii="宋体" w:hAnsi="宋体" w:cs="宋体" w:eastAsia="宋体" w:hint="default"/>
                <w:sz w:val="18"/>
                <w:szCs w:val="18"/>
              </w:rPr>
              <w:t>公司控股股东、 实际控制人张 </w:t>
            </w:r>
            <w:r>
              <w:rPr>
                <w:rFonts w:ascii="宋体" w:hAnsi="宋体" w:cs="宋体" w:eastAsia="宋体" w:hint="default"/>
                <w:spacing w:val="-7"/>
                <w:sz w:val="18"/>
                <w:szCs w:val="18"/>
              </w:rPr>
              <w:t>齐春、朱海东及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朱曼承诺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公司上市后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 内若公司股价 持续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日低于最近一 期每股净资产 </w:t>
            </w:r>
            <w:r>
              <w:rPr>
                <w:rFonts w:ascii="宋体" w:hAnsi="宋体" w:cs="宋体" w:eastAsia="宋体" w:hint="default"/>
                <w:spacing w:val="-6"/>
                <w:sz w:val="18"/>
                <w:szCs w:val="18"/>
              </w:rPr>
              <w:t>时，将于该情形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出现</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 内拟定增持计 </w:t>
            </w:r>
            <w:r>
              <w:rPr>
                <w:rFonts w:ascii="宋体" w:hAnsi="宋体" w:cs="宋体" w:eastAsia="宋体" w:hint="default"/>
                <w:spacing w:val="-6"/>
                <w:sz w:val="18"/>
                <w:szCs w:val="18"/>
              </w:rPr>
              <w:t>划，明确增持数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量、方式和期 限，对外公告， 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日内完成增持 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公司上市后三 年内</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106"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控股股东、实际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控制人增持公 司股票的计划 </w:t>
            </w:r>
            <w:r>
              <w:rPr>
                <w:rFonts w:ascii="宋体" w:hAnsi="宋体" w:cs="宋体" w:eastAsia="宋体" w:hint="default"/>
                <w:spacing w:val="-6"/>
                <w:sz w:val="18"/>
                <w:szCs w:val="18"/>
              </w:rPr>
              <w:t>实施完毕，公司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股价仍低于最 近一期每股净 </w:t>
            </w:r>
            <w:r>
              <w:rPr>
                <w:rFonts w:ascii="宋体" w:hAnsi="宋体" w:cs="宋体" w:eastAsia="宋体" w:hint="default"/>
                <w:spacing w:val="-6"/>
                <w:sz w:val="18"/>
                <w:szCs w:val="18"/>
              </w:rPr>
              <w:t>资产时，董事会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 内参照公司股 价表现并结合 公司经营状况 确定回购价格 </w:t>
            </w:r>
            <w:r>
              <w:rPr>
                <w:rFonts w:ascii="宋体" w:hAnsi="宋体" w:cs="宋体" w:eastAsia="宋体" w:hint="default"/>
                <w:spacing w:val="-6"/>
                <w:sz w:val="18"/>
                <w:szCs w:val="18"/>
              </w:rPr>
              <w:t>和数量区间，拟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公司上市后三 年内</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2"/>
      </w:tblGrid>
      <w:tr>
        <w:trPr>
          <w:trHeight w:val="5666"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定回购股份的 </w:t>
            </w:r>
            <w:r>
              <w:rPr>
                <w:rFonts w:ascii="宋体" w:hAnsi="宋体" w:cs="宋体" w:eastAsia="宋体" w:hint="default"/>
                <w:spacing w:val="-6"/>
                <w:sz w:val="18"/>
                <w:szCs w:val="18"/>
              </w:rPr>
              <w:t>方案，回购方案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经股东大会审 议通过后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6"/>
                <w:sz w:val="18"/>
                <w:szCs w:val="18"/>
              </w:rPr>
              <w:t>交易日内，由公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司按照相关规 定在二级市场 回购公司股份， 回购的股份将 </w:t>
            </w:r>
            <w:r>
              <w:rPr>
                <w:rFonts w:ascii="宋体" w:hAnsi="宋体" w:cs="宋体" w:eastAsia="宋体" w:hint="default"/>
                <w:spacing w:val="-6"/>
                <w:sz w:val="18"/>
                <w:szCs w:val="18"/>
              </w:rPr>
              <w:t>予以注销。回购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结果应不导致 公司股权分布 及股本规模不 符合上市条件。 </w:t>
            </w:r>
            <w:r>
              <w:rPr>
                <w:rFonts w:ascii="宋体" w:hAnsi="宋体" w:cs="宋体" w:eastAsia="宋体" w:hint="default"/>
                <w:spacing w:val="-6"/>
                <w:sz w:val="18"/>
                <w:szCs w:val="18"/>
              </w:rPr>
              <w:t>回购期间，如遇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除权除息，回购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价格作相应调 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7577" w:hRule="exact"/>
        </w:trPr>
        <w:tc>
          <w:tcPr>
            <w:tcW w:w="3193"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本次公开募集 及上市文件中 如有虚假记载、 误导性陈述或 </w:t>
            </w:r>
            <w:r>
              <w:rPr>
                <w:rFonts w:ascii="宋体" w:hAnsi="宋体" w:cs="宋体" w:eastAsia="宋体" w:hint="default"/>
                <w:spacing w:val="-6"/>
                <w:sz w:val="18"/>
                <w:szCs w:val="18"/>
              </w:rPr>
              <w:t>者重大遗漏，对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判断公司是否 符合法律规定 的发行条件构 </w:t>
            </w:r>
            <w:r>
              <w:rPr>
                <w:rFonts w:ascii="宋体" w:hAnsi="宋体" w:cs="宋体" w:eastAsia="宋体" w:hint="default"/>
                <w:spacing w:val="-6"/>
                <w:sz w:val="18"/>
                <w:szCs w:val="18"/>
              </w:rPr>
              <w:t>成重大、实质影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响的，将依法以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公司股票二级 市场价格回购 首次公开发行 </w:t>
            </w:r>
            <w:r>
              <w:rPr>
                <w:rFonts w:ascii="宋体" w:hAnsi="宋体" w:cs="宋体" w:eastAsia="宋体" w:hint="default"/>
                <w:spacing w:val="-6"/>
                <w:sz w:val="18"/>
                <w:szCs w:val="18"/>
              </w:rPr>
              <w:t>的全部新股。公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司公开募集及 上市文件中如 存在虚假记载、 误导性陈述或 </w:t>
            </w:r>
            <w:r>
              <w:rPr>
                <w:rFonts w:ascii="宋体" w:hAnsi="宋体" w:cs="宋体" w:eastAsia="宋体" w:hint="default"/>
                <w:spacing w:val="-6"/>
                <w:sz w:val="18"/>
                <w:szCs w:val="18"/>
              </w:rPr>
              <w:t>者重大遗漏，致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使投资者在证 券交易中遭受 </w:t>
            </w:r>
            <w:r>
              <w:rPr>
                <w:rFonts w:ascii="宋体" w:hAnsi="宋体" w:cs="宋体" w:eastAsia="宋体" w:hint="default"/>
                <w:spacing w:val="-6"/>
                <w:sz w:val="18"/>
                <w:szCs w:val="18"/>
              </w:rPr>
              <w:t>损失的，将依法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赔偿投资者损 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74"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公司控股股东、 实际控制人张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公司公开募集 及上市文件中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2"/>
      </w:tblGrid>
      <w:tr>
        <w:trPr>
          <w:trHeight w:val="7538"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pacing w:val="-7"/>
                <w:sz w:val="18"/>
                <w:szCs w:val="18"/>
              </w:rPr>
              <w:t>齐春、朱海东及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朱曼承诺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如有虚假记载、 误导性陈述或 </w:t>
            </w:r>
            <w:r>
              <w:rPr>
                <w:rFonts w:ascii="宋体" w:hAnsi="宋体" w:cs="宋体" w:eastAsia="宋体" w:hint="default"/>
                <w:spacing w:val="-6"/>
                <w:sz w:val="18"/>
                <w:szCs w:val="18"/>
              </w:rPr>
              <w:t>者重大遗漏，对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判断公司是否 符合法律规定 的发行条件构 </w:t>
            </w:r>
            <w:r>
              <w:rPr>
                <w:rFonts w:ascii="宋体" w:hAnsi="宋体" w:cs="宋体" w:eastAsia="宋体" w:hint="default"/>
                <w:spacing w:val="-6"/>
                <w:sz w:val="18"/>
                <w:szCs w:val="18"/>
              </w:rPr>
              <w:t>成重大、实质影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响的，将依法以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公司股票二级 市场价格购回 已转让的原限 </w:t>
            </w:r>
            <w:r>
              <w:rPr>
                <w:rFonts w:ascii="宋体" w:hAnsi="宋体" w:cs="宋体" w:eastAsia="宋体" w:hint="default"/>
                <w:spacing w:val="-6"/>
                <w:sz w:val="18"/>
                <w:szCs w:val="18"/>
              </w:rPr>
              <w:t>售股份。公司公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开募集及上市 文件中如存在 </w:t>
            </w:r>
            <w:r>
              <w:rPr>
                <w:rFonts w:ascii="宋体" w:hAnsi="宋体" w:cs="宋体" w:eastAsia="宋体" w:hint="default"/>
                <w:spacing w:val="-6"/>
                <w:sz w:val="18"/>
                <w:szCs w:val="18"/>
              </w:rPr>
              <w:t>虚假记载、误导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性陈述或者重 </w:t>
            </w:r>
            <w:r>
              <w:rPr>
                <w:rFonts w:ascii="宋体" w:hAnsi="宋体" w:cs="宋体" w:eastAsia="宋体" w:hint="default"/>
                <w:spacing w:val="-6"/>
                <w:sz w:val="18"/>
                <w:szCs w:val="18"/>
              </w:rPr>
              <w:t>大遗漏，致使投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资者在证券交 易中遭受损失 </w:t>
            </w:r>
            <w:r>
              <w:rPr>
                <w:rFonts w:ascii="宋体" w:hAnsi="宋体" w:cs="宋体" w:eastAsia="宋体" w:hint="default"/>
                <w:spacing w:val="-6"/>
                <w:sz w:val="18"/>
                <w:szCs w:val="18"/>
              </w:rPr>
              <w:t>的，公司控股股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东、实际控制人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将依法赔偿投 资者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日损失。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3193"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23"/>
              <w:jc w:val="left"/>
              <w:rPr>
                <w:rFonts w:ascii="宋体" w:hAnsi="宋体" w:cs="宋体" w:eastAsia="宋体" w:hint="default"/>
                <w:sz w:val="18"/>
                <w:szCs w:val="18"/>
              </w:rPr>
            </w:pPr>
            <w:r>
              <w:rPr>
                <w:rFonts w:ascii="宋体" w:hAnsi="宋体" w:cs="宋体" w:eastAsia="宋体" w:hint="default"/>
                <w:sz w:val="18"/>
                <w:szCs w:val="18"/>
              </w:rPr>
              <w:t>张齐春、朱海 </w:t>
            </w:r>
            <w:r>
              <w:rPr>
                <w:rFonts w:ascii="宋体" w:hAnsi="宋体" w:cs="宋体" w:eastAsia="宋体" w:hint="default"/>
                <w:spacing w:val="-7"/>
                <w:sz w:val="18"/>
                <w:szCs w:val="18"/>
              </w:rPr>
              <w:t>东、朱曼、东华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软件股份公司 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所持东方通股 份在锁定期满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年内减持 </w:t>
            </w:r>
            <w:r>
              <w:rPr>
                <w:rFonts w:ascii="宋体" w:hAnsi="宋体" w:cs="宋体" w:eastAsia="宋体" w:hint="default"/>
                <w:spacing w:val="-6"/>
                <w:sz w:val="18"/>
                <w:szCs w:val="18"/>
              </w:rPr>
              <w:t>的，每年减持的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股份合计不超 过其所持有的 东方通股份数 的百分之二十 </w:t>
            </w:r>
            <w:r>
              <w:rPr>
                <w:rFonts w:ascii="宋体" w:hAnsi="宋体" w:cs="宋体" w:eastAsia="宋体" w:hint="default"/>
                <w:spacing w:val="-6"/>
                <w:sz w:val="18"/>
                <w:szCs w:val="18"/>
              </w:rPr>
              <w:t>五，减持价格不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低于发行价（如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遇除权除息，减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持价格进行相 </w:t>
            </w:r>
            <w:r>
              <w:rPr>
                <w:rFonts w:ascii="宋体" w:hAnsi="宋体" w:cs="宋体" w:eastAsia="宋体" w:hint="default"/>
                <w:spacing w:val="-14"/>
                <w:sz w:val="18"/>
                <w:szCs w:val="18"/>
              </w:rPr>
              <w:t>应调整），且将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 予以公告。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特定期限。</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10"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涌金实业（集 团）有限公司、 盈富泰克创业 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所持东方通股 份锁定期满后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6"/>
                <w:sz w:val="18"/>
                <w:szCs w:val="18"/>
              </w:rPr>
              <w:t>年内，可减持全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部所持股份，减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持价格不低于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特定期限。</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2"/>
      </w:tblGrid>
      <w:tr>
        <w:trPr>
          <w:trHeight w:val="1922"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pacing w:val="-6"/>
                <w:sz w:val="18"/>
                <w:szCs w:val="18"/>
              </w:rPr>
              <w:t>每股净资产（如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遇除权除息，减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持价格进行相 </w:t>
            </w:r>
            <w:r>
              <w:rPr>
                <w:rFonts w:ascii="宋体" w:hAnsi="宋体" w:cs="宋体" w:eastAsia="宋体" w:hint="default"/>
                <w:spacing w:val="-14"/>
                <w:sz w:val="18"/>
                <w:szCs w:val="18"/>
              </w:rPr>
              <w:t>应调整），且将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个交易日 予以公告。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11906"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公司控股股东、 实际控制人张 齐春、朱海东、 </w:t>
            </w:r>
            <w:r>
              <w:rPr>
                <w:rFonts w:ascii="宋体" w:hAnsi="宋体" w:cs="宋体" w:eastAsia="宋体" w:hint="default"/>
                <w:spacing w:val="-7"/>
                <w:sz w:val="18"/>
                <w:szCs w:val="18"/>
              </w:rPr>
              <w:t>朱曼，持有本公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的主要股东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出具了《关于避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免同业竞争的 </w:t>
            </w:r>
            <w:r>
              <w:rPr>
                <w:rFonts w:ascii="宋体" w:hAnsi="宋体" w:cs="宋体" w:eastAsia="宋体" w:hint="default"/>
                <w:spacing w:val="-14"/>
                <w:sz w:val="18"/>
                <w:szCs w:val="18"/>
              </w:rPr>
              <w:t>承诺函》，具体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如下：（</w:t>
            </w:r>
            <w:r>
              <w:rPr>
                <w:rFonts w:ascii="Times New Roman" w:hAnsi="Times New Roman" w:cs="Times New Roman" w:eastAsia="Times New Roman" w:hint="default"/>
                <w:spacing w:val="-17"/>
                <w:sz w:val="18"/>
                <w:szCs w:val="18"/>
              </w:rPr>
              <w:t>1</w:t>
            </w:r>
            <w:r>
              <w:rPr>
                <w:rFonts w:ascii="宋体" w:hAnsi="宋体" w:cs="宋体" w:eastAsia="宋体" w:hint="default"/>
                <w:spacing w:val="-17"/>
                <w:sz w:val="18"/>
                <w:szCs w:val="18"/>
              </w:rPr>
              <w:t>）在本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承诺函签署之 </w:t>
            </w:r>
            <w:r>
              <w:rPr>
                <w:rFonts w:ascii="宋体" w:hAnsi="宋体" w:cs="宋体" w:eastAsia="宋体" w:hint="default"/>
                <w:spacing w:val="-12"/>
                <w:sz w:val="18"/>
                <w:szCs w:val="18"/>
              </w:rPr>
              <w:t>日，本人</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本公司</w:t>
            </w:r>
            <w:r>
              <w:rPr>
                <w:rFonts w:ascii="宋体" w:hAnsi="宋体" w:cs="宋体" w:eastAsia="宋体" w:hint="default"/>
                <w:spacing w:val="-83"/>
                <w:sz w:val="18"/>
                <w:szCs w:val="18"/>
              </w:rPr>
              <w:t> </w:t>
            </w:r>
            <w:r>
              <w:rPr>
                <w:rFonts w:ascii="宋体" w:hAnsi="宋体" w:cs="宋体" w:eastAsia="宋体" w:hint="default"/>
                <w:sz w:val="18"/>
                <w:szCs w:val="18"/>
              </w:rPr>
              <w:t>不存在且不从 事与东方通及 其子公司主营 业务相同或构 成竞争的业务， 也未直接或间 接经营任何与 东方通及其子 公司的主营业 </w:t>
            </w:r>
            <w:r>
              <w:rPr>
                <w:rFonts w:ascii="宋体" w:hAnsi="宋体" w:cs="宋体" w:eastAsia="宋体" w:hint="default"/>
                <w:spacing w:val="-6"/>
                <w:sz w:val="18"/>
                <w:szCs w:val="18"/>
              </w:rPr>
              <w:t>务相同、相似或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构成竞争的业 </w:t>
            </w:r>
            <w:r>
              <w:rPr>
                <w:rFonts w:ascii="宋体" w:hAnsi="宋体" w:cs="宋体" w:eastAsia="宋体" w:hint="default"/>
                <w:spacing w:val="-17"/>
                <w:sz w:val="18"/>
                <w:szCs w:val="18"/>
              </w:rPr>
              <w:t>务。（</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）自本承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诺函签署之日 </w:t>
            </w:r>
            <w:r>
              <w:rPr>
                <w:rFonts w:ascii="宋体" w:hAnsi="宋体" w:cs="宋体" w:eastAsia="宋体" w:hint="default"/>
                <w:spacing w:val="-12"/>
                <w:sz w:val="18"/>
                <w:szCs w:val="18"/>
              </w:rPr>
              <w:t>起，本人</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本公司</w:t>
            </w:r>
            <w:r>
              <w:rPr>
                <w:rFonts w:ascii="宋体" w:hAnsi="宋体" w:cs="宋体" w:eastAsia="宋体" w:hint="default"/>
                <w:spacing w:val="-83"/>
                <w:sz w:val="18"/>
                <w:szCs w:val="18"/>
              </w:rPr>
              <w:t> </w:t>
            </w:r>
            <w:r>
              <w:rPr>
                <w:rFonts w:ascii="宋体" w:hAnsi="宋体" w:cs="宋体" w:eastAsia="宋体" w:hint="default"/>
                <w:sz w:val="18"/>
                <w:szCs w:val="18"/>
              </w:rPr>
              <w:t>将不以任何方 </w:t>
            </w:r>
            <w:r>
              <w:rPr>
                <w:rFonts w:ascii="宋体" w:hAnsi="宋体" w:cs="宋体" w:eastAsia="宋体" w:hint="default"/>
                <w:spacing w:val="-6"/>
                <w:sz w:val="18"/>
                <w:szCs w:val="18"/>
              </w:rPr>
              <w:t>式从事，包括与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他人合作直接 或间接从事与 东方通及其子 </w:t>
            </w:r>
            <w:r>
              <w:rPr>
                <w:rFonts w:ascii="宋体" w:hAnsi="宋体" w:cs="宋体" w:eastAsia="宋体" w:hint="default"/>
                <w:spacing w:val="-6"/>
                <w:sz w:val="18"/>
                <w:szCs w:val="18"/>
              </w:rPr>
              <w:t>公司相同、相似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或在任何方面 构成竞争的业 </w:t>
            </w:r>
            <w:r>
              <w:rPr>
                <w:rFonts w:ascii="宋体" w:hAnsi="宋体" w:cs="宋体" w:eastAsia="宋体" w:hint="default"/>
                <w:spacing w:val="-17"/>
                <w:sz w:val="18"/>
                <w:szCs w:val="18"/>
              </w:rPr>
              <w:t>务；（</w:t>
            </w: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）自本承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诺函签署之日 </w:t>
            </w:r>
            <w:r>
              <w:rPr>
                <w:rFonts w:ascii="宋体" w:hAnsi="宋体" w:cs="宋体" w:eastAsia="宋体" w:hint="default"/>
                <w:spacing w:val="-12"/>
                <w:sz w:val="18"/>
                <w:szCs w:val="18"/>
              </w:rPr>
              <w:t>起，本人</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本公司</w:t>
            </w:r>
            <w:r>
              <w:rPr>
                <w:rFonts w:ascii="宋体" w:hAnsi="宋体" w:cs="宋体" w:eastAsia="宋体" w:hint="default"/>
                <w:spacing w:val="-83"/>
                <w:sz w:val="18"/>
                <w:szCs w:val="18"/>
              </w:rPr>
              <w:t> </w:t>
            </w:r>
            <w:r>
              <w:rPr>
                <w:rFonts w:ascii="宋体" w:hAnsi="宋体" w:cs="宋体" w:eastAsia="宋体" w:hint="default"/>
                <w:sz w:val="18"/>
                <w:szCs w:val="18"/>
              </w:rPr>
              <w:t>将尽一切可能 之努力使本人 其他关联企业 不从事与东方 通及其子公司 </w:t>
            </w:r>
            <w:r>
              <w:rPr>
                <w:rFonts w:ascii="宋体" w:hAnsi="宋体" w:cs="宋体" w:eastAsia="宋体" w:hint="default"/>
                <w:spacing w:val="-6"/>
                <w:sz w:val="18"/>
                <w:szCs w:val="18"/>
              </w:rPr>
              <w:t>相同、类似或在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任何方面构成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0"/>
      </w:tblGrid>
      <w:tr>
        <w:trPr>
          <w:trHeight w:val="315"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）自本承诺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函签署之日起，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投资控股于业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务与东方通及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其子公司相同、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相似或在任何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方面构成竞争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的公司、企业或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其他机构、组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20"/>
                <w:sz w:val="18"/>
                <w:szCs w:val="18"/>
              </w:rPr>
              <w:t>）</w:t>
            </w:r>
            <w:r>
              <w:rPr>
                <w:rFonts w:ascii="宋体" w:hAnsi="宋体" w:cs="宋体" w:eastAsia="宋体" w:hint="default"/>
                <w:sz w:val="18"/>
                <w:szCs w:val="18"/>
              </w:rPr>
              <w:t>自本承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诺函签署之日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89"/>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不向其他业务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与东方通及其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子公司相同、相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似或在任何方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面构成竞争的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公司、企业或其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他机构、组织或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个人提供专有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技术或提供销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售渠道、客户信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息等商业秘密；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）自本承诺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函签署之日起，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如果未来本人</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本公司拟从事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的业务可能与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东方通及其子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公司存在同业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竞争，将本着东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方通及其子公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司优先的原则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与东方通协商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解决</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pacing w:val="-20"/>
                <w:sz w:val="18"/>
                <w:szCs w:val="18"/>
              </w:rPr>
              <w:t>）</w:t>
            </w:r>
            <w:r>
              <w:rPr>
                <w:rFonts w:ascii="宋体" w:hAnsi="宋体" w:cs="宋体" w:eastAsia="宋体" w:hint="default"/>
                <w:sz w:val="18"/>
                <w:szCs w:val="18"/>
              </w:rPr>
              <w:t>在本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本公司作为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东方通实际控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制人或关联方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期间，本承诺函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为有效之承诺。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3"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如上述承诺被</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证明是不真实</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2"/>
      </w:tblGrid>
      <w:tr>
        <w:trPr>
          <w:trHeight w:val="1922"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pacing w:val="-12"/>
                <w:sz w:val="18"/>
                <w:szCs w:val="18"/>
              </w:rPr>
              <w:t>或未被遵守，本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本公司将向 东方通赔偿一 切直接和间接 </w:t>
            </w:r>
            <w:r>
              <w:rPr>
                <w:rFonts w:ascii="宋体" w:hAnsi="宋体" w:cs="宋体" w:eastAsia="宋体" w:hint="default"/>
                <w:spacing w:val="-6"/>
                <w:sz w:val="18"/>
                <w:szCs w:val="18"/>
              </w:rPr>
              <w:t>损失，并承担相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应的法律责任。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11906"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9"/>
              <w:ind w:left="23" w:right="23"/>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以上股份的主 </w:t>
            </w:r>
            <w:r>
              <w:rPr>
                <w:rFonts w:ascii="宋体" w:hAnsi="宋体" w:cs="宋体" w:eastAsia="宋体" w:hint="default"/>
                <w:spacing w:val="-7"/>
                <w:sz w:val="18"/>
                <w:szCs w:val="18"/>
              </w:rPr>
              <w:t>要股东、实际控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制人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 </w:t>
            </w:r>
            <w:r>
              <w:rPr>
                <w:rFonts w:ascii="宋体" w:hAnsi="宋体" w:cs="宋体" w:eastAsia="宋体" w:hint="default"/>
                <w:spacing w:val="-6"/>
                <w:sz w:val="18"/>
                <w:szCs w:val="18"/>
              </w:rPr>
              <w:t>函出具之日，除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已经披露的情 </w:t>
            </w:r>
            <w:r>
              <w:rPr>
                <w:rFonts w:ascii="宋体" w:hAnsi="宋体" w:cs="宋体" w:eastAsia="宋体" w:hint="default"/>
                <w:spacing w:val="-6"/>
                <w:sz w:val="18"/>
                <w:szCs w:val="18"/>
              </w:rPr>
              <w:t>形外，本人（包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括本人所控制 </w:t>
            </w:r>
            <w:r>
              <w:rPr>
                <w:rFonts w:ascii="宋体" w:hAnsi="宋体" w:cs="宋体" w:eastAsia="宋体" w:hint="default"/>
                <w:spacing w:val="-6"/>
                <w:sz w:val="18"/>
                <w:szCs w:val="18"/>
              </w:rPr>
              <w:t>的公司）与东方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通之间不存在 其他关联交易。 本人不利用实 际控制人的地 位影响东方通 </w:t>
            </w:r>
            <w:r>
              <w:rPr>
                <w:rFonts w:ascii="宋体" w:hAnsi="宋体" w:cs="宋体" w:eastAsia="宋体" w:hint="default"/>
                <w:spacing w:val="-6"/>
                <w:sz w:val="18"/>
                <w:szCs w:val="18"/>
              </w:rPr>
              <w:t>的独立性、故意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促使东方通对 </w:t>
            </w:r>
            <w:r>
              <w:rPr>
                <w:rFonts w:ascii="宋体" w:hAnsi="宋体" w:cs="宋体" w:eastAsia="宋体" w:hint="default"/>
                <w:spacing w:val="-6"/>
                <w:sz w:val="18"/>
                <w:szCs w:val="18"/>
              </w:rPr>
              <w:t>与本人（包括本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人所控制的公 </w:t>
            </w:r>
            <w:r>
              <w:rPr>
                <w:rFonts w:ascii="宋体" w:hAnsi="宋体" w:cs="宋体" w:eastAsia="宋体" w:hint="default"/>
                <w:spacing w:val="-6"/>
                <w:sz w:val="18"/>
                <w:szCs w:val="18"/>
              </w:rPr>
              <w:t>司）的任何关联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交易采取任何 </w:t>
            </w:r>
            <w:r>
              <w:rPr>
                <w:rFonts w:ascii="宋体" w:hAnsi="宋体" w:cs="宋体" w:eastAsia="宋体" w:hint="default"/>
                <w:spacing w:val="-6"/>
                <w:sz w:val="18"/>
                <w:szCs w:val="18"/>
              </w:rPr>
              <w:t>行动、故意促使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东方通的股东 大会或董事会 作出侵犯其他 股东合法权益 </w:t>
            </w:r>
            <w:r>
              <w:rPr>
                <w:rFonts w:ascii="宋体" w:hAnsi="宋体" w:cs="宋体" w:eastAsia="宋体" w:hint="default"/>
                <w:spacing w:val="-6"/>
                <w:sz w:val="18"/>
                <w:szCs w:val="18"/>
              </w:rPr>
              <w:t>的决议。如果东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方通必须与本 </w:t>
            </w:r>
            <w:r>
              <w:rPr>
                <w:rFonts w:ascii="宋体" w:hAnsi="宋体" w:cs="宋体" w:eastAsia="宋体" w:hint="default"/>
                <w:spacing w:val="-6"/>
                <w:sz w:val="18"/>
                <w:szCs w:val="18"/>
              </w:rPr>
              <w:t>人（包括本人所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控制的公司）发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生任何关联交 </w:t>
            </w:r>
            <w:r>
              <w:rPr>
                <w:rFonts w:ascii="宋体" w:hAnsi="宋体" w:cs="宋体" w:eastAsia="宋体" w:hint="default"/>
                <w:spacing w:val="-6"/>
                <w:sz w:val="18"/>
                <w:szCs w:val="18"/>
              </w:rPr>
              <w:t>易，则本人承诺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将促使上述交 易按照公平合 理和正常商业 交易的条件进 </w:t>
            </w:r>
            <w:r>
              <w:rPr>
                <w:rFonts w:ascii="宋体" w:hAnsi="宋体" w:cs="宋体" w:eastAsia="宋体" w:hint="default"/>
                <w:spacing w:val="-6"/>
                <w:sz w:val="18"/>
                <w:szCs w:val="18"/>
              </w:rPr>
              <w:t>行。本人（包括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本人所控制的 </w:t>
            </w:r>
            <w:r>
              <w:rPr>
                <w:rFonts w:ascii="宋体" w:hAnsi="宋体" w:cs="宋体" w:eastAsia="宋体" w:hint="default"/>
                <w:spacing w:val="-6"/>
                <w:sz w:val="18"/>
                <w:szCs w:val="18"/>
              </w:rPr>
              <w:t>公司）将不会要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求或接受东方 通给予比在任 何一项市场公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2"/>
      </w:tblGrid>
      <w:tr>
        <w:trPr>
          <w:trHeight w:val="10346"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平交易中第三 者更优惠的条 </w:t>
            </w:r>
            <w:r>
              <w:rPr>
                <w:rFonts w:ascii="宋体" w:hAnsi="宋体" w:cs="宋体" w:eastAsia="宋体" w:hint="default"/>
                <w:spacing w:val="-17"/>
                <w:sz w:val="18"/>
                <w:szCs w:val="18"/>
              </w:rPr>
              <w:t>件。</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、本人（包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括本人所控制 </w:t>
            </w:r>
            <w:r>
              <w:rPr>
                <w:rFonts w:ascii="宋体" w:hAnsi="宋体" w:cs="宋体" w:eastAsia="宋体" w:hint="default"/>
                <w:spacing w:val="-6"/>
                <w:sz w:val="18"/>
                <w:szCs w:val="18"/>
              </w:rPr>
              <w:t>的公司）将严格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和善意地履行 与东方通签订 的各种关联交 易协议。本人</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（包括本人所 </w:t>
            </w:r>
            <w:r>
              <w:rPr>
                <w:rFonts w:ascii="宋体" w:hAnsi="宋体" w:cs="宋体" w:eastAsia="宋体" w:hint="default"/>
                <w:spacing w:val="-6"/>
                <w:sz w:val="18"/>
                <w:szCs w:val="18"/>
              </w:rPr>
              <w:t>控制的公司）承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诺将不会向东 方通谋求任何 超出上述协议 规定以外的利 益或收益。</w:t>
            </w:r>
            <w:r>
              <w:rPr>
                <w:rFonts w:ascii="Times New Roman" w:hAnsi="Times New Roman" w:cs="Times New Roman" w:eastAsia="Times New Roman" w:hint="default"/>
                <w:sz w:val="18"/>
                <w:szCs w:val="18"/>
              </w:rPr>
              <w:t>3</w:t>
            </w:r>
            <w:r>
              <w:rPr>
                <w:rFonts w:ascii="宋体" w:hAnsi="宋体" w:cs="宋体" w:eastAsia="宋体" w:hint="default"/>
                <w:sz w:val="18"/>
                <w:szCs w:val="18"/>
              </w:rPr>
              <w:t>、 本人对上述承 诺的真实性及 合法性负全部 </w:t>
            </w:r>
            <w:r>
              <w:rPr>
                <w:rFonts w:ascii="宋体" w:hAnsi="宋体" w:cs="宋体" w:eastAsia="宋体" w:hint="default"/>
                <w:spacing w:val="-6"/>
                <w:sz w:val="18"/>
                <w:szCs w:val="18"/>
              </w:rPr>
              <w:t>法律责任，如果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本人（包括本人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所控制的公司） 违反上述声明、 </w:t>
            </w:r>
            <w:r>
              <w:rPr>
                <w:rFonts w:ascii="宋体" w:hAnsi="宋体" w:cs="宋体" w:eastAsia="宋体" w:hint="default"/>
                <w:spacing w:val="-6"/>
                <w:sz w:val="18"/>
                <w:szCs w:val="18"/>
              </w:rPr>
              <w:t>保证与承诺，并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造成东方通的 </w:t>
            </w:r>
            <w:r>
              <w:rPr>
                <w:rFonts w:ascii="宋体" w:hAnsi="宋体" w:cs="宋体" w:eastAsia="宋体" w:hint="default"/>
                <w:spacing w:val="-6"/>
                <w:sz w:val="18"/>
                <w:szCs w:val="18"/>
              </w:rPr>
              <w:t>经济损失，本人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同意赔偿相应 的损失。</w:t>
            </w:r>
            <w:r>
              <w:rPr>
                <w:rFonts w:ascii="Times New Roman" w:hAnsi="Times New Roman" w:cs="Times New Roman" w:eastAsia="Times New Roman" w:hint="default"/>
                <w:sz w:val="18"/>
                <w:szCs w:val="18"/>
              </w:rPr>
              <w:t>4</w:t>
            </w:r>
            <w:r>
              <w:rPr>
                <w:rFonts w:ascii="宋体" w:hAnsi="宋体" w:cs="宋体" w:eastAsia="宋体" w:hint="default"/>
                <w:sz w:val="18"/>
                <w:szCs w:val="18"/>
              </w:rPr>
              <w:t>、本 承诺将持续有 </w:t>
            </w:r>
            <w:r>
              <w:rPr>
                <w:rFonts w:ascii="宋体" w:hAnsi="宋体" w:cs="宋体" w:eastAsia="宋体" w:hint="default"/>
                <w:spacing w:val="-6"/>
                <w:sz w:val="18"/>
                <w:szCs w:val="18"/>
              </w:rPr>
              <w:t>效，直至本人不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再作为东方通 的实际控制人</w:t>
            </w:r>
            <w:r>
              <w:rPr>
                <w:rFonts w:ascii="Times New Roman" w:hAnsi="Times New Roman" w:cs="Times New Roman" w:eastAsia="Times New Roman" w:hint="default"/>
                <w:sz w:val="18"/>
                <w:szCs w:val="18"/>
              </w:rPr>
              <w:t>/ </w:t>
            </w:r>
            <w:r>
              <w:rPr>
                <w:rFonts w:ascii="宋体" w:hAnsi="宋体" w:cs="宋体" w:eastAsia="宋体" w:hint="default"/>
                <w:sz w:val="18"/>
                <w:szCs w:val="18"/>
              </w:rPr>
              <w:t>股东。</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3482"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公司与东华软 件股份公司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公司不再向东 华软件股份公 司及其控制的 企业销售任何 产品或提供任 </w:t>
            </w:r>
            <w:r>
              <w:rPr>
                <w:rFonts w:ascii="宋体" w:hAnsi="宋体" w:cs="宋体" w:eastAsia="宋体" w:hint="default"/>
                <w:spacing w:val="-6"/>
                <w:sz w:val="18"/>
                <w:szCs w:val="18"/>
              </w:rPr>
              <w:t>何服务，并不与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东华软件股份 公司及其控制 的企业进行产 </w:t>
            </w:r>
            <w:r>
              <w:rPr>
                <w:rFonts w:ascii="宋体" w:hAnsi="宋体" w:cs="宋体" w:eastAsia="宋体" w:hint="default"/>
                <w:spacing w:val="-6"/>
                <w:sz w:val="18"/>
                <w:szCs w:val="18"/>
              </w:rPr>
              <w:t>品捆绑投标。东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华软件股份公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2"/>
      </w:tblGrid>
      <w:tr>
        <w:trPr>
          <w:trHeight w:val="3794"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司作出如下承 </w:t>
            </w:r>
            <w:r>
              <w:rPr>
                <w:rFonts w:ascii="宋体" w:hAnsi="宋体" w:cs="宋体" w:eastAsia="宋体" w:hint="default"/>
                <w:spacing w:val="-6"/>
                <w:sz w:val="18"/>
                <w:szCs w:val="18"/>
              </w:rPr>
              <w:t>诺：东华软件股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份公司及其控 制的企业不再 向发行人及发 行人控制的企 业采购任何产 品或任何服务， 并不与发行人 及发行人控制 的企业进行产 品捆绑投标。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10034"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公司实际控制 </w:t>
            </w:r>
            <w:r>
              <w:rPr>
                <w:rFonts w:ascii="宋体" w:hAnsi="宋体" w:cs="宋体" w:eastAsia="宋体" w:hint="default"/>
                <w:spacing w:val="-7"/>
                <w:sz w:val="18"/>
                <w:szCs w:val="18"/>
              </w:rPr>
              <w:t>人张齐春、朱海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东、朱曼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针对本公司社 会保险金和住 房公积金存在 补缴的风险作 </w:t>
            </w:r>
            <w:r>
              <w:rPr>
                <w:rFonts w:ascii="宋体" w:hAnsi="宋体" w:cs="宋体" w:eastAsia="宋体" w:hint="default"/>
                <w:spacing w:val="-6"/>
                <w:sz w:val="18"/>
                <w:szCs w:val="18"/>
              </w:rPr>
              <w:t>出承诺：若公司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被追溯到任何 社会保障法律 法规和住房公 积金执行情况， 经有关主管部 门认定需为员 工补缴社会保 险金或住房公 </w:t>
            </w:r>
            <w:r>
              <w:rPr>
                <w:rFonts w:ascii="宋体" w:hAnsi="宋体" w:cs="宋体" w:eastAsia="宋体" w:hint="default"/>
                <w:spacing w:val="-6"/>
                <w:sz w:val="18"/>
                <w:szCs w:val="18"/>
              </w:rPr>
              <w:t>积金、以及受到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主管部门处罚、 或任何利益相 关方以任何方 式提出权利要 求且该等要求 获主管部门支 </w:t>
            </w:r>
            <w:r>
              <w:rPr>
                <w:rFonts w:ascii="宋体" w:hAnsi="宋体" w:cs="宋体" w:eastAsia="宋体" w:hint="default"/>
                <w:spacing w:val="-6"/>
                <w:sz w:val="18"/>
                <w:szCs w:val="18"/>
              </w:rPr>
              <w:t>持，本人将无条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件全额承担相 </w:t>
            </w:r>
            <w:r>
              <w:rPr>
                <w:rFonts w:ascii="宋体" w:hAnsi="宋体" w:cs="宋体" w:eastAsia="宋体" w:hint="default"/>
                <w:spacing w:val="-6"/>
                <w:sz w:val="18"/>
                <w:szCs w:val="18"/>
              </w:rPr>
              <w:t>关补缴、处罚款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项和对利益相 关方的赔偿或 </w:t>
            </w:r>
            <w:r>
              <w:rPr>
                <w:rFonts w:ascii="宋体" w:hAnsi="宋体" w:cs="宋体" w:eastAsia="宋体" w:hint="default"/>
                <w:spacing w:val="-6"/>
                <w:sz w:val="18"/>
                <w:szCs w:val="18"/>
              </w:rPr>
              <w:t>补偿款项，以及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公司因此所支 付的相关费用。 如本人未能履 </w:t>
            </w:r>
            <w:r>
              <w:rPr>
                <w:rFonts w:ascii="宋体" w:hAnsi="宋体" w:cs="宋体" w:eastAsia="宋体" w:hint="default"/>
                <w:spacing w:val="-6"/>
                <w:sz w:val="18"/>
                <w:szCs w:val="18"/>
              </w:rPr>
              <w:t>行已作出的《公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积金补缴承 </w:t>
            </w:r>
            <w:r>
              <w:rPr>
                <w:rFonts w:ascii="宋体" w:hAnsi="宋体" w:cs="宋体" w:eastAsia="宋体" w:hint="default"/>
                <w:spacing w:val="-14"/>
                <w:sz w:val="18"/>
                <w:szCs w:val="18"/>
              </w:rPr>
              <w:t>诺》，本人所享</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2"/>
      </w:tblGrid>
      <w:tr>
        <w:trPr>
          <w:trHeight w:val="1610"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both"/>
              <w:rPr>
                <w:rFonts w:ascii="宋体" w:hAnsi="宋体" w:cs="宋体" w:eastAsia="宋体" w:hint="default"/>
                <w:sz w:val="18"/>
                <w:szCs w:val="18"/>
              </w:rPr>
            </w:pPr>
            <w:r>
              <w:rPr>
                <w:rFonts w:ascii="宋体" w:hAnsi="宋体" w:cs="宋体" w:eastAsia="宋体" w:hint="default"/>
                <w:sz w:val="18"/>
                <w:szCs w:val="18"/>
              </w:rPr>
              <w:t>有的当年上市 公司分红收益 将由公司直接 用于补缴承诺 所涉公积金。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12218"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实际控制人张 齐春、朱海东、 朱曼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就深圳市东方 通科技有限公 司相关事宜承 诺：</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深圳东方 通自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2" w:lineRule="auto" w:before="1"/>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日起，不 再以深圳市东 方通科技有限 </w:t>
            </w:r>
            <w:r>
              <w:rPr>
                <w:rFonts w:ascii="宋体" w:hAnsi="宋体" w:cs="宋体" w:eastAsia="宋体" w:hint="default"/>
                <w:spacing w:val="-6"/>
                <w:sz w:val="18"/>
                <w:szCs w:val="18"/>
              </w:rPr>
              <w:t>公司（以下简称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深圳东方通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 的名义开展任 何经营活动；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316" w:lineRule="auto" w:before="3"/>
              <w:ind w:left="23" w:right="-17"/>
              <w:jc w:val="left"/>
              <w:rPr>
                <w:rFonts w:ascii="宋体" w:hAnsi="宋体" w:cs="宋体" w:eastAsia="宋体" w:hint="default"/>
                <w:sz w:val="18"/>
                <w:szCs w:val="18"/>
              </w:rPr>
            </w:pPr>
            <w:r>
              <w:rPr>
                <w:rFonts w:ascii="宋体" w:hAnsi="宋体" w:cs="宋体" w:eastAsia="宋体" w:hint="default"/>
                <w:spacing w:val="-6"/>
                <w:sz w:val="18"/>
                <w:szCs w:val="18"/>
              </w:rPr>
              <w:t>日，深圳东方通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的整体资产（包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括债权、债务） 均已进入北京 东方通科技发 展有限责任公 </w:t>
            </w:r>
            <w:r>
              <w:rPr>
                <w:rFonts w:ascii="宋体" w:hAnsi="宋体" w:cs="宋体" w:eastAsia="宋体" w:hint="default"/>
                <w:spacing w:val="-6"/>
                <w:sz w:val="18"/>
                <w:szCs w:val="18"/>
              </w:rPr>
              <w:t>司，目前不存在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纠纷。深圳东方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通如有任何在 注销前之尚未 清偿债务或者 </w:t>
            </w:r>
            <w:r>
              <w:rPr>
                <w:rFonts w:ascii="宋体" w:hAnsi="宋体" w:cs="宋体" w:eastAsia="宋体" w:hint="default"/>
                <w:spacing w:val="-6"/>
                <w:sz w:val="18"/>
                <w:szCs w:val="18"/>
              </w:rPr>
              <w:t>潜在的、或有的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债务纠纷，将由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我们全部承担。 如深圳东方通 被税务部门要 求补缴已免征、 减征的企业所 </w:t>
            </w:r>
            <w:r>
              <w:rPr>
                <w:rFonts w:ascii="宋体" w:hAnsi="宋体" w:cs="宋体" w:eastAsia="宋体" w:hint="default"/>
                <w:spacing w:val="-6"/>
                <w:sz w:val="18"/>
                <w:szCs w:val="18"/>
              </w:rPr>
              <w:t>得税税款，将由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我三人全部承 担。</w:t>
            </w:r>
            <w:r>
              <w:rPr>
                <w:rFonts w:ascii="Times New Roman" w:hAnsi="Times New Roman" w:cs="Times New Roman" w:eastAsia="Times New Roman" w:hint="default"/>
                <w:sz w:val="18"/>
                <w:szCs w:val="18"/>
              </w:rPr>
              <w:t>"</w:t>
            </w:r>
            <w:r>
              <w:rPr>
                <w:rFonts w:ascii="宋体" w:hAnsi="宋体" w:cs="宋体" w:eastAsia="宋体" w:hint="default"/>
                <w:sz w:val="18"/>
                <w:szCs w:val="18"/>
              </w:rPr>
              <w:t>因未履行 前述承诺所获 收益和本人所 享有的上市公 司当年现金分 红收益归公司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2"/>
      </w:tblGrid>
      <w:tr>
        <w:trPr>
          <w:trHeight w:val="362" w:hRule="exact"/>
        </w:trPr>
        <w:tc>
          <w:tcPr>
            <w:tcW w:w="3193" w:type="dxa"/>
            <w:vMerge w:val="restart"/>
            <w:tcBorders>
              <w:top w:val="single" w:sz="4" w:space="0" w:color="000000"/>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所有。</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3193" w:type="dxa"/>
            <w:vMerge/>
            <w:tcBorders>
              <w:left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张齐春与朱德 生夫妇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张齐春女士如 因个人健康原 因或任何意外 之情形导致其 </w:t>
            </w:r>
            <w:r>
              <w:rPr>
                <w:rFonts w:ascii="宋体" w:hAnsi="宋体" w:cs="宋体" w:eastAsia="宋体" w:hint="default"/>
                <w:spacing w:val="-6"/>
                <w:sz w:val="18"/>
                <w:szCs w:val="18"/>
              </w:rPr>
              <w:t>不再具备《中华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人民共和国公 </w:t>
            </w:r>
            <w:r>
              <w:rPr>
                <w:rFonts w:ascii="宋体" w:hAnsi="宋体" w:cs="宋体" w:eastAsia="宋体" w:hint="default"/>
                <w:spacing w:val="-6"/>
                <w:sz w:val="18"/>
                <w:szCs w:val="18"/>
              </w:rPr>
              <w:t>司法》规定的公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司股东资格，则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张齐春女士在 东方通的股东 资格由张齐春 女士和朱德生 先生之子朱海 </w:t>
            </w:r>
            <w:r>
              <w:rPr>
                <w:rFonts w:ascii="宋体" w:hAnsi="宋体" w:cs="宋体" w:eastAsia="宋体" w:hint="default"/>
                <w:spacing w:val="-6"/>
                <w:sz w:val="18"/>
                <w:szCs w:val="18"/>
              </w:rPr>
              <w:t>东先生继承，张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齐春女士在东 方通的全部股 份由朱海东先 生持有。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850" w:hRule="exact"/>
        </w:trPr>
        <w:tc>
          <w:tcPr>
            <w:tcW w:w="3193"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20"/>
              <w:jc w:val="left"/>
              <w:rPr>
                <w:rFonts w:ascii="宋体" w:hAnsi="宋体" w:cs="宋体" w:eastAsia="宋体" w:hint="default"/>
                <w:sz w:val="18"/>
                <w:szCs w:val="18"/>
              </w:rPr>
            </w:pPr>
            <w:r>
              <w:rPr>
                <w:rFonts w:ascii="宋体" w:hAnsi="宋体" w:cs="宋体" w:eastAsia="宋体" w:hint="default"/>
                <w:sz w:val="18"/>
                <w:szCs w:val="18"/>
              </w:rPr>
              <w:t>实际控制人张 齐春、朱海东、 朱曼承诺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如本人未能履 </w:t>
            </w:r>
            <w:r>
              <w:rPr>
                <w:rFonts w:ascii="宋体" w:hAnsi="宋体" w:cs="宋体" w:eastAsia="宋体" w:hint="default"/>
                <w:spacing w:val="-6"/>
                <w:sz w:val="18"/>
                <w:szCs w:val="18"/>
              </w:rPr>
              <w:t>行已作出的《关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于避免同业竞 </w:t>
            </w:r>
            <w:r>
              <w:rPr>
                <w:rFonts w:ascii="宋体" w:hAnsi="宋体" w:cs="宋体" w:eastAsia="宋体" w:hint="default"/>
                <w:spacing w:val="-28"/>
                <w:sz w:val="18"/>
                <w:szCs w:val="18"/>
              </w:rPr>
              <w:t>争的承诺》、《关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于规范和减少 关联交易的承 </w:t>
            </w:r>
            <w:r>
              <w:rPr>
                <w:rFonts w:ascii="宋体" w:hAnsi="宋体" w:cs="宋体" w:eastAsia="宋体" w:hint="default"/>
                <w:spacing w:val="-28"/>
                <w:sz w:val="18"/>
                <w:szCs w:val="18"/>
              </w:rPr>
              <w:t>诺》、《关于深圳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市东方通科技 有限公司相关 </w:t>
            </w:r>
            <w:r>
              <w:rPr>
                <w:rFonts w:ascii="宋体" w:hAnsi="宋体" w:cs="宋体" w:eastAsia="宋体" w:hint="default"/>
                <w:spacing w:val="-14"/>
                <w:sz w:val="18"/>
                <w:szCs w:val="18"/>
              </w:rPr>
              <w:t>事宜的承诺》、</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《关于张齐春 所持股份继承 </w:t>
            </w:r>
            <w:r>
              <w:rPr>
                <w:rFonts w:ascii="宋体" w:hAnsi="宋体" w:cs="宋体" w:eastAsia="宋体" w:hint="default"/>
                <w:spacing w:val="-14"/>
                <w:sz w:val="18"/>
                <w:szCs w:val="18"/>
              </w:rPr>
              <w:t>的承诺》，因未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履行前述承诺 所获收益和本 人所享有的上 市公司当年现 金分红收益归 </w:t>
            </w:r>
            <w:r>
              <w:rPr>
                <w:rFonts w:ascii="宋体" w:hAnsi="宋体" w:cs="宋体" w:eastAsia="宋体" w:hint="default"/>
                <w:spacing w:val="-6"/>
                <w:sz w:val="18"/>
                <w:szCs w:val="18"/>
              </w:rPr>
              <w:t>公司所有；如本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人未能履行已 </w:t>
            </w:r>
            <w:r>
              <w:rPr>
                <w:rFonts w:ascii="宋体" w:hAnsi="宋体" w:cs="宋体" w:eastAsia="宋体" w:hint="default"/>
                <w:spacing w:val="-6"/>
                <w:sz w:val="18"/>
                <w:szCs w:val="18"/>
              </w:rPr>
              <w:t>作出的《公积金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补缴承诺》，本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人所享有的当 年公司分红收 益将由公司直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1274"/>
        <w:gridCol w:w="1277"/>
        <w:gridCol w:w="1277"/>
        <w:gridCol w:w="1277"/>
        <w:gridCol w:w="1270"/>
      </w:tblGrid>
      <w:tr>
        <w:trPr>
          <w:trHeight w:val="674"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接用于补缴承 诺所涉公积金。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聘任、解聘会计师事务所情况" w:id="66"/>
      <w:bookmarkEnd w:id="66"/>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廖家河，牛忠党</w:t>
            </w:r>
          </w:p>
        </w:tc>
      </w:tr>
    </w:tbl>
    <w:p>
      <w:pPr>
        <w:pStyle w:val="BodyText"/>
        <w:spacing w:line="240" w:lineRule="auto" w:before="49"/>
        <w:ind w:right="0"/>
        <w:jc w:val="left"/>
      </w:pPr>
      <w:r>
        <w:rPr/>
        <w:t>是否改聘会计师事务所</w:t>
      </w:r>
    </w:p>
    <w:p>
      <w:pPr>
        <w:pStyle w:val="BodyText"/>
        <w:spacing w:line="338" w:lineRule="auto" w:before="117"/>
        <w:ind w:right="81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原聘任的会计事务所</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乐超军，牛忠党</w:t>
            </w:r>
          </w:p>
        </w:tc>
      </w:tr>
    </w:tbl>
    <w:p>
      <w:pPr>
        <w:pStyle w:val="BodyText"/>
        <w:spacing w:line="240" w:lineRule="auto" w:before="49"/>
        <w:ind w:right="0"/>
        <w:jc w:val="left"/>
      </w:pPr>
      <w:r>
        <w:rPr/>
        <w:t>是否在审计期间改聘会计师事务所</w:t>
      </w:r>
    </w:p>
    <w:p>
      <w:pPr>
        <w:pStyle w:val="BodyText"/>
        <w:spacing w:line="338" w:lineRule="auto" w:before="117"/>
        <w:ind w:right="68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43"/>
        <w:ind w:left="153" w:right="707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聘任、解聘会计师事务所情况说明</w:t>
      </w:r>
    </w:p>
    <w:p>
      <w:pPr>
        <w:pStyle w:val="BodyText"/>
        <w:spacing w:line="300" w:lineRule="auto" w:before="39"/>
        <w:ind w:left="153" w:right="155" w:firstLine="36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日第二届董事会第五次会议审议通过了《关于续聘</w:t>
      </w:r>
      <w:r>
        <w:rPr>
          <w:rFonts w:ascii="Times New Roman" w:hAnsi="Times New Roman" w:cs="Times New Roman" w:eastAsia="Times New Roman" w:hint="default"/>
        </w:rPr>
        <w:t>2014</w:t>
      </w:r>
      <w:r>
        <w:rPr/>
        <w:t>年度审计机构的议案》，同意续聘大华会计 师事务所（特殊普通合伙）为公司</w:t>
      </w:r>
      <w:r>
        <w:rPr>
          <w:spacing w:val="-17"/>
        </w:rPr>
        <w:t> </w:t>
      </w:r>
      <w:r>
        <w:rPr>
          <w:rFonts w:ascii="Times New Roman" w:hAnsi="Times New Roman" w:cs="Times New Roman" w:eastAsia="Times New Roman" w:hint="default"/>
        </w:rPr>
        <w:t>2014</w:t>
      </w:r>
      <w:r>
        <w:rPr/>
        <w:t>年度的审计机构。</w:t>
      </w:r>
    </w:p>
    <w:p>
      <w:pPr>
        <w:pStyle w:val="BodyText"/>
        <w:spacing w:line="316" w:lineRule="auto" w:before="53"/>
        <w:ind w:left="153" w:right="150" w:firstLine="360"/>
        <w:jc w:val="both"/>
      </w:pPr>
      <w:r>
        <w:rPr>
          <w:spacing w:val="-2"/>
        </w:rPr>
        <w:t>大华会计师事务所（特殊普通合伙）部分业务人员工作变动，拟加入立信会计师事务所（特殊普通合伙），其中包括服</w:t>
      </w:r>
      <w:r>
        <w:rPr/>
        <w:t> </w:t>
      </w:r>
      <w:r>
        <w:rPr>
          <w:spacing w:val="-2"/>
        </w:rPr>
        <w:t>务于本公司的审计团队。鉴于此，为保持公司外部审计工作的连续性和稳定性，经公司董事会审计委员会提议，建议将公司</w:t>
      </w:r>
      <w:r>
        <w:rPr>
          <w:spacing w:val="-65"/>
        </w:rPr>
        <w:t> </w:t>
      </w:r>
      <w:r>
        <w:rPr>
          <w:spacing w:val="-65"/>
        </w:rPr>
      </w:r>
      <w:r>
        <w:rPr/>
        <w:t>聘请的</w:t>
      </w:r>
      <w:r>
        <w:rPr>
          <w:rFonts w:ascii="Times New Roman" w:hAnsi="Times New Roman" w:cs="Times New Roman" w:eastAsia="Times New Roman" w:hint="default"/>
        </w:rPr>
        <w:t>2014</w:t>
      </w:r>
      <w:r>
        <w:rPr/>
        <w:t>年度财务审计机构由大华会计师事务所（特殊普通合伙）变更为立信会计师事务所（特殊普通合伙）。</w:t>
      </w:r>
    </w:p>
    <w:p>
      <w:pPr>
        <w:pStyle w:val="BodyText"/>
        <w:spacing w:line="300" w:lineRule="auto" w:before="40"/>
        <w:ind w:left="153" w:right="150" w:firstLine="360"/>
        <w:jc w:val="both"/>
      </w:pPr>
      <w:r>
        <w:rPr>
          <w:spacing w:val="-2"/>
        </w:rPr>
        <w:t>监事会认为：公司本次变更</w:t>
      </w:r>
      <w:r>
        <w:rPr>
          <w:rFonts w:ascii="Times New Roman" w:hAnsi="Times New Roman" w:cs="Times New Roman" w:eastAsia="Times New Roman" w:hint="default"/>
          <w:spacing w:val="-2"/>
        </w:rPr>
        <w:t>2014</w:t>
      </w:r>
      <w:r>
        <w:rPr>
          <w:spacing w:val="-2"/>
        </w:rPr>
        <w:t>年度审计机构事宜，符合相关法律、法规和《公司章程》的有关规定，未损害公司和股</w:t>
      </w:r>
      <w:r>
        <w:rPr/>
        <w:t> </w:t>
      </w:r>
      <w:r>
        <w:rPr>
          <w:spacing w:val="-2"/>
        </w:rPr>
        <w:t>东利益，立信会计师事务所（特殊普通合伙）具备证券期货相关业务审计从业资格，能够满足公司</w:t>
      </w:r>
      <w:r>
        <w:rPr>
          <w:rFonts w:ascii="Times New Roman" w:hAnsi="Times New Roman" w:cs="Times New Roman" w:eastAsia="Times New Roman" w:hint="default"/>
          <w:spacing w:val="-2"/>
        </w:rPr>
        <w:t>2014</w:t>
      </w:r>
      <w:r>
        <w:rPr>
          <w:spacing w:val="-2"/>
        </w:rPr>
        <w:t>年度财务审计工作的</w:t>
      </w:r>
      <w:r>
        <w:rPr>
          <w:spacing w:val="-62"/>
        </w:rPr>
        <w:t> </w:t>
      </w:r>
      <w:r>
        <w:rPr>
          <w:spacing w:val="-62"/>
        </w:rPr>
      </w:r>
      <w:r>
        <w:rPr>
          <w:spacing w:val="-2"/>
        </w:rPr>
        <w:t>要求，能够独立对公司财务状况进行审计，同意</w:t>
      </w:r>
      <w:r>
        <w:rPr>
          <w:rFonts w:ascii="Times New Roman" w:hAnsi="Times New Roman" w:cs="Times New Roman" w:eastAsia="Times New Roman" w:hint="default"/>
          <w:spacing w:val="-2"/>
        </w:rPr>
        <w:t>2014</w:t>
      </w:r>
      <w:r>
        <w:rPr>
          <w:spacing w:val="-2"/>
        </w:rPr>
        <w:t>年度公司审计机构由大华会计师事务所（特殊普通合伙）变更为立信会</w:t>
      </w:r>
      <w:r>
        <w:rPr>
          <w:spacing w:val="-61"/>
        </w:rPr>
        <w:t> </w:t>
      </w:r>
      <w:r>
        <w:rPr>
          <w:spacing w:val="-61"/>
        </w:rPr>
      </w:r>
      <w:r>
        <w:rPr/>
        <w:t>计师事务所（特殊普通合伙），并将本议案提交公司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年第一次临时股东大会审议。</w:t>
      </w:r>
    </w:p>
    <w:p>
      <w:pPr>
        <w:pStyle w:val="BodyText"/>
        <w:spacing w:line="316" w:lineRule="auto" w:before="51"/>
        <w:ind w:left="153" w:right="152" w:firstLine="360"/>
        <w:jc w:val="both"/>
      </w:pPr>
      <w:r>
        <w:rPr>
          <w:spacing w:val="-2"/>
        </w:rPr>
        <w:t>独立意见：董事会在审议《关于变更审计机构的议案》前，已提前进行了沟通，并取得了我们的事前认可。公司本次变</w:t>
      </w:r>
      <w:r>
        <w:rPr/>
        <w:t> </w:t>
      </w:r>
      <w:r>
        <w:rPr>
          <w:spacing w:val="-5"/>
        </w:rPr>
        <w:t>更</w:t>
      </w:r>
      <w:r>
        <w:rPr>
          <w:rFonts w:ascii="Times New Roman" w:hAnsi="Times New Roman" w:cs="Times New Roman" w:eastAsia="Times New Roman" w:hint="default"/>
          <w:spacing w:val="-5"/>
        </w:rPr>
        <w:t>2014</w:t>
      </w:r>
      <w:r>
        <w:rPr>
          <w:spacing w:val="-5"/>
        </w:rPr>
        <w:t>年度审计机构事宜，符合相关法律、法规和《公司章程》的有关规定，未损害公司和股东利益，立信会计师事务所（特</w:t>
      </w:r>
    </w:p>
    <w:p>
      <w:pPr>
        <w:spacing w:after="0" w:line="316"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94"/>
        <w:jc w:val="left"/>
      </w:pPr>
      <w:r>
        <w:rPr/>
        <w:t>殊普通合伙）具备证券期货相关业务审计从业资格，能够满足公司 </w:t>
      </w:r>
      <w:r>
        <w:rPr>
          <w:rFonts w:ascii="Times New Roman" w:hAnsi="Times New Roman" w:cs="Times New Roman" w:eastAsia="Times New Roman" w:hint="default"/>
        </w:rPr>
        <w:t>2014</w:t>
      </w:r>
      <w:r>
        <w:rPr/>
        <w:t>年度财务审计工作的要求，能够独立对公司财务状</w:t>
      </w:r>
      <w:r>
        <w:rPr>
          <w:spacing w:val="-86"/>
        </w:rPr>
        <w:t> </w:t>
      </w:r>
      <w:r>
        <w:rPr>
          <w:spacing w:val="-86"/>
        </w:rPr>
      </w:r>
      <w:r>
        <w:rPr>
          <w:spacing w:val="-4"/>
        </w:rPr>
        <w:t>况进行审计，同意</w:t>
      </w:r>
      <w:r>
        <w:rPr>
          <w:rFonts w:ascii="Times New Roman" w:hAnsi="Times New Roman" w:cs="Times New Roman" w:eastAsia="Times New Roman" w:hint="default"/>
          <w:spacing w:val="-4"/>
        </w:rPr>
        <w:t>2014</w:t>
      </w:r>
      <w:r>
        <w:rPr>
          <w:spacing w:val="-4"/>
        </w:rPr>
        <w:t>年度公司审计机构由大华会计师事务所（特殊普通合伙）变更为立信会计师事务所（特殊普通合伙），</w:t>
      </w:r>
      <w:r>
        <w:rPr>
          <w:spacing w:val="-39"/>
        </w:rPr>
        <w:t> </w:t>
      </w:r>
      <w:r>
        <w:rPr>
          <w:spacing w:val="-39"/>
        </w:rPr>
      </w:r>
      <w:r>
        <w:rPr/>
        <w:t>并将本议案提交公司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年第一次临时股东大会审议。</w:t>
      </w:r>
    </w:p>
    <w:p>
      <w:pPr>
        <w:pStyle w:val="BodyText"/>
        <w:spacing w:line="240" w:lineRule="auto" w:before="53"/>
        <w:ind w:left="512" w:right="465"/>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w:t>
      </w:r>
      <w:r>
        <w:rPr>
          <w:rFonts w:ascii="Times New Roman" w:hAnsi="Times New Roman" w:cs="Times New Roman" w:eastAsia="Times New Roman" w:hint="default"/>
        </w:rPr>
        <w:t>2014</w:t>
      </w:r>
      <w:r>
        <w:rPr/>
        <w:t>年第一次临时股东大会审议通过了《关于变更审计机构的议案》。</w:t>
      </w:r>
    </w:p>
    <w:p>
      <w:pPr>
        <w:spacing w:line="240" w:lineRule="auto" w:before="0"/>
        <w:rPr>
          <w:rFonts w:ascii="宋体" w:hAnsi="宋体" w:cs="宋体" w:eastAsia="宋体" w:hint="default"/>
          <w:sz w:val="24"/>
          <w:szCs w:val="24"/>
        </w:rPr>
      </w:pPr>
    </w:p>
    <w:p>
      <w:pPr>
        <w:pStyle w:val="Heading2"/>
        <w:spacing w:line="240" w:lineRule="auto"/>
        <w:ind w:right="176"/>
        <w:jc w:val="left"/>
        <w:rPr>
          <w:b w:val="0"/>
          <w:bCs w:val="0"/>
        </w:rPr>
      </w:pPr>
      <w:bookmarkStart w:name="十、上市公司及其董事、监事、高级管理人员、公司股东、实际控制人和收购人处罚及整改" w:id="67"/>
      <w:bookmarkEnd w:id="67"/>
      <w:r>
        <w:rPr>
          <w:b w:val="0"/>
          <w:bCs w:val="0"/>
        </w:rPr>
      </w:r>
      <w:r>
        <w:rPr/>
        <w:t>十、上市公司及其董事、监事、高级管理人员、公司股东、实际控制人和收购人处罚及整改</w:t>
      </w:r>
      <w:r>
        <w:rPr>
          <w:w w:val="9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5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43"/>
        <w:ind w:left="153" w:right="567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上市公司及其子公司是否存在其他重大社会安全问题</w:t>
      </w:r>
    </w:p>
    <w:p>
      <w:pPr>
        <w:pStyle w:val="BodyText"/>
        <w:spacing w:line="340" w:lineRule="auto" w:before="39"/>
        <w:ind w:left="153" w:right="783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报告期内是否被行政处罚</w:t>
      </w:r>
    </w:p>
    <w:p>
      <w:pPr>
        <w:pStyle w:val="BodyText"/>
        <w:spacing w:line="240" w:lineRule="auto" w:before="41"/>
        <w:ind w:left="153" w:right="46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65"/>
        <w:jc w:val="left"/>
        <w:rPr>
          <w:b w:val="0"/>
          <w:bCs w:val="0"/>
        </w:rPr>
      </w:pPr>
      <w:bookmarkStart w:name="十一、公司股东及其一致行动人在报告期提出或实施股份增持计划的情况" w:id="68"/>
      <w:bookmarkEnd w:id="68"/>
      <w:r>
        <w:rPr>
          <w:b w:val="0"/>
          <w:bCs w:val="0"/>
        </w:rPr>
      </w:r>
      <w:r>
        <w:rPr/>
        <w:t>十一、公司股东及其一致行动人在报告期提出或实施股份增持计划的情况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5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公司股东及其一致行动人在报告期内未提出或实施股份增持计划。</w:t>
      </w:r>
    </w:p>
    <w:p>
      <w:pPr>
        <w:spacing w:line="240" w:lineRule="auto" w:before="6"/>
        <w:rPr>
          <w:rFonts w:ascii="宋体" w:hAnsi="宋体" w:cs="宋体" w:eastAsia="宋体" w:hint="default"/>
          <w:sz w:val="19"/>
          <w:szCs w:val="19"/>
        </w:rPr>
      </w:pPr>
    </w:p>
    <w:p>
      <w:pPr>
        <w:pStyle w:val="Heading2"/>
        <w:spacing w:line="240" w:lineRule="auto"/>
        <w:ind w:right="465"/>
        <w:jc w:val="left"/>
        <w:rPr>
          <w:b w:val="0"/>
          <w:bCs w:val="0"/>
        </w:rPr>
      </w:pPr>
      <w:bookmarkStart w:name="十二、董事、监事、高级管理人员、持股5%以上的股东违规买卖公司股票情况" w:id="69"/>
      <w:bookmarkEnd w:id="69"/>
      <w:r>
        <w:rPr>
          <w:b w:val="0"/>
          <w:bCs w:val="0"/>
        </w:rPr>
      </w:r>
      <w:r>
        <w:rPr/>
        <w:t>十二、董事、监事、高级管理人员、持股</w:t>
      </w:r>
      <w:r>
        <w:rPr>
          <w:spacing w:val="-6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65"/>
        <w:jc w:val="left"/>
        <w:rPr>
          <w:b w:val="0"/>
          <w:bCs w:val="0"/>
        </w:rPr>
      </w:pPr>
      <w:bookmarkStart w:name="十三、年度报告披露后面临暂停上市和终止上市情况" w:id="70"/>
      <w:bookmarkEnd w:id="70"/>
      <w:r>
        <w:rPr>
          <w:b w:val="0"/>
          <w:bCs w:val="0"/>
        </w:rPr>
      </w: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65"/>
        <w:jc w:val="left"/>
        <w:rPr>
          <w:b w:val="0"/>
          <w:bCs w:val="0"/>
        </w:rPr>
      </w:pPr>
      <w:bookmarkStart w:name="十四、其他重大事项的说明" w:id="71"/>
      <w:bookmarkEnd w:id="71"/>
      <w:r>
        <w:rPr>
          <w:b w:val="0"/>
          <w:bCs w:val="0"/>
        </w:rPr>
      </w: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16" w:lineRule="auto"/>
        <w:ind w:right="192" w:firstLine="419"/>
        <w:jc w:val="both"/>
      </w:pPr>
      <w:r>
        <w:rPr>
          <w:rFonts w:ascii="宋体" w:hAnsi="宋体" w:cs="宋体" w:eastAsia="宋体" w:hint="default"/>
        </w:rPr>
        <w:t>1</w:t>
      </w:r>
      <w:r>
        <w:rPr/>
        <w:t>、公司</w:t>
      </w:r>
      <w:r>
        <w:rPr>
          <w:rFonts w:ascii="宋体" w:hAnsi="宋体" w:cs="宋体" w:eastAsia="宋体" w:hint="default"/>
        </w:rPr>
        <w:t>2014 </w:t>
      </w:r>
      <w:r>
        <w:rPr/>
        <w:t>年 </w:t>
      </w:r>
      <w:r>
        <w:rPr>
          <w:rFonts w:ascii="宋体" w:hAnsi="宋体" w:cs="宋体" w:eastAsia="宋体" w:hint="default"/>
        </w:rPr>
        <w:t>5 </w:t>
      </w:r>
      <w:r>
        <w:rPr/>
        <w:t>月 </w:t>
      </w:r>
      <w:r>
        <w:rPr>
          <w:rFonts w:ascii="宋体" w:hAnsi="宋体" w:cs="宋体" w:eastAsia="宋体" w:hint="default"/>
        </w:rPr>
        <w:t>19 </w:t>
      </w:r>
      <w:r>
        <w:rPr/>
        <w:t>日召开的第二届董事会第七次会议通过议案，决定以自有资金 </w:t>
      </w:r>
      <w:r>
        <w:rPr>
          <w:rFonts w:ascii="宋体" w:hAnsi="宋体" w:cs="宋体" w:eastAsia="宋体" w:hint="default"/>
        </w:rPr>
        <w:t>1,000</w:t>
      </w:r>
      <w:r>
        <w:rPr>
          <w:rFonts w:ascii="宋体" w:hAnsi="宋体" w:cs="宋体" w:eastAsia="宋体" w:hint="default"/>
          <w:spacing w:val="26"/>
        </w:rPr>
        <w:t> </w:t>
      </w:r>
      <w:r>
        <w:rPr/>
        <w:t>万元投资设立全资子 公司北京东方通宇技术有限公司。</w:t>
      </w:r>
      <w:r>
        <w:rPr>
          <w:rFonts w:ascii="宋体" w:hAnsi="宋体" w:cs="宋体" w:eastAsia="宋体" w:hint="default"/>
        </w:rPr>
        <w:t>6</w:t>
      </w:r>
      <w:r>
        <w:rPr/>
        <w:t>月</w:t>
      </w:r>
      <w:r>
        <w:rPr>
          <w:rFonts w:ascii="宋体" w:hAnsi="宋体" w:cs="宋体" w:eastAsia="宋体" w:hint="default"/>
        </w:rPr>
        <w:t>9</w:t>
      </w:r>
      <w:r>
        <w:rPr/>
        <w:t>日，东方通宇完成工商注册登记。</w:t>
      </w:r>
      <w:r>
        <w:rPr>
          <w:rFonts w:ascii="宋体" w:hAnsi="宋体" w:cs="宋体" w:eastAsia="宋体" w:hint="default"/>
        </w:rPr>
        <w:t>2015</w:t>
      </w:r>
      <w:r>
        <w:rPr/>
        <w:t>年</w:t>
      </w:r>
      <w:r>
        <w:rPr>
          <w:rFonts w:ascii="宋体" w:hAnsi="宋体" w:cs="宋体" w:eastAsia="宋体" w:hint="default"/>
        </w:rPr>
        <w:t>2</w:t>
      </w:r>
      <w:r>
        <w:rPr/>
        <w:t>月，东方通宇收到北京市武器装备科研生</w:t>
      </w:r>
      <w:r>
        <w:rPr>
          <w:spacing w:val="-85"/>
        </w:rPr>
        <w:t> </w:t>
      </w:r>
      <w:r>
        <w:rPr>
          <w:spacing w:val="-85"/>
        </w:rPr>
      </w:r>
      <w:r>
        <w:rPr/>
        <w:t>产单位保密资格审查认证委员会《关于批准北京东方通宇技术有限公司二级军工保密资格的通知》。</w:t>
      </w:r>
    </w:p>
    <w:p>
      <w:pPr>
        <w:pStyle w:val="BodyText"/>
        <w:spacing w:line="240" w:lineRule="auto" w:before="18"/>
        <w:ind w:left="572" w:right="94"/>
        <w:jc w:val="left"/>
      </w:pPr>
      <w:r>
        <w:rPr>
          <w:rFonts w:ascii="宋体" w:hAnsi="宋体" w:cs="宋体" w:eastAsia="宋体" w:hint="default"/>
          <w:spacing w:val="-4"/>
        </w:rPr>
        <w:t>2</w:t>
      </w:r>
      <w:r>
        <w:rPr>
          <w:spacing w:val="-4"/>
        </w:rPr>
        <w:t>、公司</w:t>
      </w:r>
      <w:r>
        <w:rPr>
          <w:rFonts w:ascii="宋体" w:hAnsi="宋体" w:cs="宋体" w:eastAsia="宋体" w:hint="default"/>
          <w:spacing w:val="-4"/>
        </w:rPr>
        <w:t>2014 </w:t>
      </w:r>
      <w:r>
        <w:rPr/>
        <w:t>年 </w:t>
      </w:r>
      <w:r>
        <w:rPr>
          <w:rFonts w:ascii="宋体" w:hAnsi="宋体" w:cs="宋体" w:eastAsia="宋体" w:hint="default"/>
        </w:rPr>
        <w:t>12 </w:t>
      </w:r>
      <w:r>
        <w:rPr/>
        <w:t>月 </w:t>
      </w:r>
      <w:r>
        <w:rPr>
          <w:rFonts w:ascii="宋体" w:hAnsi="宋体" w:cs="宋体" w:eastAsia="宋体" w:hint="default"/>
        </w:rPr>
        <w:t>12 </w:t>
      </w:r>
      <w:r>
        <w:rPr/>
        <w:t>日召开的第二届董事会第十四次会议通过议案，决定以自有资金 </w:t>
      </w:r>
      <w:r>
        <w:rPr>
          <w:rFonts w:ascii="宋体" w:hAnsi="宋体" w:cs="宋体" w:eastAsia="宋体" w:hint="default"/>
        </w:rPr>
        <w:t>1,000</w:t>
      </w:r>
      <w:r>
        <w:rPr>
          <w:rFonts w:ascii="宋体" w:hAnsi="宋体" w:cs="宋体" w:eastAsia="宋体" w:hint="default"/>
          <w:spacing w:val="-21"/>
        </w:rPr>
        <w:t> </w:t>
      </w:r>
      <w:r>
        <w:rPr/>
        <w:t>万元投资设立全资</w:t>
      </w:r>
    </w:p>
    <w:p>
      <w:pPr>
        <w:pStyle w:val="BodyText"/>
        <w:spacing w:line="316" w:lineRule="auto" w:before="76"/>
        <w:ind w:left="153" w:right="183" w:hanging="1"/>
        <w:jc w:val="left"/>
      </w:pPr>
      <w:r>
        <w:rPr/>
        <w:t>子公司东方通科技无锡有限公司。</w:t>
      </w:r>
      <w:r>
        <w:rPr>
          <w:rFonts w:ascii="宋体" w:hAnsi="宋体" w:cs="宋体" w:eastAsia="宋体" w:hint="default"/>
        </w:rPr>
        <w:t>2015 </w:t>
      </w:r>
      <w:r>
        <w:rPr/>
        <w:t>年 </w:t>
      </w:r>
      <w:r>
        <w:rPr>
          <w:rFonts w:ascii="宋体" w:hAnsi="宋体" w:cs="宋体" w:eastAsia="宋体" w:hint="default"/>
        </w:rPr>
        <w:t>01 </w:t>
      </w:r>
      <w:r>
        <w:rPr/>
        <w:t>月 </w:t>
      </w:r>
      <w:r>
        <w:rPr>
          <w:rFonts w:ascii="宋体" w:hAnsi="宋体" w:cs="宋体" w:eastAsia="宋体" w:hint="default"/>
        </w:rPr>
        <w:t>27</w:t>
      </w:r>
      <w:r>
        <w:rPr>
          <w:rFonts w:ascii="宋体" w:hAnsi="宋体" w:cs="宋体" w:eastAsia="宋体" w:hint="default"/>
          <w:spacing w:val="1"/>
        </w:rPr>
        <w:t> </w:t>
      </w:r>
      <w:r>
        <w:rPr/>
        <w:t>日，无锡东方通完成工商注册登记。设立无锡东方通，目的在于在强 化公司在基础软件领域领先地位的同时，完善公司在云计算、大数据领域的布局。</w:t>
      </w:r>
    </w:p>
    <w:p>
      <w:pPr>
        <w:pStyle w:val="BodyText"/>
        <w:spacing w:line="316" w:lineRule="auto" w:before="18"/>
        <w:ind w:left="153" w:right="192" w:firstLine="419"/>
        <w:jc w:val="both"/>
      </w:pPr>
      <w:r>
        <w:rPr>
          <w:rFonts w:ascii="宋体" w:hAnsi="宋体" w:cs="宋体" w:eastAsia="宋体" w:hint="default"/>
        </w:rPr>
        <w:t>3</w:t>
      </w:r>
      <w:r>
        <w:rPr/>
        <w:t>、公司</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15</w:t>
      </w:r>
      <w:r>
        <w:rPr/>
        <w:t>日第二届董事会第九次会议，审议通过了《关于使用闲置募集资金临时补充流动资金的议案》， 同意使用募投项目</w:t>
      </w:r>
      <w:r>
        <w:rPr>
          <w:rFonts w:ascii="宋体" w:hAnsi="宋体" w:cs="宋体" w:eastAsia="宋体" w:hint="default"/>
        </w:rPr>
        <w:t>“Tong</w:t>
      </w:r>
      <w:r>
        <w:rPr/>
        <w:t>系列中间件产品升级项目</w:t>
      </w:r>
      <w:r>
        <w:rPr>
          <w:rFonts w:ascii="宋体" w:hAnsi="宋体" w:cs="宋体" w:eastAsia="宋体" w:hint="default"/>
        </w:rPr>
        <w:t>”1,200</w:t>
      </w:r>
      <w:r>
        <w:rPr/>
        <w:t>万元闲置募集资金临时补充公司流动资金，用于与公司主营业务</w:t>
      </w:r>
      <w:r>
        <w:rPr>
          <w:spacing w:val="-86"/>
        </w:rPr>
        <w:t> </w:t>
      </w:r>
      <w:r>
        <w:rPr>
          <w:spacing w:val="-86"/>
        </w:rPr>
      </w:r>
      <w:r>
        <w:rPr/>
        <w:t>相关的生产经营。使用期限为自董事会批准之日起不超过</w:t>
      </w:r>
      <w:r>
        <w:rPr>
          <w:rFonts w:ascii="宋体" w:hAnsi="宋体" w:cs="宋体" w:eastAsia="宋体" w:hint="default"/>
        </w:rPr>
        <w:t>6</w:t>
      </w:r>
      <w:r>
        <w:rPr/>
        <w:t>个月。截至</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12</w:t>
      </w:r>
      <w:r>
        <w:rPr/>
        <w:t>日，公司已将上述</w:t>
      </w:r>
      <w:r>
        <w:rPr>
          <w:rFonts w:ascii="宋体" w:hAnsi="宋体" w:cs="宋体" w:eastAsia="宋体" w:hint="default"/>
        </w:rPr>
        <w:t>1,200</w:t>
      </w:r>
      <w:r>
        <w:rPr/>
        <w:t>万元临时补充流</w:t>
      </w:r>
      <w:r>
        <w:rPr>
          <w:spacing w:val="-87"/>
        </w:rPr>
        <w:t> </w:t>
      </w:r>
      <w:r>
        <w:rPr/>
        <w:t>动资金的募集资金全部归还至募集资金专项账户，并已将上述募集资金归还情况通知了保荐机构及保荐代表人。</w:t>
      </w:r>
    </w:p>
    <w:p>
      <w:pPr>
        <w:pStyle w:val="BodyText"/>
        <w:spacing w:line="240" w:lineRule="auto" w:before="18"/>
        <w:ind w:left="573" w:right="94"/>
        <w:jc w:val="left"/>
      </w:pPr>
      <w:r>
        <w:rPr>
          <w:rFonts w:ascii="宋体" w:hAnsi="宋体" w:cs="宋体" w:eastAsia="宋体" w:hint="default"/>
        </w:rPr>
        <w:t>4</w:t>
      </w:r>
      <w:r>
        <w:rPr/>
        <w:t>、根据本公司</w:t>
      </w:r>
      <w:r>
        <w:rPr>
          <w:rFonts w:ascii="宋体" w:hAnsi="宋体" w:cs="宋体" w:eastAsia="宋体" w:hint="default"/>
        </w:rPr>
        <w:t>2014</w:t>
      </w:r>
      <w:r>
        <w:rPr/>
        <w:t>年第二次临时股东大会决议和中国证券监督管理委员会《关于核准北京东方通科技股份有限公司向</w:t>
      </w:r>
    </w:p>
    <w:p>
      <w:pPr>
        <w:spacing w:after="0" w:line="240" w:lineRule="auto"/>
        <w:jc w:val="left"/>
        <w:sectPr>
          <w:footerReference w:type="default" r:id="rId31"/>
          <w:pgSz w:w="11910" w:h="16840"/>
          <w:pgMar w:footer="982" w:header="745" w:top="1060" w:bottom="1180" w:left="980" w:right="940"/>
          <w:pgNumType w:start="51"/>
        </w:sectPr>
      </w:pPr>
    </w:p>
    <w:p>
      <w:pPr>
        <w:spacing w:line="240" w:lineRule="auto" w:before="9"/>
        <w:rPr>
          <w:rFonts w:ascii="宋体" w:hAnsi="宋体" w:cs="宋体" w:eastAsia="宋体" w:hint="default"/>
          <w:sz w:val="25"/>
          <w:szCs w:val="25"/>
        </w:rPr>
      </w:pPr>
    </w:p>
    <w:p>
      <w:pPr>
        <w:pStyle w:val="BodyText"/>
        <w:spacing w:line="316" w:lineRule="auto" w:before="44"/>
        <w:ind w:right="94"/>
        <w:jc w:val="left"/>
      </w:pPr>
      <w:r>
        <w:rPr>
          <w:spacing w:val="-2"/>
        </w:rPr>
        <w:t>李健等发行股份购买资产并募集配套资金的批复》（证监许可</w:t>
      </w:r>
      <w:r>
        <w:rPr>
          <w:rFonts w:ascii="宋体" w:hAnsi="宋体" w:cs="宋体" w:eastAsia="宋体" w:hint="default"/>
          <w:spacing w:val="-2"/>
        </w:rPr>
        <w:t>[2014]1354</w:t>
      </w:r>
      <w:r>
        <w:rPr>
          <w:spacing w:val="-2"/>
        </w:rPr>
        <w:t>号）核准，公司于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日非公开发行股票</w:t>
      </w:r>
      <w:r>
        <w:rPr>
          <w:spacing w:val="-56"/>
        </w:rPr>
        <w:t> </w:t>
      </w:r>
      <w:r>
        <w:rPr>
          <w:spacing w:val="-56"/>
        </w:rPr>
      </w:r>
      <w:r>
        <w:rPr>
          <w:rFonts w:ascii="宋体" w:hAnsi="宋体" w:cs="宋体" w:eastAsia="宋体" w:hint="default"/>
          <w:spacing w:val="-2"/>
        </w:rPr>
        <w:t>1,696,969</w:t>
      </w:r>
      <w:r>
        <w:rPr>
          <w:spacing w:val="-2"/>
        </w:rPr>
        <w:t>股，发行价格</w:t>
      </w:r>
      <w:r>
        <w:rPr>
          <w:rFonts w:ascii="宋体" w:hAnsi="宋体" w:cs="宋体" w:eastAsia="宋体" w:hint="default"/>
          <w:spacing w:val="-2"/>
        </w:rPr>
        <w:t>82.50</w:t>
      </w:r>
      <w:r>
        <w:rPr>
          <w:spacing w:val="-2"/>
        </w:rPr>
        <w:t>元</w:t>
      </w:r>
      <w:r>
        <w:rPr>
          <w:rFonts w:ascii="宋体" w:hAnsi="宋体" w:cs="宋体" w:eastAsia="宋体" w:hint="default"/>
          <w:spacing w:val="-2"/>
        </w:rPr>
        <w:t>/</w:t>
      </w:r>
      <w:r>
        <w:rPr>
          <w:spacing w:val="-2"/>
        </w:rPr>
        <w:t>股，募集资金</w:t>
      </w:r>
      <w:r>
        <w:rPr>
          <w:rFonts w:ascii="宋体" w:hAnsi="宋体" w:cs="宋体" w:eastAsia="宋体" w:hint="default"/>
          <w:spacing w:val="-2"/>
        </w:rPr>
        <w:t>139,999,942.50</w:t>
      </w:r>
      <w:r>
        <w:rPr>
          <w:spacing w:val="-2"/>
        </w:rPr>
        <w:t>元，用于支付北京惠捷朗科技有限公司</w:t>
      </w:r>
      <w:r>
        <w:rPr>
          <w:rFonts w:ascii="宋体" w:hAnsi="宋体" w:cs="宋体" w:eastAsia="宋体" w:hint="default"/>
          <w:spacing w:val="-2"/>
        </w:rPr>
        <w:t>100%</w:t>
      </w:r>
      <w:r>
        <w:rPr>
          <w:spacing w:val="-2"/>
        </w:rPr>
        <w:t>股权的现金对价。</w:t>
      </w:r>
      <w:r>
        <w:rPr>
          <w:spacing w:val="-47"/>
        </w:rPr>
        <w:t> </w:t>
      </w:r>
      <w:r>
        <w:rPr>
          <w:spacing w:val="-47"/>
        </w:rPr>
      </w:r>
      <w:r>
        <w:rPr>
          <w:spacing w:val="20"/>
        </w:rPr>
        <w:t>国信证券股份有限公司</w:t>
      </w:r>
      <w:r>
        <w:rPr>
          <w:spacing w:val="-63"/>
        </w:rPr>
        <w:t> </w:t>
      </w:r>
      <w:r>
        <w:rPr/>
        <w:t>于</w:t>
      </w:r>
      <w:r>
        <w:rPr>
          <w:spacing w:val="-66"/>
        </w:rPr>
        <w:t> </w:t>
      </w:r>
      <w:r>
        <w:rPr>
          <w:rFonts w:ascii="宋体" w:hAnsi="宋体" w:cs="宋体" w:eastAsia="宋体" w:hint="default"/>
        </w:rPr>
        <w:t>2014</w:t>
      </w:r>
      <w:r>
        <w:rPr>
          <w:rFonts w:ascii="宋体" w:hAnsi="宋体" w:cs="宋体" w:eastAsia="宋体" w:hint="default"/>
          <w:spacing w:val="-64"/>
        </w:rPr>
        <w:t> </w:t>
      </w:r>
      <w:r>
        <w:rPr/>
        <w:t>年</w:t>
      </w:r>
      <w:r>
        <w:rPr>
          <w:spacing w:val="-66"/>
        </w:rPr>
        <w:t> </w:t>
      </w:r>
      <w:r>
        <w:rPr>
          <w:rFonts w:ascii="宋体" w:hAnsi="宋体" w:cs="宋体" w:eastAsia="宋体" w:hint="default"/>
        </w:rPr>
        <w:t>12</w:t>
      </w:r>
      <w:r>
        <w:rPr>
          <w:rFonts w:ascii="宋体" w:hAnsi="宋体" w:cs="宋体" w:eastAsia="宋体" w:hint="default"/>
          <w:spacing w:val="-64"/>
        </w:rPr>
        <w:t> </w:t>
      </w:r>
      <w:r>
        <w:rPr/>
        <w:t>月</w:t>
      </w:r>
      <w:r>
        <w:rPr>
          <w:spacing w:val="-66"/>
        </w:rPr>
        <w:t> </w:t>
      </w:r>
      <w:r>
        <w:rPr>
          <w:rFonts w:ascii="宋体" w:hAnsi="宋体" w:cs="宋体" w:eastAsia="宋体" w:hint="default"/>
        </w:rPr>
        <w:t>30</w:t>
      </w:r>
      <w:r>
        <w:rPr>
          <w:rFonts w:ascii="宋体" w:hAnsi="宋体" w:cs="宋体" w:eastAsia="宋体" w:hint="default"/>
          <w:spacing w:val="-64"/>
        </w:rPr>
        <w:t> </w:t>
      </w:r>
      <w:r>
        <w:rPr>
          <w:spacing w:val="21"/>
        </w:rPr>
        <w:t>日将扣除与本次非公开发行相关的财务</w:t>
      </w:r>
      <w:r>
        <w:rPr>
          <w:spacing w:val="-63"/>
        </w:rPr>
        <w:t> </w:t>
      </w:r>
      <w:r>
        <w:rPr>
          <w:spacing w:val="11"/>
        </w:rPr>
        <w:t>顾问</w:t>
      </w:r>
      <w:r>
        <w:rPr>
          <w:spacing w:val="-63"/>
        </w:rPr>
        <w:t> </w:t>
      </w:r>
      <w:r>
        <w:rPr/>
        <w:t>费</w:t>
      </w:r>
      <w:r>
        <w:rPr>
          <w:spacing w:val="-66"/>
        </w:rPr>
        <w:t> </w:t>
      </w:r>
      <w:r>
        <w:rPr>
          <w:rFonts w:ascii="宋体" w:hAnsi="宋体" w:cs="宋体" w:eastAsia="宋体" w:hint="default"/>
        </w:rPr>
        <w:t>3,000,000.00</w:t>
      </w:r>
      <w:r>
        <w:rPr>
          <w:rFonts w:ascii="宋体" w:hAnsi="宋体" w:cs="宋体" w:eastAsia="宋体" w:hint="default"/>
          <w:spacing w:val="-63"/>
        </w:rPr>
        <w:t> </w:t>
      </w:r>
      <w:r>
        <w:rPr>
          <w:spacing w:val="18"/>
        </w:rPr>
        <w:t>元后的金额</w:t>
      </w:r>
      <w:r>
        <w:rPr>
          <w:spacing w:val="-84"/>
        </w:rPr>
        <w:t> </w:t>
      </w:r>
      <w:r>
        <w:rPr>
          <w:rFonts w:ascii="宋体" w:hAnsi="宋体" w:cs="宋体" w:eastAsia="宋体" w:hint="default"/>
        </w:rPr>
        <w:t>136,999,942.50</w:t>
      </w:r>
      <w:r>
        <w:rPr/>
        <w:t>元汇入公司账户。</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15</w:t>
      </w:r>
      <w:r>
        <w:rPr/>
        <w:t>日，本公司向北京惠捷朗科技有限公司的原股东支付现金对价（含代扣代缴 个人所得税）</w:t>
      </w:r>
      <w:r>
        <w:rPr>
          <w:rFonts w:ascii="宋体" w:hAnsi="宋体" w:cs="宋体" w:eastAsia="宋体" w:hint="default"/>
        </w:rPr>
        <w:t>134,937,600.00</w:t>
      </w:r>
      <w:r>
        <w:rPr/>
        <w:t>元。</w:t>
      </w:r>
    </w:p>
    <w:p>
      <w:pPr>
        <w:spacing w:line="240" w:lineRule="auto" w:before="4"/>
        <w:rPr>
          <w:rFonts w:ascii="宋体" w:hAnsi="宋体" w:cs="宋体" w:eastAsia="宋体" w:hint="default"/>
          <w:sz w:val="25"/>
          <w:szCs w:val="25"/>
        </w:rPr>
      </w:pPr>
    </w:p>
    <w:p>
      <w:pPr>
        <w:pStyle w:val="BodyText"/>
        <w:spacing w:line="240" w:lineRule="auto"/>
        <w:ind w:left="572" w:right="465"/>
        <w:jc w:val="left"/>
        <w:rPr>
          <w:rFonts w:ascii="宋体" w:hAnsi="宋体" w:cs="宋体" w:eastAsia="宋体" w:hint="default"/>
        </w:rPr>
      </w:pPr>
      <w:r>
        <w:rPr/>
        <w:t>上述事项公司均按创业板上市公司信息披露相关要求，公告于巨潮咨询网</w:t>
      </w:r>
      <w:hyperlink r:id="rId11">
        <w:r>
          <w:rPr>
            <w:rFonts w:ascii="宋体" w:hAnsi="宋体" w:cs="宋体" w:eastAsia="宋体" w:hint="default"/>
          </w:rPr>
          <w:t>http://www.cninfo.com.cn/</w:t>
        </w:r>
      </w:hyperlink>
    </w:p>
    <w:p>
      <w:pPr>
        <w:spacing w:line="240" w:lineRule="auto" w:before="4"/>
        <w:rPr>
          <w:rFonts w:ascii="宋体" w:hAnsi="宋体" w:cs="宋体" w:eastAsia="宋体" w:hint="default"/>
          <w:sz w:val="25"/>
          <w:szCs w:val="25"/>
        </w:rPr>
      </w:pPr>
    </w:p>
    <w:p>
      <w:pPr>
        <w:pStyle w:val="Heading2"/>
        <w:spacing w:line="240" w:lineRule="auto"/>
        <w:ind w:right="465"/>
        <w:jc w:val="left"/>
        <w:rPr>
          <w:b w:val="0"/>
          <w:bCs w:val="0"/>
        </w:rPr>
      </w:pPr>
      <w:bookmarkStart w:name="十五、控股子公司重要事项" w:id="72"/>
      <w:bookmarkEnd w:id="72"/>
      <w:r>
        <w:rPr>
          <w:b w:val="0"/>
          <w:bCs w:val="0"/>
        </w:rPr>
      </w:r>
      <w:r>
        <w:rPr/>
        <w:t>十五、控股子公司重要事项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465"/>
        <w:jc w:val="left"/>
        <w:rPr>
          <w:b w:val="0"/>
          <w:bCs w:val="0"/>
        </w:rPr>
      </w:pPr>
      <w:bookmarkStart w:name="_TOC_250003" w:id="73"/>
      <w:bookmarkStart w:name="第六节 股份变动及股东情况" w:id="74"/>
      <w:r>
        <w:rPr>
          <w:b w:val="0"/>
          <w:bCs w:val="0"/>
        </w:rPr>
      </w:r>
      <w:r>
        <w:rPr/>
        <w:t>第六节</w:t>
      </w:r>
      <w:r>
        <w:rPr>
          <w:spacing w:val="-4"/>
        </w:rPr>
        <w:t> </w:t>
      </w:r>
      <w:r>
        <w:rPr/>
        <w:t>股份变动及股东情况</w:t>
      </w:r>
      <w:bookmarkEnd w:id="7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465"/>
        <w:jc w:val="left"/>
        <w:rPr>
          <w:b w:val="0"/>
          <w:bCs w:val="0"/>
        </w:rPr>
      </w:pPr>
      <w:bookmarkStart w:name="一、股份变动情况" w:id="75"/>
      <w:bookmarkEnd w:id="7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65"/>
        <w:jc w:val="left"/>
        <w:rPr>
          <w:b w:val="0"/>
          <w:bCs w:val="0"/>
        </w:rPr>
      </w:pPr>
      <w:bookmarkStart w:name="1、股份变动情况" w:id="76"/>
      <w:bookmarkEnd w:id="7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33"/>
        <w:gridCol w:w="842"/>
        <w:gridCol w:w="845"/>
        <w:gridCol w:w="845"/>
        <w:gridCol w:w="842"/>
        <w:gridCol w:w="842"/>
        <w:gridCol w:w="842"/>
        <w:gridCol w:w="845"/>
        <w:gridCol w:w="814"/>
        <w:gridCol w:w="814"/>
      </w:tblGrid>
      <w:tr>
        <w:trPr>
          <w:trHeight w:val="403" w:hRule="exact"/>
        </w:trPr>
        <w:tc>
          <w:tcPr>
            <w:tcW w:w="2033" w:type="dxa"/>
            <w:vMerge w:val="restart"/>
            <w:tcBorders>
              <w:top w:val="single" w:sz="4" w:space="0" w:color="000000"/>
              <w:left w:val="single" w:sz="4" w:space="0" w:color="000000"/>
              <w:right w:val="single" w:sz="4" w:space="0" w:color="000000"/>
            </w:tcBorders>
            <w:shd w:val="clear" w:color="auto" w:fill="D4D4D4"/>
          </w:tcPr>
          <w:p>
            <w:pP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033" w:type="dxa"/>
            <w:vMerge/>
            <w:tcBorders>
              <w:left w:val="single" w:sz="4" w:space="0" w:color="000000"/>
              <w:bottom w:val="single" w:sz="4" w:space="0" w:color="000000"/>
              <w:right w:val="single" w:sz="4" w:space="0" w:color="000000"/>
            </w:tcBorders>
            <w:shd w:val="clear" w:color="auto" w:fill="D4D4D4"/>
          </w:tcPr>
          <w:p>
            <w:pPr/>
          </w:p>
        </w:tc>
        <w:tc>
          <w:tcPr>
            <w:tcW w:w="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4,480,000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4,480,000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43,054,88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74.73%</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4,480,000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4,480,000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43,054,88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74.73%</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11,990,34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11,990,34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20.81%</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26,584,53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51.69%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4,480,000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4,480,000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31,064,53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53.92%</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12,858,29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1,696,969</w:t>
            </w: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1,696,969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14,555,26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25.27%</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12,858,29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12,858,29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22.32%</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1,696,969</w:t>
            </w: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1,696,969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1,696,969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51,433,18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6,176,969</w:t>
            </w: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6,176,969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57,610,15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465"/>
        <w:jc w:val="left"/>
      </w:pPr>
      <w:r>
        <w:rPr/>
        <w:t>股份变动的原因</w:t>
      </w:r>
    </w:p>
    <w:p>
      <w:pPr>
        <w:pStyle w:val="BodyText"/>
        <w:spacing w:line="240" w:lineRule="auto" w:before="117"/>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1"/>
        <w:ind w:right="190" w:firstLine="420"/>
        <w:jc w:val="both"/>
      </w:pP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14</w:t>
      </w:r>
      <w:r>
        <w:rPr/>
        <w:t>日，本公司与李健、王晋敏、王熙春、李飚签署《发行股份及支付现金购买资产协议》，本公司拟收购 </w:t>
      </w:r>
      <w:r>
        <w:rPr>
          <w:spacing w:val="-2"/>
        </w:rPr>
        <w:t>北京惠捷朗科技有限公司</w:t>
      </w:r>
      <w:r>
        <w:rPr>
          <w:rFonts w:ascii="宋体" w:hAnsi="宋体" w:cs="宋体" w:eastAsia="宋体" w:hint="default"/>
          <w:spacing w:val="-2"/>
        </w:rPr>
        <w:t>100%</w:t>
      </w:r>
      <w:r>
        <w:rPr>
          <w:spacing w:val="-2"/>
        </w:rPr>
        <w:t>股权。</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15</w:t>
      </w:r>
      <w:r>
        <w:rPr>
          <w:spacing w:val="-2"/>
        </w:rPr>
        <w:t>日，中国证券监督管理委员会以《关于核准北京东方通科技股份有限公司</w:t>
      </w:r>
      <w:r>
        <w:rPr>
          <w:spacing w:val="-60"/>
        </w:rPr>
        <w:t> </w:t>
      </w:r>
      <w:r>
        <w:rPr>
          <w:spacing w:val="-60"/>
        </w:rPr>
      </w:r>
      <w:r>
        <w:rPr/>
        <w:t>向李健等发行股份购买资产并募集配套资金的批复》（证监许可</w:t>
      </w:r>
      <w:r>
        <w:rPr>
          <w:rFonts w:ascii="宋体" w:hAnsi="宋体" w:cs="宋体" w:eastAsia="宋体" w:hint="default"/>
        </w:rPr>
        <w:t>[2014]1354</w:t>
      </w:r>
      <w:r>
        <w:rPr/>
        <w:t>号）核准本公司向李健等发行</w:t>
      </w:r>
      <w:r>
        <w:rPr>
          <w:rFonts w:ascii="宋体" w:hAnsi="宋体" w:cs="宋体" w:eastAsia="宋体" w:hint="default"/>
        </w:rPr>
        <w:t>4,480,000</w:t>
      </w:r>
      <w:r>
        <w:rPr/>
        <w:t>股股票</w:t>
      </w:r>
      <w:r>
        <w:rPr>
          <w:spacing w:val="-3"/>
        </w:rPr>
        <w:t> </w:t>
      </w:r>
      <w:r>
        <w:rPr>
          <w:spacing w:val="-2"/>
        </w:rPr>
        <w:t>以购买北京惠捷朗科技有限公司</w:t>
      </w:r>
      <w:r>
        <w:rPr>
          <w:rFonts w:ascii="宋体" w:hAnsi="宋体" w:cs="宋体" w:eastAsia="宋体" w:hint="default"/>
          <w:spacing w:val="-2"/>
        </w:rPr>
        <w:t>100%</w:t>
      </w:r>
      <w:r>
        <w:rPr>
          <w:spacing w:val="-2"/>
        </w:rPr>
        <w:t>股权，并非公开发行股票募集配套资金不超过</w:t>
      </w:r>
      <w:r>
        <w:rPr>
          <w:rFonts w:ascii="宋体" w:hAnsi="宋体" w:cs="宋体" w:eastAsia="宋体" w:hint="default"/>
          <w:spacing w:val="-2"/>
        </w:rPr>
        <w:t>14,000</w:t>
      </w:r>
      <w:r>
        <w:rPr>
          <w:spacing w:val="-2"/>
        </w:rPr>
        <w:t>万元。同日，北京惠捷朗科技有限</w:t>
      </w:r>
      <w:r>
        <w:rPr>
          <w:spacing w:val="-61"/>
        </w:rPr>
        <w:t> </w:t>
      </w:r>
      <w:r>
        <w:rPr>
          <w:spacing w:val="-61"/>
        </w:rPr>
      </w:r>
      <w:r>
        <w:rPr>
          <w:spacing w:val="-2"/>
        </w:rPr>
        <w:t>公司办理工商变更登记手续，变更为本公司独资的有限责任公司，本次交易资产交割完成。</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日，东方通在中国</w:t>
      </w:r>
      <w:r>
        <w:rPr>
          <w:spacing w:val="-59"/>
        </w:rPr>
        <w:t> </w:t>
      </w:r>
      <w:r>
        <w:rPr>
          <w:spacing w:val="-59"/>
        </w:rPr>
      </w:r>
      <w:r>
        <w:rPr/>
        <w:t>证券登记结算有限责任公司深圳分公司办理了股权登记手续，上市公司已办理完毕新增股份</w:t>
      </w:r>
      <w:r>
        <w:rPr>
          <w:rFonts w:ascii="宋体" w:hAnsi="宋体" w:cs="宋体" w:eastAsia="宋体" w:hint="default"/>
        </w:rPr>
        <w:t>448</w:t>
      </w:r>
      <w:r>
        <w:rPr/>
        <w:t>万股的登记手续。</w:t>
      </w:r>
      <w:r>
        <w:rPr>
          <w:rFonts w:ascii="宋体" w:hAnsi="宋体" w:cs="宋体" w:eastAsia="宋体" w:hint="default"/>
        </w:rPr>
        <w:t>2015</w:t>
      </w:r>
      <w:r>
        <w:rPr/>
        <w:t>年</w:t>
      </w:r>
      <w:r>
        <w:rPr>
          <w:rFonts w:ascii="宋体" w:hAnsi="宋体" w:cs="宋体" w:eastAsia="宋体" w:hint="default"/>
        </w:rPr>
        <w:t>1</w:t>
      </w:r>
      <w:r>
        <w:rPr>
          <w:rFonts w:ascii="宋体" w:hAnsi="宋体" w:cs="宋体" w:eastAsia="宋体" w:hint="default"/>
          <w:spacing w:val="-13"/>
        </w:rPr>
        <w:t> </w:t>
      </w:r>
      <w:r>
        <w:rPr/>
        <w:t>月</w:t>
      </w:r>
      <w:r>
        <w:rPr>
          <w:rFonts w:ascii="宋体" w:hAnsi="宋体" w:cs="宋体" w:eastAsia="宋体" w:hint="default"/>
        </w:rPr>
        <w:t>12</w:t>
      </w:r>
      <w:r>
        <w:rPr/>
        <w:t>日，上述股份完成上市手续。</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19</w:t>
      </w:r>
      <w:r>
        <w:rPr/>
        <w:t>日，东方通在中国证券登记结算有限责任公司深圳分公司就本次配套融资发</w:t>
      </w:r>
      <w:r>
        <w:rPr>
          <w:spacing w:val="-87"/>
        </w:rPr>
        <w:t> </w:t>
      </w:r>
      <w:r>
        <w:rPr>
          <w:spacing w:val="-87"/>
        </w:rPr>
      </w:r>
      <w:r>
        <w:rPr/>
        <w:t>行的</w:t>
      </w:r>
      <w:r>
        <w:rPr>
          <w:rFonts w:ascii="宋体" w:hAnsi="宋体" w:cs="宋体" w:eastAsia="宋体" w:hint="default"/>
        </w:rPr>
        <w:t>1,696,969</w:t>
      </w:r>
      <w:r>
        <w:rPr/>
        <w:t>股股份办理了股权登记手续。</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28</w:t>
      </w:r>
      <w:r>
        <w:rPr/>
        <w:t>日，上述股份完成上市手续。</w:t>
      </w:r>
    </w:p>
    <w:p>
      <w:pPr>
        <w:pStyle w:val="BodyText"/>
        <w:spacing w:line="316" w:lineRule="auto" w:before="18"/>
        <w:ind w:left="572" w:right="180"/>
        <w:jc w:val="left"/>
      </w:pPr>
      <w:r>
        <w:rPr>
          <w:rFonts w:ascii="宋体" w:hAnsi="宋体" w:cs="宋体" w:eastAsia="宋体" w:hint="default"/>
        </w:rPr>
        <w:t>**</w:t>
      </w:r>
      <w:r>
        <w:rPr/>
        <w:t>注：截止报告期末，公司已登记股份总数为</w:t>
      </w:r>
      <w:r>
        <w:rPr>
          <w:rFonts w:ascii="宋体" w:hAnsi="宋体" w:cs="宋体" w:eastAsia="宋体" w:hint="default"/>
        </w:rPr>
        <w:t>55,913,181</w:t>
      </w:r>
      <w:r>
        <w:rPr/>
        <w:t>股，与现有股份数差额</w:t>
      </w:r>
      <w:r>
        <w:rPr>
          <w:rFonts w:ascii="宋体" w:hAnsi="宋体" w:cs="宋体" w:eastAsia="宋体" w:hint="default"/>
        </w:rPr>
        <w:t>1,696,969</w:t>
      </w:r>
      <w:r>
        <w:rPr/>
        <w:t>股。 </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日东海基金管理有限责任公司、华宝信托有限责任公司、天安财产保险股份有限公司等</w:t>
      </w:r>
      <w:r>
        <w:rPr>
          <w:rFonts w:ascii="宋体" w:hAnsi="宋体" w:cs="宋体" w:eastAsia="宋体" w:hint="default"/>
          <w:spacing w:val="-1"/>
        </w:rPr>
        <w:t>3</w:t>
      </w:r>
      <w:r>
        <w:rPr>
          <w:spacing w:val="-1"/>
        </w:rPr>
        <w:t>名特定投资者认</w:t>
      </w:r>
    </w:p>
    <w:p>
      <w:pPr>
        <w:pStyle w:val="BodyText"/>
        <w:spacing w:line="316" w:lineRule="auto" w:before="18"/>
        <w:ind w:right="94" w:hanging="1"/>
        <w:jc w:val="left"/>
      </w:pPr>
      <w:r>
        <w:rPr/>
        <w:t>购本次非公开发行的股份</w:t>
      </w:r>
      <w:r>
        <w:rPr>
          <w:rFonts w:ascii="宋体" w:hAnsi="宋体" w:cs="宋体" w:eastAsia="宋体" w:hint="default"/>
        </w:rPr>
        <w:t>1,696,969</w:t>
      </w:r>
      <w:r>
        <w:rPr/>
        <w:t>股，发行价格</w:t>
      </w:r>
      <w:r>
        <w:rPr>
          <w:rFonts w:ascii="宋体" w:hAnsi="宋体" w:cs="宋体" w:eastAsia="宋体" w:hint="default"/>
        </w:rPr>
        <w:t>82.50</w:t>
      </w:r>
      <w:r>
        <w:rPr/>
        <w:t>元</w:t>
      </w:r>
      <w:r>
        <w:rPr>
          <w:rFonts w:ascii="宋体" w:hAnsi="宋体" w:cs="宋体" w:eastAsia="宋体" w:hint="default"/>
        </w:rPr>
        <w:t>/</w:t>
      </w:r>
      <w:r>
        <w:rPr/>
        <w:t>股，募集资金</w:t>
      </w:r>
      <w:r>
        <w:rPr>
          <w:rFonts w:ascii="宋体" w:hAnsi="宋体" w:cs="宋体" w:eastAsia="宋体" w:hint="default"/>
        </w:rPr>
        <w:t>139,999,942.50</w:t>
      </w:r>
      <w:r>
        <w:rPr/>
        <w:t>元，用于支付北京惠捷朗科技有限 </w:t>
      </w:r>
      <w:r>
        <w:rPr>
          <w:spacing w:val="-3"/>
        </w:rPr>
        <w:t>公司</w:t>
      </w:r>
      <w:r>
        <w:rPr>
          <w:rFonts w:ascii="宋体" w:hAnsi="宋体" w:cs="宋体" w:eastAsia="宋体" w:hint="default"/>
          <w:spacing w:val="-3"/>
        </w:rPr>
        <w:t>100%</w:t>
      </w:r>
      <w:r>
        <w:rPr>
          <w:spacing w:val="-3"/>
        </w:rPr>
        <w:t>股权的现金对价。</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30</w:t>
      </w:r>
      <w:r>
        <w:rPr>
          <w:spacing w:val="-3"/>
        </w:rPr>
        <w:t>日本公司收到募集资金</w:t>
      </w:r>
      <w:r>
        <w:rPr>
          <w:rFonts w:ascii="宋体" w:hAnsi="宋体" w:cs="宋体" w:eastAsia="宋体" w:hint="default"/>
          <w:spacing w:val="-3"/>
        </w:rPr>
        <w:t>136,999,942.50</w:t>
      </w:r>
      <w:r>
        <w:rPr>
          <w:spacing w:val="-3"/>
        </w:rPr>
        <w:t>元，并经立信会计师事务所（特殊普通合伙）</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465"/>
        <w:jc w:val="left"/>
      </w:pPr>
      <w:r>
        <w:rPr/>
        <w:t>审验，出具信会师报字</w:t>
      </w:r>
      <w:r>
        <w:rPr>
          <w:rFonts w:ascii="宋体" w:hAnsi="宋体" w:cs="宋体" w:eastAsia="宋体" w:hint="default"/>
        </w:rPr>
        <w:t>[2014]</w:t>
      </w:r>
      <w:r>
        <w:rPr/>
        <w:t>第</w:t>
      </w:r>
      <w:r>
        <w:rPr>
          <w:rFonts w:ascii="宋体" w:hAnsi="宋体" w:cs="宋体" w:eastAsia="宋体" w:hint="default"/>
        </w:rPr>
        <w:t>211415</w:t>
      </w:r>
      <w:r>
        <w:rPr/>
        <w:t>号验资报告。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465"/>
        <w:jc w:val="left"/>
      </w:pPr>
      <w:r>
        <w:rPr/>
        <w:t>股份变动的批准情况</w:t>
      </w:r>
    </w:p>
    <w:p>
      <w:pPr>
        <w:pStyle w:val="BodyText"/>
        <w:spacing w:line="240" w:lineRule="auto" w:before="115"/>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572" w:right="192" w:hanging="360"/>
        <w:jc w:val="both"/>
      </w:pPr>
      <w:r>
        <w:rPr>
          <w:rFonts w:ascii="宋体" w:hAnsi="宋体" w:cs="宋体" w:eastAsia="宋体" w:hint="default"/>
        </w:rPr>
        <w:t>1.</w:t>
      </w:r>
      <w:r>
        <w:rPr>
          <w:rFonts w:ascii="宋体" w:hAnsi="宋体" w:cs="宋体" w:eastAsia="宋体" w:hint="default"/>
          <w:spacing w:val="36"/>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日，公司第二届董事会第十次会议审议通过《关于公司发行股份及支付现金购买资产并募集配套资金方案 </w:t>
      </w:r>
      <w:r>
        <w:rPr>
          <w:spacing w:val="-1"/>
        </w:rPr>
        <w:t>的议案》。公司拟以</w:t>
      </w:r>
      <w:r>
        <w:rPr>
          <w:rFonts w:ascii="Times New Roman" w:hAnsi="Times New Roman" w:cs="Times New Roman" w:eastAsia="Times New Roman" w:hint="default"/>
          <w:spacing w:val="-1"/>
        </w:rPr>
        <w:t>4.2</w:t>
      </w:r>
      <w:r>
        <w:rPr>
          <w:spacing w:val="-1"/>
        </w:rPr>
        <w:t>亿元的交易对价，通过发行股份及支付现金的方式，购买无线网络测试及优化软件产品领先企</w:t>
      </w:r>
      <w:r>
        <w:rPr/>
        <w:t> 业北京惠捷朗科技有限公司股东李健等四人持有的</w:t>
      </w:r>
      <w:r>
        <w:rPr>
          <w:rFonts w:ascii="Times New Roman" w:hAnsi="Times New Roman" w:cs="Times New Roman" w:eastAsia="Times New Roman" w:hint="default"/>
        </w:rPr>
        <w:t>100%</w:t>
      </w:r>
      <w:r>
        <w:rPr/>
        <w:t>股权，并募集配套资金。</w:t>
      </w:r>
    </w:p>
    <w:p>
      <w:pPr>
        <w:pStyle w:val="BodyText"/>
        <w:spacing w:line="240" w:lineRule="auto" w:before="13"/>
        <w:ind w:left="212" w:right="465"/>
        <w:jc w:val="left"/>
      </w:pPr>
      <w:r>
        <w:rPr>
          <w:rFonts w:ascii="宋体" w:hAnsi="宋体" w:cs="宋体" w:eastAsia="宋体" w:hint="default"/>
        </w:rPr>
        <w:t>2.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日，公司</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年第二次临时股东大会批准了上述议案。</w:t>
      </w:r>
    </w:p>
    <w:p>
      <w:pPr>
        <w:pStyle w:val="BodyText"/>
        <w:spacing w:line="240" w:lineRule="auto" w:before="62"/>
        <w:ind w:left="213" w:right="465"/>
        <w:jc w:val="left"/>
      </w:pPr>
      <w:r>
        <w:rPr>
          <w:rFonts w:ascii="宋体" w:hAnsi="宋体" w:cs="宋体" w:eastAsia="宋体" w:hint="default"/>
        </w:rPr>
        <w:t>3.</w:t>
      </w:r>
      <w:r>
        <w:rPr>
          <w:rFonts w:ascii="宋体" w:hAnsi="宋体" w:cs="宋体" w:eastAsia="宋体" w:hint="default"/>
          <w:spacing w:val="8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日收到中国证券监督管理委员会出具的《中国证监会行政许可申请受理通知书》（</w:t>
      </w:r>
      <w:r>
        <w:rPr>
          <w:rFonts w:ascii="Times New Roman" w:hAnsi="Times New Roman" w:cs="Times New Roman" w:eastAsia="Times New Roman" w:hint="default"/>
        </w:rPr>
        <w:t>141126</w:t>
      </w:r>
      <w:r>
        <w:rPr/>
        <w:t>号）。</w:t>
      </w:r>
    </w:p>
    <w:p>
      <w:pPr>
        <w:pStyle w:val="BodyText"/>
        <w:spacing w:line="240" w:lineRule="auto" w:before="62"/>
        <w:ind w:left="213" w:right="94"/>
        <w:jc w:val="left"/>
        <w:rPr>
          <w:rFonts w:ascii="Times New Roman" w:hAnsi="Times New Roman" w:cs="Times New Roman" w:eastAsia="Times New Roman" w:hint="default"/>
        </w:rPr>
      </w:pPr>
      <w:r>
        <w:rPr>
          <w:rFonts w:ascii="宋体" w:hAnsi="宋体" w:cs="宋体" w:eastAsia="宋体" w:hint="default"/>
        </w:rPr>
        <w:t>4. </w:t>
      </w:r>
      <w:r>
        <w:rPr>
          <w:rFonts w:ascii="宋体" w:hAnsi="宋体" w:cs="宋体" w:eastAsia="宋体" w:hint="default"/>
          <w:spacing w:val="2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日收到中国证券监督管理委员会出具的《中国证监会行政许可项目审查一次反馈意见通知书》（</w:t>
      </w:r>
      <w:r>
        <w:rPr>
          <w:rFonts w:ascii="Times New Roman" w:hAnsi="Times New Roman" w:cs="Times New Roman" w:eastAsia="Times New Roman" w:hint="default"/>
        </w:rPr>
        <w:t>141126</w:t>
      </w:r>
    </w:p>
    <w:p>
      <w:pPr>
        <w:pStyle w:val="BodyText"/>
        <w:spacing w:line="240" w:lineRule="auto" w:before="62"/>
        <w:ind w:left="553" w:right="8851"/>
        <w:jc w:val="center"/>
      </w:pPr>
      <w:r>
        <w:rPr/>
        <w:t>号）。</w:t>
      </w:r>
    </w:p>
    <w:p>
      <w:pPr>
        <w:pStyle w:val="BodyText"/>
        <w:spacing w:line="300" w:lineRule="auto" w:before="76"/>
        <w:ind w:left="573" w:right="209" w:hanging="360"/>
        <w:jc w:val="left"/>
      </w:pPr>
      <w:r>
        <w:rPr>
          <w:rFonts w:ascii="宋体" w:hAnsi="宋体" w:cs="宋体" w:eastAsia="宋体" w:hint="default"/>
        </w:rPr>
        <w:t>5.</w:t>
      </w:r>
      <w:r>
        <w:rPr>
          <w:rFonts w:ascii="宋体" w:hAnsi="宋体" w:cs="宋体" w:eastAsia="宋体" w:hint="default"/>
          <w:spacing w:val="2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日收到中国证券监督管理委员会出具的《关于核准北京东方通科技股份有限公司向李健等发行股份购买</w:t>
      </w:r>
      <w:r>
        <w:rPr>
          <w:spacing w:val="-88"/>
        </w:rPr>
        <w:t> </w:t>
      </w:r>
      <w:r>
        <w:rPr>
          <w:spacing w:val="-88"/>
        </w:rPr>
      </w:r>
      <w:r>
        <w:rPr/>
        <w:t>资产并募集配套资金的批复》（证监许可</w:t>
      </w:r>
      <w:r>
        <w:rPr>
          <w:rFonts w:ascii="Times New Roman" w:hAnsi="Times New Roman" w:cs="Times New Roman" w:eastAsia="Times New Roman" w:hint="default"/>
        </w:rPr>
        <w:t>[2014]1354</w:t>
      </w:r>
      <w:r>
        <w:rPr/>
        <w:t>号）。</w:t>
      </w:r>
    </w:p>
    <w:p>
      <w:pPr>
        <w:pStyle w:val="BodyText"/>
        <w:spacing w:line="240" w:lineRule="auto" w:before="13"/>
        <w:ind w:left="213" w:right="465"/>
        <w:jc w:val="left"/>
      </w:pPr>
      <w:r>
        <w:rPr>
          <w:rFonts w:ascii="宋体" w:hAnsi="宋体" w:cs="宋体" w:eastAsia="宋体" w:hint="default"/>
        </w:rPr>
        <w:t>6.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日惠捷朗</w:t>
      </w:r>
      <w:r>
        <w:rPr>
          <w:rFonts w:ascii="Times New Roman" w:hAnsi="Times New Roman" w:cs="Times New Roman" w:eastAsia="Times New Roman" w:hint="default"/>
        </w:rPr>
        <w:t>100%</w:t>
      </w:r>
      <w:r>
        <w:rPr/>
        <w:t>股权过户至上市公司名下，本次交易资产交割完成。</w:t>
      </w:r>
    </w:p>
    <w:p>
      <w:pPr>
        <w:pStyle w:val="BodyText"/>
        <w:spacing w:line="300" w:lineRule="auto" w:before="62"/>
        <w:ind w:left="573" w:right="209" w:hanging="360"/>
        <w:jc w:val="left"/>
      </w:pPr>
      <w:r>
        <w:rPr>
          <w:rFonts w:ascii="宋体" w:hAnsi="宋体" w:cs="宋体" w:eastAsia="宋体" w:hint="default"/>
        </w:rPr>
        <w:t>7.</w:t>
      </w:r>
      <w:r>
        <w:rPr>
          <w:rFonts w:ascii="宋体" w:hAnsi="宋体" w:cs="宋体" w:eastAsia="宋体" w:hint="default"/>
          <w:spacing w:val="2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日，东方通在中国证券登记结算有限责任公司深圳分公司办理了股权登记手续，上市公司已办理完毕新</w:t>
      </w:r>
      <w:r>
        <w:rPr>
          <w:spacing w:val="-88"/>
        </w:rPr>
        <w:t> </w:t>
      </w:r>
      <w:r>
        <w:rPr>
          <w:spacing w:val="-88"/>
        </w:rPr>
      </w:r>
      <w:r>
        <w:rPr/>
        <w:t>增股份</w:t>
      </w:r>
      <w:r>
        <w:rPr>
          <w:rFonts w:ascii="Times New Roman" w:hAnsi="Times New Roman" w:cs="Times New Roman" w:eastAsia="Times New Roman" w:hint="default"/>
        </w:rPr>
        <w:t>448</w:t>
      </w:r>
      <w:r>
        <w:rPr/>
        <w:t>万股的登记手续。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日，上述股份完成上市手续。</w:t>
      </w:r>
    </w:p>
    <w:p>
      <w:pPr>
        <w:pStyle w:val="BodyText"/>
        <w:spacing w:line="300" w:lineRule="auto" w:before="13"/>
        <w:ind w:left="573" w:right="176" w:hanging="360"/>
        <w:jc w:val="left"/>
      </w:pPr>
      <w:r>
        <w:rPr>
          <w:rFonts w:ascii="宋体" w:hAnsi="宋体" w:cs="宋体" w:eastAsia="宋体" w:hint="default"/>
        </w:rPr>
        <w:t>8.</w:t>
      </w:r>
      <w:r>
        <w:rPr>
          <w:rFonts w:ascii="宋体" w:hAnsi="宋体" w:cs="宋体" w:eastAsia="宋体" w:hint="default"/>
          <w:spacing w:val="37"/>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日，东方通在中国证券登记结算有限责任公司深圳分公司就本次配套融资发行的</w:t>
      </w:r>
      <w:r>
        <w:rPr>
          <w:rFonts w:ascii="Times New Roman" w:hAnsi="Times New Roman" w:cs="Times New Roman" w:eastAsia="Times New Roman" w:hint="default"/>
        </w:rPr>
        <w:t>1,696,969</w:t>
      </w:r>
      <w:r>
        <w:rPr/>
        <w:t>股股份办理了股 权登记手续。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日，上述股份完成上市手续。</w:t>
      </w:r>
    </w:p>
    <w:p>
      <w:pPr>
        <w:pStyle w:val="BodyText"/>
        <w:spacing w:line="240" w:lineRule="auto" w:before="53"/>
        <w:ind w:left="153" w:right="465"/>
        <w:jc w:val="left"/>
      </w:pPr>
      <w:r>
        <w:rPr/>
        <w:t>股份变动的过户情况</w:t>
      </w:r>
    </w:p>
    <w:p>
      <w:pPr>
        <w:pStyle w:val="BodyText"/>
        <w:spacing w:line="240" w:lineRule="auto" w:before="115"/>
        <w:ind w:left="153"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573" w:right="177" w:hanging="360"/>
        <w:jc w:val="left"/>
      </w:pPr>
      <w:r>
        <w:rPr>
          <w:rFonts w:ascii="宋体" w:hAnsi="宋体" w:cs="宋体" w:eastAsia="宋体" w:hint="default"/>
        </w:rPr>
        <w:t>1.</w:t>
      </w:r>
      <w:r>
        <w:rPr>
          <w:rFonts w:ascii="宋体" w:hAnsi="宋体" w:cs="宋体" w:eastAsia="宋体" w:hint="default"/>
          <w:spacing w:val="36"/>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日，公司第二届董事会第十次会议审议通过《关于公司发行股份及支付现金购买资产并募集配套资金方案 的议案》。</w:t>
      </w:r>
    </w:p>
    <w:p>
      <w:pPr>
        <w:pStyle w:val="BodyText"/>
        <w:spacing w:line="240" w:lineRule="auto" w:before="31"/>
        <w:ind w:left="213" w:right="465"/>
        <w:jc w:val="left"/>
      </w:pPr>
      <w:r>
        <w:rPr>
          <w:rFonts w:ascii="宋体" w:hAnsi="宋体" w:cs="宋体" w:eastAsia="宋体" w:hint="default"/>
        </w:rPr>
        <w:t>2.</w:t>
      </w:r>
      <w:r>
        <w:rPr>
          <w:rFonts w:ascii="宋体" w:hAnsi="宋体" w:cs="宋体" w:eastAsia="宋体" w:hint="default"/>
          <w:spacing w:val="8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日，本议案经公司</w:t>
      </w:r>
      <w:r>
        <w:rPr>
          <w:rFonts w:ascii="Times New Roman" w:hAnsi="Times New Roman" w:cs="Times New Roman" w:eastAsia="Times New Roman" w:hint="default"/>
        </w:rPr>
        <w:t>2014</w:t>
      </w:r>
      <w:r>
        <w:rPr/>
        <w:t>年第二次临时股东大会审议通过。</w:t>
      </w:r>
    </w:p>
    <w:p>
      <w:pPr>
        <w:pStyle w:val="BodyText"/>
        <w:spacing w:line="240" w:lineRule="auto" w:before="62"/>
        <w:ind w:left="213" w:right="465"/>
        <w:jc w:val="left"/>
      </w:pPr>
      <w:r>
        <w:rPr>
          <w:rFonts w:ascii="宋体" w:hAnsi="宋体" w:cs="宋体" w:eastAsia="宋体" w:hint="default"/>
        </w:rPr>
        <w:t>3.</w:t>
      </w:r>
      <w:r>
        <w:rPr>
          <w:rFonts w:ascii="宋体" w:hAnsi="宋体" w:cs="宋体" w:eastAsia="宋体" w:hint="default"/>
          <w:spacing w:val="8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日收到中国证券监督管理委员会出具的《中国证监会行政许可申请受理通知书》（</w:t>
      </w:r>
      <w:r>
        <w:rPr>
          <w:rFonts w:ascii="Times New Roman" w:hAnsi="Times New Roman" w:cs="Times New Roman" w:eastAsia="Times New Roman" w:hint="default"/>
        </w:rPr>
        <w:t>141126</w:t>
      </w:r>
      <w:r>
        <w:rPr/>
        <w:t>号）。</w:t>
      </w:r>
    </w:p>
    <w:p>
      <w:pPr>
        <w:pStyle w:val="BodyText"/>
        <w:spacing w:line="240" w:lineRule="auto" w:before="62"/>
        <w:ind w:left="213" w:right="94"/>
        <w:jc w:val="left"/>
        <w:rPr>
          <w:rFonts w:ascii="Times New Roman" w:hAnsi="Times New Roman" w:cs="Times New Roman" w:eastAsia="Times New Roman" w:hint="default"/>
        </w:rPr>
      </w:pPr>
      <w:r>
        <w:rPr>
          <w:rFonts w:ascii="宋体" w:hAnsi="宋体" w:cs="宋体" w:eastAsia="宋体" w:hint="default"/>
        </w:rPr>
        <w:t>4. </w:t>
      </w:r>
      <w:r>
        <w:rPr>
          <w:rFonts w:ascii="宋体" w:hAnsi="宋体" w:cs="宋体" w:eastAsia="宋体" w:hint="default"/>
          <w:spacing w:val="2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日收到中国证券监督管理委员会出具的《中国证监会行政许可项目审查一次反馈意见通知书》（</w:t>
      </w:r>
      <w:r>
        <w:rPr>
          <w:rFonts w:ascii="Times New Roman" w:hAnsi="Times New Roman" w:cs="Times New Roman" w:eastAsia="Times New Roman" w:hint="default"/>
        </w:rPr>
        <w:t>141126</w:t>
      </w:r>
    </w:p>
    <w:p>
      <w:pPr>
        <w:pStyle w:val="BodyText"/>
        <w:spacing w:line="240" w:lineRule="auto" w:before="62"/>
        <w:ind w:left="554" w:right="8851"/>
        <w:jc w:val="center"/>
      </w:pPr>
      <w:r>
        <w:rPr/>
        <w:t>号）。</w:t>
      </w:r>
    </w:p>
    <w:p>
      <w:pPr>
        <w:pStyle w:val="BodyText"/>
        <w:spacing w:line="300" w:lineRule="auto" w:before="76"/>
        <w:ind w:left="573" w:right="209" w:hanging="360"/>
        <w:jc w:val="left"/>
      </w:pPr>
      <w:r>
        <w:rPr>
          <w:rFonts w:ascii="宋体" w:hAnsi="宋体" w:cs="宋体" w:eastAsia="宋体" w:hint="default"/>
        </w:rPr>
        <w:t>5.</w:t>
      </w:r>
      <w:r>
        <w:rPr>
          <w:rFonts w:ascii="宋体" w:hAnsi="宋体" w:cs="宋体" w:eastAsia="宋体" w:hint="default"/>
          <w:spacing w:val="2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日收到中国证券监督管理委员会出具的《关于核准北京东方通科技股份有限公司向李健等发行股份购买</w:t>
      </w:r>
      <w:r>
        <w:rPr>
          <w:spacing w:val="-88"/>
        </w:rPr>
        <w:t> </w:t>
      </w:r>
      <w:r>
        <w:rPr>
          <w:spacing w:val="-88"/>
        </w:rPr>
      </w:r>
      <w:r>
        <w:rPr/>
        <w:t>资产并募集配套资金的批复》（证监许可</w:t>
      </w:r>
      <w:r>
        <w:rPr>
          <w:rFonts w:ascii="Times New Roman" w:hAnsi="Times New Roman" w:cs="Times New Roman" w:eastAsia="Times New Roman" w:hint="default"/>
        </w:rPr>
        <w:t>[2014]1354</w:t>
      </w:r>
      <w:r>
        <w:rPr/>
        <w:t>号）。</w:t>
      </w:r>
    </w:p>
    <w:p>
      <w:pPr>
        <w:pStyle w:val="BodyText"/>
        <w:spacing w:line="240" w:lineRule="auto" w:before="13"/>
        <w:ind w:left="213" w:right="465"/>
        <w:jc w:val="left"/>
      </w:pPr>
      <w:r>
        <w:rPr>
          <w:rFonts w:ascii="宋体" w:hAnsi="宋体" w:cs="宋体" w:eastAsia="宋体" w:hint="default"/>
        </w:rPr>
        <w:t>6.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日惠捷朗</w:t>
      </w:r>
      <w:r>
        <w:rPr>
          <w:rFonts w:ascii="Times New Roman" w:hAnsi="Times New Roman" w:cs="Times New Roman" w:eastAsia="Times New Roman" w:hint="default"/>
        </w:rPr>
        <w:t>100%</w:t>
      </w:r>
      <w:r>
        <w:rPr/>
        <w:t>股权过户至上市公司名下，本次交易资产交割完成。</w:t>
      </w:r>
    </w:p>
    <w:p>
      <w:pPr>
        <w:pStyle w:val="BodyText"/>
        <w:spacing w:line="300" w:lineRule="auto" w:before="62"/>
        <w:ind w:left="573" w:right="209" w:hanging="360"/>
        <w:jc w:val="left"/>
      </w:pPr>
      <w:r>
        <w:rPr>
          <w:rFonts w:ascii="宋体" w:hAnsi="宋体" w:cs="宋体" w:eastAsia="宋体" w:hint="default"/>
        </w:rPr>
        <w:t>7.</w:t>
      </w:r>
      <w:r>
        <w:rPr>
          <w:rFonts w:ascii="宋体" w:hAnsi="宋体" w:cs="宋体" w:eastAsia="宋体" w:hint="default"/>
          <w:spacing w:val="2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日，东方通在中国证券登记结算有限责任公司深圳分公司办理了股权登记手续，上市公司已办理完毕新</w:t>
      </w:r>
      <w:r>
        <w:rPr>
          <w:spacing w:val="-88"/>
        </w:rPr>
        <w:t> </w:t>
      </w:r>
      <w:r>
        <w:rPr>
          <w:spacing w:val="-88"/>
        </w:rPr>
      </w:r>
      <w:r>
        <w:rPr/>
        <w:t>增股份</w:t>
      </w:r>
      <w:r>
        <w:rPr>
          <w:spacing w:val="-23"/>
        </w:rPr>
        <w:t> </w:t>
      </w:r>
      <w:r>
        <w:rPr>
          <w:rFonts w:ascii="Times New Roman" w:hAnsi="Times New Roman" w:cs="Times New Roman" w:eastAsia="Times New Roman" w:hint="default"/>
        </w:rPr>
        <w:t>448</w:t>
      </w:r>
      <w:r>
        <w:rPr/>
        <w:t>万股的登记手续。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日，上述股份完成上市手续。</w:t>
      </w:r>
    </w:p>
    <w:p>
      <w:pPr>
        <w:pStyle w:val="BodyText"/>
        <w:spacing w:line="300" w:lineRule="auto" w:before="13"/>
        <w:ind w:left="573" w:right="176" w:hanging="360"/>
        <w:jc w:val="left"/>
      </w:pPr>
      <w:r>
        <w:rPr>
          <w:rFonts w:ascii="宋体" w:hAnsi="宋体" w:cs="宋体" w:eastAsia="宋体" w:hint="default"/>
        </w:rPr>
        <w:t>8.</w:t>
      </w:r>
      <w:r>
        <w:rPr>
          <w:rFonts w:ascii="宋体" w:hAnsi="宋体" w:cs="宋体" w:eastAsia="宋体" w:hint="default"/>
          <w:spacing w:val="37"/>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日，东方通在中国证券登记结算有限责任公司深圳分公司就本次配套融资发行的</w:t>
      </w:r>
      <w:r>
        <w:rPr>
          <w:rFonts w:ascii="Times New Roman" w:hAnsi="Times New Roman" w:cs="Times New Roman" w:eastAsia="Times New Roman" w:hint="default"/>
        </w:rPr>
        <w:t>1,696,969</w:t>
      </w:r>
      <w:r>
        <w:rPr/>
        <w:t>股股份办理了股 权登记手续。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日，上述股份完成上市手续。</w:t>
      </w:r>
    </w:p>
    <w:p>
      <w:pPr>
        <w:pStyle w:val="BodyText"/>
        <w:spacing w:line="240" w:lineRule="auto" w:before="53"/>
        <w:ind w:left="153" w:right="209"/>
        <w:jc w:val="left"/>
      </w:pPr>
      <w:r>
        <w:rPr/>
        <w:t>股份变动对最近一年和最近一期基本每股收益和稀释每股收益、归属于公司普通股股东的每股净资产等财务指标的影响</w:t>
      </w:r>
    </w:p>
    <w:p>
      <w:pPr>
        <w:pStyle w:val="BodyText"/>
        <w:spacing w:line="319" w:lineRule="auto" w:before="115"/>
        <w:ind w:left="154" w:right="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1"/>
        </w:rPr>
        <w:t>1.</w:t>
      </w:r>
      <w:r>
        <w:rPr>
          <w:spacing w:val="-1"/>
        </w:rPr>
        <w:t>基本每股收益：按期初股本计算，本期基本每股收益</w:t>
      </w:r>
      <w:r>
        <w:rPr>
          <w:rFonts w:ascii="Times New Roman" w:hAnsi="Times New Roman" w:cs="Times New Roman" w:eastAsia="Times New Roman" w:hint="default"/>
          <w:spacing w:val="-1"/>
        </w:rPr>
        <w:t>1.2692</w:t>
      </w:r>
      <w:r>
        <w:rPr>
          <w:spacing w:val="-1"/>
        </w:rPr>
        <w:t>元；本期股本变动后基本每股收益</w:t>
      </w:r>
      <w:r>
        <w:rPr>
          <w:rFonts w:ascii="Times New Roman" w:hAnsi="Times New Roman" w:cs="Times New Roman" w:eastAsia="Times New Roman" w:hint="default"/>
          <w:spacing w:val="-1"/>
        </w:rPr>
        <w:t>1.0186</w:t>
      </w:r>
      <w:r>
        <w:rPr>
          <w:spacing w:val="-1"/>
        </w:rPr>
        <w:t>元；因本期股本增加，</w:t>
      </w:r>
      <w:r>
        <w:rPr>
          <w:spacing w:val="-76"/>
        </w:rPr>
        <w:t> </w:t>
      </w:r>
      <w:r>
        <w:rPr>
          <w:spacing w:val="-76"/>
        </w:rPr>
      </w:r>
      <w:r>
        <w:rPr/>
        <w:t>导致每股收益下降</w:t>
      </w:r>
      <w:r>
        <w:rPr>
          <w:rFonts w:ascii="Times New Roman" w:hAnsi="Times New Roman" w:cs="Times New Roman" w:eastAsia="Times New Roman" w:hint="default"/>
        </w:rPr>
        <w:t>19.74%</w:t>
      </w:r>
      <w:r>
        <w:rPr/>
        <w:t>。对稀释每股收益的影响与基本每股收益相同。</w:t>
      </w:r>
    </w:p>
    <w:p>
      <w:pPr>
        <w:pStyle w:val="BodyText"/>
        <w:spacing w:line="319" w:lineRule="auto"/>
        <w:ind w:left="154" w:right="103"/>
        <w:jc w:val="both"/>
      </w:pPr>
      <w:r>
        <w:rPr>
          <w:rFonts w:ascii="Times New Roman" w:hAnsi="Times New Roman" w:cs="Times New Roman" w:eastAsia="Times New Roman" w:hint="default"/>
        </w:rPr>
        <w:t>2.</w:t>
      </w:r>
      <w:r>
        <w:rPr/>
        <w:t>归属于公司普通股股东的每股净资产：按期初股本计算，期末归属于公司普通股股东的每股净资产</w:t>
      </w:r>
      <w:r>
        <w:rPr>
          <w:rFonts w:ascii="Times New Roman" w:hAnsi="Times New Roman" w:cs="Times New Roman" w:eastAsia="Times New Roman" w:hint="default"/>
        </w:rPr>
        <w:t>17.36</w:t>
      </w:r>
      <w:r>
        <w:rPr/>
        <w:t>元；股本增加后， </w:t>
      </w:r>
      <w:r>
        <w:rPr>
          <w:spacing w:val="-1"/>
        </w:rPr>
        <w:t>期末归属于公司普通股股东的每股净资产</w:t>
      </w:r>
      <w:r>
        <w:rPr>
          <w:rFonts w:ascii="Times New Roman" w:hAnsi="Times New Roman" w:cs="Times New Roman" w:eastAsia="Times New Roman" w:hint="default"/>
          <w:spacing w:val="-1"/>
        </w:rPr>
        <w:t>13.56</w:t>
      </w:r>
      <w:r>
        <w:rPr>
          <w:spacing w:val="-1"/>
        </w:rPr>
        <w:t>元；因本期股本增加，导致归属于公司普通股股东的每股净资产下降</w:t>
      </w:r>
      <w:r>
        <w:rPr>
          <w:rFonts w:ascii="Times New Roman" w:hAnsi="Times New Roman" w:cs="Times New Roman" w:eastAsia="Times New Roman" w:hint="default"/>
          <w:spacing w:val="-1"/>
        </w:rPr>
        <w:t>21.89%</w:t>
      </w:r>
      <w:r>
        <w:rPr>
          <w:spacing w:val="-1"/>
        </w:rPr>
        <w:t>。</w:t>
      </w:r>
      <w:r>
        <w:rPr>
          <w:spacing w:val="-88"/>
        </w:rPr>
        <w:t> </w:t>
      </w:r>
      <w:r>
        <w:rPr/>
        <w:t>公司认为必要或证券监管机构要求披露的其他内容</w:t>
      </w:r>
    </w:p>
    <w:p>
      <w:pPr>
        <w:pStyle w:val="BodyText"/>
        <w:spacing w:line="240" w:lineRule="auto" w:before="55"/>
        <w:ind w:left="154"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限售股份变动情况" w:id="77"/>
      <w:bookmarkEnd w:id="7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603,680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603,680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2016/1/12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796,858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2017/1/12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1,014,182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2018/1/12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王晋敏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493,920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2016/1/12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王晋敏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651,974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651,974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2017/1/12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王晋敏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829,786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2018/1/12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王熙春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2016/1/12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王熙春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2017/1/12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王熙春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2018/1/12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2016/1/12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2017/1/12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2018/1/12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4,480,000</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情况" w:id="79"/>
      <w:bookmarkEnd w:id="79"/>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首次公开发行股 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128,582,960,000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128,582,960,000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1,696,969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1,696,969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49"/>
        <w:ind w:right="0"/>
        <w:jc w:val="left"/>
      </w:pPr>
      <w:r>
        <w:rPr/>
        <w:t>证券发行情况的说明</w:t>
      </w:r>
    </w:p>
    <w:p>
      <w:pPr>
        <w:pStyle w:val="BodyText"/>
        <w:spacing w:line="240" w:lineRule="auto" w:before="117"/>
        <w:ind w:left="572" w:right="0"/>
        <w:jc w:val="left"/>
      </w:pP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8</w:t>
      </w:r>
      <w:r>
        <w:rPr/>
        <w:t>日中国证券监督管理委员会发布证监许可</w:t>
      </w:r>
      <w:r>
        <w:rPr>
          <w:rFonts w:ascii="宋体" w:hAnsi="宋体" w:cs="宋体" w:eastAsia="宋体" w:hint="default"/>
        </w:rPr>
        <w:t>[2014]66</w:t>
      </w:r>
      <w:r>
        <w:rPr/>
        <w:t>号文《关于核准北京东方通科技股份有限公司首次公开</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69"/>
        <w:jc w:val="both"/>
      </w:pPr>
      <w:r>
        <w:rPr/>
        <w:t>发行股票并在创业板上市的批复》的核准，同意公司公开发行人民币普通股不超过</w:t>
      </w:r>
      <w:r>
        <w:rPr>
          <w:rFonts w:ascii="宋体" w:hAnsi="宋体" w:cs="宋体" w:eastAsia="宋体" w:hint="default"/>
        </w:rPr>
        <w:t>1,500</w:t>
      </w:r>
      <w:r>
        <w:rPr/>
        <w:t>万股；公司股东可公开发售股份不</w:t>
      </w:r>
      <w:r>
        <w:rPr>
          <w:spacing w:val="-85"/>
        </w:rPr>
        <w:t> </w:t>
      </w:r>
      <w:r>
        <w:rPr>
          <w:spacing w:val="-85"/>
        </w:rPr>
      </w:r>
      <w:r>
        <w:rPr/>
        <w:t>超过</w:t>
      </w:r>
      <w:r>
        <w:rPr>
          <w:rFonts w:ascii="宋体" w:hAnsi="宋体" w:cs="宋体" w:eastAsia="宋体" w:hint="default"/>
        </w:rPr>
        <w:t>1,200</w:t>
      </w:r>
      <w:r>
        <w:rPr/>
        <w:t>万股，本次公开发行股票总量不超过</w:t>
      </w:r>
      <w:r>
        <w:rPr>
          <w:rFonts w:ascii="宋体" w:hAnsi="宋体" w:cs="宋体" w:eastAsia="宋体" w:hint="default"/>
        </w:rPr>
        <w:t>1,500</w:t>
      </w:r>
      <w:r>
        <w:rPr/>
        <w:t>万股。</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20</w:t>
      </w:r>
      <w:r>
        <w:rPr/>
        <w:t>日，公司发行新股</w:t>
      </w:r>
      <w:r>
        <w:rPr>
          <w:rFonts w:ascii="宋体" w:hAnsi="宋体" w:cs="宋体" w:eastAsia="宋体" w:hint="default"/>
        </w:rPr>
        <w:t>643.3181</w:t>
      </w:r>
      <w:r>
        <w:rPr/>
        <w:t>万股，公司原股东公开 </w:t>
      </w:r>
      <w:r>
        <w:rPr>
          <w:spacing w:val="-2"/>
        </w:rPr>
        <w:t>发售股份</w:t>
      </w:r>
      <w:r>
        <w:rPr>
          <w:rFonts w:ascii="宋体" w:hAnsi="宋体" w:cs="宋体" w:eastAsia="宋体" w:hint="default"/>
          <w:spacing w:val="-2"/>
        </w:rPr>
        <w:t>642.5115</w:t>
      </w:r>
      <w:r>
        <w:rPr>
          <w:spacing w:val="-2"/>
        </w:rPr>
        <w:t>万股，每股面值人民币</w:t>
      </w:r>
      <w:r>
        <w:rPr>
          <w:rFonts w:ascii="宋体" w:hAnsi="宋体" w:cs="宋体" w:eastAsia="宋体" w:hint="default"/>
          <w:spacing w:val="-2"/>
        </w:rPr>
        <w:t>1.00</w:t>
      </w:r>
      <w:r>
        <w:rPr>
          <w:spacing w:val="-2"/>
        </w:rPr>
        <w:t>元。本次股票发行后，公司的股份总数变更为</w:t>
      </w:r>
      <w:r>
        <w:rPr>
          <w:rFonts w:ascii="宋体" w:hAnsi="宋体" w:cs="宋体" w:eastAsia="宋体" w:hint="default"/>
          <w:spacing w:val="-2"/>
        </w:rPr>
        <w:t>51,433,181</w:t>
      </w:r>
      <w:r>
        <w:rPr>
          <w:spacing w:val="-2"/>
        </w:rPr>
        <w:t>股，股本总额为人民</w:t>
      </w:r>
      <w:r>
        <w:rPr>
          <w:spacing w:val="-51"/>
        </w:rPr>
        <w:t> </w:t>
      </w:r>
      <w:r>
        <w:rPr>
          <w:spacing w:val="-51"/>
        </w:rPr>
      </w:r>
      <w:r>
        <w:rPr/>
        <w:t>币</w:t>
      </w:r>
      <w:r>
        <w:rPr>
          <w:rFonts w:ascii="宋体" w:hAnsi="宋体" w:cs="宋体" w:eastAsia="宋体" w:hint="default"/>
        </w:rPr>
        <w:t>51,433,181.00</w:t>
      </w:r>
      <w:r>
        <w:rPr/>
        <w:t>元，其中发起人股本为人民币</w:t>
      </w:r>
      <w:r>
        <w:rPr>
          <w:rFonts w:ascii="宋体" w:hAnsi="宋体" w:cs="宋体" w:eastAsia="宋体" w:hint="default"/>
        </w:rPr>
        <w:t>38,574,885.00</w:t>
      </w:r>
      <w:r>
        <w:rPr/>
        <w:t>元，占变更后股本总额的</w:t>
      </w:r>
      <w:r>
        <w:rPr>
          <w:rFonts w:ascii="宋体" w:hAnsi="宋体" w:cs="宋体" w:eastAsia="宋体" w:hint="default"/>
        </w:rPr>
        <w:t>75.00%</w:t>
      </w:r>
      <w:r>
        <w:rPr/>
        <w:t>；社会公众股股本为人民币</w:t>
      </w:r>
      <w:r>
        <w:rPr>
          <w:spacing w:val="-16"/>
        </w:rPr>
        <w:t> </w:t>
      </w:r>
      <w:r>
        <w:rPr>
          <w:rFonts w:ascii="宋体" w:hAnsi="宋体" w:cs="宋体" w:eastAsia="宋体" w:hint="default"/>
        </w:rPr>
        <w:t>12,858,296.00</w:t>
      </w:r>
      <w:r>
        <w:rPr/>
        <w:t>元，占变更后股本总额的</w:t>
      </w:r>
      <w:r>
        <w:rPr>
          <w:rFonts w:ascii="宋体" w:hAnsi="宋体" w:cs="宋体" w:eastAsia="宋体" w:hint="default"/>
        </w:rPr>
        <w:t>25.00%</w:t>
      </w:r>
      <w:r>
        <w:rPr/>
        <w:t>。</w:t>
      </w:r>
    </w:p>
    <w:p>
      <w:pPr>
        <w:pStyle w:val="BodyText"/>
        <w:spacing w:line="316" w:lineRule="auto" w:before="18"/>
        <w:ind w:right="169" w:firstLine="420"/>
        <w:jc w:val="both"/>
      </w:pPr>
      <w:r>
        <w:rPr>
          <w:rFonts w:ascii="宋体" w:hAnsi="宋体" w:cs="宋体" w:eastAsia="宋体" w:hint="default"/>
        </w:rPr>
        <w:t>**2014 </w:t>
      </w:r>
      <w:r>
        <w:rPr/>
        <w:t>年 </w:t>
      </w:r>
      <w:r>
        <w:rPr>
          <w:rFonts w:ascii="宋体" w:hAnsi="宋体" w:cs="宋体" w:eastAsia="宋体" w:hint="default"/>
        </w:rPr>
        <w:t>8 </w:t>
      </w:r>
      <w:r>
        <w:rPr/>
        <w:t>月 </w:t>
      </w:r>
      <w:r>
        <w:rPr>
          <w:rFonts w:ascii="宋体" w:hAnsi="宋体" w:cs="宋体" w:eastAsia="宋体" w:hint="default"/>
        </w:rPr>
        <w:t>14</w:t>
      </w:r>
      <w:r>
        <w:rPr>
          <w:rFonts w:ascii="宋体" w:hAnsi="宋体" w:cs="宋体" w:eastAsia="宋体" w:hint="default"/>
          <w:spacing w:val="26"/>
        </w:rPr>
        <w:t> </w:t>
      </w:r>
      <w:r>
        <w:rPr/>
        <w:t>日，公司第二届董事会第十次会议审议通过了《关于公司发行股份及支付现金购买资产并募集配 套资金方案的议案》。公司拟以</w:t>
      </w:r>
      <w:r>
        <w:rPr>
          <w:rFonts w:ascii="宋体" w:hAnsi="宋体" w:cs="宋体" w:eastAsia="宋体" w:hint="default"/>
        </w:rPr>
        <w:t>4.2</w:t>
      </w:r>
      <w:r>
        <w:rPr/>
        <w:t>亿元的交易对价，通过发行股份及支付现金的方式，购买无线网络测试及优化软件产品</w:t>
      </w:r>
      <w:r>
        <w:rPr>
          <w:spacing w:val="-85"/>
        </w:rPr>
        <w:t> </w:t>
      </w:r>
      <w:r>
        <w:rPr>
          <w:spacing w:val="-85"/>
        </w:rPr>
      </w:r>
      <w:r>
        <w:rPr/>
        <w:t>领先企业北京惠捷朗科技有限公司股东李健等四人持有的</w:t>
      </w:r>
      <w:r>
        <w:rPr>
          <w:rFonts w:ascii="宋体" w:hAnsi="宋体" w:cs="宋体" w:eastAsia="宋体" w:hint="default"/>
        </w:rPr>
        <w:t>100%</w:t>
      </w:r>
      <w:r>
        <w:rPr/>
        <w:t>股权，并募集配套资金。其中，向原股东李健等以每股</w:t>
      </w:r>
      <w:r>
        <w:rPr>
          <w:rFonts w:ascii="宋体" w:hAnsi="宋体" w:cs="宋体" w:eastAsia="宋体" w:hint="default"/>
        </w:rPr>
        <w:t>63.63</w:t>
      </w:r>
      <w:r>
        <w:rPr>
          <w:rFonts w:ascii="宋体" w:hAnsi="宋体" w:cs="宋体" w:eastAsia="宋体" w:hint="default"/>
          <w:spacing w:val="-85"/>
        </w:rPr>
        <w:t> </w:t>
      </w:r>
      <w:r>
        <w:rPr>
          <w:rFonts w:ascii="宋体" w:hAnsi="宋体" w:cs="宋体" w:eastAsia="宋体" w:hint="default"/>
          <w:spacing w:val="-85"/>
        </w:rPr>
      </w:r>
      <w:r>
        <w:rPr>
          <w:spacing w:val="-3"/>
        </w:rPr>
        <w:t>元的价格发行股份</w:t>
      </w:r>
      <w:r>
        <w:rPr>
          <w:rFonts w:ascii="宋体" w:hAnsi="宋体" w:cs="宋体" w:eastAsia="宋体" w:hint="default"/>
          <w:spacing w:val="-3"/>
        </w:rPr>
        <w:t>448</w:t>
      </w:r>
      <w:r>
        <w:rPr>
          <w:spacing w:val="-3"/>
        </w:rPr>
        <w:t>万股，同时向不超过 </w:t>
      </w:r>
      <w:r>
        <w:rPr>
          <w:rFonts w:ascii="宋体" w:hAnsi="宋体" w:cs="宋体" w:eastAsia="宋体" w:hint="default"/>
        </w:rPr>
        <w:t>5 </w:t>
      </w:r>
      <w:r>
        <w:rPr/>
        <w:t>名其他特定投资者非公开发行股份募集配套资金不超过</w:t>
      </w:r>
      <w:r>
        <w:rPr>
          <w:spacing w:val="18"/>
        </w:rPr>
        <w:t> </w:t>
      </w:r>
      <w:r>
        <w:rPr>
          <w:rFonts w:ascii="宋体" w:hAnsi="宋体" w:cs="宋体" w:eastAsia="宋体" w:hint="default"/>
          <w:spacing w:val="-4"/>
        </w:rPr>
        <w:t>1.4</w:t>
      </w:r>
      <w:r>
        <w:rPr>
          <w:spacing w:val="-4"/>
        </w:rPr>
        <w:t>亿元，用于支付现</w:t>
      </w:r>
      <w:r>
        <w:rPr/>
        <w:t> 金对价</w:t>
      </w:r>
      <w:r>
        <w:rPr>
          <w:rFonts w:ascii="宋体" w:hAnsi="宋体" w:cs="宋体" w:eastAsia="宋体" w:hint="default"/>
        </w:rPr>
        <w:t>13,493.76 </w:t>
      </w:r>
      <w:r>
        <w:rPr/>
        <w:t>万元。</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w:t>
      </w:r>
      <w:r>
        <w:rPr/>
        <w:t>日，公司</w:t>
      </w:r>
      <w:r>
        <w:rPr>
          <w:rFonts w:ascii="宋体" w:hAnsi="宋体" w:cs="宋体" w:eastAsia="宋体" w:hint="default"/>
        </w:rPr>
        <w:t>2014</w:t>
      </w:r>
      <w:r>
        <w:rPr>
          <w:rFonts w:ascii="宋体" w:hAnsi="宋体" w:cs="宋体" w:eastAsia="宋体" w:hint="default"/>
          <w:spacing w:val="-1"/>
        </w:rPr>
        <w:t> </w:t>
      </w:r>
      <w:r>
        <w:rPr/>
        <w:t>年第二次临时股东大会批准了上述议案。</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15</w:t>
      </w:r>
      <w:r>
        <w:rPr/>
        <w:t>日，中国证券监 督管理委员会以《关于核准北京东方通科技股份有限公司向李健等发行股份购买资产并募集配套资金的批复》（证监许可</w:t>
      </w:r>
      <w:r>
        <w:rPr>
          <w:spacing w:val="-11"/>
        </w:rPr>
        <w:t> </w:t>
      </w:r>
      <w:r>
        <w:rPr>
          <w:spacing w:val="-11"/>
        </w:rPr>
      </w:r>
      <w:r>
        <w:rPr>
          <w:rFonts w:ascii="宋体" w:hAnsi="宋体" w:cs="宋体" w:eastAsia="宋体" w:hint="default"/>
        </w:rPr>
        <w:t>[2014]1354</w:t>
      </w:r>
      <w:r>
        <w:rPr/>
        <w:t>号）核准本公司向李健等发行</w:t>
      </w:r>
      <w:r>
        <w:rPr>
          <w:rFonts w:ascii="宋体" w:hAnsi="宋体" w:cs="宋体" w:eastAsia="宋体" w:hint="default"/>
        </w:rPr>
        <w:t>4,480,000</w:t>
      </w:r>
      <w:r>
        <w:rPr/>
        <w:t>股股票以购买北京惠捷朗科技有限公司</w:t>
      </w:r>
      <w:r>
        <w:rPr>
          <w:rFonts w:ascii="宋体" w:hAnsi="宋体" w:cs="宋体" w:eastAsia="宋体" w:hint="default"/>
        </w:rPr>
        <w:t>100%</w:t>
      </w:r>
      <w:r>
        <w:rPr/>
        <w:t>股权，并非公开发行股票募 </w:t>
      </w:r>
      <w:r>
        <w:rPr>
          <w:spacing w:val="-2"/>
        </w:rPr>
        <w:t>集配套资金不超过</w:t>
      </w:r>
      <w:r>
        <w:rPr>
          <w:rFonts w:ascii="宋体" w:hAnsi="宋体" w:cs="宋体" w:eastAsia="宋体" w:hint="default"/>
          <w:spacing w:val="-2"/>
        </w:rPr>
        <w:t>14,000</w:t>
      </w:r>
      <w:r>
        <w:rPr>
          <w:spacing w:val="-2"/>
        </w:rPr>
        <w:t>万元。同日，惠捷朗完成工商变更登记，成为公司全资子公司。</w:t>
      </w:r>
      <w:r>
        <w:rPr>
          <w:rFonts w:ascii="宋体" w:hAnsi="宋体" w:cs="宋体" w:eastAsia="宋体" w:hint="default"/>
          <w:spacing w:val="-2"/>
        </w:rPr>
        <w:t>12</w:t>
      </w:r>
      <w:r>
        <w:rPr>
          <w:spacing w:val="-2"/>
        </w:rPr>
        <w:t>月</w:t>
      </w:r>
      <w:r>
        <w:rPr>
          <w:rFonts w:ascii="宋体" w:hAnsi="宋体" w:cs="宋体" w:eastAsia="宋体" w:hint="default"/>
          <w:spacing w:val="-2"/>
        </w:rPr>
        <w:t>23</w:t>
      </w:r>
      <w:r>
        <w:rPr>
          <w:spacing w:val="-2"/>
        </w:rPr>
        <w:t>日作为募集配套资金的发行</w:t>
      </w:r>
      <w:r>
        <w:rPr>
          <w:spacing w:val="-60"/>
        </w:rPr>
        <w:t> </w:t>
      </w:r>
      <w:r>
        <w:rPr>
          <w:spacing w:val="-60"/>
        </w:rPr>
      </w:r>
      <w:r>
        <w:rPr>
          <w:spacing w:val="-2"/>
        </w:rPr>
        <w:t>期首日，经申购报价确定东海基金管理有限责任公司、华宝信托有限责任公司、天安财产保险股份有限公司等三家投资者共</w:t>
      </w:r>
      <w:r>
        <w:rPr>
          <w:spacing w:val="-63"/>
        </w:rPr>
        <w:t> </w:t>
      </w:r>
      <w:r>
        <w:rPr>
          <w:spacing w:val="-63"/>
        </w:rPr>
      </w:r>
      <w:r>
        <w:rPr>
          <w:spacing w:val="-2"/>
        </w:rPr>
        <w:t>计获配</w:t>
      </w:r>
      <w:r>
        <w:rPr>
          <w:rFonts w:ascii="宋体" w:hAnsi="宋体" w:cs="宋体" w:eastAsia="宋体" w:hint="default"/>
          <w:spacing w:val="-2"/>
        </w:rPr>
        <w:t>1,696,969</w:t>
      </w:r>
      <w:r>
        <w:rPr>
          <w:spacing w:val="-2"/>
        </w:rPr>
        <w:t>股，认购资金共计</w:t>
      </w:r>
      <w:r>
        <w:rPr>
          <w:rFonts w:ascii="宋体" w:hAnsi="宋体" w:cs="宋体" w:eastAsia="宋体" w:hint="default"/>
          <w:spacing w:val="-2"/>
        </w:rPr>
        <w:t>139,999,942.50</w:t>
      </w:r>
      <w:r>
        <w:rPr>
          <w:spacing w:val="-2"/>
        </w:rPr>
        <w:t>元，发行价为每股</w:t>
      </w:r>
      <w:r>
        <w:rPr>
          <w:rFonts w:ascii="宋体" w:hAnsi="宋体" w:cs="宋体" w:eastAsia="宋体" w:hint="default"/>
          <w:spacing w:val="-2"/>
        </w:rPr>
        <w:t>82.50</w:t>
      </w:r>
      <w:r>
        <w:rPr>
          <w:spacing w:val="-2"/>
        </w:rPr>
        <w:t>元。</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日，东方通在中国证券登记结</w:t>
      </w:r>
      <w:r>
        <w:rPr>
          <w:spacing w:val="-44"/>
        </w:rPr>
        <w:t> </w:t>
      </w:r>
      <w:r>
        <w:rPr>
          <w:spacing w:val="-44"/>
        </w:rPr>
      </w:r>
      <w:r>
        <w:rPr>
          <w:spacing w:val="-2"/>
        </w:rPr>
        <w:t>算有限责任公司深圳分公司办理了股权登记手续，上市公司已办理完毕新增股份</w:t>
      </w:r>
      <w:r>
        <w:rPr>
          <w:rFonts w:ascii="宋体" w:hAnsi="宋体" w:cs="宋体" w:eastAsia="宋体" w:hint="default"/>
          <w:spacing w:val="-2"/>
        </w:rPr>
        <w:t>448</w:t>
      </w:r>
      <w:r>
        <w:rPr>
          <w:spacing w:val="-2"/>
        </w:rPr>
        <w:t>万股的登记手续。</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12</w:t>
      </w:r>
      <w:r>
        <w:rPr>
          <w:spacing w:val="-2"/>
        </w:rPr>
        <w:t>日，上述</w:t>
      </w:r>
      <w:r>
        <w:rPr>
          <w:spacing w:val="-58"/>
        </w:rPr>
        <w:t> </w:t>
      </w:r>
      <w:r>
        <w:rPr>
          <w:spacing w:val="-58"/>
        </w:rPr>
      </w:r>
      <w:r>
        <w:rPr>
          <w:spacing w:val="-2"/>
        </w:rPr>
        <w:t>股份完成上市手续。</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19</w:t>
      </w:r>
      <w:r>
        <w:rPr>
          <w:spacing w:val="-2"/>
        </w:rPr>
        <w:t>日，东方通在中国证券登记结算有限责任公司深圳分公司就本次配套融资发行的</w:t>
      </w:r>
      <w:r>
        <w:rPr>
          <w:rFonts w:ascii="宋体" w:hAnsi="宋体" w:cs="宋体" w:eastAsia="宋体" w:hint="default"/>
          <w:spacing w:val="-2"/>
        </w:rPr>
        <w:t>1,696,969</w:t>
      </w:r>
      <w:r>
        <w:rPr>
          <w:rFonts w:ascii="宋体" w:hAnsi="宋体" w:cs="宋体" w:eastAsia="宋体" w:hint="default"/>
          <w:spacing w:val="-53"/>
        </w:rPr>
        <w:t> </w:t>
      </w:r>
      <w:r>
        <w:rPr>
          <w:rFonts w:ascii="宋体" w:hAnsi="宋体" w:cs="宋体" w:eastAsia="宋体" w:hint="default"/>
          <w:spacing w:val="-53"/>
        </w:rPr>
      </w:r>
      <w:r>
        <w:rPr/>
        <w:t>股股份办理了股权登记手续。</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28</w:t>
      </w:r>
      <w:r>
        <w:rPr/>
        <w:t>日，上述股份完成上市手续。</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2、公司股份总数及股东结构的变动、公司资产和负债结构的变动情况说明" w:id="80"/>
      <w:bookmarkEnd w:id="8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1"/>
        <w:ind w:right="170" w:firstLine="420"/>
        <w:jc w:val="both"/>
      </w:pP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14</w:t>
      </w:r>
      <w:r>
        <w:rPr/>
        <w:t>日，本公司与李健、王晋敏、王熙春、李飚签署《发行股份及支付现金购买资产协议》，本公司拟收购 </w:t>
      </w:r>
      <w:r>
        <w:rPr>
          <w:spacing w:val="-2"/>
        </w:rPr>
        <w:t>北京惠捷朗科技有限公司</w:t>
      </w:r>
      <w:r>
        <w:rPr>
          <w:rFonts w:ascii="宋体" w:hAnsi="宋体" w:cs="宋体" w:eastAsia="宋体" w:hint="default"/>
          <w:spacing w:val="-2"/>
        </w:rPr>
        <w:t>100%</w:t>
      </w:r>
      <w:r>
        <w:rPr>
          <w:spacing w:val="-2"/>
        </w:rPr>
        <w:t>股权。</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15</w:t>
      </w:r>
      <w:r>
        <w:rPr>
          <w:spacing w:val="-2"/>
        </w:rPr>
        <w:t>日，中国证券监督管理委员会以《关于核准北京东方通科技股份有限公司</w:t>
      </w:r>
      <w:r>
        <w:rPr>
          <w:spacing w:val="-60"/>
        </w:rPr>
        <w:t> </w:t>
      </w:r>
      <w:r>
        <w:rPr>
          <w:spacing w:val="-60"/>
        </w:rPr>
      </w:r>
      <w:r>
        <w:rPr/>
        <w:t>向李健等发行股份购买资产并募集配套资金的批复》（证监许可</w:t>
      </w:r>
      <w:r>
        <w:rPr>
          <w:rFonts w:ascii="宋体" w:hAnsi="宋体" w:cs="宋体" w:eastAsia="宋体" w:hint="default"/>
        </w:rPr>
        <w:t>[2014]1354</w:t>
      </w:r>
      <w:r>
        <w:rPr/>
        <w:t>号）核准本公司向李健等发行</w:t>
      </w:r>
      <w:r>
        <w:rPr>
          <w:rFonts w:ascii="宋体" w:hAnsi="宋体" w:cs="宋体" w:eastAsia="宋体" w:hint="default"/>
        </w:rPr>
        <w:t>4,480,000</w:t>
      </w:r>
      <w:r>
        <w:rPr/>
        <w:t>股股票</w:t>
      </w:r>
      <w:r>
        <w:rPr>
          <w:spacing w:val="-3"/>
        </w:rPr>
        <w:t> </w:t>
      </w:r>
      <w:r>
        <w:rPr>
          <w:spacing w:val="-2"/>
        </w:rPr>
        <w:t>以购买北京惠捷朗科技有限公司</w:t>
      </w:r>
      <w:r>
        <w:rPr>
          <w:rFonts w:ascii="宋体" w:hAnsi="宋体" w:cs="宋体" w:eastAsia="宋体" w:hint="default"/>
          <w:spacing w:val="-2"/>
        </w:rPr>
        <w:t>100%</w:t>
      </w:r>
      <w:r>
        <w:rPr>
          <w:spacing w:val="-2"/>
        </w:rPr>
        <w:t>股权，并非公开发行股票募集配套资金不超过</w:t>
      </w:r>
      <w:r>
        <w:rPr>
          <w:rFonts w:ascii="宋体" w:hAnsi="宋体" w:cs="宋体" w:eastAsia="宋体" w:hint="default"/>
          <w:spacing w:val="-2"/>
        </w:rPr>
        <w:t>14,000</w:t>
      </w:r>
      <w:r>
        <w:rPr>
          <w:spacing w:val="-2"/>
        </w:rPr>
        <w:t>万元。同日，北京惠捷朗科技有限</w:t>
      </w:r>
      <w:r>
        <w:rPr>
          <w:spacing w:val="-61"/>
        </w:rPr>
        <w:t> </w:t>
      </w:r>
      <w:r>
        <w:rPr>
          <w:spacing w:val="-61"/>
        </w:rPr>
      </w:r>
      <w:r>
        <w:rPr>
          <w:spacing w:val="-2"/>
        </w:rPr>
        <w:t>公司办理工商变更登记手续，变更为本公司独资的有限责任公司，本次交易资产交割完成。</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日，东方通在中国</w:t>
      </w:r>
      <w:r>
        <w:rPr>
          <w:spacing w:val="-59"/>
        </w:rPr>
        <w:t> </w:t>
      </w:r>
      <w:r>
        <w:rPr>
          <w:spacing w:val="-59"/>
        </w:rPr>
      </w:r>
      <w:r>
        <w:rPr/>
        <w:t>证券登记结算有限责任公司深圳分公司办理了股权登记手续，上市公司已办理完毕新增股份</w:t>
      </w:r>
      <w:r>
        <w:rPr>
          <w:rFonts w:ascii="宋体" w:hAnsi="宋体" w:cs="宋体" w:eastAsia="宋体" w:hint="default"/>
        </w:rPr>
        <w:t>448</w:t>
      </w:r>
      <w:r>
        <w:rPr/>
        <w:t>万股的登记手续。</w:t>
      </w:r>
      <w:r>
        <w:rPr>
          <w:rFonts w:ascii="宋体" w:hAnsi="宋体" w:cs="宋体" w:eastAsia="宋体" w:hint="default"/>
        </w:rPr>
        <w:t>2015</w:t>
      </w:r>
      <w:r>
        <w:rPr/>
        <w:t>年</w:t>
      </w:r>
      <w:r>
        <w:rPr>
          <w:rFonts w:ascii="宋体" w:hAnsi="宋体" w:cs="宋体" w:eastAsia="宋体" w:hint="default"/>
        </w:rPr>
        <w:t>1</w:t>
      </w:r>
      <w:r>
        <w:rPr>
          <w:rFonts w:ascii="宋体" w:hAnsi="宋体" w:cs="宋体" w:eastAsia="宋体" w:hint="default"/>
          <w:spacing w:val="-13"/>
        </w:rPr>
        <w:t> </w:t>
      </w:r>
      <w:r>
        <w:rPr/>
        <w:t>月</w:t>
      </w:r>
      <w:r>
        <w:rPr>
          <w:rFonts w:ascii="宋体" w:hAnsi="宋体" w:cs="宋体" w:eastAsia="宋体" w:hint="default"/>
        </w:rPr>
        <w:t>12</w:t>
      </w:r>
      <w:r>
        <w:rPr/>
        <w:t>日，上述股份完成上市手续。</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19</w:t>
      </w:r>
      <w:r>
        <w:rPr/>
        <w:t>日，东方通在中国证券登记结算有限责任公司深圳分公司就本次配套融资发</w:t>
      </w:r>
      <w:r>
        <w:rPr>
          <w:spacing w:val="-87"/>
        </w:rPr>
        <w:t> </w:t>
      </w:r>
      <w:r>
        <w:rPr>
          <w:spacing w:val="-87"/>
        </w:rPr>
      </w:r>
      <w:r>
        <w:rPr/>
        <w:t>行的</w:t>
      </w:r>
      <w:r>
        <w:rPr>
          <w:rFonts w:ascii="宋体" w:hAnsi="宋体" w:cs="宋体" w:eastAsia="宋体" w:hint="default"/>
        </w:rPr>
        <w:t>1,696,969</w:t>
      </w:r>
      <w:r>
        <w:rPr/>
        <w:t>股股份办理了股权登记手续。</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28</w:t>
      </w:r>
      <w:r>
        <w:rPr/>
        <w:t>日，上述股份完成上市手续。</w:t>
      </w:r>
    </w:p>
    <w:p>
      <w:pPr>
        <w:pStyle w:val="BodyText"/>
        <w:spacing w:line="316" w:lineRule="auto" w:before="18"/>
        <w:ind w:left="572" w:right="160"/>
        <w:jc w:val="left"/>
      </w:pPr>
      <w:r>
        <w:rPr/>
        <w:t>截止报告期末，公司已登记股份数为</w:t>
      </w:r>
      <w:r>
        <w:rPr>
          <w:rFonts w:ascii="宋体" w:hAnsi="宋体" w:cs="宋体" w:eastAsia="宋体" w:hint="default"/>
        </w:rPr>
        <w:t>55,913,181</w:t>
      </w:r>
      <w:r>
        <w:rPr/>
        <w:t>股，与现有股份数差额</w:t>
      </w:r>
      <w:r>
        <w:rPr>
          <w:rFonts w:ascii="宋体" w:hAnsi="宋体" w:cs="宋体" w:eastAsia="宋体" w:hint="default"/>
        </w:rPr>
        <w:t>1,696,969</w:t>
      </w:r>
      <w:r>
        <w:rPr/>
        <w:t>股。 </w:t>
      </w:r>
      <w:r>
        <w:rPr>
          <w:spacing w:val="-1"/>
        </w:rPr>
        <w:t>公司于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日向东海基金管理有限责任公司、华宝信托有限责任公司、天安财产保险股份有限公司等</w:t>
      </w:r>
      <w:r>
        <w:rPr>
          <w:rFonts w:ascii="宋体" w:hAnsi="宋体" w:cs="宋体" w:eastAsia="宋体" w:hint="default"/>
          <w:spacing w:val="-1"/>
        </w:rPr>
        <w:t>3</w:t>
      </w:r>
      <w:r>
        <w:rPr>
          <w:spacing w:val="-1"/>
        </w:rPr>
        <w:t>名特定</w:t>
      </w:r>
    </w:p>
    <w:p>
      <w:pPr>
        <w:pStyle w:val="BodyText"/>
        <w:spacing w:line="316" w:lineRule="auto" w:before="18"/>
        <w:ind w:right="172" w:hanging="1"/>
        <w:jc w:val="both"/>
      </w:pPr>
      <w:r>
        <w:rPr/>
        <w:t>投资者非公开发行的股票</w:t>
      </w:r>
      <w:r>
        <w:rPr>
          <w:rFonts w:ascii="宋体" w:hAnsi="宋体" w:cs="宋体" w:eastAsia="宋体" w:hint="default"/>
        </w:rPr>
        <w:t>1,696,969</w:t>
      </w:r>
      <w:r>
        <w:rPr/>
        <w:t>股，发行价格</w:t>
      </w:r>
      <w:r>
        <w:rPr>
          <w:rFonts w:ascii="宋体" w:hAnsi="宋体" w:cs="宋体" w:eastAsia="宋体" w:hint="default"/>
        </w:rPr>
        <w:t>82.50</w:t>
      </w:r>
      <w:r>
        <w:rPr/>
        <w:t>元</w:t>
      </w:r>
      <w:r>
        <w:rPr>
          <w:rFonts w:ascii="宋体" w:hAnsi="宋体" w:cs="宋体" w:eastAsia="宋体" w:hint="default"/>
        </w:rPr>
        <w:t>/</w:t>
      </w:r>
      <w:r>
        <w:rPr/>
        <w:t>股，募集资金</w:t>
      </w:r>
      <w:r>
        <w:rPr>
          <w:rFonts w:ascii="宋体" w:hAnsi="宋体" w:cs="宋体" w:eastAsia="宋体" w:hint="default"/>
        </w:rPr>
        <w:t>139,999,942.50</w:t>
      </w:r>
      <w:r>
        <w:rPr/>
        <w:t>元，用于支付北京惠捷朗科技有限 </w:t>
      </w:r>
      <w:r>
        <w:rPr>
          <w:spacing w:val="2"/>
        </w:rPr>
        <w:t>公司</w:t>
      </w:r>
      <w:r>
        <w:rPr>
          <w:rFonts w:ascii="宋体" w:hAnsi="宋体" w:cs="宋体" w:eastAsia="宋体" w:hint="default"/>
          <w:spacing w:val="2"/>
        </w:rPr>
        <w:t>100%</w:t>
      </w:r>
      <w:r>
        <w:rPr>
          <w:spacing w:val="2"/>
        </w:rPr>
        <w:t>股权的现金对价。</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19</w:t>
      </w:r>
      <w:r>
        <w:rPr>
          <w:spacing w:val="2"/>
        </w:rPr>
        <w:t>日，东方通在中国证券登记结算有限责任公司深圳分公司就本次配套融资发行的</w:t>
      </w:r>
      <w:r>
        <w:rPr>
          <w:spacing w:val="-57"/>
        </w:rPr>
        <w:t> </w:t>
      </w:r>
      <w:r>
        <w:rPr>
          <w:spacing w:val="-57"/>
        </w:rPr>
      </w:r>
      <w:r>
        <w:rPr>
          <w:rFonts w:ascii="宋体" w:hAnsi="宋体" w:cs="宋体" w:eastAsia="宋体" w:hint="default"/>
        </w:rPr>
        <w:t>1,696,969</w:t>
      </w:r>
      <w:r>
        <w:rPr/>
        <w:t>股股份办理了股权登记手续。</w:t>
      </w:r>
    </w:p>
    <w:p>
      <w:pPr>
        <w:pStyle w:val="BodyText"/>
        <w:spacing w:line="316" w:lineRule="auto" w:before="18"/>
        <w:ind w:right="173" w:firstLine="420"/>
        <w:jc w:val="both"/>
      </w:pPr>
      <w:r>
        <w:rPr>
          <w:rFonts w:ascii="宋体" w:hAnsi="宋体" w:cs="宋体" w:eastAsia="宋体" w:hint="default"/>
          <w:spacing w:val="-1"/>
        </w:rPr>
        <w:t>**</w:t>
      </w:r>
      <w:r>
        <w:rPr>
          <w:spacing w:val="-1"/>
        </w:rPr>
        <w:t>报告期内，公司</w:t>
      </w:r>
      <w:r>
        <w:rPr>
          <w:rFonts w:ascii="宋体" w:hAnsi="宋体" w:cs="宋体" w:eastAsia="宋体" w:hint="default"/>
          <w:spacing w:val="-1"/>
        </w:rPr>
        <w:t>IPO</w:t>
      </w:r>
      <w:r>
        <w:rPr>
          <w:spacing w:val="-1"/>
        </w:rPr>
        <w:t>以及发行股票购买资产导致归属于上市公司普通股股东的所有者权益大幅增加，归属于上市公司</w:t>
      </w:r>
      <w:r>
        <w:rPr/>
        <w:t> 普通股股东的所有者权益由期初的</w:t>
      </w:r>
      <w:r>
        <w:rPr>
          <w:rFonts w:ascii="宋体" w:hAnsi="宋体" w:cs="宋体" w:eastAsia="宋体" w:hint="default"/>
        </w:rPr>
        <w:t>20,198.93</w:t>
      </w:r>
      <w:r>
        <w:rPr/>
        <w:t>万元增加至期末的</w:t>
      </w:r>
      <w:r>
        <w:rPr>
          <w:rFonts w:ascii="宋体" w:hAnsi="宋体" w:cs="宋体" w:eastAsia="宋体" w:hint="default"/>
        </w:rPr>
        <w:t>78,129.89</w:t>
      </w:r>
      <w:r>
        <w:rPr/>
        <w:t>万元，同比增长</w:t>
      </w:r>
      <w:r>
        <w:rPr>
          <w:rFonts w:ascii="宋体" w:hAnsi="宋体" w:cs="宋体" w:eastAsia="宋体" w:hint="default"/>
        </w:rPr>
        <w:t>286.80%</w:t>
      </w:r>
      <w:r>
        <w:rPr/>
        <w:t>。</w:t>
      </w:r>
    </w:p>
    <w:p>
      <w:pPr>
        <w:spacing w:line="240" w:lineRule="auto" w:before="4"/>
        <w:rPr>
          <w:rFonts w:ascii="宋体" w:hAnsi="宋体" w:cs="宋体" w:eastAsia="宋体" w:hint="default"/>
          <w:sz w:val="25"/>
          <w:szCs w:val="25"/>
        </w:rPr>
      </w:pPr>
    </w:p>
    <w:p>
      <w:pPr>
        <w:pStyle w:val="BodyText"/>
        <w:spacing w:line="316" w:lineRule="auto"/>
        <w:ind w:right="175" w:firstLine="419"/>
        <w:jc w:val="both"/>
      </w:pPr>
      <w:r>
        <w:rPr>
          <w:rFonts w:ascii="宋体" w:hAnsi="宋体" w:cs="宋体" w:eastAsia="宋体" w:hint="default"/>
        </w:rPr>
        <w:t>***</w:t>
      </w:r>
      <w:r>
        <w:rPr/>
        <w:t>报告期内，因公司</w:t>
      </w:r>
      <w:r>
        <w:rPr>
          <w:rFonts w:ascii="宋体" w:hAnsi="宋体" w:cs="宋体" w:eastAsia="宋体" w:hint="default"/>
        </w:rPr>
        <w:t>IPO</w:t>
      </w:r>
      <w:r>
        <w:rPr/>
        <w:t>募集资金到账，以及本期经营性现金流较好，大幅减少了银行贷款，银行贷款规模由期初的 </w:t>
      </w:r>
      <w:r>
        <w:rPr>
          <w:rFonts w:ascii="宋体" w:hAnsi="宋体" w:cs="宋体" w:eastAsia="宋体" w:hint="default"/>
        </w:rPr>
        <w:t>6,500</w:t>
      </w:r>
      <w:r>
        <w:rPr/>
        <w:t>万元，降至期末的</w:t>
      </w:r>
      <w:r>
        <w:rPr>
          <w:rFonts w:ascii="宋体" w:hAnsi="宋体" w:cs="宋体" w:eastAsia="宋体" w:hint="default"/>
        </w:rPr>
        <w:t>2,000</w:t>
      </w:r>
      <w:r>
        <w:rPr/>
        <w:t>万元。公司资产负债率由期初</w:t>
      </w:r>
      <w:r>
        <w:rPr>
          <w:rFonts w:ascii="宋体" w:hAnsi="宋体" w:cs="宋体" w:eastAsia="宋体" w:hint="default"/>
        </w:rPr>
        <w:t>31.78%</w:t>
      </w:r>
      <w:r>
        <w:rPr/>
        <w:t>降至期末</w:t>
      </w:r>
      <w:r>
        <w:rPr>
          <w:rFonts w:ascii="宋体" w:hAnsi="宋体" w:cs="宋体" w:eastAsia="宋体" w:hint="default"/>
        </w:rPr>
        <w:t>19.52%</w:t>
      </w:r>
      <w:r>
        <w:rPr/>
        <w:t>。</w:t>
      </w:r>
    </w:p>
    <w:p>
      <w:pPr>
        <w:spacing w:line="240" w:lineRule="auto" w:before="4"/>
        <w:rPr>
          <w:rFonts w:ascii="宋体" w:hAnsi="宋体" w:cs="宋体" w:eastAsia="宋体" w:hint="default"/>
          <w:sz w:val="25"/>
          <w:szCs w:val="25"/>
        </w:rPr>
      </w:pPr>
    </w:p>
    <w:p>
      <w:pPr>
        <w:pStyle w:val="BodyText"/>
        <w:spacing w:line="316" w:lineRule="auto"/>
        <w:ind w:left="153" w:right="117" w:firstLine="419"/>
        <w:jc w:val="both"/>
      </w:pPr>
      <w:r>
        <w:rPr>
          <w:rFonts w:ascii="宋体" w:hAnsi="宋体" w:cs="宋体" w:eastAsia="宋体" w:hint="default"/>
        </w:rPr>
        <w:t>****</w:t>
      </w:r>
      <w:r>
        <w:rPr/>
        <w:t>报告期内，公司发行股票购买资产，在合并报表新增商誉</w:t>
      </w:r>
      <w:r>
        <w:rPr>
          <w:rFonts w:ascii="宋体" w:hAnsi="宋体" w:cs="宋体" w:eastAsia="宋体" w:hint="default"/>
        </w:rPr>
        <w:t>39,297.68</w:t>
      </w:r>
      <w:r>
        <w:rPr/>
        <w:t>万元，占公司总资产的</w:t>
      </w:r>
      <w:r>
        <w:rPr>
          <w:rFonts w:ascii="宋体" w:hAnsi="宋体" w:cs="宋体" w:eastAsia="宋体" w:hint="default"/>
        </w:rPr>
        <w:t>40.48%</w:t>
      </w:r>
      <w:r>
        <w:rPr/>
        <w:t>。因商誉增加， 公司长期资产占总资产的比重由期初的</w:t>
      </w:r>
      <w:r>
        <w:rPr>
          <w:rFonts w:ascii="宋体" w:hAnsi="宋体" w:cs="宋体" w:eastAsia="宋体" w:hint="default"/>
        </w:rPr>
        <w:t>7.67%</w:t>
      </w:r>
      <w:r>
        <w:rPr/>
        <w:t>增至期末的</w:t>
      </w:r>
      <w:r>
        <w:rPr>
          <w:rFonts w:ascii="宋体" w:hAnsi="宋体" w:cs="宋体" w:eastAsia="宋体" w:hint="default"/>
        </w:rPr>
        <w:t>44.05%</w:t>
      </w:r>
      <w:r>
        <w:rPr/>
        <w:t>。</w:t>
      </w:r>
    </w:p>
    <w:p>
      <w:pPr>
        <w:spacing w:after="0" w:line="316" w:lineRule="auto"/>
        <w:jc w:val="both"/>
        <w:sectPr>
          <w:pgSz w:w="11910" w:h="16840"/>
          <w:pgMar w:header="745" w:footer="982" w:top="1060" w:bottom="1180" w:left="980" w:right="960"/>
        </w:sectPr>
      </w:pPr>
    </w:p>
    <w:p>
      <w:pPr>
        <w:spacing w:line="240" w:lineRule="auto" w:before="9"/>
        <w:rPr>
          <w:rFonts w:ascii="宋体" w:hAnsi="宋体" w:cs="宋体" w:eastAsia="宋体" w:hint="default"/>
          <w:sz w:val="25"/>
          <w:szCs w:val="25"/>
        </w:rPr>
      </w:pPr>
      <w:r>
        <w:rPr/>
        <w:pict>
          <v:shape style="position:absolute;margin-left:173.400009pt;margin-top:552.479980pt;width:361.45pt;height:50.9pt;mso-position-horizontal-relative:page;mso-position-vertical-relative:page;z-index:-83600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有）</w:t>
                  </w:r>
                </w:p>
              </w:txbxContent>
            </v:textbox>
            <w10:wrap type="none"/>
          </v:shape>
        </w:pict>
      </w:r>
      <w:r>
        <w:rPr/>
        <w:pict>
          <v:group style="position:absolute;margin-left:188.639999pt;margin-top:552.479980pt;width:346.2pt;height:15.6pt;mso-position-horizontal-relative:page;mso-position-vertical-relative:page;z-index:-835984" coordorigin="3773,11050" coordsize="6924,312">
            <v:shape style="position:absolute;left:3773;top:11050;width:6924;height:312" coordorigin="3773,11050" coordsize="6924,312" path="m3773,11362l10697,11362,10697,11050,3773,11050,3773,11362xe" filled="true" fillcolor="#ffffff" stroked="false">
              <v:path arrowok="t"/>
              <v:fill type="solid"/>
            </v:shape>
            <w10:wrap type="none"/>
          </v:group>
        </w:pict>
      </w:r>
      <w:r>
        <w:rPr/>
        <w:pict>
          <v:group style="position:absolute;margin-left:188.639999pt;margin-top:587.76001pt;width:346.2pt;height:15.6pt;mso-position-horizontal-relative:page;mso-position-vertical-relative:page;z-index:-835960" coordorigin="3773,11755" coordsize="6924,312">
            <v:shape style="position:absolute;left:3773;top:11755;width:6924;height:312" coordorigin="3773,11755" coordsize="6924,312" path="m3773,12067l10697,12067,10697,11755,3773,11755,3773,12067xe" filled="true" fillcolor="#ffffff" stroked="false">
              <v:path arrowok="t"/>
              <v:fill type="solid"/>
            </v:shape>
            <w10:wrap type="none"/>
          </v:group>
        </w:pict>
      </w:r>
    </w:p>
    <w:p>
      <w:pPr>
        <w:pStyle w:val="BodyText"/>
        <w:spacing w:line="316" w:lineRule="auto" w:before="44"/>
        <w:ind w:right="139" w:firstLine="419"/>
        <w:jc w:val="left"/>
      </w:pPr>
      <w:r>
        <w:rPr>
          <w:rFonts w:ascii="宋体" w:hAnsi="宋体" w:cs="宋体" w:eastAsia="宋体" w:hint="default"/>
          <w:spacing w:val="-1"/>
        </w:rPr>
        <w:t>*****</w:t>
      </w:r>
      <w:r>
        <w:rPr>
          <w:spacing w:val="-1"/>
        </w:rPr>
        <w:t>报告期内，因公司发行股票募集资金购买资产的募集资金在年底到账、且公司需要为惠捷朗原股东代扣代缴个人</w:t>
      </w:r>
      <w:r>
        <w:rPr/>
        <w:t> 所得税，导致账面应付未付股权转让款大幅增加，其他应付款由期初的</w:t>
      </w:r>
      <w:r>
        <w:rPr>
          <w:rFonts w:ascii="宋体" w:hAnsi="宋体" w:cs="宋体" w:eastAsia="宋体" w:hint="default"/>
        </w:rPr>
        <w:t>52.69</w:t>
      </w:r>
      <w:r>
        <w:rPr/>
        <w:t>万元增至期末的</w:t>
      </w:r>
      <w:r>
        <w:rPr>
          <w:rFonts w:ascii="宋体" w:hAnsi="宋体" w:cs="宋体" w:eastAsia="宋体" w:hint="default"/>
        </w:rPr>
        <w:t>14,296.06</w:t>
      </w:r>
      <w:r>
        <w:rPr/>
        <w:t>万元。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0"/>
        <w:jc w:val="left"/>
        <w:rPr>
          <w:b w:val="0"/>
          <w:bCs w:val="0"/>
        </w:rPr>
      </w:pPr>
      <w:bookmarkStart w:name="三、股东和实际控制人情况" w:id="81"/>
      <w:bookmarkEnd w:id="81"/>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82"/>
      <w:bookmarkEnd w:id="8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48"/>
        <w:gridCol w:w="1385"/>
        <w:gridCol w:w="876"/>
        <w:gridCol w:w="809"/>
        <w:gridCol w:w="809"/>
        <w:gridCol w:w="809"/>
        <w:gridCol w:w="862"/>
        <w:gridCol w:w="1159"/>
        <w:gridCol w:w="228"/>
        <w:gridCol w:w="1385"/>
      </w:tblGrid>
      <w:tr>
        <w:trPr>
          <w:trHeight w:val="40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4,313</w:t>
            </w:r>
            <w:r>
              <w:rPr>
                <w:rFonts w:ascii="Times New Roman"/>
                <w:color w:val="FF0000"/>
                <w:position w:val="8"/>
                <w:sz w:val="12"/>
              </w:rPr>
              <w:t>1</w:t>
            </w:r>
            <w:r>
              <w:rPr>
                <w:rFonts w:ascii="Times New Roman"/>
                <w:sz w:val="12"/>
              </w:rPr>
            </w:r>
          </w:p>
        </w:tc>
        <w:tc>
          <w:tcPr>
            <w:tcW w:w="363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4,392</w:t>
            </w:r>
          </w:p>
        </w:tc>
      </w:tr>
      <w:tr>
        <w:trPr>
          <w:trHeight w:val="398"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1" w:hRule="exact"/>
        </w:trPr>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0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0" w:right="3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8" w:right="38"/>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48" w:type="dxa"/>
            <w:vMerge/>
            <w:tcBorders>
              <w:left w:val="single" w:sz="4" w:space="0" w:color="000000"/>
              <w:bottom w:val="single" w:sz="4" w:space="0" w:color="000000"/>
              <w:right w:val="single" w:sz="4" w:space="0" w:color="000000"/>
            </w:tcBorders>
            <w:shd w:val="clear" w:color="auto" w:fill="D4D4D4"/>
          </w:tcPr>
          <w:p>
            <w:pPr/>
          </w:p>
        </w:tc>
        <w:tc>
          <w:tcPr>
            <w:tcW w:w="1385" w:type="dxa"/>
            <w:vMerge/>
            <w:tcBorders>
              <w:left w:val="single" w:sz="4" w:space="0" w:color="000000"/>
              <w:bottom w:val="single" w:sz="4" w:space="0" w:color="000000"/>
              <w:right w:val="single" w:sz="4" w:space="0" w:color="000000"/>
            </w:tcBorders>
            <w:shd w:val="clear" w:color="auto" w:fill="D4D4D4"/>
          </w:tcPr>
          <w:p>
            <w:pPr/>
          </w:p>
        </w:tc>
        <w:tc>
          <w:tcPr>
            <w:tcW w:w="876" w:type="dxa"/>
            <w:vMerge/>
            <w:tcBorders>
              <w:left w:val="single" w:sz="4" w:space="0" w:color="000000"/>
              <w:bottom w:val="single" w:sz="4" w:space="0" w:color="000000"/>
              <w:right w:val="single" w:sz="4" w:space="0" w:color="000000"/>
            </w:tcBorders>
            <w:shd w:val="clear" w:color="auto" w:fill="D4D4D4"/>
          </w:tcPr>
          <w:p>
            <w:pPr/>
          </w:p>
        </w:tc>
        <w:tc>
          <w:tcPr>
            <w:tcW w:w="809" w:type="dxa"/>
            <w:vMerge/>
            <w:tcBorders>
              <w:left w:val="single" w:sz="4" w:space="0" w:color="000000"/>
              <w:bottom w:val="single" w:sz="4" w:space="0" w:color="000000"/>
              <w:right w:val="single" w:sz="4" w:space="0" w:color="000000"/>
            </w:tcBorders>
            <w:shd w:val="clear" w:color="auto" w:fill="D4D4D4"/>
          </w:tcPr>
          <w:p>
            <w:pPr/>
          </w:p>
        </w:tc>
        <w:tc>
          <w:tcPr>
            <w:tcW w:w="809" w:type="dxa"/>
            <w:vMerge/>
            <w:tcBorders>
              <w:left w:val="single" w:sz="4" w:space="0" w:color="000000"/>
              <w:bottom w:val="single" w:sz="4" w:space="0" w:color="000000"/>
              <w:right w:val="single" w:sz="4" w:space="0" w:color="000000"/>
            </w:tcBorders>
            <w:shd w:val="clear" w:color="auto" w:fill="D4D4D4"/>
          </w:tcPr>
          <w:p>
            <w:pPr/>
          </w:p>
        </w:tc>
        <w:tc>
          <w:tcPr>
            <w:tcW w:w="809" w:type="dxa"/>
            <w:vMerge/>
            <w:tcBorders>
              <w:left w:val="single" w:sz="4" w:space="0" w:color="000000"/>
              <w:bottom w:val="single" w:sz="4" w:space="0" w:color="000000"/>
              <w:right w:val="single" w:sz="4" w:space="0" w:color="000000"/>
            </w:tcBorders>
            <w:shd w:val="clear" w:color="auto" w:fill="D4D4D4"/>
          </w:tcPr>
          <w:p>
            <w:pPr/>
          </w:p>
        </w:tc>
        <w:tc>
          <w:tcPr>
            <w:tcW w:w="862" w:type="dxa"/>
            <w:vMerge/>
            <w:tcBorders>
              <w:left w:val="single" w:sz="4" w:space="0" w:color="000000"/>
              <w:bottom w:val="single" w:sz="4" w:space="0" w:color="000000"/>
              <w:right w:val="single" w:sz="4" w:space="0" w:color="000000"/>
            </w:tcBorders>
            <w:shd w:val="clear" w:color="auto" w:fill="D4D4D4"/>
          </w:tcPr>
          <w:p>
            <w:pP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3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9,624,512</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9,624,512</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东华软件股份 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4,436,112</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4,436,112</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盈富泰克创业 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4,065,793</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4,065,793</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涌金实业（集 团）有限公司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3,488,443</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3,488,443</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牛合庆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2,726,936</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2,726,936</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421,000</w:t>
            </w: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2,414,720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2,414,720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2,378,335</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2,378,335</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2,378,335</w:t>
            </w: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2,284,983</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2,284,983</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1,380,000</w:t>
            </w: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2,142,719</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2,142,719</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640,000</w:t>
            </w: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王晋敏</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1,975,680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1,975,680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12"/>
                <w:sz w:val="18"/>
                <w:szCs w:val="18"/>
              </w:rPr>
              <w:t>名股东的情况（如</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6" w:type="dxa"/>
            <w:tcBorders>
              <w:top w:val="single" w:sz="4" w:space="0" w:color="000000"/>
              <w:left w:val="single" w:sz="12" w:space="0" w:color="D4D4D4"/>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09" w:type="dxa"/>
            <w:tcBorders>
              <w:top w:val="single" w:sz="4" w:space="0" w:color="000000"/>
              <w:left w:val="nil" w:sz="6" w:space="0" w:color="auto"/>
              <w:bottom w:val="single" w:sz="4" w:space="0" w:color="000000"/>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
        </w:tc>
        <w:tc>
          <w:tcPr>
            <w:tcW w:w="1159"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single" w:sz="4" w:space="0" w:color="000000"/>
            </w:tcBorders>
          </w:tcPr>
          <w:p>
            <w:pPr/>
          </w:p>
        </w:tc>
      </w:tr>
      <w:tr>
        <w:trPr>
          <w:trHeight w:val="713"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6" w:type="dxa"/>
            <w:gridSpan w:val="8"/>
            <w:tcBorders>
              <w:top w:val="single" w:sz="4" w:space="0" w:color="000000"/>
              <w:left w:val="single" w:sz="12"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张齐春与朱海东为母子关系，为公司实际控制人。</w:t>
            </w:r>
          </w:p>
        </w:tc>
      </w:tr>
      <w:tr>
        <w:trPr>
          <w:trHeight w:val="403"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4164"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77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633"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4"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3"/>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2633" w:type="dxa"/>
            <w:gridSpan w:val="2"/>
            <w:vMerge/>
            <w:tcBorders>
              <w:left w:val="single" w:sz="4" w:space="0" w:color="000000"/>
              <w:bottom w:val="nil" w:sz="6" w:space="0" w:color="auto"/>
              <w:right w:val="single" w:sz="4" w:space="0" w:color="000000"/>
            </w:tcBorders>
            <w:shd w:val="clear" w:color="auto" w:fill="D4D4D4"/>
          </w:tcPr>
          <w:p>
            <w:pPr/>
          </w:p>
        </w:tc>
        <w:tc>
          <w:tcPr>
            <w:tcW w:w="4164" w:type="dxa"/>
            <w:gridSpan w:val="5"/>
            <w:vMerge/>
            <w:tcBorders>
              <w:left w:val="single" w:sz="4" w:space="0" w:color="000000"/>
              <w:bottom w:val="nil" w:sz="6" w:space="0" w:color="auto"/>
              <w:right w:val="single" w:sz="4" w:space="0" w:color="000000"/>
            </w:tcBorders>
            <w:shd w:val="clear" w:color="auto" w:fill="D4D4D4"/>
          </w:tcPr>
          <w:p>
            <w:pPr/>
          </w:p>
        </w:tc>
        <w:tc>
          <w:tcPr>
            <w:tcW w:w="138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4164"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387" w:type="dxa"/>
            <w:gridSpan w:val="2"/>
            <w:vMerge/>
            <w:tcBorders>
              <w:left w:val="single" w:sz="4" w:space="0" w:color="000000"/>
              <w:bottom w:val="single" w:sz="4" w:space="0" w:color="000000"/>
              <w:right w:val="single" w:sz="4" w:space="0" w:color="000000"/>
            </w:tcBorders>
            <w:shd w:val="clear" w:color="auto" w:fill="D4D4D4"/>
          </w:tcPr>
          <w:p>
            <w:pPr/>
          </w:p>
        </w:tc>
        <w:tc>
          <w:tcPr>
            <w:tcW w:w="1385"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中国工商银行－银河银泰理财分 红证券投资基金</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952,431</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952,431</w:t>
            </w:r>
          </w:p>
        </w:tc>
      </w:tr>
      <w:tr>
        <w:trPr>
          <w:trHeight w:val="403"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中国建设银行股份有限公司－融</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693,327</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693,327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44"/>
        <w:ind w:left="0" w:right="200"/>
        <w:jc w:val="right"/>
      </w:pPr>
      <w:r>
        <w:rPr/>
        <w:pict>
          <v:shape style="position:absolute;margin-left:56.400002pt;margin-top:-335.649292pt;width:479.2pt;height:438.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3"/>
                    <w:gridCol w:w="4164"/>
                    <w:gridCol w:w="1387"/>
                    <w:gridCol w:w="1385"/>
                  </w:tblGrid>
                  <w:tr>
                    <w:trPr>
                      <w:trHeight w:val="36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通领先成长股票型证券投资基金</w:t>
                        </w:r>
                      </w:p>
                    </w:tc>
                    <w:tc>
                      <w:tcPr>
                        <w:tcW w:w="416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中国建设银行股份有限公司－银 河康乐股票型证券投资基金</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601,997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601,997</w:t>
                        </w:r>
                      </w:p>
                    </w:tc>
                  </w:tr>
                  <w:tr>
                    <w:trPr>
                      <w:trHeight w:val="40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陶建平</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367,233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367,233</w:t>
                        </w:r>
                      </w:p>
                    </w:tc>
                  </w:tr>
                  <w:tr>
                    <w:trPr>
                      <w:trHeight w:val="71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中信银行股份有限公司－银河主 题策略股票型证券投资基金</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300,060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300,060</w:t>
                        </w:r>
                      </w:p>
                    </w:tc>
                  </w:tr>
                  <w:tr>
                    <w:trPr>
                      <w:trHeight w:val="71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中国建设银行股份有限公司－银 河行业优选股票型证券投资基金</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284,321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284,321</w:t>
                        </w:r>
                      </w:p>
                    </w:tc>
                  </w:tr>
                  <w:tr>
                    <w:trPr>
                      <w:trHeight w:val="401"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鲍杭生</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220,200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220,200</w:t>
                        </w:r>
                      </w:p>
                    </w:tc>
                  </w:tr>
                  <w:tr>
                    <w:trPr>
                      <w:trHeight w:val="71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北京千石创富－海通证券－千石 资本大浪潮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135,000</w:t>
                        </w:r>
                      </w:p>
                    </w:tc>
                  </w:tr>
                  <w:tr>
                    <w:trPr>
                      <w:trHeight w:val="102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北方国际信托股份有限公司－阳 昊套利一号证券投资集合资金信 托</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134,300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134,300</w:t>
                        </w:r>
                      </w:p>
                    </w:tc>
                  </w:tr>
                  <w:tr>
                    <w:trPr>
                      <w:trHeight w:val="71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中国建设银行股份有限公司－银 河美丽优萃股票型证券投资基金</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109,816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109,816</w:t>
                        </w:r>
                      </w:p>
                    </w:tc>
                  </w:tr>
                  <w:tr>
                    <w:trPr>
                      <w:trHeight w:val="1961" w:hRule="exact"/>
                    </w:trPr>
                    <w:tc>
                      <w:tcPr>
                        <w:tcW w:w="2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1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名无限售流通股股东和</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名股东之间关联关系或一致 行动的说明</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中国工商银行－银河银泰理财分红证券投资基金、中国建设银行股份有限公司－银河康 乐股票型证券投资基金、中信银行股份有限公司－银河主题策略股票型证券投资基金、 中国建设银行股份有限公司－银河行业优选股票型证券投资基金、中国建设银行股份有 </w:t>
                        </w:r>
                        <w:r>
                          <w:rPr>
                            <w:rFonts w:ascii="宋体" w:hAnsi="宋体" w:cs="宋体" w:eastAsia="宋体" w:hint="default"/>
                            <w:spacing w:val="-2"/>
                            <w:sz w:val="18"/>
                            <w:szCs w:val="18"/>
                          </w:rPr>
                          <w:t>限公司－银河美丽优萃股票型证券投资基金，同属银河基金管理有限公司旗下证券基金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除此之外，上述股东之间未知是否存在关联关系或属于《上市公司股东持股变动信息披 露管理办法》规定的一致行动人。</w:t>
                        </w:r>
                      </w:p>
                    </w:tc>
                  </w:tr>
                  <w:tr>
                    <w:trPr>
                      <w:trHeight w:val="1027" w:hRule="exact"/>
                    </w:trPr>
                    <w:tc>
                      <w:tcPr>
                        <w:tcW w:w="2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公司股东陶建平通过安信证券股份有限公司客户信用交易担保证券账户持有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367,233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367,233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股；公司股东鲍杭生通过国信证券股份有限公司客户信用交易担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220,200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220,200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4"/>
        <w:ind w:left="0" w:right="19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16" w:lineRule="auto" w:before="44"/>
        <w:ind w:right="94" w:firstLine="420"/>
        <w:jc w:val="left"/>
      </w:pPr>
      <w:r>
        <w:rPr/>
        <w:t>注：</w:t>
      </w:r>
      <w:r>
        <w:rPr>
          <w:rFonts w:ascii="宋体" w:hAnsi="宋体" w:cs="宋体" w:eastAsia="宋体" w:hint="default"/>
        </w:rPr>
        <w:t>1</w:t>
      </w:r>
      <w:r>
        <w:rPr>
          <w:rFonts w:ascii="宋体" w:hAnsi="宋体" w:cs="宋体" w:eastAsia="宋体" w:hint="default"/>
          <w:spacing w:val="14"/>
        </w:rPr>
        <w:t> </w:t>
      </w:r>
      <w:r>
        <w:rPr>
          <w:rFonts w:ascii="宋体" w:hAnsi="宋体" w:cs="宋体" w:eastAsia="宋体" w:hint="default"/>
        </w:rPr>
        <w:t>1.</w:t>
      </w:r>
      <w:r>
        <w:rPr/>
        <w:t>根据本公司</w:t>
      </w:r>
      <w:r>
        <w:rPr>
          <w:rFonts w:ascii="宋体" w:hAnsi="宋体" w:cs="宋体" w:eastAsia="宋体" w:hint="default"/>
        </w:rPr>
        <w:t>2014</w:t>
      </w:r>
      <w:r>
        <w:rPr/>
        <w:t>年第二次临时股东大会决议和中国证券监督管理委员会《关于核准北京东方通科技股份有限 </w:t>
      </w:r>
      <w:r>
        <w:rPr>
          <w:spacing w:val="-2"/>
        </w:rPr>
        <w:t>公司向李健等发行股份购买资产并募集配套资金的批复》（证监许可</w:t>
      </w:r>
      <w:r>
        <w:rPr>
          <w:rFonts w:ascii="宋体" w:hAnsi="宋体" w:cs="宋体" w:eastAsia="宋体" w:hint="default"/>
          <w:spacing w:val="-2"/>
        </w:rPr>
        <w:t>[2014]1354</w:t>
      </w:r>
      <w:r>
        <w:rPr>
          <w:spacing w:val="-2"/>
        </w:rPr>
        <w:t>号）核准，</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日，东方通在中国</w:t>
      </w:r>
      <w:r>
        <w:rPr>
          <w:spacing w:val="-58"/>
        </w:rPr>
        <w:t> </w:t>
      </w:r>
      <w:r>
        <w:rPr>
          <w:spacing w:val="-58"/>
        </w:rPr>
      </w:r>
      <w:r>
        <w:rPr/>
        <w:t>证券登记结算有限责任公司深圳分公司办理了原股东李健、王晋敏、王熙春、李飚的股权登记手续。</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12</w:t>
      </w:r>
      <w:r>
        <w:rPr/>
        <w:t>日，上述</w:t>
      </w:r>
      <w:r>
        <w:rPr>
          <w:spacing w:val="-86"/>
        </w:rPr>
        <w:t> </w:t>
      </w:r>
      <w:r>
        <w:rPr>
          <w:spacing w:val="-86"/>
        </w:rPr>
      </w:r>
      <w:r>
        <w:rPr>
          <w:spacing w:val="-2"/>
        </w:rPr>
        <w:t>股份完成上市手续。</w:t>
      </w:r>
      <w:r>
        <w:rPr>
          <w:rFonts w:ascii="宋体" w:hAnsi="宋体" w:cs="宋体" w:eastAsia="宋体" w:hint="default"/>
          <w:spacing w:val="-2"/>
        </w:rPr>
        <w:t>2.</w:t>
      </w:r>
      <w:r>
        <w:rPr>
          <w:spacing w:val="-2"/>
        </w:rPr>
        <w:t>非限售股份股东不包括截止报告期末尚未办理股份登记的东海基金管理有限责任公司、华宝信托有限</w:t>
      </w:r>
      <w:r>
        <w:rPr>
          <w:spacing w:val="-63"/>
        </w:rPr>
        <w:t> </w:t>
      </w:r>
      <w:r>
        <w:rPr>
          <w:spacing w:val="-63"/>
        </w:rPr>
      </w:r>
      <w:r>
        <w:rPr>
          <w:spacing w:val="-3"/>
        </w:rPr>
        <w:t>责任公司、天安财产保险股份有限公司，截止报告期末，公司已登记股份总数为</w:t>
      </w:r>
      <w:r>
        <w:rPr>
          <w:rFonts w:ascii="宋体" w:hAnsi="宋体" w:cs="宋体" w:eastAsia="宋体" w:hint="default"/>
          <w:spacing w:val="-3"/>
        </w:rPr>
        <w:t>55,913,181</w:t>
      </w:r>
      <w:r>
        <w:rPr>
          <w:spacing w:val="-3"/>
        </w:rPr>
        <w:t>股，与现有股份数差额</w:t>
      </w:r>
      <w:r>
        <w:rPr>
          <w:rFonts w:ascii="宋体" w:hAnsi="宋体" w:cs="宋体" w:eastAsia="宋体" w:hint="default"/>
          <w:spacing w:val="-3"/>
        </w:rPr>
        <w:t>1,696,969</w:t>
      </w:r>
      <w:r>
        <w:rPr>
          <w:rFonts w:ascii="宋体" w:hAnsi="宋体" w:cs="宋体" w:eastAsia="宋体" w:hint="default"/>
          <w:spacing w:val="-79"/>
        </w:rPr>
        <w:t> </w:t>
      </w:r>
      <w:r>
        <w:rPr>
          <w:rFonts w:ascii="宋体" w:hAnsi="宋体" w:cs="宋体" w:eastAsia="宋体" w:hint="default"/>
          <w:spacing w:val="-79"/>
        </w:rPr>
      </w:r>
      <w:r>
        <w:rPr/>
        <w:t>股。</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29</w:t>
      </w:r>
      <w:r>
        <w:rPr/>
        <w:t>日东海基金管理有限责任公司、华宝信托有限责任公司、天安财产保险股份有限公司等</w:t>
      </w:r>
      <w:r>
        <w:rPr>
          <w:rFonts w:ascii="宋体" w:hAnsi="宋体" w:cs="宋体" w:eastAsia="宋体" w:hint="default"/>
        </w:rPr>
        <w:t>3</w:t>
      </w:r>
      <w:r>
        <w:rPr/>
        <w:t>名特定投资者认</w:t>
      </w:r>
      <w:r>
        <w:rPr>
          <w:spacing w:val="-86"/>
        </w:rPr>
        <w:t> </w:t>
      </w:r>
      <w:r>
        <w:rPr/>
        <w:t>购本次非公开发行的股份</w:t>
      </w:r>
      <w:r>
        <w:rPr>
          <w:rFonts w:ascii="宋体" w:hAnsi="宋体" w:cs="宋体" w:eastAsia="宋体" w:hint="default"/>
        </w:rPr>
        <w:t>1,696,969</w:t>
      </w:r>
      <w:r>
        <w:rPr/>
        <w:t>股，发行价格</w:t>
      </w:r>
      <w:r>
        <w:rPr>
          <w:rFonts w:ascii="宋体" w:hAnsi="宋体" w:cs="宋体" w:eastAsia="宋体" w:hint="default"/>
        </w:rPr>
        <w:t>82.50</w:t>
      </w:r>
      <w:r>
        <w:rPr/>
        <w:t>元</w:t>
      </w:r>
      <w:r>
        <w:rPr>
          <w:rFonts w:ascii="宋体" w:hAnsi="宋体" w:cs="宋体" w:eastAsia="宋体" w:hint="default"/>
        </w:rPr>
        <w:t>/</w:t>
      </w:r>
      <w:r>
        <w:rPr/>
        <w:t>股，募集资金</w:t>
      </w:r>
      <w:r>
        <w:rPr>
          <w:rFonts w:ascii="宋体" w:hAnsi="宋体" w:cs="宋体" w:eastAsia="宋体" w:hint="default"/>
        </w:rPr>
        <w:t>139,999,942.50</w:t>
      </w:r>
      <w:r>
        <w:rPr/>
        <w:t>元，用于支付北京惠捷朗科技有限 </w:t>
      </w:r>
      <w:r>
        <w:rPr>
          <w:spacing w:val="-3"/>
        </w:rPr>
        <w:t>公司</w:t>
      </w:r>
      <w:r>
        <w:rPr>
          <w:rFonts w:ascii="宋体" w:hAnsi="宋体" w:cs="宋体" w:eastAsia="宋体" w:hint="default"/>
          <w:spacing w:val="-3"/>
        </w:rPr>
        <w:t>100%</w:t>
      </w:r>
      <w:r>
        <w:rPr>
          <w:spacing w:val="-3"/>
        </w:rPr>
        <w:t>股权的现金对价。</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30</w:t>
      </w:r>
      <w:r>
        <w:rPr>
          <w:spacing w:val="-3"/>
        </w:rPr>
        <w:t>日本公司收到募集资金</w:t>
      </w:r>
      <w:r>
        <w:rPr>
          <w:rFonts w:ascii="宋体" w:hAnsi="宋体" w:cs="宋体" w:eastAsia="宋体" w:hint="default"/>
          <w:spacing w:val="-3"/>
        </w:rPr>
        <w:t>136,999,942.50</w:t>
      </w:r>
      <w:r>
        <w:rPr>
          <w:spacing w:val="-3"/>
        </w:rPr>
        <w:t>元，并经立信会计师事务所（特殊普通合伙）</w:t>
      </w:r>
      <w:r>
        <w:rPr>
          <w:spacing w:val="-70"/>
        </w:rPr>
        <w:t> </w:t>
      </w:r>
      <w:r>
        <w:rPr>
          <w:spacing w:val="-70"/>
        </w:rPr>
      </w:r>
      <w:r>
        <w:rPr/>
        <w:t>审验，出具信会师报字</w:t>
      </w:r>
      <w:r>
        <w:rPr>
          <w:rFonts w:ascii="宋体" w:hAnsi="宋体" w:cs="宋体" w:eastAsia="宋体" w:hint="default"/>
        </w:rPr>
        <w:t>[2014]</w:t>
      </w:r>
      <w:r>
        <w:rPr/>
        <w:t>第</w:t>
      </w:r>
      <w:r>
        <w:rPr>
          <w:rFonts w:ascii="宋体" w:hAnsi="宋体" w:cs="宋体" w:eastAsia="宋体" w:hint="default"/>
        </w:rPr>
        <w:t>211415</w:t>
      </w:r>
      <w:r>
        <w:rPr/>
        <w:t>号验资报告。</w:t>
      </w:r>
    </w:p>
    <w:p>
      <w:pPr>
        <w:pStyle w:val="BodyText"/>
        <w:spacing w:line="240" w:lineRule="auto" w:before="59"/>
        <w:ind w:left="153" w:right="465"/>
        <w:jc w:val="left"/>
      </w:pPr>
      <w:r>
        <w:rPr/>
        <w:t>公司股东在报告期内是否进行约定购回交易</w:t>
      </w:r>
    </w:p>
    <w:p>
      <w:pPr>
        <w:pStyle w:val="BodyText"/>
        <w:spacing w:line="340" w:lineRule="auto" w:before="115"/>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公司股东在报告期内未进行约定购回交易。</w:t>
      </w:r>
    </w:p>
    <w:p>
      <w:pPr>
        <w:spacing w:line="240" w:lineRule="auto" w:before="6"/>
        <w:rPr>
          <w:rFonts w:ascii="宋体" w:hAnsi="宋体" w:cs="宋体" w:eastAsia="宋体" w:hint="default"/>
          <w:sz w:val="21"/>
          <w:szCs w:val="21"/>
        </w:rPr>
      </w:pPr>
    </w:p>
    <w:p>
      <w:pPr>
        <w:pStyle w:val="Heading3"/>
        <w:spacing w:line="240" w:lineRule="auto"/>
        <w:ind w:right="465"/>
        <w:jc w:val="left"/>
        <w:rPr>
          <w:b w:val="0"/>
          <w:bCs w:val="0"/>
        </w:rPr>
      </w:pPr>
      <w:bookmarkStart w:name="2、公司控股股东情况" w:id="83"/>
      <w:bookmarkEnd w:id="8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65"/>
        <w:jc w:val="left"/>
      </w:pPr>
      <w:r>
        <w:rPr/>
        <w:t>自然人</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4"/>
        <w:ind w:left="0" w:right="160"/>
        <w:jc w:val="right"/>
      </w:pPr>
      <w:r>
        <w:rPr/>
        <w:pict>
          <v:shape style="position:absolute;margin-left:56.400002pt;margin-top:-96.729301pt;width:479.2pt;height:152.3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张齐春女士近五年均在本公司任董事长。朱海东先生</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月起任职于北京 长策天成公关策划有限公司，并任公司董事。朱曼女士近五年均在本公司任职 现任公司董事、副总经理。</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84"/>
      <w:bookmarkEnd w:id="8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张齐春女士近五年均在本公司任董事长。朱海东先生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月起任职于北 </w:t>
            </w:r>
            <w:r>
              <w:rPr>
                <w:rFonts w:ascii="宋体" w:hAnsi="宋体" w:cs="宋体" w:eastAsia="宋体" w:hint="default"/>
                <w:spacing w:val="-1"/>
                <w:sz w:val="18"/>
                <w:szCs w:val="18"/>
              </w:rPr>
              <w:t>京长策天成公关策划有限公司，并任公司董事。朱曼女士近五年均在本公司任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职，现任公司董事、副总经理。</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实际控制人报告期内变更</w:t>
      </w:r>
    </w:p>
    <w:p>
      <w:pPr>
        <w:pStyle w:val="BodyText"/>
        <w:spacing w:line="348"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18"/>
          <w:szCs w:val="18"/>
        </w:rPr>
      </w:pPr>
    </w:p>
    <w:p>
      <w:pPr>
        <w:spacing w:line="3630" w:lineRule="exact"/>
        <w:ind w:left="1355"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92327" cy="2305050"/>
            <wp:effectExtent l="0" t="0" r="0" b="0"/>
            <wp:docPr id="45" name="image20.jpeg" descr="?"/>
            <wp:cNvGraphicFramePr>
              <a:graphicFrameLocks noChangeAspect="1"/>
            </wp:cNvGraphicFramePr>
            <a:graphic>
              <a:graphicData uri="http://schemas.openxmlformats.org/drawingml/2006/picture">
                <pic:pic>
                  <pic:nvPicPr>
                    <pic:cNvPr id="46" name="image20.jpeg"/>
                    <pic:cNvPicPr/>
                  </pic:nvPicPr>
                  <pic:blipFill>
                    <a:blip r:embed="rId32" cstate="print"/>
                    <a:stretch>
                      <a:fillRect/>
                    </a:stretch>
                  </pic:blipFill>
                  <pic:spPr>
                    <a:xfrm>
                      <a:off x="0" y="0"/>
                      <a:ext cx="4592327" cy="2305050"/>
                    </a:xfrm>
                    <a:prstGeom prst="rect">
                      <a:avLst/>
                    </a:prstGeom>
                  </pic:spPr>
                </pic:pic>
              </a:graphicData>
            </a:graphic>
          </wp:inline>
        </w:drawing>
      </w:r>
      <w:r>
        <w:rPr>
          <w:rFonts w:ascii="宋体" w:hAnsi="宋体" w:cs="宋体" w:eastAsia="宋体" w:hint="default"/>
          <w:position w:val="-72"/>
          <w:sz w:val="20"/>
          <w:szCs w:val="20"/>
        </w:rPr>
      </w:r>
    </w:p>
    <w:p>
      <w:pPr>
        <w:spacing w:after="0" w:line="3630"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85"/>
      <w:bookmarkEnd w:id="85"/>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前10名限售条件股东持股数量及限售条件" w:id="86"/>
      <w:bookmarkEnd w:id="86"/>
      <w:r>
        <w:rPr>
          <w:b w:val="0"/>
          <w:bCs w:val="0"/>
        </w:rPr>
      </w: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名限售条件股东持股数量及限售条件</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2" w:right="48"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9,624,512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4,436,112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盈富泰克创业投资有限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4,065,793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涌金实业（集团）有限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3,488,443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牛合庆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2,726,936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2,378,335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2,284,983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2,142,719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陈实</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1,018,377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740,908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footerReference w:type="default" r:id="rId33"/>
          <w:pgSz w:w="11910" w:h="16840"/>
          <w:pgMar w:footer="982" w:header="745" w:top="1060" w:bottom="1180" w:left="980" w:right="980"/>
          <w:pgNumType w:start="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0"/>
        <w:jc w:val="left"/>
        <w:rPr>
          <w:b w:val="0"/>
          <w:bCs w:val="0"/>
        </w:rPr>
      </w:pPr>
      <w:bookmarkStart w:name="_TOC_250002" w:id="87"/>
      <w:bookmarkStart w:name="第七节 董事、监事、高级管理人员和员工情况" w:id="88"/>
      <w:r>
        <w:rPr>
          <w:b w:val="0"/>
          <w:bCs w:val="0"/>
        </w:rPr>
      </w:r>
      <w:r>
        <w:rPr/>
        <w:t>第七节</w:t>
      </w:r>
      <w:r>
        <w:rPr>
          <w:spacing w:val="-9"/>
        </w:rPr>
        <w:t> </w:t>
      </w:r>
      <w:r>
        <w:rPr/>
        <w:t>董事、监事、高级管理人员和员工情况</w:t>
      </w:r>
      <w:bookmarkEnd w:id="8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w:id="89"/>
      <w:bookmarkEnd w:id="8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持股情况" w:id="90"/>
      <w:bookmarkEnd w:id="90"/>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4"/>
        <w:gridCol w:w="684"/>
        <w:gridCol w:w="684"/>
        <w:gridCol w:w="684"/>
        <w:gridCol w:w="684"/>
      </w:tblGrid>
      <w:tr>
        <w:trPr>
          <w:trHeight w:val="2275" w:hRule="exact"/>
        </w:trPr>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7"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2"/>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2"/>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58" w:right="65" w:hanging="92"/>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5"/>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9,624,5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9,624,5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副董 事长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董事， 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74,372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74,372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740,908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740,908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624,373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624,373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总经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4"/>
        <w:gridCol w:w="684"/>
        <w:gridCol w:w="684"/>
        <w:gridCol w:w="684"/>
        <w:gridCol w:w="684"/>
      </w:tblGrid>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财务 总监， 董事 会秘 </w:t>
            </w:r>
            <w:r>
              <w:rPr>
                <w:rFonts w:ascii="宋体" w:hAnsi="宋体" w:cs="宋体" w:eastAsia="宋体" w:hint="default"/>
                <w:spacing w:val="-26"/>
                <w:sz w:val="18"/>
                <w:szCs w:val="18"/>
              </w:rPr>
              <w:t>书，副</w:t>
            </w:r>
            <w:r>
              <w:rPr>
                <w:rFonts w:ascii="宋体" w:hAnsi="宋体" w:cs="宋体" w:eastAsia="宋体" w:hint="default"/>
                <w:spacing w:val="-39"/>
                <w:sz w:val="18"/>
                <w:szCs w:val="18"/>
              </w:rPr>
              <w:t> </w:t>
            </w:r>
            <w:r>
              <w:rPr>
                <w:rFonts w:ascii="宋体" w:hAnsi="宋体" w:cs="宋体" w:eastAsia="宋体" w:hint="default"/>
                <w:sz w:val="18"/>
                <w:szCs w:val="18"/>
              </w:rPr>
              <w:t>总经</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85,713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85,713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徐志东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290,546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290,546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陈世英</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68,586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68,586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162,863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162,863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周宁</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赵小凡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刘凤春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91,037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91,037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18,568,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18,568,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947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465"/>
        <w:jc w:val="left"/>
        <w:rPr>
          <w:b w:val="0"/>
          <w:bCs w:val="0"/>
        </w:rPr>
      </w:pPr>
      <w:bookmarkStart w:name="2、持有股票期权情况" w:id="91"/>
      <w:bookmarkEnd w:id="91"/>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65"/>
        <w:jc w:val="left"/>
        <w:rPr>
          <w:b w:val="0"/>
          <w:bCs w:val="0"/>
        </w:rPr>
      </w:pPr>
      <w:bookmarkStart w:name="二、任职情况" w:id="92"/>
      <w:bookmarkEnd w:id="92"/>
      <w:r>
        <w:rPr>
          <w:b w:val="0"/>
          <w:bCs w:val="0"/>
        </w:rPr>
      </w: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72" w:right="209" w:hanging="420"/>
        <w:jc w:val="left"/>
      </w:pPr>
      <w:r>
        <w:rPr/>
        <w:t>公司现任董事、监事、高级管理人员最近</w:t>
      </w:r>
      <w:r>
        <w:rPr>
          <w:spacing w:val="-46"/>
        </w:rPr>
        <w:t> </w:t>
      </w:r>
      <w:r>
        <w:rPr>
          <w:rFonts w:ascii="Times New Roman" w:hAnsi="Times New Roman" w:cs="Times New Roman" w:eastAsia="Times New Roman" w:hint="default"/>
        </w:rPr>
        <w:t>5 </w:t>
      </w:r>
      <w:r>
        <w:rPr/>
        <w:t>年的主要工作经历 </w:t>
      </w:r>
      <w:r>
        <w:rPr>
          <w:spacing w:val="-2"/>
        </w:rPr>
        <w:t>张齐春女士，女，</w:t>
      </w:r>
      <w:r>
        <w:rPr>
          <w:rFonts w:ascii="Times New Roman" w:hAnsi="Times New Roman" w:cs="Times New Roman" w:eastAsia="Times New Roman" w:hint="default"/>
          <w:spacing w:val="-2"/>
        </w:rPr>
        <w:t>1939</w:t>
      </w:r>
      <w:r>
        <w:rPr>
          <w:spacing w:val="-2"/>
        </w:rPr>
        <w:t>年</w:t>
      </w:r>
      <w:r>
        <w:rPr>
          <w:rFonts w:ascii="Times New Roman" w:hAnsi="Times New Roman" w:cs="Times New Roman" w:eastAsia="Times New Roman" w:hint="default"/>
          <w:spacing w:val="-2"/>
        </w:rPr>
        <w:t>2</w:t>
      </w:r>
      <w:r>
        <w:rPr>
          <w:spacing w:val="-2"/>
        </w:rPr>
        <w:t>月出生，中国国籍，无境外永久居留权，毕业于成都电讯工程学院（现电子科技大学），本</w:t>
      </w:r>
    </w:p>
    <w:p>
      <w:pPr>
        <w:pStyle w:val="BodyText"/>
        <w:spacing w:line="230" w:lineRule="exact"/>
        <w:ind w:right="465"/>
        <w:jc w:val="left"/>
      </w:pPr>
      <w:r>
        <w:rPr/>
        <w:t>科学历，学士学位。</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月至今任北京核高基副董事长。近五年均在本公司任职，现任公司董事长。</w:t>
      </w:r>
    </w:p>
    <w:p>
      <w:pPr>
        <w:pStyle w:val="BodyText"/>
        <w:spacing w:line="300" w:lineRule="auto" w:before="62"/>
        <w:ind w:right="94" w:firstLine="420"/>
        <w:jc w:val="left"/>
      </w:pPr>
      <w:r>
        <w:rPr>
          <w:spacing w:val="-3"/>
        </w:rPr>
        <w:t>朱律玮先生，男，</w:t>
      </w:r>
      <w:r>
        <w:rPr>
          <w:rFonts w:ascii="Times New Roman" w:hAnsi="Times New Roman" w:cs="Times New Roman" w:eastAsia="Times New Roman" w:hint="default"/>
          <w:spacing w:val="-3"/>
        </w:rPr>
        <w:t>1968</w:t>
      </w:r>
      <w:r>
        <w:rPr>
          <w:spacing w:val="-3"/>
        </w:rPr>
        <w:t>年</w:t>
      </w:r>
      <w:r>
        <w:rPr>
          <w:rFonts w:ascii="Times New Roman" w:hAnsi="Times New Roman" w:cs="Times New Roman" w:eastAsia="Times New Roman" w:hint="default"/>
          <w:spacing w:val="-3"/>
        </w:rPr>
        <w:t>3</w:t>
      </w:r>
      <w:r>
        <w:rPr>
          <w:spacing w:val="-3"/>
        </w:rPr>
        <w:t>月出生，中国国籍，无境外永久居留权，毕业于大连海事大学计算机及应用专业，本科学历，</w:t>
      </w:r>
      <w:r>
        <w:rPr/>
        <w:t> 学士学位。现任中国科学院大学兼职教授。近五年均在本公司任职，现任公司副董事长。</w:t>
      </w:r>
    </w:p>
    <w:p>
      <w:pPr>
        <w:pStyle w:val="BodyText"/>
        <w:spacing w:line="300" w:lineRule="auto" w:before="31"/>
        <w:ind w:right="209" w:firstLine="419"/>
        <w:jc w:val="left"/>
      </w:pPr>
      <w:r>
        <w:rPr>
          <w:spacing w:val="-2"/>
        </w:rPr>
        <w:t>孙亚明先生，男，</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w:t>
      </w:r>
      <w:r>
        <w:rPr>
          <w:spacing w:val="-2"/>
        </w:rPr>
        <w:t>月出生，中国国籍，无境外永久居留权，毕业于成都电讯工程学院（现电子科技大学）电子</w:t>
      </w:r>
      <w:r>
        <w:rPr/>
        <w:t> 机械专业，本科学历，学士学位。近五年均在本公司任职，现任公司董事。</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231" w:firstLine="420"/>
        <w:jc w:val="both"/>
      </w:pPr>
      <w:r>
        <w:rPr/>
        <w:t>朱海东先生，男，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10</w:t>
      </w:r>
      <w:r>
        <w:rPr/>
        <w:t>月出生，中国国籍，无境外永久居留权，毕业于中国科技经营管理大学外贸英语专业大专 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月起任职于北京长策天成公关策划有限公司。现任本公司董事。</w:t>
      </w:r>
    </w:p>
    <w:p>
      <w:pPr>
        <w:pStyle w:val="BodyText"/>
        <w:spacing w:line="300" w:lineRule="auto" w:before="13"/>
        <w:ind w:right="193" w:firstLine="419"/>
        <w:jc w:val="both"/>
      </w:pPr>
      <w:r>
        <w:rPr>
          <w:spacing w:val="-2"/>
        </w:rPr>
        <w:t>朱曼女士，女，</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6</w:t>
      </w:r>
      <w:r>
        <w:rPr>
          <w:spacing w:val="-2"/>
        </w:rPr>
        <w:t>月出生，中国国籍，无境外永久居留权，毕业于湖南财政经济学院财会专业，大专学历。近五</w:t>
      </w:r>
      <w:r>
        <w:rPr/>
        <w:t> 年均在本公司任职，现任公司董事，副总经理。</w:t>
      </w:r>
    </w:p>
    <w:p>
      <w:pPr>
        <w:pStyle w:val="BodyText"/>
        <w:spacing w:line="300" w:lineRule="auto" w:before="31"/>
        <w:ind w:right="193" w:firstLine="419"/>
        <w:jc w:val="both"/>
      </w:pPr>
      <w:r>
        <w:rPr>
          <w:spacing w:val="-2"/>
        </w:rPr>
        <w:t>薛向东先生，男，</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2</w:t>
      </w:r>
      <w:r>
        <w:rPr>
          <w:spacing w:val="-2"/>
        </w:rPr>
        <w:t>月出生，中国国籍，无境外永久居留权，毕业于湖南大学计算机科学系，本科学历，学士学</w:t>
      </w:r>
      <w:r>
        <w:rPr/>
        <w:t> 位。</w:t>
      </w:r>
      <w:r>
        <w:rPr>
          <w:rFonts w:ascii="Times New Roman" w:hAnsi="Times New Roman" w:cs="Times New Roman" w:eastAsia="Times New Roman" w:hint="default"/>
        </w:rPr>
        <w:t>2006</w:t>
      </w:r>
      <w:r>
        <w:rPr/>
        <w:t>年起至今，任东华软件股份公司董事长。现任公司董事。</w:t>
      </w:r>
    </w:p>
    <w:p>
      <w:pPr>
        <w:pStyle w:val="BodyText"/>
        <w:spacing w:line="300" w:lineRule="auto" w:before="13"/>
        <w:ind w:left="153" w:right="190" w:firstLine="371"/>
        <w:jc w:val="both"/>
      </w:pPr>
      <w:r>
        <w:rPr/>
        <w:t>李琪女士，女，</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8</w:t>
      </w:r>
      <w:r>
        <w:rPr/>
        <w:t>月出生，中国国籍，无境外永久居留权，毕业于北京师范大学，中国注册会计师，注册资产评 </w:t>
      </w:r>
      <w:r>
        <w:rPr>
          <w:spacing w:val="-2"/>
        </w:rPr>
        <w:t>估师。</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2012</w:t>
      </w:r>
      <w:r>
        <w:rPr>
          <w:spacing w:val="-2"/>
        </w:rPr>
        <w:t>年任汉华评值有限公司中国业务部总经理、董事，现任中发国际资产评估有限公司董事、总经理，并担</w:t>
      </w:r>
      <w:r>
        <w:rPr>
          <w:spacing w:val="-63"/>
        </w:rPr>
        <w:t> </w:t>
      </w:r>
      <w:r>
        <w:rPr>
          <w:spacing w:val="-63"/>
        </w:rPr>
      </w:r>
      <w:r>
        <w:rPr/>
        <w:t>任本公司独立董事。</w:t>
      </w:r>
    </w:p>
    <w:p>
      <w:pPr>
        <w:pStyle w:val="BodyText"/>
        <w:spacing w:line="314" w:lineRule="auto" w:before="31"/>
        <w:ind w:right="189" w:firstLine="420"/>
        <w:jc w:val="both"/>
      </w:pPr>
      <w:r>
        <w:rPr>
          <w:spacing w:val="-1"/>
        </w:rPr>
        <w:t>叶路先生，男，</w:t>
      </w:r>
      <w:r>
        <w:rPr>
          <w:rFonts w:ascii="Times New Roman" w:hAnsi="Times New Roman" w:cs="Times New Roman" w:eastAsia="Times New Roman" w:hint="default"/>
          <w:spacing w:val="-1"/>
        </w:rPr>
        <w:t>1944</w:t>
      </w:r>
      <w:r>
        <w:rPr>
          <w:spacing w:val="-1"/>
        </w:rPr>
        <w:t>年</w:t>
      </w:r>
      <w:r>
        <w:rPr>
          <w:rFonts w:ascii="Times New Roman" w:hAnsi="Times New Roman" w:cs="Times New Roman" w:eastAsia="Times New Roman" w:hint="default"/>
          <w:spacing w:val="-1"/>
        </w:rPr>
        <w:t>8</w:t>
      </w:r>
      <w:r>
        <w:rPr>
          <w:spacing w:val="-1"/>
        </w:rPr>
        <w:t>月出生，中国国籍，无境外永久居留权，毕业于清华大学，兼职教授、博士生导师。</w:t>
      </w:r>
      <w:r>
        <w:rPr>
          <w:rFonts w:ascii="Times New Roman" w:hAnsi="Times New Roman" w:cs="Times New Roman" w:eastAsia="Times New Roman" w:hint="default"/>
          <w:spacing w:val="-1"/>
        </w:rPr>
        <w:t>1994</w:t>
      </w:r>
      <w:r>
        <w:rPr>
          <w:spacing w:val="-1"/>
        </w:rPr>
        <w:t>年至</w:t>
      </w:r>
      <w:r>
        <w:rPr/>
        <w:t> </w:t>
      </w:r>
      <w:r>
        <w:rPr>
          <w:spacing w:val="-2"/>
        </w:rPr>
        <w:t>今任国防科技大学教授及博士生导师；现任北京理工大学兼职教授及博士生导师、中国发展战略学研究会副理事长、中国信</w:t>
      </w:r>
      <w:r>
        <w:rPr>
          <w:spacing w:val="-63"/>
        </w:rPr>
        <w:t> </w:t>
      </w:r>
      <w:r>
        <w:rPr>
          <w:spacing w:val="-63"/>
        </w:rPr>
      </w:r>
      <w:r>
        <w:rPr>
          <w:spacing w:val="-2"/>
        </w:rPr>
        <w:t>息产业商会副会长、中国计算机用户协会副理事长、工业与信息化部电子发展基金项目评审组成员、国家发改委信息安全专</w:t>
      </w:r>
      <w:r>
        <w:rPr>
          <w:spacing w:val="-63"/>
        </w:rPr>
        <w:t> </w:t>
      </w:r>
      <w:r>
        <w:rPr>
          <w:spacing w:val="-63"/>
        </w:rPr>
      </w:r>
      <w:r>
        <w:rPr>
          <w:spacing w:val="-2"/>
        </w:rPr>
        <w:t>项项目评审组成员，同时兼任飞天诚信科技股份有限公司独立董事、上海众恒信息产业股份有限公司独立董事，并担任本公</w:t>
      </w:r>
      <w:r>
        <w:rPr>
          <w:spacing w:val="-63"/>
        </w:rPr>
        <w:t> </w:t>
      </w:r>
      <w:r>
        <w:rPr>
          <w:spacing w:val="-63"/>
        </w:rPr>
      </w:r>
      <w:r>
        <w:rPr/>
        <w:t>司独立董事。</w:t>
      </w:r>
    </w:p>
    <w:p>
      <w:pPr>
        <w:pStyle w:val="BodyText"/>
        <w:spacing w:line="307" w:lineRule="auto" w:before="20"/>
        <w:ind w:right="190" w:firstLine="419"/>
        <w:jc w:val="both"/>
      </w:pPr>
      <w:r>
        <w:rPr>
          <w:spacing w:val="-2"/>
        </w:rPr>
        <w:t>甘培忠先生，男，</w:t>
      </w:r>
      <w:r>
        <w:rPr>
          <w:rFonts w:ascii="Times New Roman" w:hAnsi="Times New Roman" w:cs="Times New Roman" w:eastAsia="Times New Roman" w:hint="default"/>
          <w:spacing w:val="-2"/>
        </w:rPr>
        <w:t>1956</w:t>
      </w:r>
      <w:r>
        <w:rPr>
          <w:spacing w:val="-2"/>
        </w:rPr>
        <w:t>年</w:t>
      </w:r>
      <w:r>
        <w:rPr>
          <w:rFonts w:ascii="Times New Roman" w:hAnsi="Times New Roman" w:cs="Times New Roman" w:eastAsia="Times New Roman" w:hint="default"/>
          <w:spacing w:val="-2"/>
        </w:rPr>
        <w:t>5</w:t>
      </w:r>
      <w:r>
        <w:rPr>
          <w:spacing w:val="-2"/>
        </w:rPr>
        <w:t>月出生，中国国籍，无境外居留权，毕业于北京大学，法学博士，北京大学法学院教授、博</w:t>
      </w:r>
      <w:r>
        <w:rPr/>
        <w:t> </w:t>
      </w:r>
      <w:r>
        <w:rPr>
          <w:spacing w:val="-2"/>
        </w:rPr>
        <w:t>士生导师，北京大学企业与公司法研究中心主任，北京大学经济法研究所副所长。甘培忠先生</w:t>
      </w:r>
      <w:r>
        <w:rPr>
          <w:rFonts w:ascii="Times New Roman" w:hAnsi="Times New Roman" w:cs="Times New Roman" w:eastAsia="Times New Roman" w:hint="default"/>
          <w:spacing w:val="-2"/>
        </w:rPr>
        <w:t>2002</w:t>
      </w:r>
      <w:r>
        <w:rPr>
          <w:spacing w:val="-2"/>
        </w:rPr>
        <w:t>年起至今任北京大学法学</w:t>
      </w:r>
      <w:r>
        <w:rPr>
          <w:spacing w:val="-61"/>
        </w:rPr>
        <w:t> </w:t>
      </w:r>
      <w:r>
        <w:rPr>
          <w:spacing w:val="-61"/>
        </w:rPr>
      </w:r>
      <w:r>
        <w:rPr>
          <w:spacing w:val="-2"/>
        </w:rPr>
        <w:t>院教授。现任中国证券法学研究会常务副会长，中国经济法学研究会常务理事，全国人大法工委咨询专家，最高人民法院案</w:t>
      </w:r>
      <w:r>
        <w:rPr>
          <w:spacing w:val="-65"/>
        </w:rPr>
        <w:t> </w:t>
      </w:r>
      <w:r>
        <w:rPr>
          <w:spacing w:val="-65"/>
        </w:rPr>
      </w:r>
      <w:r>
        <w:rPr>
          <w:spacing w:val="-2"/>
        </w:rPr>
        <w:t>例指导工作专家委员会委员，北京市人大立法咨询专家，北京市检察院第二分院咨询专家委员，河北省廊坊市中级人民法院</w:t>
      </w:r>
      <w:r>
        <w:rPr>
          <w:spacing w:val="-63"/>
        </w:rPr>
        <w:t> </w:t>
      </w:r>
      <w:r>
        <w:rPr>
          <w:spacing w:val="-63"/>
        </w:rPr>
      </w:r>
      <w:r>
        <w:rPr/>
        <w:t>专家咨询委员，北京市海淀区法院专家顾问，深圳国际仲裁院仲裁员</w:t>
      </w:r>
      <w:r>
        <w:rPr>
          <w:rFonts w:ascii="Times New Roman" w:hAnsi="Times New Roman" w:cs="Times New Roman" w:eastAsia="Times New Roman" w:hint="default"/>
        </w:rPr>
        <w:t>,</w:t>
      </w:r>
      <w:r>
        <w:rPr/>
        <w:t>北京市华鹏律师事务所兼职律师。同时兼任北京北辰 实业股份有限公司、雏鹰农牧集团股份有限公司独立董事。公司独立董事。</w:t>
      </w:r>
    </w:p>
    <w:p>
      <w:pPr>
        <w:pStyle w:val="BodyText"/>
        <w:spacing w:line="300" w:lineRule="auto" w:before="26"/>
        <w:ind w:right="195" w:firstLine="420"/>
        <w:jc w:val="both"/>
      </w:pPr>
      <w:r>
        <w:rPr>
          <w:spacing w:val="-2"/>
        </w:rPr>
        <w:t>李春青先生，男，</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4</w:t>
      </w:r>
      <w:r>
        <w:rPr>
          <w:spacing w:val="-2"/>
        </w:rPr>
        <w:t>月出生，中国国籍，无境外永久居留权，毕业于大连理工大学计算机科学与应用专业，研究</w:t>
      </w:r>
      <w:r>
        <w:rPr/>
        <w:t> 生学历，硕士学位，高级工程师。近五年均在本公司任职，现任公司监事会主席。</w:t>
      </w:r>
    </w:p>
    <w:p>
      <w:pPr>
        <w:pStyle w:val="BodyText"/>
        <w:spacing w:line="300" w:lineRule="auto" w:before="31"/>
        <w:ind w:right="193" w:firstLine="419"/>
        <w:jc w:val="both"/>
      </w:pPr>
      <w:r>
        <w:rPr>
          <w:spacing w:val="-2"/>
        </w:rPr>
        <w:t>杨桦先生，男，</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5</w:t>
      </w:r>
      <w:r>
        <w:rPr>
          <w:spacing w:val="-2"/>
        </w:rPr>
        <w:t>月出生，中国国籍，无境外永久居留权，毕业于西华师范大学（原南充师范学院）汉语言文学</w:t>
      </w:r>
      <w:r>
        <w:rPr/>
        <w:t> 专业；本科学历，学士学位。近五年均在本公司任职，现任公司监事。</w:t>
      </w:r>
    </w:p>
    <w:p>
      <w:pPr>
        <w:pStyle w:val="BodyText"/>
        <w:spacing w:line="300" w:lineRule="auto" w:before="31"/>
        <w:ind w:right="104" w:firstLine="420"/>
        <w:jc w:val="both"/>
      </w:pPr>
      <w:r>
        <w:rPr>
          <w:spacing w:val="-2"/>
        </w:rPr>
        <w:t>张志勇先生，男，</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12</w:t>
      </w:r>
      <w:r>
        <w:rPr>
          <w:spacing w:val="-2"/>
        </w:rPr>
        <w:t>月出生，中国国籍，无境外永久居留权，毕业于天津轻工业学院财务会计专业，大专学历。</w:t>
      </w:r>
      <w:r>
        <w:rPr/>
        <w:t> 近五年均在本公司任职，现任商务部经理，并担任本公司职工代表监事。</w:t>
      </w:r>
    </w:p>
    <w:p>
      <w:pPr>
        <w:pStyle w:val="BodyText"/>
        <w:spacing w:line="240" w:lineRule="auto" w:before="31"/>
        <w:ind w:left="572" w:right="0"/>
        <w:jc w:val="left"/>
      </w:pPr>
      <w:r>
        <w:rPr>
          <w:spacing w:val="-3"/>
        </w:rPr>
        <w:t>沈惠中先生，男，</w:t>
      </w:r>
      <w:r>
        <w:rPr>
          <w:rFonts w:ascii="Times New Roman" w:hAnsi="Times New Roman" w:cs="Times New Roman" w:eastAsia="Times New Roman" w:hint="default"/>
          <w:spacing w:val="-3"/>
        </w:rPr>
        <w:t>1970</w:t>
      </w:r>
      <w:r>
        <w:rPr>
          <w:spacing w:val="-3"/>
        </w:rPr>
        <w:t>年</w:t>
      </w:r>
      <w:r>
        <w:rPr>
          <w:rFonts w:ascii="Times New Roman" w:hAnsi="Times New Roman" w:cs="Times New Roman" w:eastAsia="Times New Roman" w:hint="default"/>
          <w:spacing w:val="-3"/>
        </w:rPr>
        <w:t>6</w:t>
      </w:r>
      <w:r>
        <w:rPr>
          <w:spacing w:val="-3"/>
        </w:rPr>
        <w:t>月出生，中国国籍，中国香港特别行政区永久居民，毕业于香港中文大学（信息工程专业），</w:t>
      </w:r>
    </w:p>
    <w:p>
      <w:pPr>
        <w:pStyle w:val="BodyText"/>
        <w:spacing w:line="300" w:lineRule="auto" w:before="62"/>
        <w:ind w:left="572" w:right="209" w:hanging="421"/>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年，任普元信息技术有限责任公司，董事长兼总经理，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月至今，任公司总经理。 </w:t>
      </w:r>
      <w:r>
        <w:rPr>
          <w:spacing w:val="-2"/>
        </w:rPr>
        <w:t>徐少璞先生，男，</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5</w:t>
      </w:r>
      <w:r>
        <w:rPr>
          <w:spacing w:val="-2"/>
        </w:rPr>
        <w:t>月出生，中国国籍，无境外永久居留权，毕业于哈尔滨工业大学会计专业，本科学历，学士</w:t>
      </w:r>
    </w:p>
    <w:p>
      <w:pPr>
        <w:pStyle w:val="BodyText"/>
        <w:spacing w:line="300" w:lineRule="auto" w:before="13"/>
        <w:ind w:right="215" w:hanging="1"/>
        <w:jc w:val="left"/>
      </w:pPr>
      <w:r>
        <w:rPr/>
        <w:t>学位，中国注册会计师，高级会计师。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月，任首安工业消防股份有限公司财务总监。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月起在本公司 任职，现任本公司副总经理，同时担任本公司财务总监、董事会秘书。</w:t>
      </w:r>
    </w:p>
    <w:p>
      <w:pPr>
        <w:pStyle w:val="BodyText"/>
        <w:spacing w:line="300" w:lineRule="auto" w:before="31"/>
        <w:ind w:right="197" w:firstLine="419"/>
        <w:jc w:val="both"/>
      </w:pPr>
      <w:r>
        <w:rPr>
          <w:spacing w:val="-2"/>
        </w:rPr>
        <w:t>徐志东先生，</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w:t>
      </w:r>
      <w:r>
        <w:rPr>
          <w:spacing w:val="-2"/>
        </w:rPr>
        <w:t>月出生，中国国籍，无境外永久居留权，毕业于西北师范大学计算机应用专业，本科学历。近五</w:t>
      </w:r>
      <w:r>
        <w:rPr/>
        <w:t> 年均在本公司任职，现任公司副总经理。</w:t>
      </w:r>
    </w:p>
    <w:p>
      <w:pPr>
        <w:pStyle w:val="BodyText"/>
        <w:spacing w:line="300" w:lineRule="auto" w:before="31"/>
        <w:ind w:right="104" w:firstLine="420"/>
        <w:jc w:val="both"/>
      </w:pPr>
      <w:r>
        <w:rPr>
          <w:spacing w:val="-3"/>
        </w:rPr>
        <w:t>陈世英先生，男，</w:t>
      </w:r>
      <w:r>
        <w:rPr>
          <w:rFonts w:ascii="Times New Roman" w:hAnsi="Times New Roman" w:cs="Times New Roman" w:eastAsia="Times New Roman" w:hint="default"/>
          <w:spacing w:val="-3"/>
        </w:rPr>
        <w:t>1976</w:t>
      </w:r>
      <w:r>
        <w:rPr>
          <w:spacing w:val="-3"/>
        </w:rPr>
        <w:t>年</w:t>
      </w:r>
      <w:r>
        <w:rPr>
          <w:rFonts w:ascii="Times New Roman" w:hAnsi="Times New Roman" w:cs="Times New Roman" w:eastAsia="Times New Roman" w:hint="default"/>
          <w:spacing w:val="-3"/>
        </w:rPr>
        <w:t>4</w:t>
      </w:r>
      <w:r>
        <w:rPr>
          <w:spacing w:val="-3"/>
        </w:rPr>
        <w:t>月出生，中国国籍，无境外永久居留权，毕业于西安电子科技大学应用数学专业，本科学历，</w:t>
      </w:r>
      <w:r>
        <w:rPr/>
        <w:t> 学士学位。</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月，任</w:t>
      </w:r>
      <w:r>
        <w:rPr>
          <w:rFonts w:ascii="Times New Roman" w:hAnsi="Times New Roman" w:cs="Times New Roman" w:eastAsia="Times New Roman" w:hint="default"/>
        </w:rPr>
        <w:t>IBM</w:t>
      </w:r>
      <w:r>
        <w:rPr/>
        <w:t>公司资深销售经理；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月至今，本公司任职，现任公司副总经理。</w:t>
      </w:r>
    </w:p>
    <w:p>
      <w:pPr>
        <w:pStyle w:val="BodyText"/>
        <w:spacing w:line="300" w:lineRule="auto" w:before="13"/>
        <w:ind w:right="101" w:firstLine="419"/>
        <w:jc w:val="both"/>
      </w:pPr>
      <w:r>
        <w:rPr>
          <w:spacing w:val="-2"/>
        </w:rPr>
        <w:t>刘川先生，男，</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11</w:t>
      </w:r>
      <w:r>
        <w:rPr>
          <w:spacing w:val="-2"/>
        </w:rPr>
        <w:t>月出生，中国国籍，无境外永久居留权，毕业于北京大学微电子专业，本科学历，学士学位，</w:t>
      </w:r>
      <w:r>
        <w:rPr/>
        <w:t> 工程师。近五年均在本公司任职，现任公司副总经理。</w:t>
      </w:r>
    </w:p>
    <w:p>
      <w:pPr>
        <w:spacing w:line="240" w:lineRule="auto" w:before="0"/>
        <w:rPr>
          <w:rFonts w:ascii="宋体" w:hAnsi="宋体" w:cs="宋体" w:eastAsia="宋体" w:hint="default"/>
          <w:sz w:val="18"/>
          <w:szCs w:val="18"/>
        </w:rPr>
      </w:pPr>
    </w:p>
    <w:p>
      <w:pPr>
        <w:pStyle w:val="BodyText"/>
        <w:spacing w:line="240" w:lineRule="auto" w:before="148"/>
        <w:ind w:right="465"/>
        <w:jc w:val="left"/>
      </w:pPr>
      <w:r>
        <w:rPr/>
        <w:t>在股东单位任职情况</w:t>
      </w:r>
    </w:p>
    <w:p>
      <w:pPr>
        <w:pStyle w:val="BodyText"/>
        <w:spacing w:line="240" w:lineRule="auto" w:before="115"/>
        <w:ind w:right="46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0"/>
        <w:gridCol w:w="1066"/>
        <w:gridCol w:w="1195"/>
        <w:gridCol w:w="1330"/>
        <w:gridCol w:w="1589"/>
      </w:tblGrid>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9"/>
        <w:rPr>
          <w:rFonts w:ascii="宋体" w:hAnsi="宋体" w:cs="宋体" w:eastAsia="宋体" w:hint="default"/>
          <w:sz w:val="25"/>
          <w:szCs w:val="25"/>
        </w:rPr>
      </w:pPr>
      <w:r>
        <w:rPr/>
        <w:pict>
          <v:group style="position:absolute;margin-left:56.400002pt;margin-top:106.919479pt;width:478.95pt;height:657.4pt;mso-position-horizontal-relative:page;mso-position-vertical-relative:page;z-index:-835888" coordorigin="1128,2138" coordsize="9579,13148">
            <v:group style="position:absolute;left:1140;top:2153;width:1191;height:706" coordorigin="1140,2153" coordsize="1191,706">
              <v:shape style="position:absolute;left:1140;top:2153;width:1191;height:706" coordorigin="1140,2153" coordsize="1191,706" path="m1140,2858l2330,2858,2330,2153,1140,2153,1140,2858xe" filled="true" fillcolor="#d4d4d4" stroked="false">
                <v:path arrowok="t"/>
                <v:fill type="solid"/>
              </v:shape>
            </v:group>
            <v:group style="position:absolute;left:1162;top:2309;width:1145;height:394" coordorigin="1162,2309" coordsize="1145,394">
              <v:shape style="position:absolute;left:1162;top:2309;width:1145;height:394" coordorigin="1162,2309" coordsize="1145,394" path="m1162,2702l2306,2702,2306,2309,1162,2309,1162,2702xe" filled="true" fillcolor="#d4d4d4" stroked="false">
                <v:path arrowok="t"/>
                <v:fill type="solid"/>
              </v:shape>
            </v:group>
            <v:group style="position:absolute;left:2340;top:2153;width:3180;height:156" coordorigin="2340,2153" coordsize="3180,156">
              <v:shape style="position:absolute;left:2340;top:2153;width:3180;height:156" coordorigin="2340,2153" coordsize="3180,156" path="m2340,2309l5520,2309,5520,2153,2340,2153,2340,2309xe" filled="true" fillcolor="#d4d4d4" stroked="false">
                <v:path arrowok="t"/>
                <v:fill type="solid"/>
              </v:shape>
            </v:group>
            <v:group style="position:absolute;left:2340;top:2702;width:3180;height:156" coordorigin="2340,2702" coordsize="3180,156">
              <v:shape style="position:absolute;left:2340;top:2702;width:3180;height:156" coordorigin="2340,2702" coordsize="3180,156" path="m2340,2858l5520,2858,5520,2702,2340,2702,2340,2858xe" filled="true" fillcolor="#d4d4d4" stroked="false">
                <v:path arrowok="t"/>
                <v:fill type="solid"/>
              </v:shape>
            </v:group>
            <v:group style="position:absolute;left:2364;top:2309;width:3132;height:394" coordorigin="2364,2309" coordsize="3132,394">
              <v:shape style="position:absolute;left:2364;top:2309;width:3132;height:394" coordorigin="2364,2309" coordsize="3132,394" path="m2364,2702l5496,2702,5496,2309,2364,2309,2364,2702xe" filled="true" fillcolor="#d4d4d4" stroked="false">
                <v:path arrowok="t"/>
                <v:fill type="solid"/>
              </v:shape>
            </v:group>
            <v:group style="position:absolute;left:5530;top:2153;width:1054;height:706" coordorigin="5530,2153" coordsize="1054,706">
              <v:shape style="position:absolute;left:5530;top:2153;width:1054;height:706" coordorigin="5530,2153" coordsize="1054,706" path="m5530,2858l6583,2858,6583,2153,5530,2153,5530,2858xe" filled="true" fillcolor="#d4d4d4" stroked="false">
                <v:path arrowok="t"/>
                <v:fill type="solid"/>
              </v:shape>
            </v:group>
            <v:group style="position:absolute;left:5554;top:2153;width:1006;height:353" coordorigin="5554,2153" coordsize="1006,353">
              <v:shape style="position:absolute;left:5554;top:2153;width:1006;height:353" coordorigin="5554,2153" coordsize="1006,353" path="m5554,2506l6559,2506,6559,2153,5554,2153,5554,2506xe" filled="true" fillcolor="#d4d4d4" stroked="false">
                <v:path arrowok="t"/>
                <v:fill type="solid"/>
              </v:shape>
            </v:group>
            <v:group style="position:absolute;left:5554;top:2506;width:1006;height:353" coordorigin="5554,2506" coordsize="1006,353">
              <v:shape style="position:absolute;left:5554;top:2506;width:1006;height:353" coordorigin="5554,2506" coordsize="1006,353" path="m5554,2858l6559,2858,6559,2506,5554,2506,5554,2858xe" filled="true" fillcolor="#d4d4d4" stroked="false">
                <v:path arrowok="t"/>
                <v:fill type="solid"/>
              </v:shape>
            </v:group>
            <v:group style="position:absolute;left:6593;top:2153;width:1186;height:706" coordorigin="6593,2153" coordsize="1186,706">
              <v:shape style="position:absolute;left:6593;top:2153;width:1186;height:706" coordorigin="6593,2153" coordsize="1186,706" path="m6593,2858l7778,2858,7778,2153,6593,2153,6593,2858xe" filled="true" fillcolor="#d4d4d4" stroked="false">
                <v:path arrowok="t"/>
                <v:fill type="solid"/>
              </v:shape>
            </v:group>
            <v:group style="position:absolute;left:6617;top:2309;width:1140;height:394" coordorigin="6617,2309" coordsize="1140,394">
              <v:shape style="position:absolute;left:6617;top:2309;width:1140;height:394" coordorigin="6617,2309" coordsize="1140,394" path="m6617,2702l7757,2702,7757,2309,6617,2309,6617,2702xe" filled="true" fillcolor="#d4d4d4" stroked="false">
                <v:path arrowok="t"/>
                <v:fill type="solid"/>
              </v:shape>
            </v:group>
            <v:group style="position:absolute;left:7788;top:2153;width:1316;height:706" coordorigin="7788,2153" coordsize="1316,706">
              <v:shape style="position:absolute;left:7788;top:2153;width:1316;height:706" coordorigin="7788,2153" coordsize="1316,706" path="m7788,2858l9103,2858,9103,2153,7788,2153,7788,2858xe" filled="true" fillcolor="#d4d4d4" stroked="false">
                <v:path arrowok="t"/>
                <v:fill type="solid"/>
              </v:shape>
            </v:group>
            <v:group style="position:absolute;left:7812;top:2309;width:1268;height:394" coordorigin="7812,2309" coordsize="1268,394">
              <v:shape style="position:absolute;left:7812;top:2309;width:1268;height:394" coordorigin="7812,2309" coordsize="1268,394" path="m7812,2702l9079,2702,9079,2309,7812,2309,7812,2702xe" filled="true" fillcolor="#d4d4d4" stroked="false">
                <v:path arrowok="t"/>
                <v:fill type="solid"/>
              </v:shape>
            </v:group>
            <v:group style="position:absolute;left:9113;top:2153;width:1584;height:706" coordorigin="9113,2153" coordsize="1584,706">
              <v:shape style="position:absolute;left:9113;top:2153;width:1584;height:706" coordorigin="9113,2153" coordsize="1584,706" path="m9113,2858l10697,2858,10697,2153,9113,2153,9113,2858xe" filled="true" fillcolor="#d4d4d4" stroked="false">
                <v:path arrowok="t"/>
                <v:fill type="solid"/>
              </v:shape>
            </v:group>
            <v:group style="position:absolute;left:9137;top:2153;width:1536;height:353" coordorigin="9137,2153" coordsize="1536,353">
              <v:shape style="position:absolute;left:9137;top:2153;width:1536;height:353" coordorigin="9137,2153" coordsize="1536,353" path="m9137,2506l10673,2506,10673,2153,9137,2153,9137,2506xe" filled="true" fillcolor="#d4d4d4" stroked="false">
                <v:path arrowok="t"/>
                <v:fill type="solid"/>
              </v:shape>
            </v:group>
            <v:group style="position:absolute;left:9137;top:2506;width:1536;height:353" coordorigin="9137,2506" coordsize="1536,353">
              <v:shape style="position:absolute;left:9137;top:2506;width:1536;height:353" coordorigin="9137,2506" coordsize="1536,353" path="m9137,2858l10673,2858,10673,2506,9137,2506,9137,2858xe" filled="true" fillcolor="#d4d4d4" stroked="false">
                <v:path arrowok="t"/>
                <v:fill type="solid"/>
              </v:shape>
            </v:group>
            <v:group style="position:absolute;left:1138;top:2148;width:1191;height:2" coordorigin="1138,2148" coordsize="1191,2">
              <v:shape style="position:absolute;left:1138;top:2148;width:1191;height:2" coordorigin="1138,2148" coordsize="1191,0" path="m1138,2148l2328,2148e" filled="false" stroked="true" strokeweight=".48pt" strokecolor="#000000">
                <v:path arrowok="t"/>
              </v:shape>
            </v:group>
            <v:group style="position:absolute;left:2338;top:2148;width:3183;height:2" coordorigin="2338,2148" coordsize="3183,2">
              <v:shape style="position:absolute;left:2338;top:2148;width:3183;height:2" coordorigin="2338,2148" coordsize="3183,0" path="m2338,2148l5520,2148e" filled="false" stroked="true" strokeweight=".48pt" strokecolor="#000000">
                <v:path arrowok="t"/>
              </v:shape>
            </v:group>
            <v:group style="position:absolute;left:5530;top:2148;width:1054;height:2" coordorigin="5530,2148" coordsize="1054,2">
              <v:shape style="position:absolute;left:5530;top:2148;width:1054;height:2" coordorigin="5530,2148" coordsize="1054,0" path="m5530,2148l6583,2148e" filled="false" stroked="true" strokeweight=".48pt" strokecolor="#000000">
                <v:path arrowok="t"/>
              </v:shape>
            </v:group>
            <v:group style="position:absolute;left:6593;top:2148;width:1186;height:2" coordorigin="6593,2148" coordsize="1186,2">
              <v:shape style="position:absolute;left:6593;top:2148;width:1186;height:2" coordorigin="6593,2148" coordsize="1186,0" path="m6593,2148l7778,2148e" filled="false" stroked="true" strokeweight=".48pt" strokecolor="#000000">
                <v:path arrowok="t"/>
              </v:shape>
            </v:group>
            <v:group style="position:absolute;left:7788;top:2148;width:1316;height:2" coordorigin="7788,2148" coordsize="1316,2">
              <v:shape style="position:absolute;left:7788;top:2148;width:1316;height:2" coordorigin="7788,2148" coordsize="1316,0" path="m7788,2148l9103,2148e" filled="false" stroked="true" strokeweight=".48pt" strokecolor="#000000">
                <v:path arrowok="t"/>
              </v:shape>
            </v:group>
            <v:group style="position:absolute;left:9113;top:2148;width:1584;height:2" coordorigin="9113,2148" coordsize="1584,2">
              <v:shape style="position:absolute;left:9113;top:2148;width:1584;height:2" coordorigin="9113,2148" coordsize="1584,0" path="m9113,2148l10697,2148e" filled="false" stroked="true" strokeweight=".48pt" strokecolor="#000000">
                <v:path arrowok="t"/>
              </v:shape>
            </v:group>
            <v:group style="position:absolute;left:1138;top:2863;width:1191;height:2" coordorigin="1138,2863" coordsize="1191,2">
              <v:shape style="position:absolute;left:1138;top:2863;width:1191;height:2" coordorigin="1138,2863" coordsize="1191,0" path="m1138,2863l2328,2863e" filled="false" stroked="true" strokeweight=".481pt" strokecolor="#000000">
                <v:path arrowok="t"/>
              </v:shape>
            </v:group>
            <v:group style="position:absolute;left:2338;top:2863;width:3183;height:2" coordorigin="2338,2863" coordsize="3183,2">
              <v:shape style="position:absolute;left:2338;top:2863;width:3183;height:2" coordorigin="2338,2863" coordsize="3183,0" path="m2338,2863l5520,2863e" filled="false" stroked="true" strokeweight=".481pt" strokecolor="#000000">
                <v:path arrowok="t"/>
              </v:shape>
            </v:group>
            <v:group style="position:absolute;left:5530;top:2863;width:1054;height:2" coordorigin="5530,2863" coordsize="1054,2">
              <v:shape style="position:absolute;left:5530;top:2863;width:1054;height:2" coordorigin="5530,2863" coordsize="1054,0" path="m5530,2863l6583,2863e" filled="false" stroked="true" strokeweight=".481pt" strokecolor="#000000">
                <v:path arrowok="t"/>
              </v:shape>
            </v:group>
            <v:group style="position:absolute;left:6593;top:2863;width:1186;height:2" coordorigin="6593,2863" coordsize="1186,2">
              <v:shape style="position:absolute;left:6593;top:2863;width:1186;height:2" coordorigin="6593,2863" coordsize="1186,0" path="m6593,2863l7778,2863e" filled="false" stroked="true" strokeweight=".481pt" strokecolor="#000000">
                <v:path arrowok="t"/>
              </v:shape>
            </v:group>
            <v:group style="position:absolute;left:7788;top:2863;width:1316;height:2" coordorigin="7788,2863" coordsize="1316,2">
              <v:shape style="position:absolute;left:7788;top:2863;width:1316;height:2" coordorigin="7788,2863" coordsize="1316,0" path="m7788,2863l9103,2863e" filled="false" stroked="true" strokeweight=".481pt" strokecolor="#000000">
                <v:path arrowok="t"/>
              </v:shape>
            </v:group>
            <v:group style="position:absolute;left:9113;top:2863;width:1584;height:2" coordorigin="9113,2863" coordsize="1584,2">
              <v:shape style="position:absolute;left:9113;top:2863;width:1584;height:2" coordorigin="9113,2863" coordsize="1584,0" path="m9113,2863l10697,2863e" filled="false" stroked="true" strokeweight=".481pt" strokecolor="#000000">
                <v:path arrowok="t"/>
              </v:shape>
            </v:group>
            <v:group style="position:absolute;left:1133;top:2143;width:2;height:13138" coordorigin="1133,2143" coordsize="2,13138">
              <v:shape style="position:absolute;left:1133;top:2143;width:2;height:13138" coordorigin="1133,2143" coordsize="0,13138" path="m1133,2143l1133,15281e" filled="false" stroked="true" strokeweight=".48pt" strokecolor="#000000">
                <v:path arrowok="t"/>
              </v:shape>
            </v:group>
            <v:group style="position:absolute;left:2333;top:2143;width:2;height:13138" coordorigin="2333,2143" coordsize="2,13138">
              <v:shape style="position:absolute;left:2333;top:2143;width:2;height:13138" coordorigin="2333,2143" coordsize="0,13138" path="m2333,2143l2333,15281e" filled="false" stroked="true" strokeweight=".481pt" strokecolor="#000000">
                <v:path arrowok="t"/>
              </v:shape>
            </v:group>
            <v:group style="position:absolute;left:5525;top:2143;width:2;height:13138" coordorigin="5525,2143" coordsize="2,13138">
              <v:shape style="position:absolute;left:5525;top:2143;width:2;height:13138" coordorigin="5525,2143" coordsize="0,13138" path="m5525,2143l5525,15281e" filled="false" stroked="true" strokeweight=".48pt" strokecolor="#000000">
                <v:path arrowok="t"/>
              </v:shape>
            </v:group>
            <v:group style="position:absolute;left:6593;top:3672;width:1186;height:704" coordorigin="6593,3672" coordsize="1186,704">
              <v:shape style="position:absolute;left:6593;top:3672;width:1186;height:704" coordorigin="6593,3672" coordsize="1186,704" path="m6593,4375l7778,4375,7778,3672,6593,3672,6593,4375xe" filled="true" fillcolor="#ffffff" stroked="false">
                <v:path arrowok="t"/>
                <v:fill type="solid"/>
              </v:shape>
            </v:group>
            <v:group style="position:absolute;left:6617;top:3828;width:1140;height:392" coordorigin="6617,3828" coordsize="1140,392">
              <v:shape style="position:absolute;left:6617;top:3828;width:1140;height:392" coordorigin="6617,3828" coordsize="1140,392" path="m6617,4219l7757,4219,7757,3828,6617,3828,6617,4219xe" filled="true" fillcolor="#ffffff" stroked="false">
                <v:path arrowok="t"/>
                <v:fill type="solid"/>
              </v:shape>
            </v:group>
            <v:group style="position:absolute;left:6593;top:4385;width:1186;height:706" coordorigin="6593,4385" coordsize="1186,706">
              <v:shape style="position:absolute;left:6593;top:4385;width:1186;height:706" coordorigin="6593,4385" coordsize="1186,706" path="m6593,5090l7778,5090,7778,4385,6593,4385,6593,5090xe" filled="true" fillcolor="#ffffff" stroked="false">
                <v:path arrowok="t"/>
                <v:fill type="solid"/>
              </v:shape>
            </v:group>
            <v:group style="position:absolute;left:6617;top:4541;width:1140;height:394" coordorigin="6617,4541" coordsize="1140,394">
              <v:shape style="position:absolute;left:6617;top:4541;width:1140;height:394" coordorigin="6617,4541" coordsize="1140,394" path="m6617,4934l7757,4934,7757,4541,6617,4541,6617,4934xe" filled="true" fillcolor="#ffffff" stroked="false">
                <v:path arrowok="t"/>
                <v:fill type="solid"/>
              </v:shape>
            </v:group>
            <v:group style="position:absolute;left:6593;top:5813;width:1186;height:706" coordorigin="6593,5813" coordsize="1186,706">
              <v:shape style="position:absolute;left:6593;top:5813;width:1186;height:706" coordorigin="6593,5813" coordsize="1186,706" path="m6593,6518l7778,6518,7778,5813,6593,5813,6593,6518xe" filled="true" fillcolor="#ffffff" stroked="false">
                <v:path arrowok="t"/>
                <v:fill type="solid"/>
              </v:shape>
            </v:group>
            <v:group style="position:absolute;left:6617;top:5969;width:1140;height:394" coordorigin="6617,5969" coordsize="1140,394">
              <v:shape style="position:absolute;left:6617;top:5969;width:1140;height:394" coordorigin="6617,5969" coordsize="1140,394" path="m6617,6362l7757,6362,7757,5969,6617,5969,6617,6362xe" filled="true" fillcolor="#ffffff" stroked="false">
                <v:path arrowok="t"/>
                <v:fill type="solid"/>
              </v:shape>
            </v:group>
            <v:group style="position:absolute;left:6593;top:6528;width:1186;height:704" coordorigin="6593,6528" coordsize="1186,704">
              <v:shape style="position:absolute;left:6593;top:6528;width:1186;height:704" coordorigin="6593,6528" coordsize="1186,704" path="m6593,7231l7778,7231,7778,6528,6593,6528,6593,7231xe" filled="true" fillcolor="#ffffff" stroked="false">
                <v:path arrowok="t"/>
                <v:fill type="solid"/>
              </v:shape>
            </v:group>
            <v:group style="position:absolute;left:6617;top:6684;width:1140;height:392" coordorigin="6617,6684" coordsize="1140,392">
              <v:shape style="position:absolute;left:6617;top:6684;width:1140;height:392" coordorigin="6617,6684" coordsize="1140,392" path="m6617,7075l7757,7075,7757,6684,6617,6684,6617,7075xe" filled="true" fillcolor="#ffffff" stroked="false">
                <v:path arrowok="t"/>
                <v:fill type="solid"/>
              </v:shape>
            </v:group>
            <v:group style="position:absolute;left:6588;top:2143;width:2;height:13138" coordorigin="6588,2143" coordsize="2,13138">
              <v:shape style="position:absolute;left:6588;top:2143;width:2;height:13138" coordorigin="6588,2143" coordsize="0,13138" path="m6588,2143l6588,15281e" filled="false" stroked="true" strokeweight=".481pt" strokecolor="#000000">
                <v:path arrowok="t"/>
              </v:shape>
            </v:group>
            <v:group style="position:absolute;left:7783;top:2143;width:2;height:13138" coordorigin="7783,2143" coordsize="2,13138">
              <v:shape style="position:absolute;left:7783;top:2143;width:2;height:13138" coordorigin="7783,2143" coordsize="0,13138" path="m7783,2143l7783,15281e" filled="false" stroked="true" strokeweight=".481pt" strokecolor="#000000">
                <v:path arrowok="t"/>
              </v:shape>
            </v:group>
            <v:group style="position:absolute;left:9108;top:2143;width:2;height:13138" coordorigin="9108,2143" coordsize="2,13138">
              <v:shape style="position:absolute;left:9108;top:2143;width:2;height:13138" coordorigin="9108,2143" coordsize="0,13138" path="m9108,2143l9108,15281e" filled="false" stroked="true" strokeweight=".481pt" strokecolor="#000000">
                <v:path arrowok="t"/>
              </v:shape>
            </v:group>
            <v:group style="position:absolute;left:10702;top:2143;width:2;height:13138" coordorigin="10702,2143" coordsize="2,13138">
              <v:shape style="position:absolute;left:10702;top:2143;width:2;height:13138" coordorigin="10702,2143" coordsize="0,13138" path="m10702,2143l10702,15281e" filled="false" stroked="true" strokeweight=".48pt" strokecolor="#000000">
                <v:path arrowok="t"/>
              </v:shape>
            </v:group>
            <w10:wrap type="none"/>
          </v:group>
        </w:pict>
      </w:r>
    </w:p>
    <w:p>
      <w:pPr>
        <w:pStyle w:val="BodyText"/>
        <w:spacing w:line="240" w:lineRule="auto" w:before="44"/>
        <w:ind w:right="0"/>
        <w:jc w:val="left"/>
      </w:pPr>
      <w:r>
        <w:rPr/>
        <w:t>在其他单位任职情况</w:t>
      </w:r>
    </w:p>
    <w:p>
      <w:pPr>
        <w:spacing w:line="240" w:lineRule="auto" w:before="7"/>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391" w:hRule="exact"/>
        </w:trPr>
        <w:tc>
          <w:tcPr>
            <w:tcW w:w="956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tc>
      </w:tr>
      <w:tr>
        <w:trPr>
          <w:trHeight w:val="825" w:hRule="exact"/>
        </w:trPr>
        <w:tc>
          <w:tcPr>
            <w:tcW w:w="1200" w:type="dxa"/>
            <w:tcBorders>
              <w:top w:val="nil" w:sz="6" w:space="0" w:color="auto"/>
              <w:left w:val="nil" w:sz="6" w:space="0" w:color="auto"/>
              <w:bottom w:val="nil" w:sz="6" w:space="0" w:color="auto"/>
              <w:right w:val="nil" w:sz="6" w:space="0" w:color="auto"/>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nil" w:sz="6" w:space="0" w:color="auto"/>
              <w:left w:val="nil" w:sz="6" w:space="0" w:color="auto"/>
              <w:bottom w:val="nil" w:sz="6" w:space="0" w:color="auto"/>
              <w:right w:val="nil" w:sz="6" w:space="0" w:color="auto"/>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nil" w:sz="6" w:space="0" w:color="auto"/>
              <w:left w:val="nil" w:sz="6" w:space="0" w:color="auto"/>
              <w:bottom w:val="nil" w:sz="6" w:space="0" w:color="auto"/>
              <w:right w:val="nil" w:sz="6" w:space="0" w:color="auto"/>
            </w:tcBorders>
            <w:shd w:val="clear" w:color="auto" w:fill="D4D4D4"/>
          </w:tcPr>
          <w:p>
            <w:pPr>
              <w:pStyle w:val="TableParagraph"/>
              <w:spacing w:line="316" w:lineRule="auto" w:before="53"/>
              <w:ind w:left="81" w:right="7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nil" w:sz="6" w:space="0" w:color="auto"/>
              <w:left w:val="nil" w:sz="6" w:space="0" w:color="auto"/>
              <w:bottom w:val="nil" w:sz="6" w:space="0" w:color="auto"/>
              <w:right w:val="nil" w:sz="6" w:space="0" w:color="auto"/>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nil" w:sz="6" w:space="0" w:color="auto"/>
              <w:left w:val="nil" w:sz="6" w:space="0" w:color="auto"/>
              <w:bottom w:val="nil" w:sz="6" w:space="0" w:color="auto"/>
              <w:right w:val="nil" w:sz="6" w:space="0" w:color="auto"/>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nil" w:sz="6" w:space="0" w:color="auto"/>
              <w:left w:val="nil" w:sz="6" w:space="0" w:color="auto"/>
              <w:bottom w:val="nil" w:sz="6" w:space="0" w:color="auto"/>
              <w:right w:val="nil" w:sz="6" w:space="0" w:color="auto"/>
            </w:tcBorders>
            <w:shd w:val="clear" w:color="auto" w:fill="D4D4D4"/>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291" w:hRule="exact"/>
        </w:trPr>
        <w:tc>
          <w:tcPr>
            <w:tcW w:w="1200"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3192"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nil" w:sz="6" w:space="0" w:color="auto"/>
              <w:left w:val="nil" w:sz="6" w:space="0" w:color="auto"/>
              <w:bottom w:val="single" w:sz="4" w:space="0" w:color="000000"/>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中国软件行业协会中间件分会</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195" w:type="dxa"/>
            <w:tcBorders>
              <w:top w:val="single" w:sz="4" w:space="0" w:color="000000"/>
              <w:left w:val="nil" w:sz="6" w:space="0" w:color="auto"/>
              <w:bottom w:val="single" w:sz="4" w:space="0" w:color="000000"/>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c>
          <w:tcPr>
            <w:tcW w:w="2258" w:type="dxa"/>
            <w:gridSpan w:val="2"/>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1147"/>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325" w:type="dxa"/>
            <w:tcBorders>
              <w:top w:val="single" w:sz="4" w:space="0" w:color="000000"/>
              <w:left w:val="nil" w:sz="6" w:space="0" w:color="auto"/>
              <w:bottom w:val="single" w:sz="4" w:space="0" w:color="000000"/>
              <w:right w:val="nil" w:sz="6" w:space="0" w:color="auto"/>
            </w:tcBorders>
          </w:tcPr>
          <w:p>
            <w:pP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c>
          <w:tcPr>
            <w:tcW w:w="2258" w:type="dxa"/>
            <w:gridSpan w:val="2"/>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1147"/>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325" w:type="dxa"/>
            <w:tcBorders>
              <w:top w:val="single" w:sz="4" w:space="0" w:color="000000"/>
              <w:left w:val="nil" w:sz="6" w:space="0" w:color="auto"/>
              <w:bottom w:val="single" w:sz="4" w:space="0" w:color="000000"/>
              <w:right w:val="nil" w:sz="6" w:space="0" w:color="auto"/>
            </w:tcBorders>
          </w:tcPr>
          <w:p>
            <w:pP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31" w:right="98"/>
              <w:jc w:val="left"/>
              <w:rPr>
                <w:rFonts w:ascii="宋体" w:hAnsi="宋体" w:cs="宋体" w:eastAsia="宋体" w:hint="default"/>
                <w:sz w:val="18"/>
                <w:szCs w:val="18"/>
              </w:rPr>
            </w:pPr>
            <w:r>
              <w:rPr>
                <w:rFonts w:ascii="宋体" w:hAnsi="宋体" w:cs="宋体" w:eastAsia="宋体" w:hint="default"/>
                <w:sz w:val="18"/>
                <w:szCs w:val="18"/>
              </w:rPr>
              <w:t>中国科学院大学工程管理与信息技术学 院</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1195" w:type="dxa"/>
            <w:tcBorders>
              <w:top w:val="single" w:sz="4" w:space="0" w:color="000000"/>
              <w:left w:val="nil" w:sz="6" w:space="0" w:color="auto"/>
              <w:bottom w:val="single" w:sz="4" w:space="0" w:color="000000"/>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c>
          <w:tcPr>
            <w:tcW w:w="2258" w:type="dxa"/>
            <w:gridSpan w:val="2"/>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1147"/>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325" w:type="dxa"/>
            <w:tcBorders>
              <w:top w:val="single" w:sz="4" w:space="0" w:color="000000"/>
              <w:left w:val="nil" w:sz="6" w:space="0" w:color="auto"/>
              <w:bottom w:val="single" w:sz="4" w:space="0" w:color="000000"/>
              <w:right w:val="nil" w:sz="6" w:space="0" w:color="auto"/>
            </w:tcBorders>
          </w:tcPr>
          <w:p>
            <w:pP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3" w:hRule="exact"/>
        </w:trPr>
        <w:tc>
          <w:tcPr>
            <w:tcW w:w="9569" w:type="dxa"/>
            <w:gridSpan w:val="6"/>
            <w:tcBorders>
              <w:top w:val="nil" w:sz="6" w:space="0" w:color="auto"/>
              <w:left w:val="nil" w:sz="6" w:space="0" w:color="auto"/>
              <w:bottom w:val="nil" w:sz="6" w:space="0" w:color="auto"/>
              <w:right w:val="nil" w:sz="6" w:space="0" w:color="auto"/>
            </w:tcBorders>
          </w:tcPr>
          <w:p>
            <w:pPr>
              <w:pStyle w:val="TableParagraph"/>
              <w:spacing w:line="196" w:lineRule="exact" w:before="53"/>
              <w:ind w:left="352" w:right="0"/>
              <w:jc w:val="center"/>
              <w:rPr>
                <w:rFonts w:ascii="宋体" w:hAnsi="宋体" w:cs="宋体" w:eastAsia="宋体" w:hint="default"/>
                <w:sz w:val="18"/>
                <w:szCs w:val="18"/>
              </w:rPr>
            </w:pPr>
            <w:r>
              <w:rPr>
                <w:rFonts w:ascii="宋体" w:hAnsi="宋体" w:cs="宋体" w:eastAsia="宋体" w:hint="default"/>
                <w:sz w:val="18"/>
                <w:szCs w:val="18"/>
              </w:rPr>
              <w:t>法定代表人、</w:t>
            </w:r>
          </w:p>
          <w:p>
            <w:pPr>
              <w:pStyle w:val="TableParagraph"/>
              <w:tabs>
                <w:tab w:pos="1231" w:val="left" w:leader="none"/>
                <w:tab w:pos="8003" w:val="left" w:leader="none"/>
              </w:tabs>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孙亚明</w:t>
              <w:tab/>
              <w:t>北京东方通宇技术有限公司</w:t>
              <w:tab/>
              <w:t>否</w:t>
            </w:r>
          </w:p>
        </w:tc>
      </w:tr>
      <w:tr>
        <w:trPr>
          <w:trHeight w:val="279" w:hRule="exact"/>
        </w:trPr>
        <w:tc>
          <w:tcPr>
            <w:tcW w:w="1200" w:type="dxa"/>
            <w:tcBorders>
              <w:top w:val="nil" w:sz="6" w:space="0" w:color="auto"/>
              <w:left w:val="nil" w:sz="6" w:space="0" w:color="auto"/>
              <w:bottom w:val="single" w:sz="4" w:space="0" w:color="000000"/>
              <w:right w:val="nil" w:sz="6" w:space="0" w:color="auto"/>
            </w:tcBorders>
          </w:tcPr>
          <w:p>
            <w:pPr/>
          </w:p>
        </w:tc>
        <w:tc>
          <w:tcPr>
            <w:tcW w:w="3192"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nil" w:sz="6" w:space="0" w:color="auto"/>
              <w:left w:val="nil" w:sz="6" w:space="0" w:color="auto"/>
              <w:bottom w:val="single" w:sz="4" w:space="0" w:color="000000"/>
              <w:right w:val="nil" w:sz="6" w:space="0" w:color="auto"/>
            </w:tcBorders>
          </w:tcPr>
          <w:p>
            <w:pP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曼</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北京玉贝科技有限公司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天津东华博雅有限公司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执行董事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11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63"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中发国际资产评估有限公司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国防科技大学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兼职教授、博</w:t>
            </w:r>
            <w:r>
              <w:rPr>
                <w:rFonts w:ascii="宋体" w:hAnsi="宋体" w:cs="宋体" w:eastAsia="宋体" w:hint="default"/>
                <w:sz w:val="18"/>
                <w:szCs w:val="18"/>
              </w:rPr>
              <w:t> 士生导师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中国发展战略学研究会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中国信息产业商会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中国计算机用户协会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上海众恒信息产业股份有限公司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北京大学法学院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北京北辰实业股份有限公司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雏鹰农牧集团股份有限公司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福建福昕软件开发股份有限公司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河北晓进机械制造股份有限公司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最高人民法院案例指导委员会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中国法学会证券法学研究会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5"/>
              <w:jc w:val="left"/>
              <w:rPr>
                <w:rFonts w:ascii="宋体" w:hAnsi="宋体" w:cs="宋体" w:eastAsia="宋体" w:hint="default"/>
                <w:sz w:val="18"/>
                <w:szCs w:val="18"/>
              </w:rPr>
            </w:pPr>
            <w:r>
              <w:rPr>
                <w:rFonts w:ascii="宋体" w:hAnsi="宋体" w:cs="宋体" w:eastAsia="宋体" w:hint="default"/>
                <w:sz w:val="18"/>
                <w:szCs w:val="18"/>
              </w:rPr>
              <w:t>中国科学院大学工程管理与信息技术学 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全国信息技术标准化委员会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北京长风信息技术产业联盟标准委员会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董事、监事、高级管理人员报酬情况" w:id="93"/>
      <w:bookmarkEnd w:id="93"/>
      <w:r>
        <w:rPr>
          <w:b w:val="0"/>
          <w:bCs w:val="0"/>
        </w:rPr>
      </w: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9"/>
        <w:gridCol w:w="5309"/>
      </w:tblGrid>
      <w:tr>
        <w:trPr>
          <w:trHeight w:val="1025" w:hRule="exact"/>
        </w:trPr>
        <w:tc>
          <w:tcPr>
            <w:tcW w:w="4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pacing w:val="-5"/>
                <w:sz w:val="18"/>
                <w:szCs w:val="18"/>
              </w:rPr>
              <w:t>在公司任职的董事、监事和高级管理人员的报酬按照公司董事会《薪</w:t>
            </w:r>
            <w:r>
              <w:rPr>
                <w:rFonts w:ascii="宋体" w:hAnsi="宋体" w:cs="宋体" w:eastAsia="宋体" w:hint="default"/>
                <w:sz w:val="18"/>
                <w:szCs w:val="18"/>
              </w:rPr>
              <w:t> 酬与考核委员会议事规则》的规定，结合其经营绩效、工作能力、 岗位职级等考核确定并发放。</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外部董事不在公司领取薪酬。在公司任职的董事、监事不另外支付</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259"/>
        <w:gridCol w:w="5309"/>
      </w:tblGrid>
      <w:tr>
        <w:trPr>
          <w:trHeight w:val="674" w:hRule="exact"/>
        </w:trPr>
        <w:tc>
          <w:tcPr>
            <w:tcW w:w="425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3"/>
              <w:jc w:val="left"/>
              <w:rPr>
                <w:rFonts w:ascii="宋体" w:hAnsi="宋体" w:cs="宋体" w:eastAsia="宋体" w:hint="default"/>
                <w:sz w:val="18"/>
                <w:szCs w:val="18"/>
              </w:rPr>
            </w:pPr>
            <w:r>
              <w:rPr>
                <w:rFonts w:ascii="宋体" w:hAnsi="宋体" w:cs="宋体" w:eastAsia="宋体" w:hint="default"/>
                <w:sz w:val="18"/>
                <w:szCs w:val="18"/>
              </w:rPr>
              <w:t>津贴。独立董事津贴根据经股东大会审议通过的《独立董事津贴管 理办法》相关规定进行支付。</w:t>
            </w:r>
          </w:p>
        </w:tc>
      </w:tr>
      <w:tr>
        <w:trPr>
          <w:trHeight w:val="1025" w:hRule="exact"/>
        </w:trPr>
        <w:tc>
          <w:tcPr>
            <w:tcW w:w="4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依据公司盈利水平及董事、监事、高级管理人员的职责履行情况并 结合年度绩效完成情况综合确定。其中独董领用津贴，不享受公司 其他薪金保险等待遇。</w:t>
            </w:r>
          </w:p>
        </w:tc>
      </w:tr>
    </w:tbl>
    <w:p>
      <w:pPr>
        <w:pStyle w:val="BodyText"/>
        <w:spacing w:line="240" w:lineRule="auto" w:before="49"/>
        <w:ind w:right="0"/>
        <w:jc w:val="left"/>
      </w:pPr>
      <w:r>
        <w:rPr/>
        <w:t>公司报告期内董事、监事和高级管理人员报酬情况</w:t>
      </w:r>
    </w:p>
    <w:p>
      <w:pPr>
        <w:pStyle w:val="BodyText"/>
        <w:spacing w:line="240" w:lineRule="auto" w:before="117"/>
        <w:ind w:left="0" w:right="153"/>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w:t>
            </w:r>
            <w:r>
              <w:rPr>
                <w:rFonts w:ascii="Times New Roman"/>
                <w:sz w:val="18"/>
              </w:rPr>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w:t>
            </w:r>
            <w:r>
              <w:rPr>
                <w:rFonts w:ascii="Times New Roman"/>
                <w:sz w:val="18"/>
              </w:rPr>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17.47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17.47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9"/>
              <w:jc w:val="both"/>
              <w:rPr>
                <w:rFonts w:ascii="宋体" w:hAnsi="宋体" w:cs="宋体" w:eastAsia="宋体" w:hint="default"/>
                <w:sz w:val="18"/>
                <w:szCs w:val="18"/>
              </w:rPr>
            </w:pPr>
            <w:r>
              <w:rPr>
                <w:rFonts w:ascii="宋体" w:hAnsi="宋体" w:cs="宋体" w:eastAsia="宋体" w:hint="default"/>
                <w:sz w:val="18"/>
                <w:szCs w:val="18"/>
              </w:rPr>
              <w:t>财务总监，董 事会秘书，副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徐志东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陈世英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431.06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465.26</w:t>
            </w:r>
            <w:r>
              <w:rPr>
                <w:rFonts w:ascii="Times New Roman"/>
                <w:sz w:val="18"/>
              </w:rPr>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四、公司董事、监事、高级管理人员变动情况" w:id="94"/>
      <w:bookmarkEnd w:id="94"/>
      <w:r>
        <w:rPr>
          <w:b w:val="0"/>
          <w:bCs w:val="0"/>
        </w:rPr>
      </w: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4"/>
        <w:gridCol w:w="1327"/>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4"/>
        <w:gridCol w:w="1327"/>
        <w:gridCol w:w="1330"/>
        <w:gridCol w:w="4246"/>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刘凤春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因工作原因，申请辞去公司副总经理职务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公司二届五次董事会审议通过《关于选举朱律玮担任 公司副董事长的议案》</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年度股东大会审议通过《关于推荐公司第二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届董事会董事候选人的提案》</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年度股东大会审议通过《关于推荐公司第二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届董事会独立董事候选人的提案》</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因工作原因，申请辞去公司副总经理职务。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年度股东大会审议通过《关于推荐公司第二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届监事会监事候选人的提案》</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个人原因，辞去总经理职务，仍担任公司董事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公司二届八次董事会审议通过《关于总经理辞职及聘 任新任总经理的议案》</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陈旭</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个人原因，辞去副总经理职务，辞职后不在公司担任 任何职务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因工作原因申请辞去公司董事、董事会战略委员会委 员职务，辞职后将不在公司担任任何职务</w:t>
            </w:r>
          </w:p>
        </w:tc>
      </w:tr>
      <w:tr>
        <w:trPr>
          <w:trHeight w:val="196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赵小凡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根据中共中央组织部《关于进一步规范党政领导干部 在企业兼职（任职）问题的意见》的文件精神，申请 辞去北京东方通科技股份有限公司独立董事职务，同 时一并辞去公司董事会战略委员会委员、董事会提名 委员会主任委员职务，辞职后将不在公司担任任何职 务</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五、报告期核心技术团队或关键技术人员变动情况（非董事、监事、高级管理人员）" w:id="95"/>
      <w:bookmarkEnd w:id="95"/>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报告期内核心技术团队、关键技术人员未出现变动。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六、公司员工情况" w:id="96"/>
      <w:bookmarkEnd w:id="96"/>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368" w:right="3708" w:hanging="216"/>
        <w:jc w:val="left"/>
      </w:pPr>
      <w:r>
        <w:rPr>
          <w:rFonts w:ascii="Times New Roman" w:hAnsi="Times New Roman" w:cs="Times New Roman" w:eastAsia="Times New Roman" w:hint="default"/>
        </w:rPr>
        <w:t>1</w:t>
      </w:r>
      <w:r>
        <w:rPr/>
        <w:t>、员工人数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日，公司员工总人数为</w:t>
      </w:r>
      <w:r>
        <w:rPr>
          <w:rFonts w:ascii="Times New Roman" w:hAnsi="Times New Roman" w:cs="Times New Roman" w:eastAsia="Times New Roman" w:hint="default"/>
        </w:rPr>
        <w:t>404</w:t>
      </w:r>
      <w:r>
        <w:rPr/>
        <w:t>人，人员结构具体情况如下：</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1</w:t>
      </w:r>
      <w:r>
        <w:rPr/>
        <w:t>）按工龄分析</w:t>
      </w:r>
    </w:p>
    <w:p>
      <w:pPr>
        <w:spacing w:line="240" w:lineRule="auto" w:before="1"/>
        <w:rPr>
          <w:rFonts w:ascii="宋体" w:hAnsi="宋体" w:cs="宋体" w:eastAsia="宋体" w:hint="default"/>
          <w:sz w:val="7"/>
          <w:szCs w:val="7"/>
        </w:rPr>
      </w:pPr>
    </w:p>
    <w:tbl>
      <w:tblPr>
        <w:tblW w:w="0" w:type="auto"/>
        <w:jc w:val="left"/>
        <w:tblInd w:w="711" w:type="dxa"/>
        <w:tblLayout w:type="fixed"/>
        <w:tblCellMar>
          <w:top w:w="0" w:type="dxa"/>
          <w:left w:w="0" w:type="dxa"/>
          <w:bottom w:w="0" w:type="dxa"/>
          <w:right w:w="0" w:type="dxa"/>
        </w:tblCellMar>
        <w:tblLook w:val="01E0"/>
      </w:tblPr>
      <w:tblGrid>
        <w:gridCol w:w="2165"/>
        <w:gridCol w:w="2842"/>
        <w:gridCol w:w="2842"/>
      </w:tblGrid>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工龄</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33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8.17%</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15.59%</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56</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13.86%</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116</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28.71%</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年以上</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136</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33.66%</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404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w:t>
      </w:r>
      <w:r>
        <w:rPr>
          <w:rFonts w:ascii="Times New Roman" w:hAnsi="Times New Roman" w:cs="Times New Roman" w:eastAsia="Times New Roman" w:hint="default"/>
        </w:rPr>
        <w:t>2</w:t>
      </w:r>
      <w:r>
        <w:rPr/>
        <w:t>）按年龄分析</w:t>
      </w:r>
    </w:p>
    <w:p>
      <w:pPr>
        <w:spacing w:line="240" w:lineRule="auto" w:before="4"/>
        <w:rPr>
          <w:rFonts w:ascii="宋体" w:hAnsi="宋体" w:cs="宋体" w:eastAsia="宋体" w:hint="default"/>
          <w:sz w:val="7"/>
          <w:szCs w:val="7"/>
        </w:rPr>
      </w:pPr>
    </w:p>
    <w:tbl>
      <w:tblPr>
        <w:tblW w:w="0" w:type="auto"/>
        <w:jc w:val="left"/>
        <w:tblInd w:w="711" w:type="dxa"/>
        <w:tblLayout w:type="fixed"/>
        <w:tblCellMar>
          <w:top w:w="0" w:type="dxa"/>
          <w:left w:w="0" w:type="dxa"/>
          <w:bottom w:w="0" w:type="dxa"/>
          <w:right w:w="0" w:type="dxa"/>
        </w:tblCellMar>
        <w:tblLook w:val="01E0"/>
      </w:tblPr>
      <w:tblGrid>
        <w:gridCol w:w="2165"/>
        <w:gridCol w:w="2842"/>
        <w:gridCol w:w="2842"/>
      </w:tblGrid>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宋体" w:hAnsi="宋体" w:cs="宋体" w:eastAsia="宋体" w:hint="default"/>
                <w:sz w:val="18"/>
                <w:szCs w:val="18"/>
              </w:rPr>
              <w:t>岁</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150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37.13%</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30-39</w:t>
            </w:r>
            <w:r>
              <w:rPr>
                <w:rFonts w:ascii="宋体" w:hAnsi="宋体" w:cs="宋体" w:eastAsia="宋体" w:hint="default"/>
                <w:sz w:val="18"/>
                <w:szCs w:val="18"/>
              </w:rPr>
              <w:t>岁</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194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48.02%</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40-49</w:t>
            </w:r>
            <w:r>
              <w:rPr>
                <w:rFonts w:ascii="宋体" w:hAnsi="宋体" w:cs="宋体" w:eastAsia="宋体" w:hint="default"/>
                <w:sz w:val="18"/>
                <w:szCs w:val="18"/>
              </w:rPr>
              <w:t>岁</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54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13.37%</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50-59</w:t>
            </w:r>
            <w:r>
              <w:rPr>
                <w:rFonts w:ascii="宋体" w:hAnsi="宋体" w:cs="宋体" w:eastAsia="宋体" w:hint="default"/>
                <w:sz w:val="18"/>
                <w:szCs w:val="18"/>
              </w:rPr>
              <w:t>岁</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1.24%</w:t>
            </w:r>
          </w:p>
        </w:tc>
      </w:tr>
      <w:tr>
        <w:trPr>
          <w:trHeight w:val="425"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岁及以上</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0.25%</w:t>
            </w:r>
          </w:p>
        </w:tc>
      </w:tr>
      <w:tr>
        <w:trPr>
          <w:trHeight w:val="430"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404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w:t>
      </w:r>
      <w:r>
        <w:rPr>
          <w:rFonts w:ascii="Times New Roman" w:hAnsi="Times New Roman" w:cs="Times New Roman" w:eastAsia="Times New Roman" w:hint="default"/>
        </w:rPr>
        <w:t>3</w:t>
      </w:r>
      <w:r>
        <w:rPr/>
        <w:t>）按专业岗位分析</w:t>
      </w:r>
    </w:p>
    <w:p>
      <w:pPr>
        <w:spacing w:line="240" w:lineRule="auto" w:before="4"/>
        <w:rPr>
          <w:rFonts w:ascii="宋体" w:hAnsi="宋体" w:cs="宋体" w:eastAsia="宋体" w:hint="default"/>
          <w:sz w:val="7"/>
          <w:szCs w:val="7"/>
        </w:rPr>
      </w:pPr>
    </w:p>
    <w:tbl>
      <w:tblPr>
        <w:tblW w:w="0" w:type="auto"/>
        <w:jc w:val="left"/>
        <w:tblInd w:w="711" w:type="dxa"/>
        <w:tblLayout w:type="fixed"/>
        <w:tblCellMar>
          <w:top w:w="0" w:type="dxa"/>
          <w:left w:w="0" w:type="dxa"/>
          <w:bottom w:w="0" w:type="dxa"/>
          <w:right w:w="0" w:type="dxa"/>
        </w:tblCellMar>
        <w:tblLook w:val="01E0"/>
      </w:tblPr>
      <w:tblGrid>
        <w:gridCol w:w="2165"/>
        <w:gridCol w:w="2842"/>
        <w:gridCol w:w="2842"/>
      </w:tblGrid>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岗位</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25"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107</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26.49%</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技术研发人员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213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52.72%</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3.71%</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行政管理人员</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69</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17.08%</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404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w:t>
      </w:r>
      <w:r>
        <w:rPr>
          <w:rFonts w:ascii="Times New Roman" w:hAnsi="Times New Roman" w:cs="Times New Roman" w:eastAsia="Times New Roman" w:hint="default"/>
        </w:rPr>
        <w:t>4</w:t>
      </w:r>
      <w:r>
        <w:rPr/>
        <w:t>）按学历分析</w:t>
      </w:r>
    </w:p>
    <w:p>
      <w:pPr>
        <w:spacing w:line="240" w:lineRule="auto" w:before="1"/>
        <w:rPr>
          <w:rFonts w:ascii="宋体" w:hAnsi="宋体" w:cs="宋体" w:eastAsia="宋体" w:hint="default"/>
          <w:sz w:val="7"/>
          <w:szCs w:val="7"/>
        </w:rPr>
      </w:pPr>
    </w:p>
    <w:tbl>
      <w:tblPr>
        <w:tblW w:w="0" w:type="auto"/>
        <w:jc w:val="left"/>
        <w:tblInd w:w="711" w:type="dxa"/>
        <w:tblLayout w:type="fixed"/>
        <w:tblCellMar>
          <w:top w:w="0" w:type="dxa"/>
          <w:left w:w="0" w:type="dxa"/>
          <w:bottom w:w="0" w:type="dxa"/>
          <w:right w:w="0" w:type="dxa"/>
        </w:tblCellMar>
        <w:tblLook w:val="01E0"/>
      </w:tblPr>
      <w:tblGrid>
        <w:gridCol w:w="2165"/>
        <w:gridCol w:w="2842"/>
        <w:gridCol w:w="2842"/>
      </w:tblGrid>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学历</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高中以下</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0.25%</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高中</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0.25%</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71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17.57%</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273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67.57%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711" w:type="dxa"/>
        <w:tblLayout w:type="fixed"/>
        <w:tblCellMar>
          <w:top w:w="0" w:type="dxa"/>
          <w:left w:w="0" w:type="dxa"/>
          <w:bottom w:w="0" w:type="dxa"/>
          <w:right w:w="0" w:type="dxa"/>
        </w:tblCellMar>
        <w:tblLook w:val="01E0"/>
      </w:tblPr>
      <w:tblGrid>
        <w:gridCol w:w="2165"/>
        <w:gridCol w:w="2842"/>
        <w:gridCol w:w="2842"/>
      </w:tblGrid>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24" w:right="0"/>
              <w:jc w:val="left"/>
              <w:rPr>
                <w:rFonts w:ascii="Times New Roman" w:hAnsi="Times New Roman" w:cs="Times New Roman" w:eastAsia="Times New Roman" w:hint="default"/>
                <w:sz w:val="18"/>
                <w:szCs w:val="18"/>
              </w:rPr>
            </w:pPr>
            <w:r>
              <w:rPr>
                <w:rFonts w:ascii="Times New Roman"/>
                <w:sz w:val="18"/>
              </w:rPr>
              <w:t>58</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14.36%</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279" w:right="0"/>
              <w:jc w:val="left"/>
              <w:rPr>
                <w:rFonts w:ascii="Times New Roman" w:hAnsi="Times New Roman" w:cs="Times New Roman" w:eastAsia="Times New Roman" w:hint="default"/>
                <w:sz w:val="18"/>
                <w:szCs w:val="18"/>
              </w:rPr>
            </w:pPr>
            <w:r>
              <w:rPr>
                <w:rFonts w:ascii="Times New Roman"/>
                <w:sz w:val="18"/>
              </w:rPr>
              <w:t>367</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w:t>
      </w:r>
      <w:r>
        <w:rPr>
          <w:rFonts w:ascii="Times New Roman" w:hAnsi="Times New Roman" w:cs="Times New Roman" w:eastAsia="Times New Roman" w:hint="default"/>
        </w:rPr>
        <w:t>5</w:t>
      </w:r>
      <w:r>
        <w:rPr/>
        <w:t>）按性别分析</w:t>
      </w:r>
    </w:p>
    <w:p>
      <w:pPr>
        <w:spacing w:line="240" w:lineRule="auto" w:before="2"/>
        <w:rPr>
          <w:rFonts w:ascii="宋体" w:hAnsi="宋体" w:cs="宋体" w:eastAsia="宋体" w:hint="default"/>
          <w:sz w:val="4"/>
          <w:szCs w:val="4"/>
        </w:rPr>
      </w:pPr>
    </w:p>
    <w:tbl>
      <w:tblPr>
        <w:tblW w:w="0" w:type="auto"/>
        <w:jc w:val="left"/>
        <w:tblInd w:w="711" w:type="dxa"/>
        <w:tblLayout w:type="fixed"/>
        <w:tblCellMar>
          <w:top w:w="0" w:type="dxa"/>
          <w:left w:w="0" w:type="dxa"/>
          <w:bottom w:w="0" w:type="dxa"/>
          <w:right w:w="0" w:type="dxa"/>
        </w:tblCellMar>
        <w:tblLook w:val="01E0"/>
      </w:tblPr>
      <w:tblGrid>
        <w:gridCol w:w="2165"/>
        <w:gridCol w:w="2842"/>
        <w:gridCol w:w="2842"/>
      </w:tblGrid>
      <w:tr>
        <w:trPr>
          <w:trHeight w:val="348"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88"/>
              <w:jc w:val="right"/>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90"/>
              <w:jc w:val="right"/>
              <w:rPr>
                <w:rFonts w:ascii="宋体" w:hAnsi="宋体" w:cs="宋体" w:eastAsia="宋体" w:hint="default"/>
                <w:sz w:val="18"/>
                <w:szCs w:val="18"/>
              </w:rPr>
            </w:pPr>
            <w:r>
              <w:rPr>
                <w:rFonts w:ascii="宋体" w:hAnsi="宋体" w:cs="宋体" w:eastAsia="宋体" w:hint="default"/>
                <w:sz w:val="18"/>
                <w:szCs w:val="18"/>
              </w:rPr>
              <w:t>男性</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 w:right="0"/>
              <w:jc w:val="center"/>
              <w:rPr>
                <w:rFonts w:ascii="Times New Roman" w:hAnsi="Times New Roman" w:cs="Times New Roman" w:eastAsia="Times New Roman" w:hint="default"/>
                <w:sz w:val="18"/>
                <w:szCs w:val="18"/>
              </w:rPr>
            </w:pPr>
            <w:r>
              <w:rPr>
                <w:rFonts w:ascii="Times New Roman"/>
                <w:sz w:val="18"/>
              </w:rPr>
              <w:t>301</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74.50%</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90"/>
              <w:jc w:val="right"/>
              <w:rPr>
                <w:rFonts w:ascii="宋体" w:hAnsi="宋体" w:cs="宋体" w:eastAsia="宋体" w:hint="default"/>
                <w:sz w:val="18"/>
                <w:szCs w:val="18"/>
              </w:rPr>
            </w:pPr>
            <w:r>
              <w:rPr>
                <w:rFonts w:ascii="宋体" w:hAnsi="宋体" w:cs="宋体" w:eastAsia="宋体" w:hint="default"/>
                <w:sz w:val="18"/>
                <w:szCs w:val="18"/>
              </w:rPr>
              <w:t>女性</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 w:right="0"/>
              <w:jc w:val="center"/>
              <w:rPr>
                <w:rFonts w:ascii="Times New Roman" w:hAnsi="Times New Roman" w:cs="Times New Roman" w:eastAsia="Times New Roman" w:hint="default"/>
                <w:sz w:val="18"/>
                <w:szCs w:val="18"/>
              </w:rPr>
            </w:pPr>
            <w:r>
              <w:rPr>
                <w:rFonts w:ascii="Times New Roman"/>
                <w:sz w:val="18"/>
              </w:rPr>
              <w:t>103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25.50%</w:t>
            </w:r>
          </w:p>
        </w:tc>
      </w:tr>
      <w:tr>
        <w:trPr>
          <w:trHeight w:val="42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90"/>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 w:right="0"/>
              <w:jc w:val="center"/>
              <w:rPr>
                <w:rFonts w:ascii="Times New Roman" w:hAnsi="Times New Roman" w:cs="Times New Roman" w:eastAsia="Times New Roman" w:hint="default"/>
                <w:sz w:val="18"/>
                <w:szCs w:val="18"/>
              </w:rPr>
            </w:pPr>
            <w:r>
              <w:rPr>
                <w:rFonts w:ascii="Times New Roman"/>
                <w:sz w:val="18"/>
              </w:rPr>
              <w:t>404</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554" w:right="594"/>
        <w:jc w:val="center"/>
        <w:rPr>
          <w:b w:val="0"/>
          <w:bCs w:val="0"/>
        </w:rPr>
      </w:pPr>
      <w:bookmarkStart w:name="_TOC_250001" w:id="97"/>
      <w:bookmarkStart w:name="第八节 公司治理" w:id="98"/>
      <w:r>
        <w:rPr>
          <w:b w:val="0"/>
          <w:bCs w:val="0"/>
        </w:rPr>
      </w:r>
      <w:r>
        <w:rPr/>
        <w:t>第八节</w:t>
      </w:r>
      <w:r>
        <w:rPr>
          <w:spacing w:val="-4"/>
        </w:rPr>
        <w:t> </w:t>
      </w:r>
      <w:r>
        <w:rPr/>
        <w:t>公司治理</w:t>
      </w:r>
      <w:bookmarkEnd w:id="97"/>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465"/>
        <w:jc w:val="left"/>
        <w:rPr>
          <w:b w:val="0"/>
          <w:bCs w:val="0"/>
        </w:rPr>
      </w:pPr>
      <w:bookmarkStart w:name="一、公司治理的基本状况" w:id="99"/>
      <w:bookmarkEnd w:id="9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3" w:firstLine="419"/>
        <w:jc w:val="both"/>
      </w:pPr>
      <w:r>
        <w:rPr/>
        <w:t>报告期内，公司严格按照《公司法》、《证券法》、《上市公司信息披露管理办法》、《深圳证券交易所创业板股票 上市规则》</w:t>
      </w:r>
      <w:r>
        <w:rPr>
          <w:spacing w:val="-40"/>
        </w:rPr>
        <w:t> </w:t>
      </w:r>
      <w:r>
        <w:rPr/>
        <w:t>、</w:t>
      </w:r>
      <w:r>
        <w:rPr>
          <w:spacing w:val="-45"/>
        </w:rPr>
        <w:t> </w:t>
      </w:r>
      <w:r>
        <w:rPr/>
        <w:t>《深圳证券交易所创业板上市公司规范运作指引》等有关法律、法规、业务规则的有关规定，结合公司实际</w:t>
      </w:r>
      <w:r>
        <w:rPr/>
        <w:t> 情况，进一步完善公司规范运作管理制度，加强内部控制制度建设，不断规范公司运作，提高公司治理水平。</w:t>
      </w:r>
    </w:p>
    <w:p>
      <w:pPr>
        <w:pStyle w:val="BodyText"/>
        <w:spacing w:line="340" w:lineRule="auto" w:before="57"/>
        <w:ind w:left="572" w:right="94" w:hanging="421"/>
        <w:jc w:val="left"/>
      </w:pPr>
      <w:r>
        <w:rPr>
          <w:rFonts w:ascii="Times New Roman" w:hAnsi="Times New Roman" w:cs="Times New Roman" w:eastAsia="Times New Roman" w:hint="default"/>
        </w:rPr>
        <w:t>1</w:t>
      </w:r>
      <w:r>
        <w:rPr/>
        <w:t>、</w:t>
      </w:r>
      <w:r>
        <w:rPr>
          <w:spacing w:val="58"/>
        </w:rPr>
        <w:t> </w:t>
      </w:r>
      <w:r>
        <w:rPr/>
        <w:t>关于股东与股东大会</w:t>
      </w:r>
      <w:r>
        <w:rPr/>
        <w:t> 公司股东按照《公司章程》、《上市公司股东大会规则》的规定按其所持股份享有平等地位，并承担相应义务。公司</w:t>
      </w:r>
    </w:p>
    <w:p>
      <w:pPr>
        <w:pStyle w:val="BodyText"/>
        <w:spacing w:line="316" w:lineRule="auto"/>
        <w:ind w:left="153" w:right="93"/>
        <w:jc w:val="left"/>
      </w:pPr>
      <w:r>
        <w:rPr>
          <w:spacing w:val="-2"/>
        </w:rPr>
        <w:t>严格按照《公司法》、《上市公司股东大会规则》以及公司《章程》、《股东大会议事规则》和深圳证券交易所创业板的相</w:t>
      </w:r>
      <w:r>
        <w:rPr>
          <w:spacing w:val="-70"/>
        </w:rPr>
        <w:t> </w:t>
      </w:r>
      <w:r>
        <w:rPr>
          <w:spacing w:val="-70"/>
        </w:rPr>
      </w:r>
      <w:r>
        <w:rPr/>
        <w:t>关规定和要求，规范股东大会的召集、召开和表决程序。报告期内公司召开的股东大会均由董事会召集召开，董事长主持。 </w:t>
      </w:r>
      <w:r>
        <w:rPr>
          <w:spacing w:val="-2"/>
        </w:rPr>
        <w:t>公司治理结构能够保证所有股东，特别是中小股东享有平等地位，合法行使自己的权利，保证了股东对公司重大事项的知情</w:t>
      </w:r>
      <w:r>
        <w:rPr>
          <w:spacing w:val="-65"/>
        </w:rPr>
        <w:t> </w:t>
      </w:r>
      <w:r>
        <w:rPr>
          <w:spacing w:val="-65"/>
        </w:rPr>
      </w:r>
      <w:r>
        <w:rPr>
          <w:spacing w:val="-2"/>
        </w:rPr>
        <w:t>权、参与权、表决权。按照《公司法》、《公司章程》的规定应由股东大会审议的重大事项，均按照相应的权限审批后提交</w:t>
      </w:r>
      <w:r>
        <w:rPr>
          <w:spacing w:val="-68"/>
        </w:rPr>
        <w:t> </w:t>
      </w:r>
      <w:r>
        <w:rPr>
          <w:spacing w:val="-68"/>
        </w:rPr>
      </w:r>
      <w:r>
        <w:rPr/>
        <w:t>股东大会审议，不存在越权审批或先实施后审议的情况。</w:t>
      </w:r>
    </w:p>
    <w:p>
      <w:pPr>
        <w:pStyle w:val="BodyText"/>
        <w:spacing w:line="338" w:lineRule="auto" w:before="59"/>
        <w:ind w:left="573" w:right="94" w:hanging="421"/>
        <w:jc w:val="left"/>
      </w:pPr>
      <w:r>
        <w:rPr>
          <w:rFonts w:ascii="Times New Roman" w:hAnsi="Times New Roman" w:cs="Times New Roman" w:eastAsia="Times New Roman" w:hint="default"/>
        </w:rPr>
        <w:t>2</w:t>
      </w:r>
      <w:r>
        <w:rPr/>
        <w:t>、关于公司与控股股东 公司具有独立的业务经营能力及完备的运营体系，在业务、人员、资产、机构、财务上均独立于控股股东（实际控制</w:t>
      </w:r>
    </w:p>
    <w:p>
      <w:pPr>
        <w:pStyle w:val="BodyText"/>
        <w:spacing w:line="316" w:lineRule="auto" w:before="2"/>
        <w:ind w:left="153" w:right="190"/>
        <w:jc w:val="both"/>
      </w:pPr>
      <w:r>
        <w:rPr>
          <w:spacing w:val="-5"/>
        </w:rPr>
        <w:t>人），公司董事会、监事会和内部机构根据其议事规则或公司制度独立运作。公司控股股东能严格规范自己的行为，按照《上</w:t>
      </w:r>
      <w:r>
        <w:rPr>
          <w:spacing w:val="-82"/>
        </w:rPr>
        <w:t> </w:t>
      </w:r>
      <w:r>
        <w:rPr>
          <w:spacing w:val="-82"/>
        </w:rPr>
      </w:r>
      <w:r>
        <w:rPr>
          <w:spacing w:val="-2"/>
        </w:rPr>
        <w:t>市公司治理准则》、《深圳证券交易所创业板股票上市规则》、《深圳证券交易所创业板上市公司规范运作指引》、《公司</w:t>
      </w:r>
      <w:r>
        <w:rPr>
          <w:spacing w:val="-67"/>
        </w:rPr>
        <w:t> </w:t>
      </w:r>
      <w:r>
        <w:rPr>
          <w:spacing w:val="-67"/>
        </w:rPr>
      </w:r>
      <w:r>
        <w:rPr>
          <w:spacing w:val="-2"/>
        </w:rPr>
        <w:t>章程》等规定和要求，没有超越股东大会直接或间接干预公司经营活动。报告期内，公司没有为控股股东提供担保，未损害</w:t>
      </w:r>
      <w:r>
        <w:rPr>
          <w:spacing w:val="-67"/>
        </w:rPr>
        <w:t> </w:t>
      </w:r>
      <w:r>
        <w:rPr>
          <w:spacing w:val="-67"/>
        </w:rPr>
      </w:r>
      <w:r>
        <w:rPr/>
        <w:t>公司及其他股东的利益，亦不存在控股股东非经营性占用公司资金的行为。</w:t>
      </w:r>
    </w:p>
    <w:p>
      <w:pPr>
        <w:pStyle w:val="BodyText"/>
        <w:spacing w:line="340" w:lineRule="auto" w:before="59"/>
        <w:ind w:left="573" w:right="94" w:hanging="421"/>
        <w:jc w:val="left"/>
      </w:pPr>
      <w:r>
        <w:rPr>
          <w:rFonts w:ascii="Times New Roman" w:hAnsi="Times New Roman" w:cs="Times New Roman" w:eastAsia="Times New Roman" w:hint="default"/>
        </w:rPr>
        <w:t>3</w:t>
      </w:r>
      <w:r>
        <w:rPr/>
        <w:t>、关于董事和董事会 公司严格按照《公司法》、《公司章程》规定的选聘程序选举董事。董事会由</w:t>
      </w:r>
      <w:r>
        <w:rPr>
          <w:rFonts w:ascii="Times New Roman" w:hAnsi="Times New Roman" w:cs="Times New Roman" w:eastAsia="Times New Roman" w:hint="default"/>
        </w:rPr>
        <w:t>9</w:t>
      </w:r>
      <w:r>
        <w:rPr/>
        <w:t>人组成，其中</w:t>
      </w:r>
      <w:r>
        <w:rPr>
          <w:rFonts w:ascii="Times New Roman" w:hAnsi="Times New Roman" w:cs="Times New Roman" w:eastAsia="Times New Roman" w:hint="default"/>
        </w:rPr>
        <w:t>3</w:t>
      </w:r>
      <w:r>
        <w:rPr/>
        <w:t>人为独立董事。公司董</w:t>
      </w:r>
    </w:p>
    <w:p>
      <w:pPr>
        <w:pStyle w:val="BodyText"/>
        <w:spacing w:line="215" w:lineRule="exact"/>
        <w:ind w:left="153" w:right="0"/>
        <w:jc w:val="left"/>
      </w:pPr>
      <w:r>
        <w:rPr/>
        <w:t>事会人数和人员构成符合法律</w:t>
      </w:r>
      <w:r>
        <w:rPr>
          <w:spacing w:val="-36"/>
        </w:rPr>
        <w:t>、</w:t>
      </w:r>
      <w:r>
        <w:rPr/>
        <w:t>法规的要求</w:t>
      </w:r>
      <w:r>
        <w:rPr>
          <w:spacing w:val="-36"/>
        </w:rPr>
        <w:t>。</w:t>
      </w:r>
      <w:r>
        <w:rPr/>
        <w:t>各位董事能够</w:t>
      </w:r>
      <w:r>
        <w:rPr>
          <w:spacing w:val="2"/>
        </w:rPr>
        <w:t>依</w:t>
      </w:r>
      <w:r>
        <w:rPr>
          <w:spacing w:val="-36"/>
        </w:rPr>
        <w:t>据</w:t>
      </w:r>
      <w:r>
        <w:rPr/>
        <w:t>《公司章程</w:t>
      </w:r>
      <w:r>
        <w:rPr>
          <w:spacing w:val="-36"/>
        </w:rPr>
        <w:t>》</w:t>
      </w:r>
      <w:r>
        <w:rPr>
          <w:spacing w:val="-72"/>
        </w:rPr>
        <w:t>、</w:t>
      </w:r>
      <w:r>
        <w:rPr/>
        <w:t>《董事会议</w:t>
      </w:r>
      <w:r>
        <w:rPr>
          <w:spacing w:val="2"/>
        </w:rPr>
        <w:t>事</w:t>
      </w:r>
      <w:r>
        <w:rPr/>
        <w:t>规则</w:t>
      </w:r>
      <w:r>
        <w:rPr>
          <w:spacing w:val="-36"/>
        </w:rPr>
        <w:t>》</w:t>
      </w:r>
      <w:r>
        <w:rPr>
          <w:spacing w:val="-72"/>
        </w:rPr>
        <w:t>、</w:t>
      </w:r>
      <w:r>
        <w:rPr/>
        <w:t>《独立董事工作制度</w:t>
      </w:r>
      <w:r>
        <w:rPr>
          <w:spacing w:val="-34"/>
        </w:rPr>
        <w:t>》</w:t>
      </w:r>
      <w:r>
        <w:rPr/>
        <w:t>、</w:t>
      </w:r>
    </w:p>
    <w:p>
      <w:pPr>
        <w:pStyle w:val="BodyText"/>
        <w:spacing w:line="316" w:lineRule="auto" w:before="76"/>
        <w:ind w:left="153" w:right="190"/>
        <w:jc w:val="both"/>
      </w:pPr>
      <w:r>
        <w:rPr>
          <w:spacing w:val="-2"/>
        </w:rPr>
        <w:t>《深圳证券交易所创业板上市公司规范运作指引》等规定开展工作，以认真负责的态度出席董事会和股东大会，从公司和全</w:t>
      </w:r>
      <w:r>
        <w:rPr>
          <w:spacing w:val="-63"/>
        </w:rPr>
        <w:t> </w:t>
      </w:r>
      <w:r>
        <w:rPr>
          <w:spacing w:val="-63"/>
        </w:rPr>
      </w:r>
      <w:r>
        <w:rPr>
          <w:spacing w:val="-2"/>
        </w:rPr>
        <w:t>体股东的利益出发，忠实履行职责，积极参加有关培训，学习有关法律法规，促进董事会规范运作和科学决策。董事会会议</w:t>
      </w:r>
      <w:r>
        <w:rPr>
          <w:spacing w:val="-67"/>
        </w:rPr>
        <w:t> </w:t>
      </w:r>
      <w:r>
        <w:rPr>
          <w:spacing w:val="-67"/>
        </w:rPr>
      </w:r>
      <w:r>
        <w:rPr/>
        <w:t>程序符合规定，会议记录完整、真实，会议相关信息披露及时、准确、充分。</w:t>
      </w:r>
    </w:p>
    <w:p>
      <w:pPr>
        <w:pStyle w:val="BodyText"/>
        <w:spacing w:line="340" w:lineRule="auto" w:before="57"/>
        <w:ind w:left="573" w:right="94" w:hanging="421"/>
        <w:jc w:val="left"/>
      </w:pPr>
      <w:r>
        <w:rPr>
          <w:rFonts w:ascii="Times New Roman" w:hAnsi="Times New Roman" w:cs="Times New Roman" w:eastAsia="Times New Roman" w:hint="default"/>
        </w:rPr>
        <w:t>4</w:t>
      </w:r>
      <w:r>
        <w:rPr/>
        <w:t>、关于监事和监事会 公司严格按照《公司法》、《公司章程》规定的选聘程序选举监事，监事会设监事</w:t>
      </w:r>
      <w:r>
        <w:rPr>
          <w:rFonts w:ascii="Times New Roman" w:hAnsi="Times New Roman" w:cs="Times New Roman" w:eastAsia="Times New Roman" w:hint="default"/>
        </w:rPr>
        <w:t>3</w:t>
      </w:r>
      <w:r>
        <w:rPr/>
        <w:t>名，其中职工选举的监事</w:t>
      </w:r>
      <w:r>
        <w:rPr>
          <w:rFonts w:ascii="Times New Roman" w:hAnsi="Times New Roman" w:cs="Times New Roman" w:eastAsia="Times New Roman" w:hint="default"/>
        </w:rPr>
        <w:t>1</w:t>
      </w:r>
      <w:r>
        <w:rPr/>
        <w:t>名。公</w:t>
      </w:r>
    </w:p>
    <w:p>
      <w:pPr>
        <w:pStyle w:val="BodyText"/>
        <w:spacing w:line="215" w:lineRule="exact"/>
        <w:ind w:left="153" w:right="0"/>
        <w:jc w:val="left"/>
      </w:pPr>
      <w:r>
        <w:rPr/>
        <w:t>司监事会人数和人员构成符合法律、法规的要求。各位监事能够按照《公司章程》、《监事会议事规则》等规定的要求，以</w:t>
      </w:r>
    </w:p>
    <w:p>
      <w:pPr>
        <w:pStyle w:val="BodyText"/>
        <w:spacing w:line="316" w:lineRule="auto" w:before="76"/>
        <w:ind w:left="153" w:right="190"/>
        <w:jc w:val="both"/>
      </w:pPr>
      <w:r>
        <w:rPr>
          <w:spacing w:val="-2"/>
        </w:rPr>
        <w:t>认真负责的态度出席监事会，学习有关法律法规、积极参加相关业务培训，本着对全体股东尤其是中小股东负责的精神，对</w:t>
      </w:r>
      <w:r>
        <w:rPr>
          <w:spacing w:val="-64"/>
        </w:rPr>
        <w:t> </w:t>
      </w:r>
      <w:r>
        <w:rPr>
          <w:spacing w:val="-64"/>
        </w:rPr>
      </w:r>
      <w:r>
        <w:rPr>
          <w:spacing w:val="-2"/>
        </w:rPr>
        <w:t>公司重大事项、关联交易、财务状况以及董事和其他高级管理人员履行职责的合法、合规性进行监督并发表独立意见，维护</w:t>
      </w:r>
      <w:r>
        <w:rPr>
          <w:spacing w:val="-64"/>
        </w:rPr>
        <w:t> </w:t>
      </w:r>
      <w:r>
        <w:rPr>
          <w:spacing w:val="-64"/>
        </w:rPr>
      </w:r>
      <w:r>
        <w:rPr/>
        <w:t>公司及股东的合法权益。</w:t>
      </w:r>
    </w:p>
    <w:p>
      <w:pPr>
        <w:pStyle w:val="BodyText"/>
        <w:spacing w:line="338" w:lineRule="auto" w:before="59"/>
        <w:ind w:left="573" w:right="94" w:hanging="421"/>
        <w:jc w:val="left"/>
      </w:pPr>
      <w:r>
        <w:rPr>
          <w:rFonts w:ascii="Times New Roman" w:hAnsi="Times New Roman" w:cs="Times New Roman" w:eastAsia="Times New Roman" w:hint="default"/>
        </w:rPr>
        <w:t>5</w:t>
      </w:r>
      <w:r>
        <w:rPr/>
        <w:t>、关于绩效评价与激励约束机制 公司建立并逐步完善公正、透明的董事、监事、高级管理人员的绩效评价标准与激励约束机制；高级管理人员的聘任</w:t>
      </w:r>
    </w:p>
    <w:p>
      <w:pPr>
        <w:pStyle w:val="BodyText"/>
        <w:spacing w:line="240" w:lineRule="auto" w:before="2"/>
        <w:ind w:left="153" w:right="465"/>
        <w:jc w:val="left"/>
      </w:pPr>
      <w:r>
        <w:rPr/>
        <w:t>公开、透明，符合相关法律、法规的规定。</w:t>
      </w:r>
    </w:p>
    <w:p>
      <w:pPr>
        <w:pStyle w:val="BodyText"/>
        <w:spacing w:line="340" w:lineRule="auto" w:before="117"/>
        <w:ind w:left="573" w:right="94" w:hanging="421"/>
        <w:jc w:val="left"/>
      </w:pPr>
      <w:r>
        <w:rPr>
          <w:rFonts w:ascii="Times New Roman" w:hAnsi="Times New Roman" w:cs="Times New Roman" w:eastAsia="Times New Roman" w:hint="default"/>
        </w:rPr>
        <w:t>6</w:t>
      </w:r>
      <w:r>
        <w:rPr/>
        <w:t>、关于相关利益者 公司能够充分尊重和维护相关利益者的合法权益，积极与相关利益者合作，加强与各方的沟通和交流，实现社会、股</w:t>
      </w:r>
    </w:p>
    <w:p>
      <w:pPr>
        <w:pStyle w:val="BodyText"/>
        <w:spacing w:line="240" w:lineRule="auto"/>
        <w:ind w:left="153" w:right="465"/>
        <w:jc w:val="left"/>
      </w:pPr>
      <w:r>
        <w:rPr/>
        <w:t>东、公司、员工等各方利益的协调平衡，推动公司持续、稳定、健康发展。</w:t>
      </w:r>
    </w:p>
    <w:p>
      <w:pPr>
        <w:pStyle w:val="BodyText"/>
        <w:spacing w:line="340" w:lineRule="auto" w:before="115"/>
        <w:ind w:left="573" w:right="94" w:hanging="421"/>
        <w:jc w:val="left"/>
      </w:pPr>
      <w:r>
        <w:rPr>
          <w:rFonts w:ascii="Times New Roman" w:hAnsi="Times New Roman" w:cs="Times New Roman" w:eastAsia="Times New Roman" w:hint="default"/>
        </w:rPr>
        <w:t>7</w:t>
      </w:r>
      <w:r>
        <w:rPr/>
        <w:t>、关于信息披露与透明度 公司严格按照有关法律法规和《公司信息披露管理制度》的规定，加强信息披露事务管理，履行信息披露义务，并指</w:t>
      </w:r>
    </w:p>
    <w:p>
      <w:pPr>
        <w:spacing w:after="0" w:line="3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56"/>
        <w:jc w:val="both"/>
      </w:pPr>
      <w:r>
        <w:rPr/>
        <w:t>定《证券时报》、《中国证券报》、《上海证券报》、《证券日报》和中国证监会创业板指定信息披露网站（巨潮资讯网</w:t>
      </w:r>
      <w:r>
        <w:rPr>
          <w:spacing w:val="-11"/>
        </w:rPr>
        <w:t> </w:t>
      </w:r>
      <w:r>
        <w:rPr>
          <w:spacing w:val="-11"/>
        </w:rPr>
      </w:r>
      <w:hyperlink r:id="rId11">
        <w:r>
          <w:rPr>
            <w:rFonts w:ascii="Times New Roman" w:hAnsi="Times New Roman" w:cs="Times New Roman" w:eastAsia="Times New Roman" w:hint="default"/>
          </w:rPr>
          <w:t>www.cninfo.com.cn</w:t>
        </w:r>
      </w:hyperlink>
      <w:r>
        <w:rPr/>
        <w:t>）为公司信息披露报纸和网站，真实、准确、及时、完整的披露信息，确保所有投资者公平获取公司信</w:t>
      </w:r>
      <w:r>
        <w:rPr>
          <w:spacing w:val="-36"/>
        </w:rPr>
        <w:t> </w:t>
      </w:r>
      <w:r>
        <w:rPr>
          <w:spacing w:val="-36"/>
        </w:rPr>
      </w:r>
      <w:r>
        <w:rPr/>
        <w:t>息。</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公司治理与《公司法》和中国证监会相关规定的要求是否存在差异</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二、报告期内召开的年度股东大会和临时股东大会的有关情况" w:id="100"/>
      <w:bookmarkEnd w:id="100"/>
      <w:r>
        <w:rPr>
          <w:b w:val="0"/>
          <w:bCs w:val="0"/>
        </w:rPr>
      </w: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本报告期年度股东大会情况" w:id="101"/>
      <w:bookmarkEnd w:id="10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本报告期临时股东大会情况" w:id="102"/>
      <w:bookmarkEnd w:id="10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 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年度第二次临时股东大 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年度第三次临时股东大 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年度第四次临时股东大 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报告期董事会召开情况" w:id="103"/>
      <w:bookmarkEnd w:id="103"/>
      <w:r>
        <w:rPr>
          <w:b w:val="0"/>
          <w:bCs w:val="0"/>
        </w:rPr>
      </w: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年度报告重大差错责任追究制度的建立与执行情况" w:id="104"/>
      <w:bookmarkEnd w:id="104"/>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0" w:firstLine="419"/>
        <w:jc w:val="both"/>
      </w:pPr>
      <w:r>
        <w:rPr>
          <w:rFonts w:ascii="宋体" w:hAnsi="宋体" w:cs="宋体" w:eastAsia="宋体" w:hint="default"/>
        </w:rPr>
        <w:t>2014 </w:t>
      </w:r>
      <w:r>
        <w:rPr/>
        <w:t>年 </w:t>
      </w:r>
      <w:r>
        <w:rPr>
          <w:rFonts w:ascii="宋体" w:hAnsi="宋体" w:cs="宋体" w:eastAsia="宋体" w:hint="default"/>
        </w:rPr>
        <w:t>3 </w:t>
      </w:r>
      <w:r>
        <w:rPr/>
        <w:t>月</w:t>
      </w:r>
      <w:r>
        <w:rPr>
          <w:spacing w:val="-56"/>
        </w:rPr>
        <w:t> </w:t>
      </w:r>
      <w:r>
        <w:rPr>
          <w:rFonts w:ascii="宋体" w:hAnsi="宋体" w:cs="宋体" w:eastAsia="宋体" w:hint="default"/>
        </w:rPr>
        <w:t>25</w:t>
      </w:r>
      <w:r>
        <w:rPr/>
        <w:t>日，公司第二届董事会第五次会议审议通过了《年报信息披露重大差错责任追究制度》，对信息披露 </w:t>
      </w:r>
      <w:r>
        <w:rPr>
          <w:spacing w:val="-2"/>
        </w:rPr>
        <w:t>违规、差错的有关责任认定及问责方式等事项进行了明确规定。报告期内，公司未发生年度财务报告存在重大会计差错、其</w:t>
      </w:r>
      <w:r>
        <w:rPr>
          <w:spacing w:val="-66"/>
        </w:rPr>
        <w:t> </w:t>
      </w:r>
      <w:r>
        <w:rPr>
          <w:spacing w:val="-66"/>
        </w:rPr>
      </w:r>
      <w:r>
        <w:rPr/>
        <w:t>他年报信息披露存在重大错误或重大遗漏、业绩预告或业绩快报存在重大差异等情形。</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五、监事会工作情况" w:id="105"/>
      <w:bookmarkEnd w:id="105"/>
      <w:r>
        <w:rPr>
          <w:b w:val="0"/>
          <w:bCs w:val="0"/>
        </w:rPr>
      </w: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7"/>
        <w:ind w:right="63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5"/>
        <w:jc w:val="center"/>
        <w:rPr>
          <w:b w:val="0"/>
          <w:bCs w:val="0"/>
        </w:rPr>
      </w:pPr>
      <w:bookmarkStart w:name="_TOC_250000" w:id="106"/>
      <w:bookmarkStart w:name="第九节 财务报告" w:id="107"/>
      <w:r>
        <w:rPr>
          <w:b w:val="0"/>
          <w:bCs w:val="0"/>
        </w:rPr>
      </w:r>
      <w:r>
        <w:rPr/>
        <w:t>第九节</w:t>
      </w:r>
      <w:r>
        <w:rPr>
          <w:spacing w:val="-4"/>
        </w:rPr>
        <w:t> </w:t>
      </w:r>
      <w:r>
        <w:rPr/>
        <w:t>财务报告</w:t>
      </w:r>
      <w:bookmarkEnd w:id="10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08"/>
      <w:bookmarkEnd w:id="10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210138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廖家河、牛忠党</w:t>
            </w:r>
          </w:p>
        </w:tc>
      </w:tr>
    </w:tbl>
    <w:p>
      <w:pPr>
        <w:pStyle w:val="BodyText"/>
        <w:spacing w:line="240" w:lineRule="auto" w:before="49"/>
        <w:ind w:left="135" w:right="135"/>
        <w:jc w:val="center"/>
      </w:pPr>
      <w:r>
        <w:rPr/>
        <w:t>审计报告正文</w:t>
      </w:r>
    </w:p>
    <w:p>
      <w:pPr>
        <w:spacing w:line="240" w:lineRule="auto" w:before="4"/>
        <w:rPr>
          <w:rFonts w:ascii="宋体" w:hAnsi="宋体" w:cs="宋体" w:eastAsia="宋体" w:hint="default"/>
          <w:sz w:val="28"/>
          <w:szCs w:val="28"/>
        </w:rPr>
      </w:pPr>
    </w:p>
    <w:p>
      <w:pPr>
        <w:pStyle w:val="Heading4"/>
        <w:spacing w:line="240" w:lineRule="auto" w:before="36"/>
        <w:ind w:left="575" w:right="0"/>
        <w:jc w:val="left"/>
      </w:pPr>
      <w:r>
        <w:rPr/>
        <w:t>北京东方通科技股份有限公司全体股东：</w:t>
      </w:r>
    </w:p>
    <w:p>
      <w:pPr>
        <w:spacing w:line="240" w:lineRule="auto" w:before="9"/>
        <w:rPr>
          <w:rFonts w:ascii="宋体" w:hAnsi="宋体" w:cs="宋体" w:eastAsia="宋体" w:hint="default"/>
          <w:sz w:val="26"/>
          <w:szCs w:val="26"/>
        </w:rPr>
      </w:pPr>
    </w:p>
    <w:p>
      <w:pPr>
        <w:pStyle w:val="Heading4"/>
        <w:spacing w:line="256" w:lineRule="auto"/>
        <w:ind w:left="153" w:right="147" w:firstLine="422"/>
        <w:jc w:val="both"/>
      </w:pPr>
      <w:r>
        <w:rPr>
          <w:spacing w:val="-2"/>
        </w:rPr>
        <w:t>我们审计了后附的北京东方通科技股份有限公司（以下简称东方通）财务报表，包括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w w:val="100"/>
        </w:rPr>
        <w:t> </w:t>
      </w:r>
      <w:r>
        <w:rPr>
          <w:spacing w:val="-2"/>
        </w:rPr>
        <w:t>的资产负债表和合并资产负债表，</w:t>
      </w:r>
      <w:r>
        <w:rPr>
          <w:rFonts w:ascii="Times New Roman" w:hAnsi="Times New Roman" w:cs="Times New Roman" w:eastAsia="Times New Roman" w:hint="default"/>
          <w:spacing w:val="-2"/>
        </w:rPr>
        <w:t>2014</w:t>
      </w:r>
      <w:r>
        <w:rPr>
          <w:spacing w:val="-2"/>
        </w:rPr>
        <w:t>年度的利润表和合并利润表、现金流量表和合并现金流量表、所有</w:t>
      </w:r>
      <w:r>
        <w:rPr>
          <w:spacing w:val="-40"/>
        </w:rPr>
        <w:t> </w:t>
      </w:r>
      <w:r>
        <w:rPr>
          <w:spacing w:val="-40"/>
        </w:rPr>
      </w:r>
      <w:r>
        <w:rPr/>
        <w:t>者权益变动表和合并所有者权益变动表以及财务报表附注。</w:t>
      </w:r>
    </w:p>
    <w:p>
      <w:pPr>
        <w:pStyle w:val="Heading4"/>
        <w:spacing w:line="624" w:lineRule="exact" w:before="80"/>
        <w:ind w:left="575" w:right="0"/>
        <w:jc w:val="left"/>
      </w:pPr>
      <w:r>
        <w:rPr/>
        <w:t>一、管理层对财务报表的责任</w:t>
      </w:r>
      <w:r>
        <w:rPr>
          <w:w w:val="100"/>
        </w:rPr>
        <w:t> </w:t>
      </w:r>
      <w:r>
        <w:rPr/>
        <w:t>编制和公允列报财务报表是东方通管理层的责任。这种责任包括：（</w:t>
      </w:r>
      <w:r>
        <w:rPr>
          <w:rFonts w:ascii="Times New Roman" w:hAnsi="Times New Roman" w:cs="Times New Roman" w:eastAsia="Times New Roman" w:hint="default"/>
        </w:rPr>
        <w:t>1</w:t>
      </w:r>
      <w:r>
        <w:rPr/>
        <w:t>）按照企业会计准则的规定编</w:t>
      </w:r>
    </w:p>
    <w:p>
      <w:pPr>
        <w:pStyle w:val="Heading4"/>
        <w:spacing w:line="233" w:lineRule="exact"/>
        <w:ind w:left="153" w:right="0"/>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p>
    <w:p>
      <w:pPr>
        <w:pStyle w:val="Heading4"/>
        <w:spacing w:line="544" w:lineRule="auto" w:before="21"/>
        <w:ind w:left="575" w:right="6894" w:hanging="423"/>
        <w:jc w:val="left"/>
      </w:pPr>
      <w:r>
        <w:rPr>
          <w:spacing w:val="-2"/>
        </w:rPr>
        <w:t>舞弊或错误导致的重大错报。</w:t>
      </w:r>
      <w:r>
        <w:rPr>
          <w:spacing w:val="-79"/>
        </w:rPr>
        <w:t> </w:t>
      </w:r>
      <w:r>
        <w:rPr>
          <w:spacing w:val="-79"/>
        </w:rPr>
      </w:r>
      <w:r>
        <w:rPr/>
        <w:t>二、注册会计师的责任</w:t>
      </w:r>
    </w:p>
    <w:p>
      <w:pPr>
        <w:pStyle w:val="Heading4"/>
        <w:spacing w:line="273" w:lineRule="auto" w:before="82"/>
        <w:ind w:left="153" w:right="146" w:firstLine="422"/>
        <w:jc w:val="both"/>
      </w:pPr>
      <w:r>
        <w:rPr>
          <w:spacing w:val="-2"/>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spacing w:line="240" w:lineRule="auto" w:before="6"/>
        <w:rPr>
          <w:rFonts w:ascii="宋体" w:hAnsi="宋体" w:cs="宋体" w:eastAsia="宋体" w:hint="default"/>
          <w:sz w:val="24"/>
          <w:szCs w:val="24"/>
        </w:rPr>
      </w:pPr>
    </w:p>
    <w:p>
      <w:pPr>
        <w:pStyle w:val="Heading4"/>
        <w:spacing w:line="273" w:lineRule="auto"/>
        <w:ind w:left="153" w:right="146" w:firstLine="422"/>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spacing w:line="240" w:lineRule="auto" w:before="6"/>
        <w:rPr>
          <w:rFonts w:ascii="宋体" w:hAnsi="宋体" w:cs="宋体" w:eastAsia="宋体" w:hint="default"/>
          <w:sz w:val="24"/>
          <w:szCs w:val="24"/>
        </w:rPr>
      </w:pPr>
    </w:p>
    <w:p>
      <w:pPr>
        <w:pStyle w:val="Heading4"/>
        <w:spacing w:line="544" w:lineRule="auto"/>
        <w:ind w:left="575" w:right="1314"/>
        <w:jc w:val="left"/>
      </w:pPr>
      <w:r>
        <w:rPr>
          <w:spacing w:val="-2"/>
        </w:rPr>
        <w:t>我们相信，我们获取的审计证据是充分、适当的，为发表审计意见提供了基础。</w:t>
      </w:r>
      <w:r>
        <w:rPr>
          <w:spacing w:val="-38"/>
        </w:rPr>
        <w:t> </w:t>
      </w:r>
      <w:r>
        <w:rPr>
          <w:spacing w:val="-38"/>
        </w:rPr>
      </w:r>
      <w:r>
        <w:rPr/>
        <w:t>三、审计意见</w:t>
      </w:r>
    </w:p>
    <w:p>
      <w:pPr>
        <w:pStyle w:val="Heading4"/>
        <w:spacing w:line="240" w:lineRule="auto" w:before="82"/>
        <w:ind w:left="575" w:right="0"/>
        <w:jc w:val="left"/>
      </w:pPr>
      <w:r>
        <w:rPr/>
        <w:t>我们认为，东方通财务报表在所有重大方面按照企业会计准则的规定编制，公允反映了东方通</w:t>
      </w:r>
      <w:r>
        <w:rPr>
          <w:rFonts w:ascii="Times New Roman" w:hAnsi="Times New Roman" w:cs="Times New Roman" w:eastAsia="Times New Roman" w:hint="default"/>
        </w:rPr>
        <w:t>2014</w:t>
      </w:r>
      <w:r>
        <w:rPr/>
        <w:t>年</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left="152"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2014</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273" w:lineRule="auto" w:before="36"/>
        <w:ind w:left="7396" w:right="150" w:hanging="970"/>
        <w:jc w:val="right"/>
      </w:pPr>
      <w:r>
        <w:rPr>
          <w:spacing w:val="-2"/>
        </w:rPr>
        <w:t>立信会计师事务所（特殊普通合伙）</w:t>
      </w:r>
      <w:r>
        <w:rPr>
          <w:spacing w:val="-85"/>
        </w:rPr>
        <w:t> </w:t>
      </w:r>
      <w:r>
        <w:rPr>
          <w:spacing w:val="-85"/>
        </w:rPr>
      </w:r>
      <w:r>
        <w:rPr/>
        <w:t>中国注册会计师：</w:t>
      </w:r>
      <w:r>
        <w:rPr>
          <w:spacing w:val="-21"/>
        </w:rPr>
        <w:t> </w:t>
      </w:r>
      <w:r>
        <w:rPr/>
        <w:t>廖家河</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4"/>
        <w:spacing w:line="256" w:lineRule="auto"/>
        <w:ind w:left="7477" w:right="150" w:firstLine="1397"/>
        <w:jc w:val="right"/>
      </w:pPr>
      <w:r>
        <w:rPr>
          <w:spacing w:val="-2"/>
        </w:rPr>
        <w:t>中国</w:t>
      </w:r>
      <w:r>
        <w:rPr>
          <w:rFonts w:ascii="Times New Roman" w:hAnsi="Times New Roman" w:cs="Times New Roman" w:eastAsia="Times New Roman" w:hint="default"/>
          <w:spacing w:val="-2"/>
        </w:rPr>
        <w:t>•</w:t>
      </w:r>
      <w:r>
        <w:rPr>
          <w:spacing w:val="-2"/>
        </w:rPr>
        <w:t>上海</w:t>
      </w:r>
      <w:r>
        <w:rPr>
          <w:spacing w:val="-3"/>
          <w:w w:val="100"/>
        </w:rPr>
        <w:t> </w:t>
      </w:r>
      <w:r>
        <w:rPr>
          <w:spacing w:val="-2"/>
        </w:rPr>
        <w:t>中国注册会计师：牛忠党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4"/>
        <w:spacing w:line="240" w:lineRule="auto"/>
        <w:ind w:left="0" w:right="150"/>
        <w:jc w:val="right"/>
      </w:pPr>
      <w:r>
        <w:rPr>
          <w:spacing w:val="-2"/>
        </w:rPr>
        <w:t>二</w:t>
      </w:r>
      <w:r>
        <w:rPr>
          <w:rFonts w:ascii="Times New Roman" w:hAnsi="Times New Roman" w:cs="Times New Roman" w:eastAsia="Times New Roman" w:hint="default"/>
          <w:spacing w:val="-2"/>
        </w:rPr>
        <w:t>○</w:t>
      </w:r>
      <w:r>
        <w:rPr>
          <w:spacing w:val="-2"/>
        </w:rPr>
        <w:t>一五年三月一十日</w:t>
      </w: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二、财务报表" w:id="109"/>
      <w:bookmarkEnd w:id="10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合并资产负债表" w:id="110"/>
      <w:bookmarkEnd w:id="11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20"/>
        <w:jc w:val="left"/>
      </w:pPr>
      <w:r>
        <w:rPr/>
        <w:t>编制单位：北京东方通科技股份有限公司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3" w:equalWidth="0">
            <w:col w:w="3393" w:space="682"/>
            <w:col w:w="1641" w:space="3202"/>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297,169,081.29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71,836,434.75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2,784,775.00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10,839,694.05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232,659,600.39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182,245,944.61</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2,270,363.00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1,295,818.71</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3,178,740.56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6,153,880.22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2,972,404.51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1,372,572.68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923,857.85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733,982.88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66,018.90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543,141,520.31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273,361,649.09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317,569.96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308,219.32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8,328,683.07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13,361,927.66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20,963,921.67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6,010,377.35</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392,976,796.03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1,474,728.48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145,146.74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3,355,066.34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2,695,939.29</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427,616,765.55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22,721,610.36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970,758,285.86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296,083,259.45</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1,833,692.93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1,860,095.18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3,543,139.75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1,515,361.13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4,382,210.83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1,679,571.82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13,908,400.14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9,762,917.07</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142,296,062.29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526,929.59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10,178,402.77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1,087,778.01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2,215,406.54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187,051,283.95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93,238,684.10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855,278.28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855,278.28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189,459,401.50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94,093,962.38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57,610,150.00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555,791,322.20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35,918,968.29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13,356,477.30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9,052,735.19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154,543,236.14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112,017,593.59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781,298,884.36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201,989,297.07</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781,298,884.36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201,989,297.07</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970,758,285.86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296,083,259.45</w:t>
            </w:r>
            <w:r>
              <w:rPr>
                <w:rFonts w:ascii="Times New Roman"/>
                <w:sz w:val="18"/>
              </w:rPr>
            </w:r>
          </w:p>
        </w:tc>
      </w:tr>
    </w:tbl>
    <w:p>
      <w:pPr>
        <w:spacing w:line="240" w:lineRule="auto" w:before="11"/>
        <w:rPr>
          <w:rFonts w:ascii="Times New Roman" w:hAnsi="Times New Roman" w:cs="Times New Roman" w:eastAsia="Times New Roman" w:hint="default"/>
          <w:sz w:val="22"/>
          <w:szCs w:val="22"/>
        </w:rPr>
      </w:pPr>
    </w:p>
    <w:p>
      <w:pPr>
        <w:pStyle w:val="BodyText"/>
        <w:tabs>
          <w:tab w:pos="3513" w:val="left" w:leader="none"/>
          <w:tab w:pos="7745" w:val="left" w:leader="none"/>
        </w:tabs>
        <w:spacing w:line="240" w:lineRule="auto" w:before="44"/>
        <w:ind w:left="0" w:right="246"/>
        <w:jc w:val="right"/>
      </w:pPr>
      <w:r>
        <w:rPr/>
        <w:t>法定代表人：张齐春</w:t>
        <w:tab/>
      </w:r>
      <w:r>
        <w:rPr>
          <w:spacing w:val="-1"/>
        </w:rPr>
        <w:t>主管会计工作负责人：徐少璞</w:t>
        <w:tab/>
      </w:r>
      <w:r>
        <w:rPr/>
        <w:t>会计机构负责人：王会</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母公司资产负债表" w:id="111"/>
      <w:bookmarkEnd w:id="11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253,557,539.63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47,320,510.28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2,554,775.00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7,635,894.05</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172,834,218.92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162,567,342.52</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1,612,373.84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1,276,166.21</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10,183,903.36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21,140,315.72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1,270,814.83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341,527.49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729,812.31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65,232.65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442,743,437.89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240,365,176.95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473,317,569.96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13,308,219.32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6,402,754.23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11,829,787.38</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4,558,907.40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5,539,172.30</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1,474,728.48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43,388.89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2,433,824.08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2,153,908.71</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488,187,784.15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32,874,476.60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930,931,222.04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273,239,653.55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1,277,607.04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2,991,575.18</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2,246,586.50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1,292,367.43</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2,887,819.52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1,625,039.20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5,906,627.49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9,027,067.92</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177,757,694.55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24,758,196.07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10,178,402.77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825,278.01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2,215,406.54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210,901,613.11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117,588,055.11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855,278.28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855,278.28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210,901,613.11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118,443,333.39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57,610,150.00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555,791,322.20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35,918,968.29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13,356,477.30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9,052,735.19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93,271,659.43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64,824,616.68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720,029,608.93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154,796,320.16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80002pt;margin-top:665.519958pt;width:160pt;height:19.6pt;mso-position-horizontal-relative:page;mso-position-vertical-relative:page;z-index:-835864" coordorigin="4222,13310" coordsize="3200,392">
            <v:group style="position:absolute;left:7397;top:13310;width:24;height:392" coordorigin="7397,13310" coordsize="24,392">
              <v:shape style="position:absolute;left:7397;top:13310;width:24;height:392" coordorigin="7397,13310" coordsize="24,392" path="m7397,13702l7421,13702,7421,13310,7397,13310,7397,13702xe" filled="true" fillcolor="#ffffff" stroked="false">
                <v:path arrowok="t"/>
                <v:fill type="solid"/>
              </v:shape>
            </v:group>
            <v:group style="position:absolute;left:4222;top:13310;width:22;height:392" coordorigin="4222,13310" coordsize="22,392">
              <v:shape style="position:absolute;left:4222;top:13310;width:22;height:392" coordorigin="4222,13310" coordsize="22,392" path="m4222,13702l4243,13702,4243,13310,4222,13310,4222,13702xe" filled="true" fillcolor="#ffffff" stroked="false">
                <v:path arrowok="t"/>
                <v:fill type="solid"/>
              </v:shape>
            </v:group>
            <v:group style="position:absolute;left:4243;top:13310;width:3154;height:392" coordorigin="4243,13310" coordsize="3154,392">
              <v:shape style="position:absolute;left:4243;top:13310;width:3154;height:392" coordorigin="4243,13310" coordsize="3154,392" path="m4243,13702l7397,13702,7397,13310,4243,13310,4243,137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930,931,222.04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273,239,653.55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12"/>
      <w:bookmarkEnd w:id="11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2"/>
        <w:gridCol w:w="3211"/>
        <w:gridCol w:w="3276"/>
      </w:tblGrid>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194,137,637.99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180,212,251.65</w:t>
            </w:r>
            <w:r>
              <w:rPr>
                <w:rFonts w:ascii="Times New Roman"/>
                <w:sz w:val="18"/>
              </w:rPr>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194,137,637.99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180,212,251.65</w:t>
            </w:r>
            <w:r>
              <w:rPr>
                <w:rFonts w:ascii="Times New Roman"/>
                <w:sz w:val="18"/>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164,373,432.46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155,476,958.32</w:t>
            </w:r>
            <w:r>
              <w:rPr>
                <w:rFonts w:ascii="Times New Roman"/>
                <w:sz w:val="18"/>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3,967,139.97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3,867,336.16</w:t>
            </w:r>
            <w:r>
              <w:rPr>
                <w:rFonts w:ascii="Times New Roman"/>
                <w:sz w:val="18"/>
              </w:rPr>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3,787,373.32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3,264,624.03</w:t>
            </w:r>
            <w:r>
              <w:rPr>
                <w:rFonts w:ascii="Times New Roman"/>
                <w:sz w:val="18"/>
              </w:rPr>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64,219,119.60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53,598,375.61</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82,117,640.69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86,389,137.80</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2,423,575.80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3,407,512.44</w:t>
            </w:r>
            <w:r>
              <w:rPr>
                <w:rFonts w:ascii="Times New Roman"/>
                <w:sz w:val="18"/>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7,858,583.08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4,949,972.28</w:t>
            </w:r>
            <w:r>
              <w:rPr>
                <w:rFonts w:ascii="Times New Roman"/>
                <w:sz w:val="18"/>
              </w:rPr>
            </w: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9,350.64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101,152.06</w:t>
            </w: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9,350.64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101,152.06</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29,773,556.17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24,836,445.39</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34,138,101.48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23,637,497.30</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1,245,886.58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33,530.27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39996pt;margin-top:92.639984pt;width:193.2pt;height:19.6pt;mso-position-horizontal-relative:page;mso-position-vertical-relative:page;z-index:-835840" type="#_x0000_t202" filled="false" stroked="false">
            <v:textbox inset="0,0,0,0">
              <w:txbxContent>
                <w:p>
                  <w:pPr>
                    <w:pStyle w:val="BodyText"/>
                    <w:spacing w:line="240" w:lineRule="auto" w:before="49"/>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2"/>
        <w:gridCol w:w="1105"/>
        <w:gridCol w:w="2106"/>
        <w:gridCol w:w="3276"/>
      </w:tblGrid>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781,987.13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33,530.27</w:t>
            </w:r>
          </w:p>
        </w:tc>
      </w:tr>
      <w:tr>
        <w:trPr>
          <w:trHeight w:val="403" w:hRule="exact"/>
        </w:trPr>
        <w:tc>
          <w:tcPr>
            <w:tcW w:w="3082"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5" w:type="dxa"/>
            <w:tcBorders>
              <w:top w:val="single" w:sz="4" w:space="0" w:color="000000"/>
              <w:left w:val="single" w:sz="13" w:space="0" w:color="FFFFFF"/>
              <w:bottom w:val="single" w:sz="4" w:space="0" w:color="000000"/>
              <w:right w:val="nil" w:sz="6" w:space="0" w:color="auto"/>
            </w:tcBorders>
          </w:tcPr>
          <w:p>
            <w:pPr/>
          </w:p>
        </w:tc>
        <w:tc>
          <w:tcPr>
            <w:tcW w:w="2106"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62,665,771.07</w:t>
            </w:r>
          </w:p>
        </w:tc>
        <w:tc>
          <w:tcPr>
            <w:tcW w:w="3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48,440,412.42</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5,549,750.21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2,964,486.37</w:t>
            </w:r>
            <w:r>
              <w:rPr>
                <w:rFonts w:ascii="Times New Roman"/>
                <w:sz w:val="18"/>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45,475,926.05</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45,475,926.05</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57,113,719.58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45,475,926.05</w:t>
            </w: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57,113,719.58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45,475,926.05</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1"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6"/>
      </w:tblGrid>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1.0106</w:t>
            </w:r>
            <w:r>
              <w:rPr>
                <w:rFonts w:ascii="Times New Roman"/>
                <w:sz w:val="18"/>
              </w:rPr>
            </w:r>
          </w:p>
        </w:tc>
      </w:tr>
    </w:tbl>
    <w:p>
      <w:pPr>
        <w:pStyle w:val="BodyText"/>
        <w:tabs>
          <w:tab w:pos="3666" w:val="left" w:leader="none"/>
          <w:tab w:pos="7897" w:val="left" w:leader="none"/>
        </w:tabs>
        <w:spacing w:line="621" w:lineRule="auto" w:before="49"/>
        <w:ind w:right="246"/>
        <w:jc w:val="left"/>
      </w:pPr>
      <w:r>
        <w:rPr/>
        <w:t>本期发生同一控制下企业合并的，被合并方在合并前实现的净利润为：元，上期被合并方实现的净利润为：元。 法定代表人：张齐春</w:t>
        <w:tab/>
      </w:r>
      <w:r>
        <w:rPr>
          <w:spacing w:val="-1"/>
        </w:rPr>
        <w:t>主管会计工作负责人：徐少璞</w:t>
        <w:tab/>
      </w:r>
      <w:r>
        <w:rPr/>
        <w:t>会计机构负责人：王会</w:t>
      </w:r>
    </w:p>
    <w:p>
      <w:pPr>
        <w:pStyle w:val="Heading3"/>
        <w:spacing w:line="240" w:lineRule="auto" w:before="69"/>
        <w:ind w:right="0"/>
        <w:jc w:val="left"/>
        <w:rPr>
          <w:b w:val="0"/>
          <w:bCs w:val="0"/>
        </w:rPr>
      </w:pPr>
      <w:bookmarkStart w:name="4、母公司利润表" w:id="113"/>
      <w:bookmarkEnd w:id="11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143,826,239.87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157,057,709.58</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2,064,737.66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6,340,667.44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2,584,441.83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2,741,708.51</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48,185,079.99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44,748,059.58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65,865,133.15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72,659,815.39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2,494,982.84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3,200,438.85</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5,764,826.66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4,778,366.90</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9,350.64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101,152.06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9,350.64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101,152.06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16,876,388.38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22,689,804.97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30,347,041.79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18,586,994.21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1,243,056.39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2,314.22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781,987.13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2,314.22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45,980,373.78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41,274,484.96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2,942,952.72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2,757,105.89</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43,037,421.06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38,517,379.07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6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2" w:right="40"/>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4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43,037,421.06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38,517,379.07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合并现金流量表" w:id="114"/>
      <w:bookmarkEnd w:id="11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188,369,461.75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159,164,754.52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24,248,617.21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18,802,015.88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12,929,723.50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9,565,367.54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225,547,802.46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187,532,137.94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4,098,927.30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2,804,908.42</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82,951,813.69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78,123,096.59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38,611,171.19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33,680,554.87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41,203,758.58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57,022,279.03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166,865,670.76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171,630,838.91</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58,682,131.70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15,901,299.03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70,700.00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6,009,526.09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6,855,727.74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8,279,479.44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14,289,005.53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6,855,727.74</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-14,218,305.53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-6,853,767.74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248,522,670.21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68,185,945.71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137,551,581.89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421,074,252.10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68,185,945.71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90,601,700.00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52,685,945.71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13,618,995.14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3,586,934.73</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135,327,140.72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239,547,835.86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56,272,880.44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181,526,416.24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11,913,065.27</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-2,441.87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225,987,800.54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20,960,596.56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70,934,994.75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49,974,398.19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296,922,795.29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70,934,994.75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15"/>
      <w:bookmarkEnd w:id="11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140,340,586.97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130,650,528.93</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21,162,038.09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15,233,457.40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54,865,476.40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43,415,485.09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216,368,101.46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189,299,471.42</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3,241,819.76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4,616,565.86</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61,751,655.81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63,702,702.23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31,166,618.38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27,277,291.24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55,798,686.31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93,838,832.32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151,958,780.26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189,435,391.65</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64,409,321.20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-135,920.23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70,700.00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w:t>
            </w:r>
            <w:r>
              <w:rPr>
                <w:rFonts w:ascii="Times New Roman"/>
                <w:sz w:val="18"/>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5,867,968.09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6,577,430.24</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38,867,968.09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6,577,430.24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-38,797,268.09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-6,576,630.24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248,522,670.21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68,185,945.71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137,551,581.89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421,074,252.10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68,185,945.71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90,601,700.00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47,685,945.71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13,618,995.14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3,341,934.73</w:t>
            </w:r>
            <w:r>
              <w:rPr>
                <w:rFonts w:ascii="Times New Roman"/>
                <w:sz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135,327,140.72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239,547,835.86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51,027,880.44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181,526,416.24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17,158,065.27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207,138,469.35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10,445,514.80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46,419,070.28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35,973,555.48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253,557,539.63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46,419,070.28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bookmarkStart w:name="7、合并所有者权益变动表" w:id="116"/>
      <w:bookmarkEnd w:id="11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4D4D4"/>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968.29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9,052,7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112,017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,593.59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201,989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,297.07</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35,918,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968.29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9,052,7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112,017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,593.59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201,989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,297.07</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42.11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42,525,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642.55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579,309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,587.29</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57,116,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020.86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57,113,</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719.58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532,482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,503.91</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,353.91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532,482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,503.91</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42.11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-14,590,</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378.31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636.20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42.11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2"/>
              <w:ind w:left="235" w:right="0"/>
              <w:jc w:val="left"/>
              <w:rPr>
                <w:rFonts w:ascii="Times New Roman" w:hAnsi="Times New Roman" w:cs="Times New Roman" w:eastAsia="Times New Roman" w:hint="default"/>
                <w:sz w:val="18"/>
                <w:szCs w:val="18"/>
              </w:rPr>
            </w:pPr>
            <w:r>
              <w:rPr>
                <w:rFonts w:ascii="Times New Roman"/>
                <w:sz w:val="18"/>
              </w:rPr>
              <w:t>42.11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636.20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2"/>
              <w:ind w:left="107" w:right="0"/>
              <w:jc w:val="center"/>
              <w:rPr>
                <w:rFonts w:ascii="Times New Roman" w:hAnsi="Times New Roman" w:cs="Times New Roman" w:eastAsia="Times New Roman" w:hint="default"/>
                <w:sz w:val="18"/>
                <w:szCs w:val="18"/>
              </w:rPr>
            </w:pPr>
            <w:r>
              <w:rPr>
                <w:rFonts w:ascii="Times New Roman"/>
                <w:sz w:val="18"/>
              </w:rPr>
              <w:t>636.20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555,791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477.30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154,543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,236.14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781,298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,884.36</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8" w:type="dxa"/>
            <w:vMerge/>
            <w:tcBorders>
              <w:left w:val="single" w:sz="4" w:space="0" w:color="000000"/>
              <w:right w:val="single" w:sz="4" w:space="0" w:color="000000"/>
            </w:tcBorders>
            <w:shd w:val="clear" w:color="auto" w:fill="D4D4D4"/>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2"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79" w:type="dxa"/>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35,918,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968.29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5,200,9</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97.28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70,393,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405.45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156,513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,371.02</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35,918,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968.29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5,200,9</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97.28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70,393,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405.45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156,513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,371.02</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3,851,7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37.91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41,624,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188.14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45,475,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926.05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45,475,</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926.05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45,475,</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926.05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3,851,7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37.91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-3,851,7</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37.91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3,851,7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37.91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-3,851,7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37.91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35,918,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968.29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9,052,7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112,017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,593.59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201,989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,297.07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8、母公司所有者权益变动表" w:id="117"/>
      <w:bookmarkEnd w:id="11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0" w:type="dxa"/>
            <w:vMerge/>
            <w:tcBorders>
              <w:left w:val="single" w:sz="4" w:space="0" w:color="000000"/>
              <w:right w:val="single" w:sz="4" w:space="0" w:color="000000"/>
            </w:tcBorders>
            <w:shd w:val="clear" w:color="auto" w:fill="D4D4D4"/>
          </w:tcPr>
          <w:p>
            <w:pPr/>
          </w:p>
        </w:tc>
        <w:tc>
          <w:tcPr>
            <w:tcW w:w="6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35,918,96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9,052,735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64,824,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616.68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154,796,3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20.16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35,918,96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9,052,735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64,824,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616.68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154,796,3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20.16</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12,610,1</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519,872,3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4,303,742</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28,447,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042.75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565,233,2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88.77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421.06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43,037,42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1.06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12,610,1</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519,872,3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532,482,5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03.91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12,610,1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519,872,3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532,482,5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03.91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4,303,742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-14,590,</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378.31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-10,286,6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36.20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4,303,742</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-4,303,7</w:t>
            </w:r>
          </w:p>
          <w:p>
            <w:pPr>
              <w:pStyle w:val="TableParagraph"/>
              <w:spacing w:line="240" w:lineRule="auto" w:before="102"/>
              <w:ind w:left="244" w:right="0"/>
              <w:jc w:val="left"/>
              <w:rPr>
                <w:rFonts w:ascii="Times New Roman" w:hAnsi="Times New Roman" w:cs="Times New Roman" w:eastAsia="Times New Roman" w:hint="default"/>
                <w:sz w:val="18"/>
                <w:szCs w:val="18"/>
              </w:rPr>
            </w:pPr>
            <w:r>
              <w:rPr>
                <w:rFonts w:ascii="Times New Roman"/>
                <w:sz w:val="18"/>
              </w:rPr>
              <w:t>42.11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636.20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-10,286,6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36.20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57,610,1</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555,791,3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22.20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13,356,47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93,271,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659.43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720,029,6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08.93</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4D4D4"/>
          </w:tcPr>
          <w:p>
            <w:pPr/>
          </w:p>
        </w:tc>
        <w:tc>
          <w:tcPr>
            <w:tcW w:w="6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35,918,96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5,200,997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30,158,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975.52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116,278,9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41.09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35,918,96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5,200,997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30,158,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975.52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116,278,9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41.09</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3,851,737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34,665,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641.16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38,517,37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9.07</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38,517,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379.07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38,517,37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9.07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3,851,737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-3,851,7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37.91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3,851,737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-3,851,7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37.91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35,918,96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9,052,735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64,824,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616.68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154,796,3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20.16</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18"/>
      <w:bookmarkEnd w:id="118"/>
      <w:r>
        <w:rPr>
          <w:b w:val="0"/>
          <w:bCs w:val="0"/>
        </w:rPr>
      </w:r>
      <w:r>
        <w:rPr/>
        <w:t>三、公司基本情况</w:t>
      </w:r>
      <w:r>
        <w:rPr>
          <w:b w:val="0"/>
          <w:bCs w:val="0"/>
        </w:rPr>
      </w:r>
    </w:p>
    <w:p>
      <w:pPr>
        <w:pStyle w:val="Heading4"/>
        <w:spacing w:line="624" w:lineRule="exact" w:before="69"/>
        <w:ind w:right="0" w:hanging="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有限公司基本情况</w:t>
      </w:r>
      <w:r>
        <w:rPr>
          <w:w w:val="100"/>
        </w:rPr>
        <w:t> </w:t>
      </w:r>
      <w:r>
        <w:rPr>
          <w:spacing w:val="-2"/>
        </w:rPr>
        <w:t>北京东方通科技发展有限责任公司（以下简称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）成立于</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日，由张齐春、</w:t>
      </w:r>
    </w:p>
    <w:p>
      <w:pPr>
        <w:pStyle w:val="Heading4"/>
        <w:spacing w:line="233" w:lineRule="exact"/>
        <w:ind w:left="0" w:right="207"/>
        <w:jc w:val="right"/>
      </w:pPr>
      <w:r>
        <w:rPr>
          <w:spacing w:val="-2"/>
        </w:rPr>
        <w:t>牛合庆、朱律玮、孙亚明等十一位自然人股东出资设立，注册资本人民币</w:t>
      </w:r>
      <w:r>
        <w:rPr>
          <w:rFonts w:ascii="Times New Roman" w:hAnsi="Times New Roman" w:cs="Times New Roman" w:eastAsia="Times New Roman" w:hint="default"/>
          <w:spacing w:val="-2"/>
        </w:rPr>
        <w:t>50</w:t>
      </w:r>
      <w:r>
        <w:rPr>
          <w:spacing w:val="-2"/>
        </w:rPr>
        <w:t>万元业经北京中威审计事务所</w:t>
      </w:r>
    </w:p>
    <w:p>
      <w:pPr>
        <w:pStyle w:val="Heading4"/>
        <w:spacing w:line="240" w:lineRule="auto" w:before="21"/>
        <w:ind w:left="0" w:right="208"/>
        <w:jc w:val="right"/>
      </w:pPr>
      <w:r>
        <w:rPr/>
        <w:t>集团以中审验（</w:t>
      </w:r>
      <w:r>
        <w:rPr>
          <w:rFonts w:ascii="Times New Roman" w:hAnsi="Times New Roman" w:cs="Times New Roman" w:eastAsia="Times New Roman" w:hint="default"/>
        </w:rPr>
        <w:t>97</w:t>
      </w:r>
      <w:r>
        <w:rPr/>
        <w:t>）字第</w:t>
      </w:r>
      <w:r>
        <w:rPr>
          <w:rFonts w:ascii="Times New Roman" w:hAnsi="Times New Roman" w:cs="Times New Roman" w:eastAsia="Times New Roman" w:hint="default"/>
        </w:rPr>
        <w:t>106</w:t>
      </w:r>
      <w:r>
        <w:rPr/>
        <w:t>号验资报告予以验证，并于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日在北京市工商行政管理局领取了</w:t>
      </w:r>
    </w:p>
    <w:p>
      <w:pPr>
        <w:pStyle w:val="Heading4"/>
        <w:spacing w:line="240" w:lineRule="auto" w:before="21"/>
        <w:ind w:left="153" w:right="0"/>
        <w:jc w:val="left"/>
      </w:pPr>
      <w:r>
        <w:rPr>
          <w:rFonts w:ascii="Times New Roman" w:hAnsi="Times New Roman" w:cs="Times New Roman" w:eastAsia="Times New Roman" w:hint="default"/>
        </w:rPr>
        <w:t>06321898</w:t>
      </w:r>
      <w:r>
        <w:rPr/>
        <w:t>号企业法人营业执照。</w:t>
      </w:r>
    </w:p>
    <w:p>
      <w:pPr>
        <w:spacing w:line="240" w:lineRule="auto" w:before="6"/>
        <w:rPr>
          <w:rFonts w:ascii="宋体" w:hAnsi="宋体" w:cs="宋体" w:eastAsia="宋体" w:hint="default"/>
          <w:sz w:val="25"/>
          <w:szCs w:val="25"/>
        </w:rPr>
      </w:pPr>
    </w:p>
    <w:p>
      <w:pPr>
        <w:pStyle w:val="Heading4"/>
        <w:spacing w:line="256" w:lineRule="auto"/>
        <w:ind w:left="153" w:right="173" w:firstLine="424"/>
        <w:jc w:val="righ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日，本公司股东会通过决议，同意股东袁卫将其持有的</w:t>
      </w:r>
      <w:r>
        <w:rPr>
          <w:rFonts w:ascii="Times New Roman" w:hAnsi="Times New Roman" w:cs="Times New Roman" w:eastAsia="Times New Roman" w:hint="default"/>
        </w:rPr>
        <w:t>2.50%</w:t>
      </w:r>
      <w:r>
        <w:rPr/>
        <w:t>股权、股东蒋芳方将其持有</w:t>
      </w:r>
      <w:r>
        <w:rPr>
          <w:w w:val="100"/>
        </w:rPr>
        <w:t> </w:t>
      </w:r>
      <w:r>
        <w:rPr>
          <w:spacing w:val="-2"/>
        </w:rPr>
        <w:t>的</w:t>
      </w:r>
      <w:r>
        <w:rPr>
          <w:rFonts w:ascii="Times New Roman" w:hAnsi="Times New Roman" w:cs="Times New Roman" w:eastAsia="Times New Roman" w:hint="default"/>
          <w:spacing w:val="-2"/>
        </w:rPr>
        <w:t>1.68%</w:t>
      </w:r>
      <w:r>
        <w:rPr>
          <w:spacing w:val="-2"/>
        </w:rPr>
        <w:t>股权转让给张齐春。上述股权变更已于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日在工商行政管理部门办理了变更登记手续。</w:t>
      </w:r>
      <w:r>
        <w:rPr/>
      </w:r>
    </w:p>
    <w:p>
      <w:pPr>
        <w:spacing w:line="240" w:lineRule="auto" w:before="3"/>
        <w:rPr>
          <w:rFonts w:ascii="宋体" w:hAnsi="宋体" w:cs="宋体" w:eastAsia="宋体" w:hint="default"/>
          <w:sz w:val="24"/>
          <w:szCs w:val="24"/>
        </w:rPr>
      </w:pPr>
    </w:p>
    <w:p>
      <w:pPr>
        <w:pStyle w:val="Heading4"/>
        <w:spacing w:line="256" w:lineRule="auto"/>
        <w:ind w:left="153" w:right="207" w:firstLine="424"/>
        <w:jc w:val="both"/>
      </w:pP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12</w:t>
      </w:r>
      <w:r>
        <w:rPr>
          <w:spacing w:val="-4"/>
        </w:rPr>
        <w:t>日，本公司股东会通过决议，同意</w:t>
      </w:r>
      <w:r>
        <w:rPr>
          <w:rFonts w:ascii="Times New Roman" w:hAnsi="Times New Roman" w:cs="Times New Roman" w:eastAsia="Times New Roman" w:hint="default"/>
          <w:spacing w:val="-4"/>
        </w:rPr>
        <w:t>9</w:t>
      </w:r>
      <w:r>
        <w:rPr>
          <w:spacing w:val="-4"/>
        </w:rPr>
        <w:t>位自然人股东将其持有的总计</w:t>
      </w:r>
      <w:r>
        <w:rPr>
          <w:rFonts w:ascii="Times New Roman" w:hAnsi="Times New Roman" w:cs="Times New Roman" w:eastAsia="Times New Roman" w:hint="default"/>
          <w:spacing w:val="-4"/>
        </w:rPr>
        <w:t>15%</w:t>
      </w:r>
      <w:r>
        <w:rPr>
          <w:spacing w:val="-4"/>
        </w:rPr>
        <w:t>的股权转让给上海</w:t>
      </w:r>
      <w:r>
        <w:rPr>
          <w:w w:val="100"/>
        </w:rPr>
        <w:t> </w:t>
      </w:r>
      <w:r>
        <w:rPr/>
        <w:t>涌金实业有限公司，上述股权变更已于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日在工商行政管理部门办理了变更登记手续。</w:t>
      </w:r>
    </w:p>
    <w:p>
      <w:pPr>
        <w:spacing w:line="240" w:lineRule="auto" w:before="3"/>
        <w:rPr>
          <w:rFonts w:ascii="宋体" w:hAnsi="宋体" w:cs="宋体" w:eastAsia="宋体" w:hint="default"/>
          <w:sz w:val="24"/>
          <w:szCs w:val="24"/>
        </w:rPr>
      </w:pPr>
    </w:p>
    <w:p>
      <w:pPr>
        <w:pStyle w:val="Heading4"/>
        <w:spacing w:line="256" w:lineRule="auto"/>
        <w:ind w:left="153" w:right="0" w:firstLine="424"/>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日，本公司股东会通过决议，同意吸收合并深圳东方通科技发展有限责任公司。鉴于深</w:t>
      </w:r>
      <w:r>
        <w:rPr>
          <w:w w:val="100"/>
        </w:rPr>
        <w:t> </w:t>
      </w:r>
      <w:r>
        <w:rPr>
          <w:spacing w:val="-2"/>
        </w:rPr>
        <w:t>圳东方通科技发展有限责任公司与本公司有相同的股权结构，同意将其净资产中的</w:t>
      </w:r>
      <w:r>
        <w:rPr>
          <w:rFonts w:ascii="Times New Roman" w:hAnsi="Times New Roman" w:cs="Times New Roman" w:eastAsia="Times New Roman" w:hint="default"/>
          <w:spacing w:val="-2"/>
        </w:rPr>
        <w:t>25</w:t>
      </w:r>
      <w:r>
        <w:rPr>
          <w:spacing w:val="-2"/>
        </w:rPr>
        <w:t>万元对本公司原股东</w:t>
      </w:r>
      <w:r>
        <w:rPr>
          <w:spacing w:val="-41"/>
        </w:rPr>
        <w:t> </w:t>
      </w:r>
      <w:r>
        <w:rPr>
          <w:spacing w:val="-41"/>
        </w:rPr>
      </w:r>
      <w:r>
        <w:rPr>
          <w:spacing w:val="-4"/>
        </w:rPr>
        <w:t>进行同比例增资，余额增加本公司资本公积，本次增资后公司注册资本变更为</w:t>
      </w:r>
      <w:r>
        <w:rPr>
          <w:rFonts w:ascii="Times New Roman" w:hAnsi="Times New Roman" w:cs="Times New Roman" w:eastAsia="Times New Roman" w:hint="default"/>
          <w:spacing w:val="-4"/>
        </w:rPr>
        <w:t>75</w:t>
      </w:r>
      <w:r>
        <w:rPr>
          <w:spacing w:val="-4"/>
        </w:rPr>
        <w:t>万元，股权比例保持不变。</w:t>
      </w:r>
      <w:r>
        <w:rPr>
          <w:spacing w:val="-47"/>
        </w:rPr>
        <w:t> </w:t>
      </w:r>
      <w:r>
        <w:rPr>
          <w:spacing w:val="-47"/>
        </w:rPr>
      </w:r>
      <w:r>
        <w:rPr/>
        <w:t>上述增资业经北京天华会计师事务所于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日以天华验字（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345</w:t>
      </w:r>
      <w:r>
        <w:rPr/>
        <w:t>号验资报告予以验证，并</w:t>
      </w:r>
      <w:r>
        <w:rPr>
          <w:spacing w:val="-32"/>
        </w:rPr>
        <w:t> </w:t>
      </w:r>
      <w:r>
        <w:rPr>
          <w:spacing w:val="-32"/>
        </w:rPr>
      </w:r>
      <w:r>
        <w:rPr>
          <w:spacing w:val="-2"/>
        </w:rPr>
        <w:t>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日在北京市工商行政管理局办理了变更登记手续，换领了</w:t>
      </w:r>
      <w:r>
        <w:rPr>
          <w:rFonts w:ascii="Times New Roman" w:hAnsi="Times New Roman" w:cs="Times New Roman" w:eastAsia="Times New Roman" w:hint="default"/>
          <w:spacing w:val="-2"/>
        </w:rPr>
        <w:t>1100002321898</w:t>
      </w:r>
      <w:r>
        <w:rPr>
          <w:spacing w:val="-2"/>
        </w:rPr>
        <w:t>号企业法人营业执</w:t>
      </w:r>
      <w:r>
        <w:rPr>
          <w:spacing w:val="-29"/>
        </w:rPr>
        <w:t> </w:t>
      </w:r>
      <w:r>
        <w:rPr>
          <w:spacing w:val="-29"/>
        </w:rPr>
      </w:r>
      <w:r>
        <w:rPr/>
        <w:t>照。</w:t>
      </w:r>
    </w:p>
    <w:p>
      <w:pPr>
        <w:spacing w:line="240" w:lineRule="auto" w:before="7"/>
        <w:rPr>
          <w:rFonts w:ascii="宋体" w:hAnsi="宋体" w:cs="宋体" w:eastAsia="宋体" w:hint="default"/>
          <w:sz w:val="25"/>
          <w:szCs w:val="25"/>
        </w:rPr>
      </w:pPr>
    </w:p>
    <w:p>
      <w:pPr>
        <w:pStyle w:val="Heading4"/>
        <w:spacing w:line="256" w:lineRule="auto"/>
        <w:ind w:left="153" w:right="207" w:firstLine="424"/>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日，本公司股东会通过决议，同意以未分配利润和资本公积按全体股东原持股比例转增</w:t>
      </w:r>
      <w:r>
        <w:rPr>
          <w:w w:val="100"/>
        </w:rPr>
        <w:t> </w:t>
      </w:r>
      <w:r>
        <w:rPr/>
        <w:t>注册资本人民币</w:t>
      </w:r>
      <w:r>
        <w:rPr>
          <w:rFonts w:ascii="Times New Roman" w:hAnsi="Times New Roman" w:cs="Times New Roman" w:eastAsia="Times New Roman" w:hint="default"/>
        </w:rPr>
        <w:t>1,125</w:t>
      </w:r>
      <w:r>
        <w:rPr/>
        <w:t>万元，增资后公司注册资本变更为人民币</w:t>
      </w:r>
      <w:r>
        <w:rPr>
          <w:rFonts w:ascii="Times New Roman" w:hAnsi="Times New Roman" w:cs="Times New Roman" w:eastAsia="Times New Roman" w:hint="default"/>
        </w:rPr>
        <w:t>1,200</w:t>
      </w:r>
      <w:r>
        <w:rPr/>
        <w:t>万元。是次增资业经北京天华会计师</w:t>
      </w:r>
      <w:r>
        <w:rPr>
          <w:spacing w:val="-27"/>
        </w:rPr>
        <w:t> </w:t>
      </w:r>
      <w:r>
        <w:rPr>
          <w:spacing w:val="-27"/>
        </w:rPr>
      </w:r>
      <w:r>
        <w:rPr/>
        <w:t>事务所于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日出具天华验字（</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001</w:t>
      </w:r>
      <w:r>
        <w:rPr/>
        <w:t>号验资报告予以验证，并于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在北京市工</w:t>
      </w:r>
      <w:r>
        <w:rPr>
          <w:spacing w:val="-26"/>
        </w:rPr>
        <w:t> </w:t>
      </w:r>
      <w:r>
        <w:rPr>
          <w:spacing w:val="-26"/>
        </w:rPr>
      </w:r>
      <w:r>
        <w:rPr/>
        <w:t>商行政管理局办理了变更登记手续，换领了</w:t>
      </w:r>
      <w:r>
        <w:rPr>
          <w:rFonts w:ascii="Times New Roman" w:hAnsi="Times New Roman" w:cs="Times New Roman" w:eastAsia="Times New Roman" w:hint="default"/>
        </w:rPr>
        <w:t>1101062321898</w:t>
      </w:r>
      <w:r>
        <w:rPr/>
        <w:t>号企业法人营业执照。</w:t>
      </w:r>
    </w:p>
    <w:p>
      <w:pPr>
        <w:spacing w:line="240" w:lineRule="auto" w:before="3"/>
        <w:rPr>
          <w:rFonts w:ascii="宋体" w:hAnsi="宋体" w:cs="宋体" w:eastAsia="宋体" w:hint="default"/>
          <w:sz w:val="24"/>
          <w:szCs w:val="24"/>
        </w:rPr>
      </w:pPr>
    </w:p>
    <w:p>
      <w:pPr>
        <w:pStyle w:val="Heading4"/>
        <w:spacing w:line="261" w:lineRule="auto"/>
        <w:ind w:left="153" w:right="205" w:firstLine="424"/>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日，本公司第三届四次股东会通过决议，同意申请新增注册资本人民币</w:t>
      </w:r>
      <w:r>
        <w:rPr>
          <w:rFonts w:ascii="Times New Roman" w:hAnsi="Times New Roman" w:cs="Times New Roman" w:eastAsia="Times New Roman" w:hint="default"/>
        </w:rPr>
        <w:t>210</w:t>
      </w:r>
      <w:r>
        <w:rPr/>
        <w:t>万元，由北</w:t>
      </w:r>
      <w:r>
        <w:rPr>
          <w:w w:val="100"/>
        </w:rPr>
        <w:t> </w:t>
      </w:r>
      <w:r>
        <w:rPr>
          <w:spacing w:val="-2"/>
        </w:rPr>
        <w:t>京盈富泰克投资发展有限公司（后名称变更为盈富泰克创业投资有限公司）和北京市新技术产业发展服务</w:t>
      </w:r>
      <w:r>
        <w:rPr>
          <w:spacing w:val="-43"/>
        </w:rPr>
        <w:t> </w:t>
      </w:r>
      <w:r>
        <w:rPr>
          <w:spacing w:val="-43"/>
        </w:rPr>
      </w:r>
      <w:r>
        <w:rPr>
          <w:spacing w:val="-2"/>
        </w:rPr>
        <w:t>中心（后名称变更为中关村高科技产业促进中心）以货币资金予以增资，其中北京盈富泰克投资发展有限</w:t>
      </w:r>
      <w:r>
        <w:rPr>
          <w:spacing w:val="-43"/>
        </w:rPr>
        <w:t> </w:t>
      </w:r>
      <w:r>
        <w:rPr>
          <w:spacing w:val="-43"/>
        </w:rPr>
      </w:r>
      <w:r>
        <w:rPr>
          <w:spacing w:val="-1"/>
        </w:rPr>
        <w:t>公司出资</w:t>
      </w:r>
      <w:r>
        <w:rPr>
          <w:rFonts w:ascii="Times New Roman" w:hAnsi="Times New Roman" w:cs="Times New Roman" w:eastAsia="Times New Roman" w:hint="default"/>
          <w:spacing w:val="-1"/>
        </w:rPr>
        <w:t>1,200</w:t>
      </w:r>
      <w:r>
        <w:rPr>
          <w:spacing w:val="-1"/>
        </w:rPr>
        <w:t>万元，占增资后注册资本比例为</w:t>
      </w:r>
      <w:r>
        <w:rPr>
          <w:rFonts w:ascii="Times New Roman" w:hAnsi="Times New Roman" w:cs="Times New Roman" w:eastAsia="Times New Roman" w:hint="default"/>
          <w:spacing w:val="-1"/>
        </w:rPr>
        <w:t>11.91%</w:t>
      </w:r>
      <w:r>
        <w:rPr>
          <w:spacing w:val="-1"/>
        </w:rPr>
        <w:t>；北京市新技术产业发展服务中心出资</w:t>
      </w:r>
      <w:r>
        <w:rPr>
          <w:rFonts w:ascii="Times New Roman" w:hAnsi="Times New Roman" w:cs="Times New Roman" w:eastAsia="Times New Roman" w:hint="default"/>
          <w:spacing w:val="-1"/>
        </w:rPr>
        <w:t>300</w:t>
      </w:r>
      <w:r>
        <w:rPr>
          <w:spacing w:val="-1"/>
        </w:rPr>
        <w:t>万元，占</w:t>
      </w:r>
      <w:r>
        <w:rPr>
          <w:spacing w:val="-50"/>
        </w:rPr>
        <w:t> </w:t>
      </w:r>
      <w:r>
        <w:rPr>
          <w:spacing w:val="-50"/>
        </w:rPr>
      </w:r>
      <w:r>
        <w:rPr/>
        <w:t>增资后注册资本比例为</w:t>
      </w:r>
      <w:r>
        <w:rPr>
          <w:rFonts w:ascii="Times New Roman" w:hAnsi="Times New Roman" w:cs="Times New Roman" w:eastAsia="Times New Roman" w:hint="default"/>
        </w:rPr>
        <w:t>2.98%</w:t>
      </w:r>
      <w:r>
        <w:rPr/>
        <w:t>，实际出资额溢价部分均列入资本公积金，增资后本公司注册资本变更为人</w:t>
      </w:r>
      <w:r>
        <w:rPr>
          <w:spacing w:val="-41"/>
        </w:rPr>
        <w:t> </w:t>
      </w:r>
      <w:r>
        <w:rPr>
          <w:spacing w:val="-41"/>
        </w:rPr>
      </w:r>
      <w:r>
        <w:rPr/>
        <w:t>民币</w:t>
      </w:r>
      <w:r>
        <w:rPr>
          <w:rFonts w:ascii="Times New Roman" w:hAnsi="Times New Roman" w:cs="Times New Roman" w:eastAsia="Times New Roman" w:hint="default"/>
        </w:rPr>
        <w:t>1,410</w:t>
      </w:r>
      <w:r>
        <w:rPr/>
        <w:t>万元。上述事项业经北京天华会计师事务所于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日以天华验字（</w:t>
      </w:r>
      <w:r>
        <w:rPr>
          <w:rFonts w:ascii="Times New Roman" w:hAnsi="Times New Roman" w:cs="Times New Roman" w:eastAsia="Times New Roman" w:hint="default"/>
        </w:rPr>
        <w:t>2003</w:t>
      </w:r>
      <w:r>
        <w:rPr/>
        <w:t>）第</w:t>
      </w:r>
      <w:r>
        <w:rPr>
          <w:rFonts w:ascii="Times New Roman" w:hAnsi="Times New Roman" w:cs="Times New Roman" w:eastAsia="Times New Roman" w:hint="default"/>
        </w:rPr>
        <w:t>113-02</w:t>
      </w:r>
      <w:r>
        <w:rPr/>
        <w:t>号验</w:t>
      </w:r>
      <w:r>
        <w:rPr>
          <w:spacing w:val="-47"/>
        </w:rPr>
        <w:t> </w:t>
      </w:r>
      <w:r>
        <w:rPr/>
        <w:t>资报告予以验证，并于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在北京市工商行政管理局办理了变更登记手续，换领了</w:t>
      </w:r>
      <w:r>
        <w:rPr>
          <w:rFonts w:ascii="Times New Roman" w:hAnsi="Times New Roman" w:cs="Times New Roman" w:eastAsia="Times New Roman" w:hint="default"/>
        </w:rPr>
        <w:t>1101061321898</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号企业法人营业执照。</w:t>
      </w:r>
    </w:p>
    <w:p>
      <w:pPr>
        <w:spacing w:line="240" w:lineRule="auto" w:before="3"/>
        <w:rPr>
          <w:rFonts w:ascii="宋体" w:hAnsi="宋体" w:cs="宋体" w:eastAsia="宋体" w:hint="default"/>
          <w:sz w:val="25"/>
          <w:szCs w:val="25"/>
        </w:rPr>
      </w:pPr>
    </w:p>
    <w:p>
      <w:pPr>
        <w:pStyle w:val="Heading4"/>
        <w:spacing w:line="256" w:lineRule="auto"/>
        <w:ind w:left="153" w:right="210" w:firstLine="424"/>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日，本公司第四届第二次股东会通过决议，同意九名自然人股东按比例将他们所持公司</w:t>
      </w:r>
      <w:r>
        <w:rPr>
          <w:w w:val="100"/>
        </w:rPr>
        <w:t> </w:t>
      </w:r>
      <w:r>
        <w:rPr>
          <w:spacing w:val="-2"/>
        </w:rPr>
        <w:t>的股权转让给李青春共计</w:t>
      </w:r>
      <w:r>
        <w:rPr>
          <w:rFonts w:ascii="Times New Roman" w:hAnsi="Times New Roman" w:cs="Times New Roman" w:eastAsia="Times New Roman" w:hint="default"/>
          <w:spacing w:val="-2"/>
        </w:rPr>
        <w:t>30</w:t>
      </w:r>
      <w:r>
        <w:rPr>
          <w:spacing w:val="-2"/>
        </w:rPr>
        <w:t>万元，转让给徐志东共计</w:t>
      </w:r>
      <w:r>
        <w:rPr>
          <w:rFonts w:ascii="Times New Roman" w:hAnsi="Times New Roman" w:cs="Times New Roman" w:eastAsia="Times New Roman" w:hint="default"/>
          <w:spacing w:val="-2"/>
        </w:rPr>
        <w:t>12</w:t>
      </w:r>
      <w:r>
        <w:rPr>
          <w:spacing w:val="-2"/>
        </w:rPr>
        <w:t>万元。同日，九名自然人股东分别与李青春、徐志</w:t>
      </w:r>
      <w:r>
        <w:rPr>
          <w:spacing w:val="-49"/>
        </w:rPr>
        <w:t> </w:t>
      </w:r>
      <w:r>
        <w:rPr>
          <w:spacing w:val="-49"/>
        </w:rPr>
      </w:r>
      <w:r>
        <w:rPr>
          <w:spacing w:val="-7"/>
        </w:rPr>
        <w:t>东签订《转股协议》，约定李青春、徐志东自协议签署日享有股东权利、承担股东义务。该股权转让于</w:t>
      </w:r>
      <w:r>
        <w:rPr>
          <w:rFonts w:ascii="Times New Roman" w:hAnsi="Times New Roman" w:cs="Times New Roman" w:eastAsia="Times New Roman" w:hint="default"/>
          <w:spacing w:val="-7"/>
        </w:rPr>
        <w:t>2006</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日办理工商变更登记。</w:t>
      </w:r>
    </w:p>
    <w:p>
      <w:pPr>
        <w:spacing w:after="0" w:line="256" w:lineRule="auto"/>
        <w:jc w:val="both"/>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4"/>
        <w:spacing w:line="256" w:lineRule="auto" w:before="36"/>
        <w:ind w:left="152" w:right="0" w:firstLine="424"/>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日，本公司</w:t>
      </w:r>
      <w:r>
        <w:rPr>
          <w:rFonts w:ascii="Times New Roman" w:hAnsi="Times New Roman" w:cs="Times New Roman" w:eastAsia="Times New Roman" w:hint="default"/>
          <w:spacing w:val="-2"/>
        </w:rPr>
        <w:t>2009</w:t>
      </w:r>
      <w:r>
        <w:rPr>
          <w:spacing w:val="-2"/>
        </w:rPr>
        <w:t>年第三次、第四次股东会通过决议，同意涌金实业（集团）有限公司将</w:t>
      </w:r>
      <w:r>
        <w:rPr>
          <w:w w:val="100"/>
        </w:rPr>
        <w:t> </w:t>
      </w:r>
      <w:r>
        <w:rPr>
          <w:spacing w:val="-6"/>
        </w:rPr>
        <w:t>其持有本公司股权中的</w:t>
      </w:r>
      <w:r>
        <w:rPr>
          <w:rFonts w:ascii="Times New Roman" w:hAnsi="Times New Roman" w:cs="Times New Roman" w:eastAsia="Times New Roman" w:hint="default"/>
          <w:spacing w:val="-6"/>
        </w:rPr>
        <w:t>1.53%</w:t>
      </w:r>
      <w:r>
        <w:rPr>
          <w:spacing w:val="-6"/>
        </w:rPr>
        <w:t>、</w:t>
      </w:r>
      <w:r>
        <w:rPr>
          <w:rFonts w:ascii="Times New Roman" w:hAnsi="Times New Roman" w:cs="Times New Roman" w:eastAsia="Times New Roman" w:hint="default"/>
          <w:spacing w:val="-6"/>
        </w:rPr>
        <w:t>1.02%</w:t>
      </w:r>
      <w:r>
        <w:rPr>
          <w:spacing w:val="-6"/>
        </w:rPr>
        <w:t>分别转让给自然人刘亦君、李嘉，同时申请增加注册资本人民币</w:t>
      </w:r>
      <w:r>
        <w:rPr>
          <w:rFonts w:ascii="Times New Roman" w:hAnsi="Times New Roman" w:cs="Times New Roman" w:eastAsia="Times New Roman" w:hint="default"/>
          <w:spacing w:val="-6"/>
        </w:rPr>
        <w:t>183.30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万元，由东华软件股份公司以货币资金</w:t>
      </w:r>
      <w:r>
        <w:rPr>
          <w:rFonts w:ascii="Times New Roman" w:hAnsi="Times New Roman" w:cs="Times New Roman" w:eastAsia="Times New Roman" w:hint="default"/>
        </w:rPr>
        <w:t>2,860</w:t>
      </w:r>
      <w:r>
        <w:rPr/>
        <w:t>万元投入，其中</w:t>
      </w:r>
      <w:r>
        <w:rPr>
          <w:rFonts w:ascii="Times New Roman" w:hAnsi="Times New Roman" w:cs="Times New Roman" w:eastAsia="Times New Roman" w:hint="default"/>
        </w:rPr>
        <w:t>183.30</w:t>
      </w:r>
      <w:r>
        <w:rPr/>
        <w:t>万元作为实收资本，溢价部分</w:t>
      </w:r>
      <w:r>
        <w:rPr>
          <w:rFonts w:ascii="Times New Roman" w:hAnsi="Times New Roman" w:cs="Times New Roman" w:eastAsia="Times New Roman" w:hint="default"/>
        </w:rPr>
        <w:t>2,676.70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2"/>
        </w:rPr>
        <w:t>万元计入资本公积金。此次变更后本公司注册资本为人民币</w:t>
      </w:r>
      <w:r>
        <w:rPr>
          <w:rFonts w:ascii="Times New Roman" w:hAnsi="Times New Roman" w:cs="Times New Roman" w:eastAsia="Times New Roman" w:hint="default"/>
          <w:spacing w:val="-2"/>
        </w:rPr>
        <w:t>1,593.30</w:t>
      </w:r>
      <w:r>
        <w:rPr>
          <w:spacing w:val="-2"/>
        </w:rPr>
        <w:t>万元，本次增资业经天健光华（北京）</w:t>
      </w:r>
      <w:r>
        <w:rPr>
          <w:spacing w:val="-33"/>
        </w:rPr>
        <w:t> </w:t>
      </w:r>
      <w:r>
        <w:rPr>
          <w:spacing w:val="-33"/>
        </w:rPr>
      </w:r>
      <w:r>
        <w:rPr/>
        <w:t>会计师事务所有限公司以天健光华验</w:t>
      </w:r>
      <w:r>
        <w:rPr>
          <w:rFonts w:ascii="Times New Roman" w:hAnsi="Times New Roman" w:cs="Times New Roman" w:eastAsia="Times New Roman" w:hint="default"/>
        </w:rPr>
        <w:t>(2009)</w:t>
      </w:r>
      <w:r>
        <w:rPr/>
        <w:t>综字第</w:t>
      </w:r>
      <w:r>
        <w:rPr>
          <w:rFonts w:ascii="Times New Roman" w:hAnsi="Times New Roman" w:cs="Times New Roman" w:eastAsia="Times New Roman" w:hint="default"/>
        </w:rPr>
        <w:t>010038</w:t>
      </w:r>
      <w:r>
        <w:rPr/>
        <w:t>号验资报告予以验证，并于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日在北</w:t>
      </w:r>
      <w:r>
        <w:rPr>
          <w:spacing w:val="-59"/>
        </w:rPr>
        <w:t> </w:t>
      </w:r>
      <w:r>
        <w:rPr/>
        <w:t>京市工商局丰台分局换领了变更后的营业执照。</w:t>
      </w:r>
    </w:p>
    <w:p>
      <w:pPr>
        <w:spacing w:line="240" w:lineRule="auto" w:before="7"/>
        <w:rPr>
          <w:rFonts w:ascii="宋体" w:hAnsi="宋体" w:cs="宋体" w:eastAsia="宋体" w:hint="default"/>
          <w:sz w:val="25"/>
          <w:szCs w:val="25"/>
        </w:rPr>
      </w:pPr>
    </w:p>
    <w:p>
      <w:pPr>
        <w:pStyle w:val="Heading4"/>
        <w:spacing w:line="256" w:lineRule="auto"/>
        <w:ind w:left="153" w:right="208" w:firstLine="424"/>
        <w:jc w:val="both"/>
      </w:pPr>
      <w:r>
        <w:rPr>
          <w:spacing w:val="-2"/>
        </w:rPr>
        <w:t>根据公司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日第五次、第六次股东会决议，股东张齐春、牛合庆、朱律玮、孙亚明、朱海</w:t>
      </w:r>
      <w:r>
        <w:rPr>
          <w:spacing w:val="-3"/>
          <w:w w:val="100"/>
        </w:rPr>
        <w:t> </w:t>
      </w:r>
      <w:r>
        <w:rPr>
          <w:spacing w:val="-2"/>
        </w:rPr>
        <w:t>东、李绪兰、佟南燕、张杰分别将其持有的本公司部分股权转让给刘川等</w:t>
      </w:r>
      <w:r>
        <w:rPr>
          <w:rFonts w:ascii="Times New Roman" w:hAnsi="Times New Roman" w:cs="Times New Roman" w:eastAsia="Times New Roman" w:hint="default"/>
          <w:spacing w:val="-2"/>
        </w:rPr>
        <w:t>33</w:t>
      </w:r>
      <w:r>
        <w:rPr>
          <w:spacing w:val="-2"/>
        </w:rPr>
        <w:t>位自然人，公司于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spacing w:val="-39"/>
        </w:rPr>
        <w:t> </w:t>
      </w:r>
      <w:r>
        <w:rPr>
          <w:rFonts w:ascii="Times New Roman" w:hAnsi="Times New Roman" w:cs="Times New Roman" w:eastAsia="Times New Roman" w:hint="default"/>
        </w:rPr>
        <w:t>29</w:t>
      </w:r>
      <w:r>
        <w:rPr/>
        <w:t>日在北京市工商局丰台分局办理了工商变更登记。</w:t>
      </w:r>
    </w:p>
    <w:p>
      <w:pPr>
        <w:spacing w:line="240" w:lineRule="auto" w:before="3"/>
        <w:rPr>
          <w:rFonts w:ascii="宋体" w:hAnsi="宋体" w:cs="宋体" w:eastAsia="宋体" w:hint="default"/>
          <w:sz w:val="24"/>
          <w:szCs w:val="24"/>
        </w:rPr>
      </w:pPr>
    </w:p>
    <w:p>
      <w:pPr>
        <w:pStyle w:val="Heading4"/>
        <w:spacing w:line="256" w:lineRule="auto"/>
        <w:ind w:left="153" w:right="0" w:firstLine="424"/>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日，公司第七次股东会决议，同意中关村高科技产业促进中心将其持有本公司的</w:t>
      </w:r>
      <w:r>
        <w:rPr>
          <w:rFonts w:ascii="Times New Roman" w:hAnsi="Times New Roman" w:cs="Times New Roman" w:eastAsia="Times New Roman" w:hint="default"/>
        </w:rPr>
        <w:t>2.64%</w:t>
      </w:r>
      <w:r>
        <w:rPr>
          <w:rFonts w:ascii="Times New Roman" w:hAnsi="Times New Roman" w:cs="Times New Roman" w:eastAsia="Times New Roman" w:hint="default"/>
          <w:w w:val="100"/>
        </w:rPr>
        <w:t> </w:t>
      </w:r>
      <w:r>
        <w:rPr>
          <w:spacing w:val="-3"/>
        </w:rPr>
        <w:t>的股权全部转让，转让方式为在北京产权交易所挂牌公开交易。</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w:t>
      </w:r>
      <w:r>
        <w:rPr>
          <w:spacing w:val="-3"/>
        </w:rPr>
        <w:t>日，自然人陈实以人民币</w:t>
      </w:r>
      <w:r>
        <w:rPr>
          <w:rFonts w:ascii="Times New Roman" w:hAnsi="Times New Roman" w:cs="Times New Roman" w:eastAsia="Times New Roman" w:hint="default"/>
          <w:spacing w:val="-3"/>
        </w:rPr>
        <w:t>1,471</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万元的价格受让该股权。</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日，本公司</w:t>
      </w:r>
      <w:r>
        <w:rPr>
          <w:rFonts w:ascii="Times New Roman" w:hAnsi="Times New Roman" w:cs="Times New Roman" w:eastAsia="Times New Roman" w:hint="default"/>
          <w:spacing w:val="-2"/>
        </w:rPr>
        <w:t>2010</w:t>
      </w:r>
      <w:r>
        <w:rPr>
          <w:spacing w:val="-2"/>
        </w:rPr>
        <w:t>年第一次股东会决议，同意并确认该股权重组行为，</w:t>
      </w:r>
      <w:r>
        <w:rPr>
          <w:spacing w:val="-38"/>
        </w:rPr>
        <w:t> </w:t>
      </w:r>
      <w:r>
        <w:rPr>
          <w:spacing w:val="-38"/>
        </w:rPr>
      </w:r>
      <w:r>
        <w:rPr/>
        <w:t>同时修改公司章程。本公司于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日在北京市工商局丰台分局办理了工商变更登记。</w:t>
      </w:r>
    </w:p>
    <w:p>
      <w:pPr>
        <w:pStyle w:val="Heading4"/>
        <w:spacing w:line="624" w:lineRule="exact" w:before="63"/>
        <w:ind w:left="578" w:right="0" w:hanging="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股份制改造及创业板上市情况</w:t>
      </w:r>
      <w:r>
        <w:rPr>
          <w:w w:val="100"/>
        </w:rPr>
        <w:t> </w:t>
      </w:r>
      <w:r>
        <w:rPr>
          <w:spacing w:val="-2"/>
        </w:rPr>
        <w:t>根据</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日第二次临时股东会决议，公司以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日为基准日，整体变更为股份有限公</w:t>
      </w:r>
      <w:r>
        <w:rPr/>
      </w:r>
    </w:p>
    <w:p>
      <w:pPr>
        <w:pStyle w:val="Heading4"/>
        <w:spacing w:line="233" w:lineRule="exact"/>
        <w:ind w:left="153" w:right="0"/>
        <w:jc w:val="left"/>
      </w:pPr>
      <w:r>
        <w:rPr/>
        <w:t>司，将账面净资产</w:t>
      </w:r>
      <w:r>
        <w:rPr>
          <w:rFonts w:ascii="Times New Roman" w:hAnsi="Times New Roman" w:cs="Times New Roman" w:eastAsia="Times New Roman" w:hint="default"/>
        </w:rPr>
        <w:t>80,918,968.29</w:t>
      </w:r>
      <w:r>
        <w:rPr/>
        <w:t>元按</w:t>
      </w:r>
      <w:r>
        <w:rPr>
          <w:rFonts w:ascii="Times New Roman" w:hAnsi="Times New Roman" w:cs="Times New Roman" w:eastAsia="Times New Roman" w:hint="default"/>
        </w:rPr>
        <w:t>1:0.5561</w:t>
      </w:r>
      <w:r>
        <w:rPr/>
        <w:t>比例折合为</w:t>
      </w:r>
      <w:r>
        <w:rPr>
          <w:rFonts w:ascii="Times New Roman" w:hAnsi="Times New Roman" w:cs="Times New Roman" w:eastAsia="Times New Roman" w:hint="default"/>
        </w:rPr>
        <w:t>4,500</w:t>
      </w:r>
      <w:r>
        <w:rPr/>
        <w:t>万股股份，折余部分计入资本公积（资本溢</w:t>
      </w:r>
    </w:p>
    <w:p>
      <w:pPr>
        <w:pStyle w:val="Heading4"/>
        <w:spacing w:line="256" w:lineRule="auto" w:before="21"/>
        <w:ind w:left="153" w:right="0"/>
        <w:jc w:val="left"/>
      </w:pPr>
      <w:r>
        <w:rPr>
          <w:spacing w:val="-4"/>
        </w:rPr>
        <w:t>价），该事项由天健正信会计师事务所有限公司以天健正信验（</w:t>
      </w:r>
      <w:r>
        <w:rPr>
          <w:rFonts w:ascii="Times New Roman" w:hAnsi="Times New Roman" w:cs="Times New Roman" w:eastAsia="Times New Roman" w:hint="default"/>
          <w:spacing w:val="-4"/>
        </w:rPr>
        <w:t>2010</w:t>
      </w:r>
      <w:r>
        <w:rPr>
          <w:spacing w:val="-4"/>
        </w:rPr>
        <w:t>）综字第</w:t>
      </w:r>
      <w:r>
        <w:rPr>
          <w:rFonts w:ascii="Times New Roman" w:hAnsi="Times New Roman" w:cs="Times New Roman" w:eastAsia="Times New Roman" w:hint="default"/>
          <w:spacing w:val="-4"/>
        </w:rPr>
        <w:t>010118</w:t>
      </w:r>
      <w:r>
        <w:rPr>
          <w:spacing w:val="-4"/>
        </w:rPr>
        <w:t>号验资报告予以验证。</w:t>
      </w:r>
      <w:r>
        <w:rPr>
          <w:spacing w:val="-34"/>
        </w:rPr>
        <w:t> </w:t>
      </w:r>
      <w:r>
        <w:rPr>
          <w:spacing w:val="-34"/>
        </w:rPr>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日，股份公司创立大会暨第一次股东大会决议，决定设立北京东方通科技股份有限公司，并</w:t>
      </w:r>
      <w:r>
        <w:rPr>
          <w:spacing w:val="-36"/>
        </w:rPr>
        <w:t> </w:t>
      </w:r>
      <w:r>
        <w:rPr>
          <w:spacing w:val="-36"/>
        </w:rPr>
      </w:r>
      <w:r>
        <w:rPr/>
        <w:t>审议通过股份公司章程。公司于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日办理了工商变更登记并领取了</w:t>
      </w:r>
      <w:r>
        <w:rPr>
          <w:rFonts w:ascii="Times New Roman" w:hAnsi="Times New Roman" w:cs="Times New Roman" w:eastAsia="Times New Roman" w:hint="default"/>
        </w:rPr>
        <w:t>110106003218984</w:t>
      </w:r>
      <w:r>
        <w:rPr/>
        <w:t>号企业法</w:t>
      </w:r>
      <w:r>
        <w:rPr>
          <w:spacing w:val="-29"/>
        </w:rPr>
        <w:t> </w:t>
      </w:r>
      <w:r>
        <w:rPr>
          <w:spacing w:val="-29"/>
        </w:rPr>
      </w:r>
      <w:r>
        <w:rPr/>
        <w:t>人营业执照。</w:t>
      </w:r>
    </w:p>
    <w:p>
      <w:pPr>
        <w:spacing w:line="240" w:lineRule="auto" w:before="7"/>
        <w:rPr>
          <w:rFonts w:ascii="宋体" w:hAnsi="宋体" w:cs="宋体" w:eastAsia="宋体" w:hint="default"/>
          <w:sz w:val="25"/>
          <w:szCs w:val="25"/>
        </w:rPr>
      </w:pPr>
    </w:p>
    <w:p>
      <w:pPr>
        <w:pStyle w:val="Heading4"/>
        <w:spacing w:line="256" w:lineRule="auto"/>
        <w:ind w:left="153" w:right="170" w:firstLine="424"/>
        <w:jc w:val="both"/>
      </w:pPr>
      <w:r>
        <w:rPr>
          <w:spacing w:val="-2"/>
        </w:rPr>
        <w:t>根据本公司</w:t>
      </w:r>
      <w:r>
        <w:rPr>
          <w:rFonts w:ascii="Times New Roman" w:hAnsi="Times New Roman" w:cs="Times New Roman" w:eastAsia="Times New Roman" w:hint="default"/>
          <w:spacing w:val="-2"/>
        </w:rPr>
        <w:t>2013</w:t>
      </w:r>
      <w:r>
        <w:rPr>
          <w:spacing w:val="-2"/>
        </w:rPr>
        <w:t>年第三次临时股东大会决议和中国证券监督管理委员会《关于核准北京东方通科技股</w:t>
      </w:r>
      <w:r>
        <w:rPr>
          <w:w w:val="100"/>
        </w:rPr>
        <w:t> </w:t>
      </w:r>
      <w:r>
        <w:rPr>
          <w:spacing w:val="-3"/>
        </w:rPr>
        <w:t>份有限公司首次公开发行股票并在创业板上市的批复》（证监许可</w:t>
      </w:r>
      <w:r>
        <w:rPr>
          <w:rFonts w:ascii="Times New Roman" w:hAnsi="Times New Roman" w:cs="Times New Roman" w:eastAsia="Times New Roman" w:hint="default"/>
          <w:spacing w:val="-3"/>
        </w:rPr>
        <w:t>[2014]66</w:t>
      </w:r>
      <w:r>
        <w:rPr>
          <w:spacing w:val="-3"/>
        </w:rPr>
        <w:t>号）核准，公司于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40"/>
        </w:rPr>
        <w:t> </w:t>
      </w:r>
      <w:r>
        <w:rPr/>
        <w:t>日公开发行人民币普通股</w:t>
      </w:r>
      <w:r>
        <w:rPr>
          <w:rFonts w:ascii="Times New Roman" w:hAnsi="Times New Roman" w:cs="Times New Roman" w:eastAsia="Times New Roman" w:hint="default"/>
        </w:rPr>
        <w:t>643.3181</w:t>
      </w:r>
      <w:r>
        <w:rPr/>
        <w:t>万股，每股发行价格</w:t>
      </w:r>
      <w:r>
        <w:rPr>
          <w:rFonts w:ascii="Times New Roman" w:hAnsi="Times New Roman" w:cs="Times New Roman" w:eastAsia="Times New Roman" w:hint="default"/>
        </w:rPr>
        <w:t>22</w:t>
      </w:r>
      <w:r>
        <w:rPr/>
        <w:t>元，原股东公开发售股份</w:t>
      </w:r>
      <w:r>
        <w:rPr>
          <w:rFonts w:ascii="Times New Roman" w:hAnsi="Times New Roman" w:cs="Times New Roman" w:eastAsia="Times New Roman" w:hint="default"/>
        </w:rPr>
        <w:t>642.5115</w:t>
      </w:r>
      <w:r>
        <w:rPr/>
        <w:t>万股。本次发</w:t>
      </w:r>
      <w:r>
        <w:rPr>
          <w:spacing w:val="-31"/>
        </w:rPr>
        <w:t> </w:t>
      </w:r>
      <w:r>
        <w:rPr>
          <w:spacing w:val="-31"/>
        </w:rPr>
      </w:r>
      <w:r>
        <w:rPr>
          <w:spacing w:val="-2"/>
        </w:rPr>
        <w:t>行后，公司的股份总数变更为</w:t>
      </w:r>
      <w:r>
        <w:rPr>
          <w:rFonts w:ascii="Times New Roman" w:hAnsi="Times New Roman" w:cs="Times New Roman" w:eastAsia="Times New Roman" w:hint="default"/>
          <w:spacing w:val="-2"/>
        </w:rPr>
        <w:t>51,433,181</w:t>
      </w:r>
      <w:r>
        <w:rPr>
          <w:spacing w:val="-2"/>
        </w:rPr>
        <w:t>股，股本总额为</w:t>
      </w:r>
      <w:r>
        <w:rPr>
          <w:rFonts w:ascii="Times New Roman" w:hAnsi="Times New Roman" w:cs="Times New Roman" w:eastAsia="Times New Roman" w:hint="default"/>
          <w:spacing w:val="-2"/>
        </w:rPr>
        <w:t>51,433,181.00</w:t>
      </w:r>
      <w:r>
        <w:rPr>
          <w:spacing w:val="-2"/>
        </w:rPr>
        <w:t>元，发起人股本</w:t>
      </w:r>
      <w:r>
        <w:rPr>
          <w:rFonts w:ascii="Times New Roman" w:hAnsi="Times New Roman" w:cs="Times New Roman" w:eastAsia="Times New Roman" w:hint="default"/>
          <w:spacing w:val="-2"/>
        </w:rPr>
        <w:t>38,574,885.00</w:t>
      </w:r>
      <w:r>
        <w:rPr>
          <w:spacing w:val="-2"/>
        </w:rPr>
        <w:t>元，占</w:t>
      </w:r>
      <w:r>
        <w:rPr>
          <w:spacing w:val="-14"/>
        </w:rPr>
        <w:t> </w:t>
      </w:r>
      <w:r>
        <w:rPr>
          <w:spacing w:val="-14"/>
        </w:rPr>
      </w:r>
      <w:r>
        <w:rPr>
          <w:spacing w:val="-2"/>
        </w:rPr>
        <w:t>股本总额的</w:t>
      </w:r>
      <w:r>
        <w:rPr>
          <w:rFonts w:ascii="Times New Roman" w:hAnsi="Times New Roman" w:cs="Times New Roman" w:eastAsia="Times New Roman" w:hint="default"/>
          <w:spacing w:val="-2"/>
        </w:rPr>
        <w:t>75.0000%</w:t>
      </w:r>
      <w:r>
        <w:rPr>
          <w:spacing w:val="-2"/>
        </w:rPr>
        <w:t>；社会公众股本</w:t>
      </w:r>
      <w:r>
        <w:rPr>
          <w:rFonts w:ascii="Times New Roman" w:hAnsi="Times New Roman" w:cs="Times New Roman" w:eastAsia="Times New Roman" w:hint="default"/>
          <w:spacing w:val="-2"/>
        </w:rPr>
        <w:t>12,858,296.00</w:t>
      </w:r>
      <w:r>
        <w:rPr>
          <w:spacing w:val="-2"/>
        </w:rPr>
        <w:t>元，占股本总额的</w:t>
      </w:r>
      <w:r>
        <w:rPr>
          <w:rFonts w:ascii="Times New Roman" w:hAnsi="Times New Roman" w:cs="Times New Roman" w:eastAsia="Times New Roman" w:hint="default"/>
          <w:spacing w:val="-2"/>
        </w:rPr>
        <w:t>25.0000%</w:t>
      </w:r>
      <w:r>
        <w:rPr>
          <w:spacing w:val="-2"/>
        </w:rPr>
        <w:t>。该事项业经大华会计师事</w:t>
      </w:r>
      <w:r>
        <w:rPr>
          <w:spacing w:val="1"/>
        </w:rPr>
        <w:t> </w:t>
      </w:r>
      <w:r>
        <w:rPr>
          <w:spacing w:val="1"/>
        </w:rPr>
      </w:r>
      <w:r>
        <w:rPr>
          <w:spacing w:val="-1"/>
        </w:rPr>
        <w:t>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审验，并于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日出具大华验字</w:t>
      </w:r>
      <w:r>
        <w:rPr>
          <w:rFonts w:ascii="Times New Roman" w:hAnsi="Times New Roman" w:cs="Times New Roman" w:eastAsia="Times New Roman" w:hint="default"/>
          <w:spacing w:val="-1"/>
        </w:rPr>
        <w:t>[2014]000055</w:t>
      </w:r>
      <w:r>
        <w:rPr>
          <w:spacing w:val="-1"/>
        </w:rPr>
        <w:t>号验资报告。根据深圳证券交易</w:t>
      </w:r>
      <w:r>
        <w:rPr>
          <w:spacing w:val="-39"/>
        </w:rPr>
        <w:t> </w:t>
      </w:r>
      <w:r>
        <w:rPr>
          <w:spacing w:val="-39"/>
        </w:rPr>
      </w:r>
      <w:r>
        <w:rPr/>
        <w:t>所《关于北京东方通科技股份有限公司人民币普通股股票在创业板上市的通知》（深证上</w:t>
      </w:r>
      <w:r>
        <w:rPr>
          <w:rFonts w:ascii="Times New Roman" w:hAnsi="Times New Roman" w:cs="Times New Roman" w:eastAsia="Times New Roman" w:hint="default"/>
        </w:rPr>
        <w:t>[2014]75</w:t>
      </w:r>
      <w:r>
        <w:rPr>
          <w:rFonts w:ascii="Times New Roman" w:hAnsi="Times New Roman" w:cs="Times New Roman" w:eastAsia="Times New Roman" w:hint="default"/>
          <w:spacing w:val="24"/>
        </w:rPr>
        <w:t> </w:t>
      </w:r>
      <w:r>
        <w:rPr/>
        <w:t>号），</w:t>
      </w:r>
      <w:r>
        <w:rPr>
          <w:w w:val="100"/>
        </w:rPr>
        <w:t> </w:t>
      </w: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日起在深圳证券交易所创业板上市交易，股票简称东方通，股票代码</w:t>
      </w:r>
      <w:r>
        <w:rPr>
          <w:rFonts w:ascii="Times New Roman" w:hAnsi="Times New Roman" w:cs="Times New Roman" w:eastAsia="Times New Roman" w:hint="default"/>
        </w:rPr>
        <w:t>300379</w:t>
      </w:r>
      <w:r>
        <w:rPr/>
        <w:t>。本公</w:t>
      </w:r>
      <w:r>
        <w:rPr>
          <w:spacing w:val="-27"/>
        </w:rPr>
        <w:t> </w:t>
      </w:r>
      <w:r>
        <w:rPr/>
        <w:t>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日办理了工商变更登记。</w:t>
      </w:r>
    </w:p>
    <w:p>
      <w:pPr>
        <w:spacing w:line="240" w:lineRule="auto" w:before="3"/>
        <w:rPr>
          <w:rFonts w:ascii="宋体" w:hAnsi="宋体" w:cs="宋体" w:eastAsia="宋体" w:hint="default"/>
          <w:sz w:val="24"/>
          <w:szCs w:val="24"/>
        </w:rPr>
      </w:pPr>
    </w:p>
    <w:p>
      <w:pPr>
        <w:pStyle w:val="Heading4"/>
        <w:spacing w:line="259" w:lineRule="auto"/>
        <w:ind w:left="154" w:right="205" w:firstLine="425"/>
        <w:jc w:val="both"/>
      </w:pPr>
      <w:r>
        <w:rPr>
          <w:spacing w:val="-2"/>
        </w:rPr>
        <w:t>根据本公司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日召开的</w:t>
      </w:r>
      <w:r>
        <w:rPr>
          <w:rFonts w:ascii="Times New Roman" w:hAnsi="Times New Roman" w:cs="Times New Roman" w:eastAsia="Times New Roman" w:hint="default"/>
          <w:spacing w:val="-2"/>
        </w:rPr>
        <w:t>2014</w:t>
      </w:r>
      <w:r>
        <w:rPr>
          <w:spacing w:val="-2"/>
        </w:rPr>
        <w:t>年第二次临时股东大会决议和修改后的章程的规定，并经中国证</w:t>
      </w:r>
      <w:r>
        <w:rPr>
          <w:spacing w:val="-3"/>
          <w:w w:val="100"/>
        </w:rPr>
        <w:t> </w:t>
      </w:r>
      <w:r>
        <w:rPr>
          <w:spacing w:val="-2"/>
        </w:rPr>
        <w:t>券监督管理委员会《关于核准北京东方通科技股份有限公司向李健等发行股份购买资产并募集配套资金的</w:t>
      </w:r>
      <w:r>
        <w:rPr>
          <w:spacing w:val="-43"/>
        </w:rPr>
        <w:t> </w:t>
      </w:r>
      <w:r>
        <w:rPr>
          <w:spacing w:val="-43"/>
        </w:rPr>
      </w:r>
      <w:r>
        <w:rPr>
          <w:spacing w:val="-3"/>
        </w:rPr>
        <w:t>批复》（证监许可</w:t>
      </w:r>
      <w:r>
        <w:rPr>
          <w:rFonts w:ascii="Times New Roman" w:hAnsi="Times New Roman" w:cs="Times New Roman" w:eastAsia="Times New Roman" w:hint="default"/>
          <w:spacing w:val="-3"/>
        </w:rPr>
        <w:t>[2014]1354</w:t>
      </w:r>
      <w:r>
        <w:rPr>
          <w:spacing w:val="-3"/>
        </w:rPr>
        <w:t>号）核准，公司于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15</w:t>
      </w:r>
      <w:r>
        <w:rPr>
          <w:spacing w:val="-3"/>
        </w:rPr>
        <w:t>日向李健等</w:t>
      </w:r>
      <w:r>
        <w:rPr>
          <w:rFonts w:ascii="Times New Roman" w:hAnsi="Times New Roman" w:cs="Times New Roman" w:eastAsia="Times New Roman" w:hint="default"/>
          <w:spacing w:val="-3"/>
        </w:rPr>
        <w:t>4</w:t>
      </w:r>
      <w:r>
        <w:rPr>
          <w:spacing w:val="-3"/>
        </w:rPr>
        <w:t>名交易对方发行普通股</w:t>
      </w:r>
      <w:r>
        <w:rPr>
          <w:rFonts w:ascii="Times New Roman" w:hAnsi="Times New Roman" w:cs="Times New Roman" w:eastAsia="Times New Roman" w:hint="default"/>
          <w:spacing w:val="-3"/>
        </w:rPr>
        <w:t>4,480,000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日向东海基金管理有限责任公司等</w:t>
      </w:r>
      <w:r>
        <w:rPr>
          <w:rFonts w:ascii="Times New Roman" w:hAnsi="Times New Roman" w:cs="Times New Roman" w:eastAsia="Times New Roman" w:hint="default"/>
        </w:rPr>
        <w:t>3</w:t>
      </w:r>
      <w:r>
        <w:rPr/>
        <w:t>名特定投资者非公开发行普通股</w:t>
      </w:r>
      <w:r>
        <w:rPr>
          <w:rFonts w:ascii="Times New Roman" w:hAnsi="Times New Roman" w:cs="Times New Roman" w:eastAsia="Times New Roman" w:hint="default"/>
        </w:rPr>
        <w:t>1,696,969</w:t>
      </w:r>
      <w:r>
        <w:rPr/>
        <w:t>股，发</w:t>
      </w:r>
      <w:r>
        <w:rPr>
          <w:spacing w:val="-30"/>
        </w:rPr>
        <w:t> </w:t>
      </w:r>
      <w:r>
        <w:rPr>
          <w:spacing w:val="-1"/>
        </w:rPr>
        <w:t>行后的注册资本为</w:t>
      </w:r>
      <w:r>
        <w:rPr>
          <w:rFonts w:ascii="Times New Roman" w:hAnsi="Times New Roman" w:cs="Times New Roman" w:eastAsia="Times New Roman" w:hint="default"/>
          <w:spacing w:val="-1"/>
        </w:rPr>
        <w:t>57,610,150.00</w:t>
      </w:r>
      <w:r>
        <w:rPr>
          <w:spacing w:val="-1"/>
        </w:rPr>
        <w:t>元。该两次非公开发行均由立信会计师事务所（特殊普通合伙）审验，并</w:t>
      </w:r>
      <w:r>
        <w:rPr>
          <w:spacing w:val="-24"/>
        </w:rPr>
        <w:t> </w:t>
      </w:r>
      <w:r>
        <w:rPr>
          <w:spacing w:val="-24"/>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日分别出具信会师报字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211399</w:t>
      </w:r>
      <w:r>
        <w:rPr/>
        <w:t>号、信会师报字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211415</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号验资报告。</w:t>
      </w:r>
    </w:p>
    <w:p>
      <w:pPr>
        <w:spacing w:line="240" w:lineRule="auto" w:before="5"/>
        <w:rPr>
          <w:rFonts w:ascii="宋体" w:hAnsi="宋体" w:cs="宋体" w:eastAsia="宋体" w:hint="default"/>
          <w:sz w:val="25"/>
          <w:szCs w:val="25"/>
        </w:rPr>
      </w:pPr>
    </w:p>
    <w:p>
      <w:pPr>
        <w:pStyle w:val="Heading4"/>
        <w:spacing w:line="240" w:lineRule="auto"/>
        <w:ind w:left="578" w:right="0"/>
        <w:jc w:val="left"/>
      </w:pPr>
      <w:r>
        <w:rPr/>
        <w:t>本公司注册号</w:t>
      </w:r>
      <w:r>
        <w:rPr>
          <w:rFonts w:ascii="Times New Roman" w:hAnsi="Times New Roman" w:cs="Times New Roman" w:eastAsia="Times New Roman" w:hint="default"/>
        </w:rPr>
        <w:t>110106003218984</w:t>
      </w:r>
      <w:r>
        <w:rPr/>
        <w:t>。</w:t>
      </w:r>
    </w:p>
    <w:p>
      <w:pPr>
        <w:spacing w:after="0" w:line="240" w:lineRule="auto"/>
        <w:jc w:val="left"/>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4"/>
        <w:spacing w:line="264" w:lineRule="auto" w:before="36"/>
        <w:ind w:right="3359" w:hanging="1"/>
        <w:jc w:val="left"/>
      </w:pPr>
      <w:r>
        <w:rPr>
          <w:spacing w:val="-2"/>
        </w:rPr>
        <w:t>本公司法定住所为北京市丰台区丰台路口</w:t>
      </w:r>
      <w:r>
        <w:rPr>
          <w:rFonts w:ascii="Times New Roman" w:hAnsi="Times New Roman" w:cs="Times New Roman" w:eastAsia="Times New Roman" w:hint="default"/>
          <w:spacing w:val="-2"/>
        </w:rPr>
        <w:t>139</w:t>
      </w:r>
      <w:r>
        <w:rPr>
          <w:spacing w:val="-2"/>
        </w:rPr>
        <w:t>号主楼</w:t>
      </w:r>
      <w:r>
        <w:rPr>
          <w:rFonts w:ascii="Times New Roman" w:hAnsi="Times New Roman" w:cs="Times New Roman" w:eastAsia="Times New Roman" w:hint="default"/>
          <w:spacing w:val="-2"/>
        </w:rPr>
        <w:t>311</w:t>
      </w:r>
      <w:r>
        <w:rPr>
          <w:spacing w:val="-2"/>
        </w:rPr>
        <w:t>室</w:t>
      </w:r>
      <w:r>
        <w:rPr>
          <w:rFonts w:ascii="Times New Roman" w:hAnsi="Times New Roman" w:cs="Times New Roman" w:eastAsia="Times New Roman" w:hint="default"/>
          <w:spacing w:val="-2"/>
        </w:rPr>
        <w:t>(</w:t>
      </w:r>
      <w:r>
        <w:rPr>
          <w:spacing w:val="-2"/>
        </w:rPr>
        <w:t>园区</w:t>
      </w:r>
      <w:r>
        <w:rPr>
          <w:rFonts w:ascii="Times New Roman" w:hAnsi="Times New Roman" w:cs="Times New Roman" w:eastAsia="Times New Roman" w:hint="default"/>
          <w:spacing w:val="-2"/>
        </w:rPr>
        <w:t>)</w:t>
      </w:r>
      <w:r>
        <w:rPr>
          <w:spacing w:val="-2"/>
        </w:rPr>
        <w:t>。</w:t>
      </w:r>
      <w:r>
        <w:rPr>
          <w:spacing w:val="-43"/>
        </w:rPr>
        <w:t> </w:t>
      </w:r>
      <w:r>
        <w:rPr/>
        <w:t>法定代表人张齐春。</w:t>
      </w:r>
      <w:r>
        <w:rPr>
          <w:w w:val="100"/>
        </w:rPr>
        <w:t> </w:t>
      </w:r>
      <w:r>
        <w:rPr/>
        <w:t>本公司最终控制人为张齐春、朱海东、朱曼。</w:t>
      </w:r>
    </w:p>
    <w:p>
      <w:pPr>
        <w:pStyle w:val="Heading4"/>
        <w:spacing w:line="624" w:lineRule="exact" w:before="74"/>
        <w:ind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行业性质</w:t>
      </w:r>
      <w:r>
        <w:rPr>
          <w:spacing w:val="-103"/>
        </w:rPr>
        <w:t> </w:t>
      </w:r>
      <w:r>
        <w:rPr>
          <w:spacing w:val="-103"/>
        </w:rPr>
      </w:r>
      <w:r>
        <w:rPr/>
        <w:t>本公司所属行业为信息技术业。产品是中间件软件、无线网络优化软件、服务器虚拟化软件等。</w:t>
      </w:r>
      <w:r>
        <w:rPr>
          <w:w w:val="100"/>
        </w:rPr>
        <w:t> </w:t>
      </w:r>
      <w:r>
        <w:rPr>
          <w:spacing w:val="-8"/>
          <w:w w:val="100"/>
        </w:rPr>
        <w:t>中间件软件，包括基础中间件（消息中间件</w:t>
      </w:r>
      <w:r>
        <w:rPr>
          <w:rFonts w:ascii="Times New Roman" w:hAnsi="Times New Roman" w:cs="Times New Roman" w:eastAsia="Times New Roman" w:hint="default"/>
          <w:spacing w:val="-8"/>
          <w:w w:val="100"/>
        </w:rPr>
        <w:t>TongLINK/Q</w:t>
      </w:r>
      <w:r>
        <w:rPr>
          <w:spacing w:val="-8"/>
          <w:w w:val="100"/>
        </w:rPr>
        <w:t>、交易中间件</w:t>
      </w:r>
      <w:r>
        <w:rPr>
          <w:rFonts w:ascii="Times New Roman" w:hAnsi="Times New Roman" w:cs="Times New Roman" w:eastAsia="Times New Roman" w:hint="default"/>
          <w:spacing w:val="-8"/>
          <w:w w:val="100"/>
        </w:rPr>
        <w:t>TongEASY</w:t>
      </w:r>
      <w:r>
        <w:rPr>
          <w:spacing w:val="-8"/>
          <w:w w:val="100"/>
        </w:rPr>
        <w:t>、应用服务器</w:t>
      </w:r>
      <w:r>
        <w:rPr>
          <w:rFonts w:ascii="Times New Roman" w:hAnsi="Times New Roman" w:cs="Times New Roman" w:eastAsia="Times New Roman" w:hint="default"/>
          <w:spacing w:val="-8"/>
          <w:w w:val="100"/>
        </w:rPr>
        <w:t>TongWeb</w:t>
      </w:r>
      <w:r>
        <w:rPr>
          <w:spacing w:val="-8"/>
          <w:w w:val="100"/>
        </w:rPr>
        <w:t>、</w:t>
      </w:r>
    </w:p>
    <w:p>
      <w:pPr>
        <w:pStyle w:val="Heading4"/>
        <w:spacing w:line="233" w:lineRule="exact"/>
        <w:ind w:left="153" w:right="0"/>
        <w:jc w:val="left"/>
      </w:pPr>
      <w:r>
        <w:rPr/>
        <w:t>安全中间件</w:t>
      </w:r>
      <w:r>
        <w:rPr>
          <w:rFonts w:ascii="Times New Roman" w:hAnsi="Times New Roman" w:cs="Times New Roman" w:eastAsia="Times New Roman" w:hint="default"/>
        </w:rPr>
        <w:t>TongSEC</w:t>
      </w:r>
      <w:r>
        <w:rPr/>
        <w:t>）、集成中间件（应用集成中间件</w:t>
      </w:r>
      <w:r>
        <w:rPr>
          <w:rFonts w:ascii="Times New Roman" w:hAnsi="Times New Roman" w:cs="Times New Roman" w:eastAsia="Times New Roman" w:hint="default"/>
        </w:rPr>
        <w:t>TongIntegrator</w:t>
      </w:r>
      <w:r>
        <w:rPr/>
        <w:t>）、</w:t>
      </w:r>
      <w:r>
        <w:rPr>
          <w:rFonts w:ascii="Times New Roman" w:hAnsi="Times New Roman" w:cs="Times New Roman" w:eastAsia="Times New Roman" w:hint="default"/>
        </w:rPr>
        <w:t>VSP</w:t>
      </w:r>
      <w:r>
        <w:rPr/>
        <w:t>（通用数据传输平台</w:t>
      </w:r>
      <w:r>
        <w:rPr>
          <w:rFonts w:ascii="Times New Roman" w:hAnsi="Times New Roman" w:cs="Times New Roman" w:eastAsia="Times New Roman" w:hint="default"/>
        </w:rPr>
        <w:t>GTP</w:t>
      </w:r>
      <w:r>
        <w:rPr/>
        <w:t>、</w:t>
      </w:r>
    </w:p>
    <w:p>
      <w:pPr>
        <w:pStyle w:val="Heading4"/>
        <w:spacing w:line="240" w:lineRule="auto" w:before="21"/>
        <w:ind w:left="153" w:right="0"/>
        <w:jc w:val="left"/>
      </w:pPr>
      <w:r>
        <w:rPr/>
        <w:t>移动应用平台</w:t>
      </w:r>
      <w:r>
        <w:rPr>
          <w:rFonts w:ascii="Times New Roman" w:hAnsi="Times New Roman" w:cs="Times New Roman" w:eastAsia="Times New Roman" w:hint="default"/>
        </w:rPr>
        <w:t>MAP</w:t>
      </w:r>
      <w:r>
        <w:rPr/>
        <w:t>）等。</w:t>
      </w:r>
    </w:p>
    <w:p>
      <w:pPr>
        <w:spacing w:line="240" w:lineRule="auto" w:before="6"/>
        <w:rPr>
          <w:rFonts w:ascii="宋体" w:hAnsi="宋体" w:cs="宋体" w:eastAsia="宋体" w:hint="default"/>
          <w:sz w:val="25"/>
          <w:szCs w:val="25"/>
        </w:rPr>
      </w:pPr>
    </w:p>
    <w:p>
      <w:pPr>
        <w:pStyle w:val="Heading4"/>
        <w:spacing w:line="256" w:lineRule="auto"/>
        <w:ind w:left="153" w:right="0" w:firstLine="424"/>
        <w:jc w:val="left"/>
      </w:pPr>
      <w:r>
        <w:rPr/>
        <w:t>无线网络优化软件，包括</w:t>
      </w:r>
      <w:r>
        <w:rPr>
          <w:rFonts w:ascii="Times New Roman" w:hAnsi="Times New Roman" w:cs="Times New Roman" w:eastAsia="Times New Roman" w:hint="default"/>
        </w:rPr>
        <w:t>CDS</w:t>
      </w:r>
      <w:r>
        <w:rPr/>
        <w:t>（</w:t>
      </w:r>
      <w:r>
        <w:rPr>
          <w:rFonts w:ascii="Times New Roman" w:hAnsi="Times New Roman" w:cs="Times New Roman" w:eastAsia="Times New Roman" w:hint="default"/>
        </w:rPr>
        <w:t>Cellular Drive Test</w:t>
      </w:r>
      <w:r>
        <w:rPr>
          <w:rFonts w:ascii="Times New Roman" w:hAnsi="Times New Roman" w:cs="Times New Roman" w:eastAsia="Times New Roman" w:hint="default"/>
          <w:spacing w:val="-13"/>
        </w:rPr>
        <w:t> </w:t>
      </w:r>
      <w:r>
        <w:rPr>
          <w:rFonts w:ascii="Times New Roman" w:hAnsi="Times New Roman" w:cs="Times New Roman" w:eastAsia="Times New Roman" w:hint="default"/>
        </w:rPr>
        <w:t>System</w:t>
      </w:r>
      <w:r>
        <w:rPr/>
        <w:t>）测试软件、便携式</w:t>
      </w:r>
      <w:r>
        <w:rPr>
          <w:rFonts w:ascii="Times New Roman" w:hAnsi="Times New Roman" w:cs="Times New Roman" w:eastAsia="Times New Roman" w:hint="default"/>
        </w:rPr>
        <w:t>WLAN</w:t>
      </w:r>
      <w:r>
        <w:rPr/>
        <w:t>测试软件、手持</w:t>
      </w:r>
      <w:r>
        <w:rPr>
          <w:w w:val="100"/>
        </w:rPr>
        <w:t> </w:t>
      </w:r>
      <w:r>
        <w:rPr/>
        <w:t>式</w:t>
      </w:r>
      <w:r>
        <w:rPr>
          <w:rFonts w:ascii="Times New Roman" w:hAnsi="Times New Roman" w:cs="Times New Roman" w:eastAsia="Times New Roman" w:hint="default"/>
        </w:rPr>
        <w:t>WLAN</w:t>
      </w:r>
      <w:r>
        <w:rPr/>
        <w:t>测试软件、</w:t>
      </w:r>
      <w:r>
        <w:rPr>
          <w:rFonts w:ascii="Times New Roman" w:hAnsi="Times New Roman" w:cs="Times New Roman" w:eastAsia="Times New Roman" w:hint="default"/>
        </w:rPr>
        <w:t>WLAN</w:t>
      </w:r>
      <w:r>
        <w:rPr/>
        <w:t>网络客户感知分析系统、</w:t>
      </w:r>
      <w:r>
        <w:rPr>
          <w:rFonts w:ascii="Times New Roman" w:hAnsi="Times New Roman" w:cs="Times New Roman" w:eastAsia="Times New Roman" w:hint="default"/>
        </w:rPr>
        <w:t>WSA</w:t>
      </w:r>
      <w:r>
        <w:rPr/>
        <w:t>采集分析平台等。</w:t>
      </w:r>
    </w:p>
    <w:p>
      <w:pPr>
        <w:spacing w:line="240" w:lineRule="auto" w:before="3"/>
        <w:rPr>
          <w:rFonts w:ascii="宋体" w:hAnsi="宋体" w:cs="宋体" w:eastAsia="宋体" w:hint="default"/>
          <w:sz w:val="24"/>
          <w:szCs w:val="24"/>
        </w:rPr>
      </w:pPr>
    </w:p>
    <w:p>
      <w:pPr>
        <w:pStyle w:val="Heading4"/>
        <w:spacing w:line="525" w:lineRule="auto"/>
        <w:ind w:left="578" w:right="4112" w:hanging="1"/>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经营范围</w:t>
      </w:r>
      <w:r>
        <w:rPr>
          <w:w w:val="100"/>
        </w:rPr>
        <w:t> </w:t>
      </w:r>
      <w:r>
        <w:rPr>
          <w:spacing w:val="-2"/>
        </w:rPr>
        <w:t>技术推广；软件服务；销售计算机、软件及辅助设备。</w:t>
      </w:r>
      <w:r>
        <w:rPr>
          <w:spacing w:val="-60"/>
        </w:rPr>
        <w:t> </w:t>
      </w:r>
      <w:r>
        <w:rPr>
          <w:spacing w:val="-60"/>
        </w:rPr>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基本组织架构</w:t>
      </w:r>
      <w:r>
        <w:rPr>
          <w:w w:val="100"/>
        </w:rPr>
        <w:t> </w:t>
      </w:r>
      <w:r>
        <w:rPr>
          <w:spacing w:val="-2"/>
        </w:rPr>
        <w:t>本公司的最高权力机构为股东大会，由全体股东组成。</w:t>
      </w:r>
    </w:p>
    <w:p>
      <w:pPr>
        <w:pStyle w:val="Heading4"/>
        <w:spacing w:line="240" w:lineRule="auto" w:before="99"/>
        <w:ind w:left="578" w:right="0"/>
        <w:jc w:val="left"/>
      </w:pPr>
      <w:r>
        <w:rPr/>
        <w:t>公司设董事会，是公司的经营决策机构，对股东大会负责。董事会设董事长一人，董事会秘书一人。</w:t>
      </w:r>
    </w:p>
    <w:p>
      <w:pPr>
        <w:spacing w:line="240" w:lineRule="auto" w:before="9"/>
        <w:rPr>
          <w:rFonts w:ascii="宋体" w:hAnsi="宋体" w:cs="宋体" w:eastAsia="宋体" w:hint="default"/>
          <w:sz w:val="26"/>
          <w:szCs w:val="26"/>
        </w:rPr>
      </w:pPr>
    </w:p>
    <w:p>
      <w:pPr>
        <w:pStyle w:val="Heading4"/>
        <w:spacing w:line="273" w:lineRule="auto"/>
        <w:ind w:left="154" w:right="0" w:firstLine="424"/>
        <w:jc w:val="left"/>
      </w:pPr>
      <w:r>
        <w:rPr>
          <w:spacing w:val="-2"/>
        </w:rPr>
        <w:t>公司设总经理，由董事会聘任或者解聘。总经理以下设副总经理、财务负责人等高级管理职位辅助管</w:t>
      </w:r>
      <w:r>
        <w:rPr>
          <w:w w:val="100"/>
        </w:rPr>
        <w:t> </w:t>
      </w:r>
      <w:r>
        <w:rPr/>
        <w:t>理日常事务。</w:t>
      </w:r>
    </w:p>
    <w:p>
      <w:pPr>
        <w:spacing w:line="240" w:lineRule="auto" w:before="6"/>
        <w:rPr>
          <w:rFonts w:ascii="宋体" w:hAnsi="宋体" w:cs="宋体" w:eastAsia="宋体" w:hint="default"/>
          <w:sz w:val="24"/>
          <w:szCs w:val="24"/>
        </w:rPr>
      </w:pPr>
    </w:p>
    <w:p>
      <w:pPr>
        <w:pStyle w:val="Heading4"/>
        <w:spacing w:line="273" w:lineRule="auto"/>
        <w:ind w:left="154" w:right="0" w:firstLine="424"/>
        <w:jc w:val="left"/>
      </w:pPr>
      <w:r>
        <w:rPr>
          <w:spacing w:val="-3"/>
        </w:rPr>
        <w:t>根据业务发展需要，公司设立了董事会办公室、产品研发中心、技术支持服务中心、营销中心、财务</w:t>
      </w:r>
      <w:r>
        <w:rPr>
          <w:spacing w:val="-3"/>
          <w:w w:val="100"/>
        </w:rPr>
        <w:t> </w:t>
      </w:r>
      <w:r>
        <w:rPr/>
        <w:t>中心、审计部和人事行政中心等部门。</w:t>
      </w:r>
    </w:p>
    <w:p>
      <w:pPr>
        <w:spacing w:line="240" w:lineRule="auto" w:before="6"/>
        <w:rPr>
          <w:rFonts w:ascii="宋体" w:hAnsi="宋体" w:cs="宋体" w:eastAsia="宋体" w:hint="default"/>
          <w:sz w:val="24"/>
          <w:szCs w:val="24"/>
        </w:rPr>
      </w:pPr>
    </w:p>
    <w:p>
      <w:pPr>
        <w:pStyle w:val="Heading4"/>
        <w:spacing w:line="256" w:lineRule="auto"/>
        <w:ind w:left="579" w:right="4112" w:hanging="1"/>
        <w:jc w:val="left"/>
      </w:pP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日止，公司拥有</w:t>
      </w:r>
      <w:r>
        <w:rPr>
          <w:rFonts w:ascii="Times New Roman" w:hAnsi="Times New Roman" w:cs="Times New Roman" w:eastAsia="Times New Roman" w:hint="default"/>
          <w:spacing w:val="-2"/>
        </w:rPr>
        <w:t>6</w:t>
      </w:r>
      <w:r>
        <w:rPr>
          <w:spacing w:val="-2"/>
        </w:rPr>
        <w:t>家全资子公司。</w:t>
      </w:r>
      <w:r>
        <w:rPr>
          <w:spacing w:val="-58"/>
        </w:rPr>
        <w:t> </w:t>
      </w:r>
      <w:r>
        <w:rPr>
          <w:spacing w:val="-58"/>
        </w:rPr>
      </w:r>
      <w:r>
        <w:rPr/>
        <w:t>合并范围</w:t>
      </w:r>
    </w:p>
    <w:p>
      <w:pPr>
        <w:spacing w:line="240" w:lineRule="auto" w:before="7"/>
        <w:rPr>
          <w:rFonts w:ascii="宋体" w:hAnsi="宋体" w:cs="宋体" w:eastAsia="宋体" w:hint="default"/>
          <w:sz w:val="25"/>
          <w:szCs w:val="25"/>
        </w:rPr>
      </w:pPr>
    </w:p>
    <w:p>
      <w:pPr>
        <w:pStyle w:val="Heading4"/>
        <w:spacing w:line="240" w:lineRule="auto"/>
        <w:ind w:left="579"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5"/>
        <w:rPr>
          <w:rFonts w:ascii="宋体" w:hAnsi="宋体" w:cs="宋体" w:eastAsia="宋体" w:hint="default"/>
          <w:sz w:val="26"/>
          <w:szCs w:val="26"/>
        </w:rPr>
      </w:pPr>
    </w:p>
    <w:tbl>
      <w:tblPr>
        <w:tblW w:w="0" w:type="auto"/>
        <w:jc w:val="left"/>
        <w:tblInd w:w="548" w:type="dxa"/>
        <w:tblLayout w:type="fixed"/>
        <w:tblCellMar>
          <w:top w:w="0" w:type="dxa"/>
          <w:left w:w="0" w:type="dxa"/>
          <w:bottom w:w="0" w:type="dxa"/>
          <w:right w:w="0" w:type="dxa"/>
        </w:tblCellMar>
        <w:tblLook w:val="01E0"/>
      </w:tblPr>
      <w:tblGrid>
        <w:gridCol w:w="1865"/>
        <w:gridCol w:w="5902"/>
      </w:tblGrid>
      <w:tr>
        <w:trPr>
          <w:trHeight w:val="348"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编号</w:t>
            </w:r>
          </w:p>
        </w:tc>
        <w:tc>
          <w:tcPr>
            <w:tcW w:w="5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6"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5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r>
      <w:tr>
        <w:trPr>
          <w:trHeight w:val="348"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5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r>
      <w:tr>
        <w:trPr>
          <w:trHeight w:val="346"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5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r>
      <w:tr>
        <w:trPr>
          <w:trHeight w:val="348"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5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r>
      <w:tr>
        <w:trPr>
          <w:trHeight w:val="346"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5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r>
      <w:tr>
        <w:trPr>
          <w:trHeight w:val="348"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w:t>
            </w:r>
          </w:p>
        </w:tc>
        <w:tc>
          <w:tcPr>
            <w:tcW w:w="5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惠捷朗科技有限公司</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19"/>
      <w:bookmarkEnd w:id="119"/>
      <w:r>
        <w:rPr>
          <w:b w:val="0"/>
          <w:bCs w:val="0"/>
        </w:rPr>
      </w:r>
      <w:r>
        <w:rPr/>
        <w:t>四、财务报表的编制基础</w:t>
      </w:r>
      <w:r>
        <w:rPr>
          <w:b w:val="0"/>
          <w:bCs w:val="0"/>
        </w:rPr>
      </w:r>
    </w:p>
    <w:p>
      <w:pPr>
        <w:pStyle w:val="Heading4"/>
        <w:spacing w:line="610" w:lineRule="atLeast" w:before="6"/>
        <w:ind w:left="489" w:right="0" w:hanging="337"/>
        <w:jc w:val="left"/>
      </w:pPr>
      <w:bookmarkStart w:name="1、编制基础" w:id="120"/>
      <w:bookmarkEnd w:id="120"/>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spacing w:val="-104"/>
        </w:rPr>
        <w:t> </w:t>
      </w: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w:t>
      </w:r>
      <w:r>
        <w:rPr/>
      </w:r>
    </w:p>
    <w:p>
      <w:pPr>
        <w:pStyle w:val="Heading4"/>
        <w:spacing w:line="256" w:lineRule="auto" w:before="21"/>
        <w:ind w:left="152" w:right="157"/>
        <w:jc w:val="left"/>
      </w:pP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w:t>
      </w:r>
      <w:r>
        <w:rPr>
          <w:spacing w:val="-3"/>
          <w:w w:val="100"/>
        </w:rPr>
        <w:t> </w:t>
      </w:r>
      <w:r>
        <w:rPr/>
        <w:t>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财务报</w:t>
      </w:r>
      <w:r>
        <w:rPr>
          <w:spacing w:val="-3"/>
          <w:w w:val="100"/>
        </w:rPr>
        <w:t> </w:t>
      </w:r>
      <w:r>
        <w:rPr/>
        <w:t>告的一般规定》的披露规定编制财务报表。</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bookmarkStart w:name="2、持续经营" w:id="121"/>
      <w:bookmarkEnd w:id="12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pPr>
      <w:r>
        <w:rPr/>
        <w:t>本公司的营业期限为长期。</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五、重要会计政策及会计估计" w:id="122"/>
      <w:bookmarkEnd w:id="122"/>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具体会计政策和会计估计提示：</w:t>
      </w:r>
    </w:p>
    <w:p>
      <w:pPr>
        <w:pStyle w:val="Heading4"/>
        <w:spacing w:line="240" w:lineRule="auto" w:before="96"/>
        <w:ind w:right="0"/>
        <w:jc w:val="left"/>
      </w:pPr>
      <w:r>
        <w:rPr>
          <w:rFonts w:ascii="宋体" w:hAnsi="宋体" w:cs="宋体" w:eastAsia="宋体" w:hint="default"/>
        </w:rPr>
        <w:t>1</w:t>
      </w:r>
      <w:r>
        <w:rPr/>
        <w:t>、会计政策变更</w:t>
      </w:r>
    </w:p>
    <w:p>
      <w:pPr>
        <w:spacing w:line="240" w:lineRule="auto" w:before="9"/>
        <w:rPr>
          <w:rFonts w:ascii="宋体" w:hAnsi="宋体" w:cs="宋体" w:eastAsia="宋体" w:hint="default"/>
          <w:sz w:val="26"/>
          <w:szCs w:val="26"/>
        </w:rPr>
      </w:pPr>
    </w:p>
    <w:p>
      <w:pPr>
        <w:pStyle w:val="Heading4"/>
        <w:spacing w:line="256" w:lineRule="auto"/>
        <w:ind w:left="152" w:right="0" w:firstLine="424"/>
        <w:jc w:val="left"/>
      </w:pPr>
      <w:r>
        <w:rPr>
          <w:spacing w:val="-2"/>
        </w:rPr>
        <w:t>财政部于</w:t>
      </w:r>
      <w:r>
        <w:rPr>
          <w:rFonts w:ascii="Times New Roman" w:hAnsi="Times New Roman" w:cs="Times New Roman" w:eastAsia="Times New Roman" w:hint="default"/>
          <w:spacing w:val="-2"/>
        </w:rPr>
        <w:t>2014</w:t>
      </w:r>
      <w:r>
        <w:rPr>
          <w:spacing w:val="-2"/>
        </w:rPr>
        <w:t>年依次修订，或者新颁布了《企业会计准则第</w:t>
      </w:r>
      <w:r>
        <w:rPr>
          <w:rFonts w:ascii="Times New Roman" w:hAnsi="Times New Roman" w:cs="Times New Roman" w:eastAsia="Times New Roman" w:hint="default"/>
          <w:spacing w:val="-2"/>
        </w:rPr>
        <w:t>39</w:t>
      </w:r>
      <w:r>
        <w:rPr>
          <w:spacing w:val="-2"/>
        </w:rPr>
        <w:t>号公允价值计量》、《企业会计准则第</w:t>
      </w:r>
      <w:r>
        <w:rPr>
          <w:spacing w:val="-3"/>
          <w:w w:val="100"/>
        </w:rPr>
        <w:t> </w:t>
      </w:r>
      <w:r>
        <w:rPr>
          <w:rFonts w:ascii="Times New Roman" w:hAnsi="Times New Roman" w:cs="Times New Roman" w:eastAsia="Times New Roman" w:hint="default"/>
        </w:rPr>
        <w:t>30</w:t>
      </w:r>
      <w:r>
        <w:rPr/>
        <w:t>号财务报表列报》、《企业会计准则第</w:t>
      </w:r>
      <w:r>
        <w:rPr>
          <w:rFonts w:ascii="Times New Roman" w:hAnsi="Times New Roman" w:cs="Times New Roman" w:eastAsia="Times New Roman" w:hint="default"/>
        </w:rPr>
        <w:t>9</w:t>
      </w:r>
      <w:r>
        <w:rPr/>
        <w:t>号职工薪酬》、《企业会计准则第</w:t>
      </w:r>
      <w:r>
        <w:rPr>
          <w:rFonts w:ascii="Times New Roman" w:hAnsi="Times New Roman" w:cs="Times New Roman" w:eastAsia="Times New Roman" w:hint="default"/>
        </w:rPr>
        <w:t>40</w:t>
      </w:r>
      <w:r>
        <w:rPr/>
        <w:t>号合营安排》、《企业会</w:t>
      </w:r>
      <w:r>
        <w:rPr>
          <w:spacing w:val="-3"/>
          <w:w w:val="100"/>
        </w:rPr>
        <w:t> </w:t>
      </w:r>
      <w:r>
        <w:rPr/>
        <w:t>计准则第</w:t>
      </w:r>
      <w:r>
        <w:rPr>
          <w:rFonts w:ascii="Times New Roman" w:hAnsi="Times New Roman" w:cs="Times New Roman" w:eastAsia="Times New Roman" w:hint="default"/>
        </w:rPr>
        <w:t>33</w:t>
      </w:r>
      <w:r>
        <w:rPr/>
        <w:t>号合并财务报表》、《企业会计准则第</w:t>
      </w:r>
      <w:r>
        <w:rPr>
          <w:rFonts w:ascii="Times New Roman" w:hAnsi="Times New Roman" w:cs="Times New Roman" w:eastAsia="Times New Roman" w:hint="default"/>
        </w:rPr>
        <w:t>2</w:t>
      </w:r>
      <w:r>
        <w:rPr/>
        <w:t>号长期股权投资》、《企业会计准则第</w:t>
      </w:r>
      <w:r>
        <w:rPr>
          <w:rFonts w:ascii="Times New Roman" w:hAnsi="Times New Roman" w:cs="Times New Roman" w:eastAsia="Times New Roman" w:hint="default"/>
        </w:rPr>
        <w:t>41</w:t>
      </w:r>
      <w:r>
        <w:rPr/>
        <w:t>号在其他主</w:t>
      </w:r>
      <w:r>
        <w:rPr>
          <w:spacing w:val="-3"/>
          <w:w w:val="100"/>
        </w:rPr>
        <w:t> </w:t>
      </w:r>
      <w:r>
        <w:rPr>
          <w:spacing w:val="-2"/>
        </w:rPr>
        <w:t>体中权益的披露》、《企业会计准则第</w:t>
      </w:r>
      <w:r>
        <w:rPr>
          <w:rFonts w:ascii="Times New Roman" w:hAnsi="Times New Roman" w:cs="Times New Roman" w:eastAsia="Times New Roman" w:hint="default"/>
          <w:spacing w:val="-2"/>
        </w:rPr>
        <w:t>37</w:t>
      </w:r>
      <w:r>
        <w:rPr>
          <w:spacing w:val="-2"/>
        </w:rPr>
        <w:t>号金融工具列报》、《企业会计准则</w:t>
      </w:r>
      <w:r>
        <w:rPr>
          <w:rFonts w:ascii="Times New Roman" w:hAnsi="Times New Roman" w:cs="Times New Roman" w:eastAsia="Times New Roman" w:hint="default"/>
          <w:spacing w:val="-2"/>
        </w:rPr>
        <w:t>——</w:t>
      </w:r>
      <w:r>
        <w:rPr>
          <w:spacing w:val="-2"/>
        </w:rPr>
        <w:t>基本准则》等企业会计</w:t>
      </w:r>
      <w:r>
        <w:rPr>
          <w:spacing w:val="-41"/>
        </w:rPr>
        <w:t> </w:t>
      </w:r>
      <w:r>
        <w:rPr>
          <w:spacing w:val="-41"/>
        </w:rPr>
      </w:r>
      <w:r>
        <w:rPr>
          <w:spacing w:val="-2"/>
        </w:rPr>
        <w:t>准则。除《企业会计准则第</w:t>
      </w:r>
      <w:r>
        <w:rPr>
          <w:rFonts w:ascii="Times New Roman" w:hAnsi="Times New Roman" w:cs="Times New Roman" w:eastAsia="Times New Roman" w:hint="default"/>
          <w:spacing w:val="-2"/>
        </w:rPr>
        <w:t>37</w:t>
      </w:r>
      <w:r>
        <w:rPr>
          <w:spacing w:val="-2"/>
        </w:rPr>
        <w:t>号金融工具列报》、《企业会计准则</w:t>
      </w:r>
      <w:r>
        <w:rPr>
          <w:rFonts w:ascii="Times New Roman" w:hAnsi="Times New Roman" w:cs="Times New Roman" w:eastAsia="Times New Roman" w:hint="default"/>
          <w:spacing w:val="-2"/>
        </w:rPr>
        <w:t>——</w:t>
      </w:r>
      <w:r>
        <w:rPr>
          <w:spacing w:val="-2"/>
        </w:rPr>
        <w:t>基本准则》外，本公司及合并范围</w:t>
      </w:r>
      <w:r>
        <w:rPr>
          <w:spacing w:val="-47"/>
        </w:rPr>
        <w:t> </w:t>
      </w:r>
      <w:r>
        <w:rPr>
          <w:spacing w:val="-47"/>
        </w:rPr>
      </w:r>
      <w:r>
        <w:rPr>
          <w:spacing w:val="-2"/>
        </w:rPr>
        <w:t>内子公司自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日起执行，《企业会计准则第</w:t>
      </w:r>
      <w:r>
        <w:rPr>
          <w:rFonts w:ascii="Times New Roman" w:hAnsi="Times New Roman" w:cs="Times New Roman" w:eastAsia="Times New Roman" w:hint="default"/>
          <w:spacing w:val="-2"/>
        </w:rPr>
        <w:t>37</w:t>
      </w:r>
      <w:r>
        <w:rPr>
          <w:spacing w:val="-2"/>
        </w:rPr>
        <w:t>号金融工具列报》自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日执行，《企业会</w:t>
      </w:r>
      <w:r>
        <w:rPr>
          <w:spacing w:val="-36"/>
        </w:rPr>
        <w:t> </w:t>
      </w:r>
      <w:r>
        <w:rPr>
          <w:spacing w:val="-36"/>
        </w:rPr>
      </w:r>
      <w:r>
        <w:rPr/>
        <w:t>计准则</w:t>
      </w:r>
      <w:r>
        <w:rPr>
          <w:rFonts w:ascii="Times New Roman" w:hAnsi="Times New Roman" w:cs="Times New Roman" w:eastAsia="Times New Roman" w:hint="default"/>
        </w:rPr>
        <w:t>——</w:t>
      </w:r>
      <w:r>
        <w:rPr/>
        <w:t>基本准则》自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日执行。</w:t>
      </w:r>
    </w:p>
    <w:p>
      <w:pPr>
        <w:spacing w:line="240" w:lineRule="auto" w:before="3"/>
        <w:rPr>
          <w:rFonts w:ascii="宋体" w:hAnsi="宋体" w:cs="宋体" w:eastAsia="宋体" w:hint="default"/>
          <w:sz w:val="24"/>
          <w:szCs w:val="24"/>
        </w:rPr>
      </w:pPr>
    </w:p>
    <w:p>
      <w:pPr>
        <w:pStyle w:val="Heading4"/>
        <w:spacing w:line="261" w:lineRule="auto"/>
        <w:ind w:left="153" w:right="0" w:firstLine="424"/>
        <w:jc w:val="left"/>
      </w:pPr>
      <w:r>
        <w:rPr>
          <w:spacing w:val="-2"/>
        </w:rPr>
        <w:t>依据上述企业会计准则，本公司将递延收益自其他非流动负债项目调整至递延收益项目列报，并调整</w:t>
      </w:r>
      <w:r>
        <w:rPr>
          <w:w w:val="100"/>
        </w:rPr>
        <w:t> </w:t>
      </w:r>
      <w:r>
        <w:rPr/>
        <w:t>了比较报表；将应付职工薪酬的附注按修订后的《企业会计准则第</w:t>
      </w:r>
      <w:r>
        <w:rPr>
          <w:rFonts w:ascii="Times New Roman" w:hAnsi="Times New Roman" w:cs="Times New Roman" w:eastAsia="Times New Roman" w:hint="default"/>
        </w:rPr>
        <w:t>9</w:t>
      </w:r>
      <w:r>
        <w:rPr/>
        <w:t>号职工薪酬》进行了重分类调整；在</w:t>
      </w:r>
      <w:r>
        <w:rPr>
          <w:spacing w:val="-3"/>
          <w:w w:val="100"/>
        </w:rPr>
        <w:t> </w:t>
      </w:r>
      <w:r>
        <w:rPr>
          <w:spacing w:val="-2"/>
        </w:rPr>
        <w:t>其他主体中的权益，按《企业会计准则第</w:t>
      </w:r>
      <w:r>
        <w:rPr>
          <w:rFonts w:ascii="Times New Roman" w:hAnsi="Times New Roman" w:cs="Times New Roman" w:eastAsia="Times New Roman" w:hint="default"/>
          <w:spacing w:val="-2"/>
        </w:rPr>
        <w:t>41</w:t>
      </w:r>
      <w:r>
        <w:rPr>
          <w:spacing w:val="-2"/>
        </w:rPr>
        <w:t>号在其他主体中权益的披露》对附注中相关披露进行了调整。</w:t>
      </w:r>
      <w:r>
        <w:rPr>
          <w:spacing w:val="-22"/>
        </w:rPr>
        <w:t> </w:t>
      </w:r>
      <w:r>
        <w:rPr>
          <w:spacing w:val="-22"/>
        </w:rPr>
      </w:r>
      <w:r>
        <w:rPr>
          <w:spacing w:val="-2"/>
        </w:rPr>
        <w:t>除此外，上述修订，或者新颁布的企业会计准则对本公司无重大影响，对当期及列报前期净损益无影响。</w:t>
      </w:r>
    </w:p>
    <w:p>
      <w:pPr>
        <w:spacing w:line="240" w:lineRule="auto" w:before="3"/>
        <w:rPr>
          <w:rFonts w:ascii="宋体" w:hAnsi="宋体" w:cs="宋体" w:eastAsia="宋体" w:hint="default"/>
          <w:sz w:val="25"/>
          <w:szCs w:val="25"/>
        </w:rPr>
      </w:pPr>
    </w:p>
    <w:p>
      <w:pPr>
        <w:pStyle w:val="Heading4"/>
        <w:spacing w:line="240" w:lineRule="auto"/>
        <w:ind w:left="578" w:right="0"/>
        <w:jc w:val="left"/>
      </w:pPr>
      <w:r>
        <w:rPr/>
        <w:t>除上述外，本报告期公司其他会计政策未发生变更。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56" w:lineRule="auto" w:before="137"/>
        <w:ind w:left="578" w:right="5453"/>
        <w:jc w:val="left"/>
      </w:pPr>
      <w:r>
        <w:rPr>
          <w:rFonts w:ascii="Times New Roman" w:hAnsi="Times New Roman" w:cs="Times New Roman" w:eastAsia="Times New Roman" w:hint="default"/>
        </w:rPr>
        <w:t>2</w:t>
      </w:r>
      <w:r>
        <w:rPr/>
        <w:t>、会计估计变更</w:t>
      </w:r>
      <w:r>
        <w:rPr>
          <w:spacing w:val="-3"/>
          <w:w w:val="100"/>
        </w:rPr>
        <w:t> </w:t>
      </w:r>
      <w:r>
        <w:rPr>
          <w:spacing w:val="-2"/>
        </w:rPr>
        <w:t>本报告期公司主要会计估计未发生变更。</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bookmarkStart w:name="1、遵循企业会计准则的声明" w:id="123"/>
      <w:bookmarkEnd w:id="12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spacing w:val="-2"/>
        </w:rPr>
        <w:t>公司所编制的财务报表符合企业会计准则的要求，真实、完整地反映了报告期公司的财务状况、经营</w:t>
      </w:r>
      <w:r>
        <w:rPr>
          <w:spacing w:val="-51"/>
        </w:rPr>
        <w:t> </w:t>
      </w:r>
      <w:r>
        <w:rPr>
          <w:spacing w:val="-51"/>
        </w:rPr>
      </w:r>
      <w:r>
        <w:rPr/>
        <w:t>成果、现金流量等有关信息。</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会计期间" w:id="124"/>
      <w:bookmarkEnd w:id="12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营业周期" w:id="125"/>
      <w:bookmarkEnd w:id="12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pPr>
      <w:r>
        <w:rPr/>
        <w:t>本公司营业周期为</w:t>
      </w:r>
      <w:r>
        <w:rPr>
          <w:rFonts w:ascii="Times New Roman" w:hAnsi="Times New Roman" w:cs="Times New Roman" w:eastAsia="Times New Roman" w:hint="default"/>
        </w:rPr>
        <w:t>12</w:t>
      </w:r>
      <w:r>
        <w:rPr/>
        <w:t>个月。</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4、记账本位币" w:id="126"/>
      <w:bookmarkEnd w:id="12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pPr>
      <w:r>
        <w:rPr/>
        <w:t>采用人民币为记账本位币。</w:t>
      </w:r>
    </w:p>
    <w:p>
      <w:pPr>
        <w:spacing w:line="600" w:lineRule="atLeast" w:before="28"/>
        <w:ind w:left="577" w:right="0" w:hanging="425"/>
        <w:jc w:val="left"/>
        <w:rPr>
          <w:rFonts w:ascii="宋体" w:hAnsi="宋体" w:cs="宋体" w:eastAsia="宋体" w:hint="default"/>
          <w:sz w:val="21"/>
          <w:szCs w:val="21"/>
        </w:rPr>
      </w:pPr>
      <w:bookmarkStart w:name="5、同一控制下和非同一控制下企业合并的会计处理方法" w:id="127"/>
      <w:bookmarkEnd w:id="12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本公司在购买日对作为企业合并对价付出的资产、发生或承担的负债按照公允价值计量。公允价值与</w:t>
      </w:r>
    </w:p>
    <w:p>
      <w:pPr>
        <w:pStyle w:val="Heading4"/>
        <w:spacing w:line="240" w:lineRule="auto" w:before="37"/>
        <w:ind w:left="152" w:right="0"/>
        <w:jc w:val="left"/>
      </w:pPr>
      <w:r>
        <w:rPr/>
        <w:t>其账面价值的差额，计入当期损益。</w:t>
      </w:r>
    </w:p>
    <w:p>
      <w:pPr>
        <w:spacing w:line="240" w:lineRule="auto" w:before="9"/>
        <w:rPr>
          <w:rFonts w:ascii="宋体" w:hAnsi="宋体" w:cs="宋体" w:eastAsia="宋体" w:hint="default"/>
          <w:sz w:val="26"/>
          <w:szCs w:val="26"/>
        </w:rPr>
      </w:pPr>
    </w:p>
    <w:p>
      <w:pPr>
        <w:pStyle w:val="Heading4"/>
        <w:spacing w:line="273" w:lineRule="auto"/>
        <w:ind w:left="152" w:right="146" w:firstLine="424"/>
        <w:jc w:val="both"/>
      </w:pPr>
      <w:r>
        <w:rPr>
          <w:spacing w:val="-2"/>
        </w:rPr>
        <w:t>本公司在购买日对合并成本进行分配，确认所取得的被购买方各项可辨认资产、负债及或有负债的公</w:t>
      </w:r>
      <w:r>
        <w:rPr>
          <w:w w:val="100"/>
        </w:rPr>
        <w:t> </w:t>
      </w:r>
      <w:r>
        <w:rPr/>
        <w:t>允价值。</w:t>
      </w:r>
    </w:p>
    <w:p>
      <w:pPr>
        <w:spacing w:line="240" w:lineRule="auto" w:before="6"/>
        <w:rPr>
          <w:rFonts w:ascii="宋体" w:hAnsi="宋体" w:cs="宋体" w:eastAsia="宋体" w:hint="default"/>
          <w:sz w:val="24"/>
          <w:szCs w:val="24"/>
        </w:rPr>
      </w:pPr>
    </w:p>
    <w:p>
      <w:pPr>
        <w:pStyle w:val="Heading4"/>
        <w:spacing w:line="273" w:lineRule="auto"/>
        <w:ind w:left="152" w:right="146" w:firstLine="424"/>
        <w:jc w:val="both"/>
      </w:pPr>
      <w:r>
        <w:rPr>
          <w:spacing w:val="-2"/>
        </w:rPr>
        <w:t>本公司对合并成本大于合并中取得的被购买方可辨认净资产公允价值份额的差额，确认为商誉；合并</w:t>
      </w:r>
      <w:r>
        <w:rPr>
          <w:w w:val="100"/>
        </w:rPr>
        <w:t> </w:t>
      </w:r>
      <w:r>
        <w:rPr/>
        <w:t>成本小于合并中取得的被购买方可辨认净资产公允价值份额的差额，经复核后，计入当期损益。</w:t>
      </w:r>
    </w:p>
    <w:p>
      <w:pPr>
        <w:spacing w:line="240" w:lineRule="auto" w:before="6"/>
        <w:rPr>
          <w:rFonts w:ascii="宋体" w:hAnsi="宋体" w:cs="宋体" w:eastAsia="宋体" w:hint="default"/>
          <w:sz w:val="24"/>
          <w:szCs w:val="24"/>
        </w:rPr>
      </w:pPr>
    </w:p>
    <w:p>
      <w:pPr>
        <w:pStyle w:val="Heading4"/>
        <w:spacing w:line="273" w:lineRule="auto"/>
        <w:ind w:left="152" w:right="146" w:firstLine="424"/>
        <w:jc w:val="both"/>
      </w:pPr>
      <w:r>
        <w:rPr>
          <w:spacing w:val="-2"/>
        </w:rPr>
        <w:t>企业合并中取得的被购买方除无形资产外的其他各项资产（不仅限于被购买方原已确认的资产），其</w:t>
      </w:r>
      <w:r>
        <w:rPr>
          <w:w w:val="100"/>
        </w:rPr>
        <w:t> </w:t>
      </w:r>
      <w:r>
        <w:rPr>
          <w:spacing w:val="-2"/>
        </w:rPr>
        <w:t>所带来的经济利益很可能流入本公司且公允价值能够可靠计量的，单独确认并按公允价值计量；公允价值</w:t>
      </w:r>
      <w:r>
        <w:rPr>
          <w:spacing w:val="-42"/>
        </w:rPr>
        <w:t> </w:t>
      </w:r>
      <w:r>
        <w:rPr>
          <w:spacing w:val="-42"/>
        </w:rPr>
      </w:r>
      <w:r>
        <w:rPr>
          <w:spacing w:val="-2"/>
        </w:rPr>
        <w:t>能够可靠计量的无形资产，单独确认为无形资产并按公允价值计量；取得的被购买方除或有负债以外的其</w:t>
      </w:r>
      <w:r>
        <w:rPr>
          <w:spacing w:val="-44"/>
        </w:rPr>
        <w:t> </w:t>
      </w:r>
      <w:r>
        <w:rPr>
          <w:spacing w:val="-44"/>
        </w:rPr>
      </w:r>
      <w:r>
        <w:rPr>
          <w:spacing w:val="-2"/>
        </w:rPr>
        <w:t>他各项负债，履行有关义务很可能导致经济利益流出本公司且公允价值能够可靠计量的，单独确认并按照</w:t>
      </w:r>
      <w:r>
        <w:rPr>
          <w:spacing w:val="-44"/>
        </w:rPr>
        <w:t> </w:t>
      </w:r>
      <w:r>
        <w:rPr>
          <w:spacing w:val="-44"/>
        </w:rPr>
      </w:r>
      <w:r>
        <w:rPr>
          <w:spacing w:val="-2"/>
        </w:rPr>
        <w:t>公允价值计量；取得的被购买方或有负债，其公允价值能可靠计量的，单独确认为负债并按照公允价值计</w:t>
      </w:r>
      <w:r>
        <w:rPr>
          <w:spacing w:val="-44"/>
        </w:rPr>
        <w:t> </w:t>
      </w:r>
      <w:r>
        <w:rPr>
          <w:spacing w:val="-44"/>
        </w:rPr>
      </w:r>
      <w:r>
        <w:rPr/>
        <w:t>量。</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6、合并财务报表的编制方法" w:id="128"/>
      <w:bookmarkEnd w:id="12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4"/>
        <w:spacing w:line="530" w:lineRule="auto"/>
        <w:ind w:right="1314"/>
        <w:jc w:val="left"/>
      </w:pPr>
      <w:r>
        <w:rPr>
          <w:rFonts w:ascii="Times New Roman" w:hAnsi="Times New Roman" w:cs="Times New Roman" w:eastAsia="Times New Roman" w:hint="default"/>
        </w:rPr>
        <w:t>1</w:t>
      </w:r>
      <w:r>
        <w:rPr/>
        <w:t>、合并范围</w:t>
      </w:r>
      <w:r>
        <w:rPr>
          <w:spacing w:val="-3"/>
          <w:w w:val="100"/>
        </w:rPr>
        <w:t> </w:t>
      </w:r>
      <w:r>
        <w:rPr>
          <w:spacing w:val="-2"/>
        </w:rPr>
        <w:t>本公司合并财务报表的合并范围以控制为基础确定，子公司全部纳入合并财务报表。</w:t>
      </w:r>
      <w:r>
        <w:rPr>
          <w:spacing w:val="-35"/>
        </w:rPr>
        <w:t> </w:t>
      </w:r>
      <w:r>
        <w:rPr>
          <w:spacing w:val="-35"/>
        </w:rPr>
      </w:r>
      <w:r>
        <w:rPr>
          <w:rFonts w:ascii="Times New Roman" w:hAnsi="Times New Roman" w:cs="Times New Roman" w:eastAsia="Times New Roman" w:hint="default"/>
        </w:rPr>
        <w:t>2</w:t>
      </w:r>
      <w:r>
        <w:rPr/>
        <w:t>、合并程序</w:t>
      </w:r>
    </w:p>
    <w:p>
      <w:pPr>
        <w:pStyle w:val="Heading4"/>
        <w:spacing w:line="273" w:lineRule="auto" w:before="52"/>
        <w:ind w:left="152" w:right="146" w:firstLine="424"/>
        <w:jc w:val="both"/>
      </w:pPr>
      <w:r>
        <w:rPr>
          <w:spacing w:val="-2"/>
        </w:rPr>
        <w:t>纳入合并范围的子公司所采用的会计政策、会计期间与本公司一致。合并财务报表以本公司及子公司</w:t>
      </w:r>
      <w:r>
        <w:rPr>
          <w:w w:val="100"/>
        </w:rPr>
        <w:t> </w:t>
      </w:r>
      <w:r>
        <w:rPr/>
        <w:t>的财务报表为基础，根据其他有关资料，按照权益法调整对子公司的长期股权投资后，由本公司编制。</w:t>
      </w:r>
    </w:p>
    <w:p>
      <w:pPr>
        <w:spacing w:line="240" w:lineRule="auto" w:before="6"/>
        <w:rPr>
          <w:rFonts w:ascii="宋体" w:hAnsi="宋体" w:cs="宋体" w:eastAsia="宋体" w:hint="default"/>
          <w:sz w:val="24"/>
          <w:szCs w:val="24"/>
        </w:rPr>
      </w:pPr>
    </w:p>
    <w:p>
      <w:pPr>
        <w:pStyle w:val="Heading4"/>
        <w:spacing w:line="273" w:lineRule="auto"/>
        <w:ind w:left="152" w:right="147" w:firstLine="424"/>
        <w:jc w:val="both"/>
      </w:pPr>
      <w:r>
        <w:rPr>
          <w:spacing w:val="-2"/>
        </w:rPr>
        <w:t>合并财务报表时抵销本公司与子公司之间交易对合并资产负债表、合并利润表、合并现金流量表、合</w:t>
      </w:r>
      <w:r>
        <w:rPr>
          <w:w w:val="100"/>
        </w:rPr>
        <w:t> </w:t>
      </w:r>
      <w:r>
        <w:rPr/>
        <w:t>并所有者权益变动表的影响。</w:t>
      </w:r>
    </w:p>
    <w:p>
      <w:pPr>
        <w:spacing w:line="240" w:lineRule="auto" w:before="6"/>
        <w:rPr>
          <w:rFonts w:ascii="宋体" w:hAnsi="宋体" w:cs="宋体" w:eastAsia="宋体" w:hint="default"/>
          <w:sz w:val="24"/>
          <w:szCs w:val="24"/>
        </w:rPr>
      </w:pPr>
    </w:p>
    <w:p>
      <w:pPr>
        <w:pStyle w:val="Heading4"/>
        <w:spacing w:line="273" w:lineRule="auto"/>
        <w:ind w:left="153" w:right="146" w:firstLine="424"/>
        <w:jc w:val="both"/>
      </w:pPr>
      <w:r>
        <w:rPr>
          <w:spacing w:val="-2"/>
        </w:rPr>
        <w:t>非同一控制下企业合并增加子公司的，不调整合并资产负债表期初数；将子公司自购买日至报告期末</w:t>
      </w:r>
      <w:r>
        <w:rPr>
          <w:w w:val="100"/>
        </w:rPr>
        <w:t> </w:t>
      </w:r>
      <w:r>
        <w:rPr>
          <w:spacing w:val="-2"/>
        </w:rPr>
        <w:t>的收入、费用、利润纳入合并利润表；该子公司自购买日至报告期末的现金流量纳入合并现金流量表。通</w:t>
      </w:r>
      <w:r>
        <w:rPr>
          <w:spacing w:val="-44"/>
        </w:rPr>
        <w:t> </w:t>
      </w:r>
      <w:r>
        <w:rPr>
          <w:spacing w:val="-44"/>
        </w:rPr>
      </w:r>
      <w:r>
        <w:rPr>
          <w:spacing w:val="-2"/>
        </w:rPr>
        <w:t>过多次交易分步实现非同一控制下企业合并时，对于购买日之前持有的被购买方的股权，本公司按照该股</w:t>
      </w:r>
      <w:r>
        <w:rPr>
          <w:spacing w:val="-44"/>
        </w:rPr>
        <w:t> </w:t>
      </w:r>
      <w:r>
        <w:rPr>
          <w:spacing w:val="-44"/>
        </w:rPr>
      </w:r>
      <w:r>
        <w:rPr>
          <w:spacing w:val="-2"/>
        </w:rPr>
        <w:t>权在购买日的公允价值进行重新计量，公允价值与其账面价值的差额计入当期投资收益。购买日之前持有</w:t>
      </w:r>
      <w:r>
        <w:rPr>
          <w:spacing w:val="-44"/>
        </w:rPr>
        <w:t> </w:t>
      </w:r>
      <w:r>
        <w:rPr>
          <w:spacing w:val="-44"/>
        </w:rPr>
      </w:r>
      <w:r>
        <w:rPr/>
        <w:t>的被购买方的股权涉及其他综合收益的，与其相关的其他综合收益转为购买日所属当期投资收益。</w:t>
      </w:r>
    </w:p>
    <w:p>
      <w:pPr>
        <w:spacing w:after="0" w:line="273"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73" w:lineRule="auto" w:before="36"/>
        <w:ind w:left="152" w:right="206" w:firstLine="424"/>
        <w:jc w:val="both"/>
      </w:pPr>
      <w:r>
        <w:rPr>
          <w:spacing w:val="2"/>
        </w:rPr>
        <w:t>子公司少数股东应占的权益和损益分别在合并资产负债表中所有者权益项目下和合并利润表中净利</w:t>
      </w:r>
      <w:r>
        <w:rPr>
          <w:spacing w:val="2"/>
          <w:w w:val="100"/>
        </w:rPr>
        <w:t> </w:t>
      </w:r>
      <w:r>
        <w:rPr>
          <w:spacing w:val="-2"/>
        </w:rPr>
        <w:t>润项目下单独列示。子公司少数股东分担的当期亏损超过了少数股东在该子公司期初所有者权益中所享有</w:t>
      </w:r>
      <w:r>
        <w:rPr>
          <w:spacing w:val="-43"/>
        </w:rPr>
        <w:t> </w:t>
      </w:r>
      <w:r>
        <w:rPr>
          <w:spacing w:val="-43"/>
        </w:rPr>
      </w:r>
      <w:r>
        <w:rPr/>
        <w:t>份额而形成的余额，冲减少数股东权益。</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7、合营安排分类及共同经营会计处理方法" w:id="129"/>
      <w:bookmarkEnd w:id="12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590" w:lineRule="atLeast" w:before="24"/>
        <w:ind w:left="577" w:right="0" w:hanging="425"/>
        <w:jc w:val="left"/>
        <w:rPr>
          <w:rFonts w:ascii="宋体" w:hAnsi="宋体" w:cs="宋体" w:eastAsia="宋体" w:hint="default"/>
          <w:sz w:val="21"/>
          <w:szCs w:val="21"/>
        </w:rPr>
      </w:pPr>
      <w:bookmarkStart w:name="8、现金及现金等价物的确定标准" w:id="130"/>
      <w:bookmarkEnd w:id="13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在编制现金流量表时，将本公司库存现金以及可随时用于支付的存款确认为现金。将同时具备期限短</w:t>
      </w:r>
    </w:p>
    <w:p>
      <w:pPr>
        <w:pStyle w:val="Heading4"/>
        <w:spacing w:line="273" w:lineRule="auto" w:before="37"/>
        <w:ind w:left="152" w:right="207"/>
        <w:jc w:val="both"/>
      </w:pPr>
      <w:r>
        <w:rPr>
          <w:spacing w:val="-2"/>
        </w:rPr>
        <w:t>（从购买日起三个月内到期）、流动性强、易于转换为已知现金、价值变动风险很小四个条件的投资，确</w:t>
      </w:r>
      <w:r>
        <w:rPr>
          <w:spacing w:val="-43"/>
        </w:rPr>
        <w:t> </w:t>
      </w:r>
      <w:r>
        <w:rPr>
          <w:spacing w:val="-43"/>
        </w:rPr>
      </w:r>
      <w:r>
        <w:rPr/>
        <w:t>定为现金等价物。</w:t>
      </w:r>
    </w:p>
    <w:p>
      <w:pPr>
        <w:spacing w:line="614" w:lineRule="exact" w:before="62"/>
        <w:ind w:left="577" w:right="0" w:hanging="425"/>
        <w:jc w:val="left"/>
        <w:rPr>
          <w:rFonts w:ascii="宋体" w:hAnsi="宋体" w:cs="宋体" w:eastAsia="宋体" w:hint="default"/>
          <w:sz w:val="21"/>
          <w:szCs w:val="21"/>
        </w:rPr>
      </w:pPr>
      <w:bookmarkStart w:name="9、外币业务和外币报表折算" w:id="131"/>
      <w:bookmarkEnd w:id="13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Heading4"/>
        <w:spacing w:line="235" w:lineRule="exact"/>
        <w:ind w:left="152" w:right="0"/>
        <w:jc w:val="left"/>
      </w:pPr>
      <w:r>
        <w:rPr/>
        <w:t>润</w:t>
      </w:r>
      <w:r>
        <w:rPr>
          <w:rFonts w:ascii="Times New Roman" w:hAnsi="Times New Roman" w:cs="Times New Roman" w:eastAsia="Times New Roman" w:hint="default"/>
        </w:rPr>
        <w:t>”</w:t>
      </w:r>
      <w:r>
        <w:rPr/>
        <w:t>项目外，其他项目采用发生时的即期汇率折算。利润表中的收入和费用项目，采用当年或者当期的平</w:t>
      </w:r>
    </w:p>
    <w:p>
      <w:pPr>
        <w:pStyle w:val="Heading4"/>
        <w:spacing w:line="544" w:lineRule="auto" w:before="21"/>
        <w:ind w:right="0" w:hanging="425"/>
        <w:jc w:val="left"/>
      </w:pPr>
      <w:r>
        <w:rPr/>
        <w:t>均汇率折算。外币财务报表折算差额，在资产负债表所有者权益项目下单独列示。</w:t>
      </w:r>
      <w:r>
        <w:rPr>
          <w:w w:val="100"/>
        </w:rPr>
        <w:t> </w:t>
      </w:r>
      <w:r>
        <w:rPr>
          <w:spacing w:val="-5"/>
        </w:rPr>
        <w:t>外币现金流量采用当年或者当期平均汇率折算。汇率变动对现金的影响额，在现金流量表中单独列示。</w:t>
      </w:r>
    </w:p>
    <w:p>
      <w:pPr>
        <w:pStyle w:val="Heading4"/>
        <w:spacing w:line="273" w:lineRule="auto" w:before="82"/>
        <w:ind w:left="152" w:right="207" w:firstLine="424"/>
        <w:jc w:val="both"/>
      </w:pPr>
      <w:r>
        <w:rPr>
          <w:spacing w:val="-2"/>
        </w:rPr>
        <w:t>处置境外经营时，将资产负债表中所有者权益项目下列示的外币财务报表折算差额自所有者权益项目</w:t>
      </w:r>
      <w:r>
        <w:rPr>
          <w:w w:val="100"/>
        </w:rPr>
        <w:t> </w:t>
      </w:r>
      <w:r>
        <w:rPr/>
        <w:t>转入当期损益。</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10、金融工具" w:id="132"/>
      <w:bookmarkEnd w:id="13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pPr>
      <w:r>
        <w:rPr/>
        <w:t>金融工具包括金融资产、金融负债和权益工具。</w:t>
      </w:r>
    </w:p>
    <w:p>
      <w:pPr>
        <w:spacing w:line="240" w:lineRule="auto" w:before="9"/>
        <w:rPr>
          <w:rFonts w:ascii="宋体" w:hAnsi="宋体" w:cs="宋体" w:eastAsia="宋体" w:hint="default"/>
          <w:sz w:val="26"/>
          <w:szCs w:val="26"/>
        </w:rPr>
      </w:pPr>
    </w:p>
    <w:p>
      <w:pPr>
        <w:pStyle w:val="Heading4"/>
        <w:spacing w:line="256" w:lineRule="auto"/>
        <w:ind w:right="0"/>
        <w:jc w:val="left"/>
      </w:pPr>
      <w:r>
        <w:rPr>
          <w:rFonts w:ascii="Times New Roman" w:hAnsi="Times New Roman" w:cs="Times New Roman" w:eastAsia="Times New Roman" w:hint="default"/>
        </w:rPr>
        <w:t>1</w:t>
      </w:r>
      <w:r>
        <w:rPr/>
        <w:t>、金融工具的分类</w:t>
      </w:r>
      <w:r>
        <w:rPr>
          <w:w w:val="100"/>
        </w:rPr>
        <w:t> </w:t>
      </w:r>
      <w:r>
        <w:rPr>
          <w:spacing w:val="-2"/>
        </w:rPr>
        <w:t>管理层按照取得持有金融资产和承担金融负债的目的，将其划分为：以公允价值计量且其变动计入当</w:t>
      </w:r>
    </w:p>
    <w:p>
      <w:pPr>
        <w:pStyle w:val="Heading4"/>
        <w:spacing w:line="273" w:lineRule="auto" w:before="22"/>
        <w:ind w:left="152" w:right="210"/>
        <w:jc w:val="both"/>
      </w:pPr>
      <w:r>
        <w:rPr>
          <w:spacing w:val="-2"/>
        </w:rPr>
        <w:t>期损益的金融资产或金融负债，包括交易性金融资产或金融负债；持有至到期投资；应收款项；可供出售</w:t>
      </w:r>
      <w:r>
        <w:rPr>
          <w:spacing w:val="-48"/>
        </w:rPr>
        <w:t> </w:t>
      </w:r>
      <w:r>
        <w:rPr>
          <w:spacing w:val="-48"/>
        </w:rPr>
      </w:r>
      <w:r>
        <w:rPr/>
        <w:t>金融资产；其他金融负债等。</w:t>
      </w:r>
    </w:p>
    <w:p>
      <w:pPr>
        <w:spacing w:line="240" w:lineRule="auto" w:before="6"/>
        <w:rPr>
          <w:rFonts w:ascii="宋体" w:hAnsi="宋体" w:cs="宋体" w:eastAsia="宋体" w:hint="default"/>
          <w:sz w:val="24"/>
          <w:szCs w:val="24"/>
        </w:rPr>
      </w:pPr>
    </w:p>
    <w:p>
      <w:pPr>
        <w:pStyle w:val="Heading4"/>
        <w:spacing w:line="240" w:lineRule="auto"/>
        <w:ind w:right="0"/>
        <w:jc w:val="left"/>
      </w:pPr>
      <w:r>
        <w:rPr>
          <w:rFonts w:ascii="Times New Roman" w:hAnsi="Times New Roman" w:cs="Times New Roman" w:eastAsia="Times New Roman" w:hint="default"/>
        </w:rPr>
        <w:t>2</w:t>
      </w:r>
      <w:r>
        <w:rPr/>
        <w:t>、金融工具的确认依据和计量方法</w:t>
      </w:r>
    </w:p>
    <w:p>
      <w:pPr>
        <w:pStyle w:val="Heading4"/>
        <w:spacing w:line="610" w:lineRule="atLeast" w:before="14"/>
        <w:ind w:right="0"/>
        <w:jc w:val="left"/>
      </w:pPr>
      <w:r>
        <w:rPr/>
        <w:t>（</w:t>
      </w:r>
      <w:r>
        <w:rPr>
          <w:rFonts w:ascii="Times New Roman" w:hAnsi="Times New Roman" w:cs="Times New Roman" w:eastAsia="Times New Roman" w:hint="default"/>
        </w:rPr>
        <w:t>1</w:t>
      </w:r>
      <w:r>
        <w:rPr/>
        <w:t>）以公允价值计量且其变动计入当期损益的金融资产（金融负债）</w:t>
      </w:r>
      <w:r>
        <w:rPr>
          <w:spacing w:val="-3"/>
          <w:w w:val="100"/>
        </w:rPr>
        <w:t> </w:t>
      </w:r>
      <w:r>
        <w:rPr>
          <w:spacing w:val="-2"/>
        </w:rPr>
        <w:t>取得时以公允价值（扣除已宣告但尚未发放的现金股利或已到付息期但尚未领取的债券利息）作为初</w:t>
      </w:r>
    </w:p>
    <w:p>
      <w:pPr>
        <w:pStyle w:val="Heading4"/>
        <w:spacing w:line="273" w:lineRule="auto" w:before="37"/>
        <w:ind w:left="153" w:right="206"/>
        <w:jc w:val="both"/>
      </w:pPr>
      <w:r>
        <w:rPr>
          <w:spacing w:val="-2"/>
        </w:rPr>
        <w:t>始确认金额，相关的交易费用计入当期损益。持有期间将取得的利息或现金股利确认为投资收益，期末将</w:t>
      </w:r>
      <w:r>
        <w:rPr>
          <w:spacing w:val="-43"/>
        </w:rPr>
        <w:t> </w:t>
      </w:r>
      <w:r>
        <w:rPr>
          <w:spacing w:val="-43"/>
        </w:rPr>
      </w:r>
      <w:r>
        <w:rPr>
          <w:spacing w:val="-2"/>
        </w:rPr>
        <w:t>公允价值变动计入当期损益。处置时，其公允价值与初始入账金额之间的差额确认为投资收益，同时调整</w:t>
      </w:r>
      <w:r>
        <w:rPr>
          <w:spacing w:val="-42"/>
        </w:rPr>
        <w:t> </w:t>
      </w:r>
      <w:r>
        <w:rPr>
          <w:spacing w:val="-42"/>
        </w:rPr>
      </w:r>
      <w:r>
        <w:rPr/>
        <w:t>公允价值变动损益。</w:t>
      </w:r>
    </w:p>
    <w:p>
      <w:pPr>
        <w:spacing w:line="240" w:lineRule="auto" w:before="6"/>
        <w:rPr>
          <w:rFonts w:ascii="宋体" w:hAnsi="宋体" w:cs="宋体" w:eastAsia="宋体" w:hint="default"/>
          <w:sz w:val="24"/>
          <w:szCs w:val="24"/>
        </w:rPr>
      </w:pPr>
    </w:p>
    <w:p>
      <w:pPr>
        <w:pStyle w:val="Heading4"/>
        <w:spacing w:line="516" w:lineRule="auto"/>
        <w:ind w:left="578" w:right="0"/>
        <w:jc w:val="left"/>
      </w:pPr>
      <w:r>
        <w:rPr/>
        <w:t>（</w:t>
      </w:r>
      <w:r>
        <w:rPr>
          <w:rFonts w:ascii="Times New Roman" w:hAnsi="Times New Roman" w:cs="Times New Roman" w:eastAsia="Times New Roman" w:hint="default"/>
        </w:rPr>
        <w:t>2</w:t>
      </w:r>
      <w:r>
        <w:rPr/>
        <w:t>）持有至到期投资</w:t>
      </w:r>
      <w:r>
        <w:rPr>
          <w:spacing w:val="-3"/>
          <w:w w:val="100"/>
        </w:rPr>
        <w:t> </w:t>
      </w:r>
      <w:r>
        <w:rPr>
          <w:spacing w:val="-5"/>
        </w:rPr>
        <w:t>取得时按公允价值（扣除已到付息期但尚未领取的债券利息）和相关交易费用之和作为初始确认金额。</w:t>
      </w:r>
    </w:p>
    <w:p>
      <w:pPr>
        <w:spacing w:after="0" w:line="516" w:lineRule="auto"/>
        <w:jc w:val="left"/>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4"/>
        <w:spacing w:line="273" w:lineRule="auto" w:before="36"/>
        <w:ind w:left="152" w:right="206"/>
        <w:jc w:val="both"/>
      </w:pPr>
      <w:r>
        <w:rPr>
          <w:spacing w:val="-2"/>
        </w:rPr>
        <w:t>持有期间按照摊余成本和实际利率计算确认利息收入，计入投资收益。实际利率在取得时确定，在该预期</w:t>
      </w:r>
      <w:r>
        <w:rPr>
          <w:spacing w:val="-43"/>
        </w:rPr>
        <w:t> </w:t>
      </w:r>
      <w:r>
        <w:rPr>
          <w:spacing w:val="-43"/>
        </w:rPr>
      </w:r>
      <w:r>
        <w:rPr/>
        <w:t>存续期间或适用的更短期间内保持不变。</w:t>
      </w:r>
    </w:p>
    <w:p>
      <w:pPr>
        <w:spacing w:line="240" w:lineRule="auto" w:before="6"/>
        <w:rPr>
          <w:rFonts w:ascii="宋体" w:hAnsi="宋体" w:cs="宋体" w:eastAsia="宋体" w:hint="default"/>
          <w:sz w:val="24"/>
          <w:szCs w:val="24"/>
        </w:rPr>
      </w:pPr>
    </w:p>
    <w:p>
      <w:pPr>
        <w:pStyle w:val="Heading4"/>
        <w:spacing w:line="240" w:lineRule="auto"/>
        <w:ind w:right="0"/>
        <w:jc w:val="left"/>
      </w:pPr>
      <w:r>
        <w:rPr/>
        <w:t>处置时，将所取得价款与该投资账面价值之间的差额计入投资收益。</w:t>
      </w:r>
    </w:p>
    <w:p>
      <w:pPr>
        <w:pStyle w:val="Heading4"/>
        <w:spacing w:line="610" w:lineRule="atLeast" w:before="30"/>
        <w:ind w:right="0"/>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公司对外销售商品或提供劳务形成的应收债权，以及公司持有的其他企业的不包括在活跃市场上有报</w:t>
      </w:r>
    </w:p>
    <w:p>
      <w:pPr>
        <w:pStyle w:val="Heading4"/>
        <w:spacing w:line="273" w:lineRule="auto" w:before="37"/>
        <w:ind w:left="152" w:right="207"/>
        <w:jc w:val="both"/>
      </w:pPr>
      <w:r>
        <w:rPr>
          <w:spacing w:val="-2"/>
        </w:rPr>
        <w:t>价的债务工具的债权，包括应收账款、其他应收款等，以向购货方应收的合同或协议价款作为初始确认金</w:t>
      </w:r>
      <w:r>
        <w:rPr>
          <w:spacing w:val="-43"/>
        </w:rPr>
        <w:t> </w:t>
      </w:r>
      <w:r>
        <w:rPr>
          <w:spacing w:val="-43"/>
        </w:rPr>
      </w:r>
      <w:r>
        <w:rPr>
          <w:spacing w:val="-2"/>
        </w:rPr>
        <w:t>额；具有融资性质的，按其现值进行初始确认。收回或处置时，将取得的价款与该应收款项账面价值之间</w:t>
      </w:r>
      <w:r>
        <w:rPr>
          <w:spacing w:val="-49"/>
        </w:rPr>
        <w:t> </w:t>
      </w:r>
      <w:r>
        <w:rPr>
          <w:spacing w:val="-49"/>
        </w:rPr>
      </w:r>
      <w:r>
        <w:rPr/>
        <w:t>的差额计入当期损益。</w:t>
      </w:r>
    </w:p>
    <w:p>
      <w:pPr>
        <w:pStyle w:val="Heading4"/>
        <w:spacing w:line="610" w:lineRule="atLeast"/>
        <w:ind w:right="0"/>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取得时按公允价值（扣除已宣告但尚未发放的现金股利或已到付息期但尚未领取的债券利息）和相关</w:t>
      </w:r>
    </w:p>
    <w:p>
      <w:pPr>
        <w:pStyle w:val="Heading4"/>
        <w:spacing w:line="273" w:lineRule="auto" w:before="37"/>
        <w:ind w:left="152" w:right="0"/>
        <w:jc w:val="left"/>
      </w:pPr>
      <w:r>
        <w:rPr>
          <w:spacing w:val="-2"/>
        </w:rPr>
        <w:t>交易费用之和作为初始确认金额。持有期间将取得的利息或现金股利确认为投资收益。期末以公允价值计</w:t>
      </w:r>
      <w:r>
        <w:rPr>
          <w:spacing w:val="-43"/>
        </w:rPr>
        <w:t> </w:t>
      </w:r>
      <w:r>
        <w:rPr>
          <w:spacing w:val="-43"/>
        </w:rPr>
      </w:r>
      <w:r>
        <w:rPr>
          <w:spacing w:val="-2"/>
        </w:rPr>
        <w:t>量且将公允价值变动计入资本公积（其他资本公积）。处置时，将取得的价款与该金融资产账面价值之间</w:t>
      </w:r>
      <w:r>
        <w:rPr>
          <w:spacing w:val="-44"/>
        </w:rPr>
        <w:t> </w:t>
      </w:r>
      <w:r>
        <w:rPr>
          <w:spacing w:val="-44"/>
        </w:rPr>
      </w:r>
      <w:r>
        <w:rPr>
          <w:spacing w:val="-5"/>
        </w:rPr>
        <w:t>的差额，计入投资损益；同时，将原直接计入所有者权益的公允价值变动累计额对应处置部分的金额转出，</w:t>
      </w:r>
      <w:r>
        <w:rPr>
          <w:spacing w:val="-6"/>
        </w:rPr>
        <w:t> </w:t>
      </w:r>
      <w:r>
        <w:rPr>
          <w:spacing w:val="-6"/>
        </w:rPr>
      </w:r>
      <w:r>
        <w:rPr/>
        <w:t>计入投资损益。</w:t>
      </w:r>
    </w:p>
    <w:p>
      <w:pPr>
        <w:pStyle w:val="Heading4"/>
        <w:spacing w:line="624" w:lineRule="exact" w:before="66"/>
        <w:ind w:right="0"/>
        <w:jc w:val="left"/>
      </w:pPr>
      <w:r>
        <w:rPr/>
        <w:t>（</w:t>
      </w:r>
      <w:r>
        <w:rPr>
          <w:rFonts w:ascii="Times New Roman" w:hAnsi="Times New Roman" w:cs="Times New Roman" w:eastAsia="Times New Roman" w:hint="default"/>
        </w:rPr>
        <w:t>5</w:t>
      </w:r>
      <w:r>
        <w:rPr/>
        <w:t>）其他金融负债</w:t>
      </w:r>
      <w:r>
        <w:rPr>
          <w:w w:val="100"/>
        </w:rPr>
        <w:t> </w:t>
      </w:r>
      <w:r>
        <w:rPr/>
        <w:t>按其公允价值和相关交易费用之和作为初始确认金额。采用摊余成本进行后续计量。</w:t>
      </w:r>
      <w:r>
        <w:rPr>
          <w:w w:val="100"/>
        </w:rPr>
        <w:t> </w:t>
      </w:r>
      <w:r>
        <w:rPr>
          <w:rFonts w:ascii="Times New Roman" w:hAnsi="Times New Roman" w:cs="Times New Roman" w:eastAsia="Times New Roman" w:hint="default"/>
        </w:rPr>
        <w:t>3</w:t>
      </w:r>
      <w:r>
        <w:rPr/>
        <w:t>、金融资产转移的确认依据和计量方法</w:t>
      </w:r>
      <w:r>
        <w:rPr>
          <w:spacing w:val="-3"/>
          <w:w w:val="100"/>
        </w:rPr>
        <w:t> </w:t>
      </w:r>
      <w:r>
        <w:rPr>
          <w:spacing w:val="-3"/>
        </w:rPr>
        <w:t>公司发生金融资产转移时，如已将金融资产所有权上几乎所有的风险和报酬转移给转入方，则终止确</w:t>
      </w:r>
      <w:r>
        <w:rPr/>
      </w:r>
    </w:p>
    <w:p>
      <w:pPr>
        <w:pStyle w:val="Heading4"/>
        <w:spacing w:line="217" w:lineRule="exact"/>
        <w:ind w:left="152" w:right="0"/>
        <w:jc w:val="both"/>
      </w:pPr>
      <w:r>
        <w:rPr/>
        <w:t>认该金融资产；如保留了金融资产所有权上几乎所有的风险和报酬的，则不终止确认该金融资产。</w:t>
      </w:r>
    </w:p>
    <w:p>
      <w:pPr>
        <w:pStyle w:val="Heading4"/>
        <w:spacing w:line="610" w:lineRule="atLeast" w:before="30"/>
        <w:ind w:right="0"/>
        <w:jc w:val="left"/>
      </w:pPr>
      <w:r>
        <w:rPr>
          <w:rFonts w:ascii="Times New Roman" w:hAnsi="Times New Roman" w:cs="Times New Roman" w:eastAsia="Times New Roman" w:hint="default"/>
        </w:rPr>
        <w:t>4</w:t>
      </w:r>
      <w:r>
        <w:rPr/>
        <w:t>、金融负债终止确认条件</w:t>
      </w:r>
      <w:r>
        <w:rPr>
          <w:spacing w:val="-3"/>
          <w:w w:val="100"/>
        </w:rPr>
        <w:t> </w:t>
      </w:r>
      <w:r>
        <w:rPr>
          <w:spacing w:val="-3"/>
        </w:rPr>
        <w:t>金融负债的现时义务全部或部分已经解除的，则终止确认该金融负债或其一部分；本公司若与债权人</w:t>
      </w:r>
      <w:r>
        <w:rPr/>
      </w:r>
    </w:p>
    <w:p>
      <w:pPr>
        <w:pStyle w:val="Heading4"/>
        <w:spacing w:line="273" w:lineRule="auto" w:before="37"/>
        <w:ind w:left="153" w:right="184"/>
        <w:jc w:val="both"/>
      </w:pPr>
      <w:r>
        <w:rPr>
          <w:spacing w:val="-2"/>
        </w:rPr>
        <w:t>签定协议，以承担新金融负债方式替换现存金融负债，且新金融负债与现存金融负债的合同条款实质上不</w:t>
      </w:r>
      <w:r>
        <w:rPr>
          <w:spacing w:val="-43"/>
        </w:rPr>
        <w:t> </w:t>
      </w:r>
      <w:r>
        <w:rPr>
          <w:spacing w:val="-43"/>
        </w:rPr>
      </w:r>
      <w:r>
        <w:rPr>
          <w:spacing w:val="-2"/>
        </w:rPr>
        <w:t>同的，则终止确认现存金融负债，并同时确认新金融负债。对现存金融负债全部或部分合同条款作出实质</w:t>
      </w:r>
      <w:r>
        <w:rPr>
          <w:spacing w:val="-46"/>
        </w:rPr>
        <w:t> </w:t>
      </w:r>
      <w:r>
        <w:rPr>
          <w:spacing w:val="-46"/>
        </w:rPr>
      </w:r>
      <w:r>
        <w:rPr>
          <w:spacing w:val="-2"/>
        </w:rPr>
        <w:t>性修改的，则终止确认现存金融负债或其一部分，同时将修改条款后的金融负债确认为一项新金融负债。</w:t>
      </w:r>
      <w:r>
        <w:rPr>
          <w:spacing w:val="-21"/>
        </w:rPr>
        <w:t> </w:t>
      </w:r>
      <w:r>
        <w:rPr>
          <w:spacing w:val="-21"/>
        </w:rPr>
      </w:r>
      <w:r>
        <w:rPr>
          <w:spacing w:val="-2"/>
        </w:rPr>
        <w:t>金融负债全部或部分终止确认时，终止确认的金融负债账面价值与支付对价（包括转出的非现金资产或承</w:t>
      </w:r>
      <w:r>
        <w:rPr>
          <w:spacing w:val="-43"/>
        </w:rPr>
        <w:t> </w:t>
      </w:r>
      <w:r>
        <w:rPr>
          <w:spacing w:val="-43"/>
        </w:rPr>
      </w:r>
      <w:r>
        <w:rPr/>
        <w:t>担的新金融负债）之间的差额，计入当期损益。</w:t>
      </w:r>
    </w:p>
    <w:p>
      <w:pPr>
        <w:spacing w:line="240" w:lineRule="auto" w:before="6"/>
        <w:rPr>
          <w:rFonts w:ascii="宋体" w:hAnsi="宋体" w:cs="宋体" w:eastAsia="宋体" w:hint="default"/>
          <w:sz w:val="24"/>
          <w:szCs w:val="24"/>
        </w:rPr>
      </w:pPr>
    </w:p>
    <w:p>
      <w:pPr>
        <w:pStyle w:val="Heading4"/>
        <w:spacing w:line="530" w:lineRule="auto"/>
        <w:ind w:right="0"/>
        <w:jc w:val="left"/>
      </w:pPr>
      <w:r>
        <w:rPr>
          <w:rFonts w:ascii="Times New Roman" w:hAnsi="Times New Roman" w:cs="Times New Roman" w:eastAsia="Times New Roman" w:hint="default"/>
        </w:rPr>
        <w:t>5</w:t>
      </w:r>
      <w:r>
        <w:rPr/>
        <w:t>、金融资产和金融负债公允价值的确定方法</w:t>
      </w:r>
      <w:r>
        <w:rPr>
          <w:spacing w:val="-3"/>
          <w:w w:val="100"/>
        </w:rPr>
        <w:t> </w:t>
      </w:r>
      <w:r>
        <w:rPr>
          <w:spacing w:val="-2"/>
        </w:rPr>
        <w:t>本公司采用公允价值计量的金融资产和金融负债全部直接参考活跃市场中的报价</w:t>
      </w:r>
      <w:r>
        <w:rPr>
          <w:spacing w:val="-38"/>
        </w:rPr>
        <w:t> </w:t>
      </w:r>
      <w:r>
        <w:rPr>
          <w:spacing w:val="-38"/>
        </w:rPr>
      </w:r>
      <w:r>
        <w:rPr>
          <w:rFonts w:ascii="Times New Roman" w:hAnsi="Times New Roman" w:cs="Times New Roman" w:eastAsia="Times New Roman" w:hint="default"/>
        </w:rPr>
        <w:t>6</w:t>
      </w:r>
      <w:r>
        <w:rPr/>
        <w:t>、金融资产（不含应收款项）减值准备计提</w:t>
      </w:r>
    </w:p>
    <w:p>
      <w:pPr>
        <w:spacing w:after="0" w:line="530" w:lineRule="auto"/>
        <w:jc w:val="left"/>
        <w:sectPr>
          <w:footerReference w:type="default" r:id="rId34"/>
          <w:pgSz w:w="11910" w:h="16840"/>
          <w:pgMar w:footer="982" w:header="745" w:top="1060" w:bottom="1180" w:left="980" w:right="920"/>
        </w:sectPr>
      </w:pPr>
    </w:p>
    <w:p>
      <w:pPr>
        <w:spacing w:line="240" w:lineRule="auto" w:before="10"/>
        <w:rPr>
          <w:rFonts w:ascii="宋体" w:hAnsi="宋体" w:cs="宋体" w:eastAsia="宋体" w:hint="default"/>
          <w:sz w:val="24"/>
          <w:szCs w:val="24"/>
        </w:rPr>
      </w:pPr>
    </w:p>
    <w:p>
      <w:pPr>
        <w:pStyle w:val="Heading4"/>
        <w:spacing w:line="273" w:lineRule="auto" w:before="36"/>
        <w:ind w:left="152" w:right="0" w:firstLine="424"/>
        <w:jc w:val="left"/>
      </w:pPr>
      <w:r>
        <w:rPr>
          <w:spacing w:val="-3"/>
        </w:rPr>
        <w:t>除以公允价值计量且其变动计入当期损益的金融资产外，本公司于资产负债表日对金融资产的账面价</w:t>
      </w:r>
      <w:r>
        <w:rPr>
          <w:spacing w:val="-3"/>
          <w:w w:val="100"/>
        </w:rPr>
        <w:t> </w:t>
      </w:r>
      <w:r>
        <w:rPr/>
        <w:t>值进行检查，如果有客观证据表明某项金融资产发生减值的，计提减值准备。</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11、应收款项" w:id="133"/>
      <w:bookmarkEnd w:id="13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34"/>
      <w:bookmarkEnd w:id="13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1027"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本公司将单笔余额超过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含</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的应收账款、单笔余额超</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的其他应收款，确定为单项金额重大的应收款</w:t>
            </w:r>
            <w:r>
              <w:rPr>
                <w:rFonts w:ascii="宋体" w:hAnsi="宋体" w:cs="宋体" w:eastAsia="宋体" w:hint="default"/>
                <w:sz w:val="18"/>
                <w:szCs w:val="18"/>
              </w:rPr>
              <w:t> 项。</w:t>
            </w:r>
          </w:p>
        </w:tc>
      </w:tr>
      <w:tr>
        <w:trPr>
          <w:trHeight w:val="227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在资产负债表日，本公司对应收款项单独进行减值测试，经 测试发生了减值的，按其未来现金流量现值低于其账面价值 的差额，确定减值损失，计提坏账准备；对单项测试未减值 的应收款项，按类似的信用风险特征划分为若干组合，再按 这些应收款项组合在资产负债表日余额的一定比例计算确定 减值损失，计提坏账准备。本公司本年度无单项计提坏账准 备的应收款项。</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按信用风险特征组合计提坏账准备的应收款项" w:id="135"/>
      <w:bookmarkEnd w:id="13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押金、备用金、保证金及合并范围内应收组合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押金、备用金、保证金及合并范围内应 收组合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982" w:header="745"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3）单项金额不重大但单独计提坏账准备的应收款项" w:id="136"/>
      <w:bookmarkEnd w:id="13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2、存货" w:id="137"/>
      <w:bookmarkEnd w:id="137"/>
      <w:r>
        <w:rPr>
          <w:b w:val="0"/>
          <w:bCs w:val="0"/>
        </w:rPr>
      </w:r>
      <w:r>
        <w:rPr>
          <w:rFonts w:ascii="Times New Roman" w:hAnsi="Times New Roman" w:cs="Times New Roman" w:eastAsia="Times New Roman" w:hint="default"/>
        </w:rPr>
        <w:t>12</w:t>
      </w:r>
      <w:r>
        <w:rPr/>
        <w:t>、存货</w:t>
      </w:r>
      <w:r>
        <w:rPr>
          <w:b w:val="0"/>
          <w:bCs w:val="0"/>
        </w:rPr>
      </w:r>
    </w:p>
    <w:p>
      <w:pPr>
        <w:pStyle w:val="Heading4"/>
        <w:spacing w:line="610" w:lineRule="atLeast" w:before="2"/>
        <w:ind w:right="0"/>
        <w:jc w:val="left"/>
      </w:pPr>
      <w:r>
        <w:rPr>
          <w:rFonts w:ascii="Times New Roman" w:hAnsi="Times New Roman" w:cs="Times New Roman" w:eastAsia="Times New Roman" w:hint="default"/>
        </w:rPr>
        <w:t>1</w:t>
      </w:r>
      <w:r>
        <w:rPr/>
        <w:t>、存货的分类</w:t>
      </w:r>
      <w:r>
        <w:rPr>
          <w:w w:val="100"/>
        </w:rPr>
        <w:t> </w:t>
      </w:r>
      <w:r>
        <w:rPr>
          <w:spacing w:val="-3"/>
        </w:rPr>
        <w:t>存货是指本公司在日常活动中持有以备出售的商品、提供劳务过程中耗用的材料和物料等。主要包括</w:t>
      </w:r>
      <w:r>
        <w:rPr/>
      </w:r>
    </w:p>
    <w:p>
      <w:pPr>
        <w:pStyle w:val="Heading4"/>
        <w:spacing w:line="240" w:lineRule="auto" w:before="37"/>
        <w:ind w:left="152" w:right="0"/>
        <w:jc w:val="both"/>
      </w:pPr>
      <w:r>
        <w:rPr/>
        <w:t>原材料、库存商品和低值易耗品等。</w:t>
      </w:r>
    </w:p>
    <w:p>
      <w:pPr>
        <w:pStyle w:val="Heading4"/>
        <w:spacing w:line="610" w:lineRule="atLeast" w:before="30"/>
        <w:ind w:right="0"/>
        <w:jc w:val="left"/>
      </w:pPr>
      <w:r>
        <w:rPr>
          <w:rFonts w:ascii="Times New Roman" w:hAnsi="Times New Roman" w:cs="Times New Roman" w:eastAsia="Times New Roman" w:hint="default"/>
        </w:rPr>
        <w:t>2</w:t>
      </w:r>
      <w:r>
        <w:rPr/>
        <w:t>、发出存货的计价方法</w:t>
      </w:r>
      <w:r>
        <w:rPr>
          <w:w w:val="100"/>
        </w:rPr>
        <w:t> </w:t>
      </w:r>
      <w:r>
        <w:rPr>
          <w:spacing w:val="-3"/>
        </w:rPr>
        <w:t>存货在取得时，按成本进行初始计量，包括采购成本、加工成本和其他成本。存货发出时，采用个别</w:t>
      </w:r>
      <w:r>
        <w:rPr/>
      </w:r>
    </w:p>
    <w:p>
      <w:pPr>
        <w:pStyle w:val="Heading4"/>
        <w:spacing w:line="240" w:lineRule="auto" w:before="37"/>
        <w:ind w:left="152" w:right="0"/>
        <w:jc w:val="both"/>
      </w:pPr>
      <w:r>
        <w:rPr/>
        <w:t>计价法确定发出存货的实际成本。</w:t>
      </w:r>
    </w:p>
    <w:p>
      <w:pPr>
        <w:pStyle w:val="Heading4"/>
        <w:spacing w:line="610" w:lineRule="atLeast" w:before="30"/>
        <w:ind w:right="0"/>
        <w:jc w:val="left"/>
      </w:pPr>
      <w:r>
        <w:rPr>
          <w:rFonts w:ascii="Times New Roman" w:hAnsi="Times New Roman" w:cs="Times New Roman" w:eastAsia="Times New Roman" w:hint="default"/>
        </w:rPr>
        <w:t>3</w:t>
      </w:r>
      <w:r>
        <w:rPr/>
        <w:t>、存货可变现净值的确定依据及存货跌价准备的计提方法</w:t>
      </w:r>
      <w:r>
        <w:rPr>
          <w:w w:val="100"/>
        </w:rPr>
        <w:t> </w:t>
      </w:r>
      <w:r>
        <w:rPr>
          <w:spacing w:val="-2"/>
        </w:rPr>
        <w:t>资产负债表日，存货按照成本与可变现净值孰低计量。年末，在对存货进行全面盘点的基础上，对于</w:t>
      </w:r>
    </w:p>
    <w:p>
      <w:pPr>
        <w:pStyle w:val="Heading4"/>
        <w:spacing w:line="273" w:lineRule="auto" w:before="37"/>
        <w:ind w:left="152" w:right="147"/>
        <w:jc w:val="both"/>
      </w:pPr>
      <w:r>
        <w:rPr>
          <w:spacing w:val="-2"/>
        </w:rPr>
        <w:t>存货因被淘汰、全部或部分陈旧过时或销售价格低于成本等原因导致成本高于可变现净值的部分，以及承</w:t>
      </w:r>
      <w:r>
        <w:rPr>
          <w:spacing w:val="-43"/>
        </w:rPr>
        <w:t> </w:t>
      </w:r>
      <w:r>
        <w:rPr>
          <w:spacing w:val="-43"/>
        </w:rPr>
      </w:r>
      <w:r>
        <w:rPr>
          <w:spacing w:val="-2"/>
        </w:rPr>
        <w:t>揽工程预计存在的亏损部分，提取存货跌价准备。存货跌价准备按单个存货项目的成本高于其可变现净值</w:t>
      </w:r>
      <w:r>
        <w:rPr>
          <w:spacing w:val="-43"/>
        </w:rPr>
        <w:t> </w:t>
      </w:r>
      <w:r>
        <w:rPr>
          <w:spacing w:val="-43"/>
        </w:rPr>
      </w:r>
      <w:r>
        <w:rPr>
          <w:spacing w:val="-2"/>
        </w:rPr>
        <w:t>的差额提取。其中：对于产成品、商品和用于出售的材料等直接用于出售的商品存货，在正常生产经营过</w:t>
      </w:r>
      <w:r>
        <w:rPr>
          <w:spacing w:val="-47"/>
        </w:rPr>
        <w:t> </w:t>
      </w:r>
      <w:r>
        <w:rPr>
          <w:spacing w:val="-47"/>
        </w:rPr>
      </w:r>
      <w:r>
        <w:rPr>
          <w:spacing w:val="-2"/>
        </w:rPr>
        <w:t>程中，以该存货的估计售价减去估计的销售费用和相关税费后的金额，确定其可变现净值；对于需要经过</w:t>
      </w:r>
      <w:r>
        <w:rPr>
          <w:spacing w:val="-44"/>
        </w:rPr>
        <w:t> </w:t>
      </w:r>
      <w:r>
        <w:rPr>
          <w:spacing w:val="-44"/>
        </w:rPr>
      </w:r>
      <w:r>
        <w:rPr>
          <w:spacing w:val="-2"/>
        </w:rPr>
        <w:t>加工的材料存货，在正常生产经营过程中，以所生产的产成品的估计售价减去至完工时估计将要发生的成</w:t>
      </w:r>
      <w:r>
        <w:rPr>
          <w:spacing w:val="-44"/>
        </w:rPr>
        <w:t> </w:t>
      </w:r>
      <w:r>
        <w:rPr>
          <w:spacing w:val="-44"/>
        </w:rPr>
      </w:r>
      <w:r>
        <w:rPr>
          <w:spacing w:val="-2"/>
        </w:rPr>
        <w:t>本、估计销售费用和相关税费后的金额，确定其可变现净值；对于资产负债表日，同一项存货中一部分有</w:t>
      </w:r>
      <w:r>
        <w:rPr>
          <w:spacing w:val="-50"/>
        </w:rPr>
        <w:t> </w:t>
      </w:r>
      <w:r>
        <w:rPr>
          <w:spacing w:val="-50"/>
        </w:rPr>
      </w:r>
      <w:r>
        <w:rPr/>
        <w:t>合同价格约定、其他部分不存在合同价格的，分别确定其可变现净值。</w:t>
      </w:r>
    </w:p>
    <w:p>
      <w:pPr>
        <w:spacing w:line="240" w:lineRule="auto" w:before="6"/>
        <w:rPr>
          <w:rFonts w:ascii="宋体" w:hAnsi="宋体" w:cs="宋体" w:eastAsia="宋体" w:hint="default"/>
          <w:sz w:val="24"/>
          <w:szCs w:val="24"/>
        </w:rPr>
      </w:pPr>
    </w:p>
    <w:p>
      <w:pPr>
        <w:pStyle w:val="Heading4"/>
        <w:spacing w:line="240" w:lineRule="auto"/>
        <w:ind w:right="0"/>
        <w:jc w:val="left"/>
      </w:pPr>
      <w:r>
        <w:rPr>
          <w:rFonts w:ascii="Times New Roman" w:hAnsi="Times New Roman" w:cs="Times New Roman" w:eastAsia="Times New Roman" w:hint="default"/>
        </w:rPr>
        <w:t>4</w:t>
      </w:r>
      <w:r>
        <w:rPr/>
        <w:t>、存货的盘存制度</w:t>
      </w:r>
    </w:p>
    <w:p>
      <w:pPr>
        <w:spacing w:line="240" w:lineRule="auto" w:before="9"/>
        <w:rPr>
          <w:rFonts w:ascii="宋体" w:hAnsi="宋体" w:cs="宋体" w:eastAsia="宋体" w:hint="default"/>
          <w:sz w:val="22"/>
          <w:szCs w:val="22"/>
        </w:rPr>
      </w:pPr>
    </w:p>
    <w:p>
      <w:pPr>
        <w:pStyle w:val="Heading4"/>
        <w:spacing w:line="240" w:lineRule="auto" w:before="36"/>
        <w:ind w:right="0"/>
        <w:jc w:val="left"/>
      </w:pPr>
      <w:r>
        <w:rPr/>
        <w:t>本公司的存货盘存制度为永续盘存制。本公司定期对存货进行清查，盘盈利得和盘亏损失计入当期损</w:t>
      </w:r>
    </w:p>
    <w:p>
      <w:pPr>
        <w:pStyle w:val="Heading4"/>
        <w:spacing w:line="240" w:lineRule="auto" w:before="37"/>
        <w:ind w:left="152" w:right="0"/>
        <w:jc w:val="left"/>
      </w:pPr>
      <w:r>
        <w:rPr/>
        <w:t>益。</w:t>
      </w:r>
    </w:p>
    <w:p>
      <w:pPr>
        <w:spacing w:line="240" w:lineRule="auto" w:before="12"/>
        <w:rPr>
          <w:rFonts w:ascii="宋体" w:hAnsi="宋体" w:cs="宋体" w:eastAsia="宋体" w:hint="default"/>
          <w:sz w:val="23"/>
          <w:szCs w:val="23"/>
        </w:rPr>
      </w:pPr>
    </w:p>
    <w:p>
      <w:pPr>
        <w:pStyle w:val="Heading4"/>
        <w:spacing w:line="516" w:lineRule="auto" w:before="36"/>
        <w:ind w:right="5453"/>
        <w:jc w:val="left"/>
      </w:pPr>
      <w:r>
        <w:rPr>
          <w:rFonts w:ascii="Times New Roman" w:hAnsi="Times New Roman" w:cs="Times New Roman" w:eastAsia="Times New Roman" w:hint="default"/>
        </w:rPr>
        <w:t>5</w:t>
      </w:r>
      <w:r>
        <w:rPr/>
        <w:t>、低值易耗品的摊销方法</w:t>
      </w:r>
      <w:r>
        <w:rPr>
          <w:spacing w:val="-3"/>
          <w:w w:val="100"/>
        </w:rPr>
        <w:t> </w:t>
      </w:r>
      <w:r>
        <w:rPr>
          <w:spacing w:val="-2"/>
        </w:rPr>
        <w:t>低值易耗品采用一次转销法摊销。</w:t>
      </w:r>
    </w:p>
    <w:p>
      <w:pPr>
        <w:pStyle w:val="Heading3"/>
        <w:spacing w:line="240" w:lineRule="auto" w:before="95"/>
        <w:ind w:right="0"/>
        <w:jc w:val="left"/>
        <w:rPr>
          <w:b w:val="0"/>
          <w:bCs w:val="0"/>
        </w:rPr>
      </w:pPr>
      <w:bookmarkStart w:name="13、划分为持有待售资产" w:id="138"/>
      <w:bookmarkEnd w:id="138"/>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4、长期股权投资" w:id="139"/>
      <w:bookmarkEnd w:id="13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4"/>
        <w:spacing w:line="530" w:lineRule="auto"/>
        <w:ind w:right="0"/>
        <w:jc w:val="left"/>
      </w:pPr>
      <w:r>
        <w:rPr>
          <w:rFonts w:ascii="Times New Roman" w:hAnsi="Times New Roman" w:cs="Times New Roman" w:eastAsia="Times New Roman" w:hint="default"/>
        </w:rPr>
        <w:t>1</w:t>
      </w:r>
      <w:r>
        <w:rPr/>
        <w:t>、投资成本的确定</w:t>
      </w:r>
      <w:r>
        <w:rPr>
          <w:w w:val="100"/>
        </w:rPr>
        <w:t> </w:t>
      </w:r>
      <w:r>
        <w:rPr/>
        <w:t>以支付现金方式取得的长期股权投资，按照实际支付的购买价款作为初始投资成本。</w:t>
      </w:r>
      <w:r>
        <w:rPr>
          <w:w w:val="100"/>
        </w:rPr>
        <w:t> </w:t>
      </w:r>
      <w:r>
        <w:rPr>
          <w:spacing w:val="-2"/>
        </w:rPr>
        <w:t>以发行权益性证券取得的长期股权投资，按照发行权益性证券的公允价值作为初始投资成本。</w:t>
      </w:r>
    </w:p>
    <w:p>
      <w:pPr>
        <w:spacing w:after="0" w:line="530" w:lineRule="auto"/>
        <w:jc w:val="left"/>
        <w:sectPr>
          <w:footerReference w:type="default" r:id="rId36"/>
          <w:pgSz w:w="11910" w:h="16840"/>
          <w:pgMar w:footer="982" w:header="745" w:top="1060" w:bottom="1180" w:left="980" w:right="980"/>
          <w:pgNumType w:start="101"/>
        </w:sectPr>
      </w:pPr>
    </w:p>
    <w:p>
      <w:pPr>
        <w:spacing w:line="240" w:lineRule="auto" w:before="10"/>
        <w:rPr>
          <w:rFonts w:ascii="宋体" w:hAnsi="宋体" w:cs="宋体" w:eastAsia="宋体" w:hint="default"/>
          <w:sz w:val="24"/>
          <w:szCs w:val="24"/>
        </w:rPr>
      </w:pPr>
    </w:p>
    <w:p>
      <w:pPr>
        <w:pStyle w:val="Heading4"/>
        <w:spacing w:line="273" w:lineRule="auto" w:before="36"/>
        <w:ind w:left="152" w:right="125" w:firstLine="424"/>
        <w:jc w:val="both"/>
      </w:pPr>
      <w:r>
        <w:rPr>
          <w:spacing w:val="-2"/>
        </w:rPr>
        <w:t>非同一控制下的企业合并形成的长期股权投资，按照购买日确定的合并成本作为长期股权投资的初始</w:t>
      </w:r>
      <w:r>
        <w:rPr>
          <w:w w:val="100"/>
        </w:rPr>
        <w:t> </w:t>
      </w:r>
      <w:r>
        <w:rPr>
          <w:spacing w:val="-2"/>
        </w:rPr>
        <w:t>投资成本。合并成本为购买日购买方为取得对被购买方的控制权而付出的资产、发生或承担的负债以及发</w:t>
      </w:r>
      <w:r>
        <w:rPr>
          <w:spacing w:val="-43"/>
        </w:rPr>
        <w:t> </w:t>
      </w:r>
      <w:r>
        <w:rPr>
          <w:spacing w:val="-43"/>
        </w:rPr>
      </w:r>
      <w:r>
        <w:rPr>
          <w:spacing w:val="-2"/>
        </w:rPr>
        <w:t>行的权益性证券的公允价值。购买方为企业合并而发生的审计、法律服务、评估咨询等中介费用以及其他</w:t>
      </w:r>
      <w:r>
        <w:rPr>
          <w:spacing w:val="-42"/>
        </w:rPr>
        <w:t> </w:t>
      </w:r>
      <w:r>
        <w:rPr>
          <w:spacing w:val="-42"/>
        </w:rPr>
      </w:r>
      <w:r>
        <w:rPr>
          <w:spacing w:val="-2"/>
        </w:rPr>
        <w:t>相关管理费用于发生时计入当期损益；购买方作为合并对价发行的权益性证券或债务性证券的交易费用，</w:t>
      </w:r>
      <w:r>
        <w:rPr>
          <w:spacing w:val="-21"/>
        </w:rPr>
        <w:t> </w:t>
      </w:r>
      <w:r>
        <w:rPr>
          <w:spacing w:val="-21"/>
        </w:rPr>
      </w:r>
      <w:r>
        <w:rPr/>
        <w:t>计入权益性证券或债务性证券的初始确认金额。</w:t>
      </w:r>
    </w:p>
    <w:p>
      <w:pPr>
        <w:spacing w:line="240" w:lineRule="auto" w:before="6"/>
        <w:rPr>
          <w:rFonts w:ascii="宋体" w:hAnsi="宋体" w:cs="宋体" w:eastAsia="宋体" w:hint="default"/>
          <w:sz w:val="24"/>
          <w:szCs w:val="24"/>
        </w:rPr>
      </w:pPr>
    </w:p>
    <w:p>
      <w:pPr>
        <w:pStyle w:val="Heading4"/>
        <w:spacing w:line="240" w:lineRule="auto"/>
        <w:ind w:right="0"/>
        <w:jc w:val="left"/>
      </w:pPr>
      <w:r>
        <w:rPr>
          <w:rFonts w:ascii="Times New Roman" w:hAnsi="Times New Roman" w:cs="Times New Roman" w:eastAsia="Times New Roman" w:hint="default"/>
        </w:rPr>
        <w:t>2</w:t>
      </w:r>
      <w:r>
        <w:rPr/>
        <w:t>、后续计量及损益确认</w:t>
      </w:r>
    </w:p>
    <w:p>
      <w:pPr>
        <w:spacing w:line="240" w:lineRule="auto" w:before="6"/>
        <w:rPr>
          <w:rFonts w:ascii="宋体" w:hAnsi="宋体" w:cs="宋体" w:eastAsia="宋体" w:hint="default"/>
          <w:sz w:val="25"/>
          <w:szCs w:val="25"/>
        </w:rPr>
      </w:pPr>
    </w:p>
    <w:p>
      <w:pPr>
        <w:pStyle w:val="Heading4"/>
        <w:spacing w:line="516" w:lineRule="auto"/>
        <w:ind w:right="3654"/>
        <w:jc w:val="left"/>
      </w:pPr>
      <w:r>
        <w:rPr/>
        <w:t>（</w:t>
      </w:r>
      <w:r>
        <w:rPr>
          <w:rFonts w:ascii="Times New Roman" w:hAnsi="Times New Roman" w:cs="Times New Roman" w:eastAsia="Times New Roman" w:hint="default"/>
        </w:rPr>
        <w:t>1</w:t>
      </w:r>
      <w:r>
        <w:rPr/>
        <w:t>）后续计量</w:t>
      </w:r>
      <w:r>
        <w:rPr>
          <w:w w:val="100"/>
        </w:rPr>
        <w:t> </w:t>
      </w:r>
      <w:r>
        <w:rPr>
          <w:spacing w:val="-2"/>
        </w:rPr>
        <w:t>公司对子公司的长期股权投资，采用成本法核算。</w:t>
      </w:r>
    </w:p>
    <w:p>
      <w:pPr>
        <w:pStyle w:val="Heading4"/>
        <w:spacing w:line="273" w:lineRule="auto" w:before="107"/>
        <w:ind w:left="152" w:right="146" w:firstLine="424"/>
        <w:jc w:val="both"/>
      </w:pPr>
      <w:r>
        <w:rPr>
          <w:spacing w:val="-2"/>
        </w:rPr>
        <w:t>对被投资单位具有共同控制的长期股权投资，采用权益法核算。初始投资成本大于投资时应享有被投</w:t>
      </w:r>
      <w:r>
        <w:rPr>
          <w:w w:val="100"/>
        </w:rPr>
        <w:t> </w:t>
      </w:r>
      <w:r>
        <w:rPr>
          <w:spacing w:val="-2"/>
        </w:rPr>
        <w:t>资单位可辨认净资产公允价值份额的差额，不调整长期股权投资的初始投资成本；初始投资成本小于投资</w:t>
      </w:r>
      <w:r>
        <w:rPr>
          <w:spacing w:val="-44"/>
        </w:rPr>
        <w:t> </w:t>
      </w:r>
      <w:r>
        <w:rPr>
          <w:spacing w:val="-44"/>
        </w:rPr>
      </w:r>
      <w:r>
        <w:rPr/>
        <w:t>时应享有被投资单位可辨认净资产公允价值份额的差额，计入当期损益。</w:t>
      </w:r>
    </w:p>
    <w:p>
      <w:pPr>
        <w:pStyle w:val="Heading4"/>
        <w:spacing w:line="610" w:lineRule="atLeast"/>
        <w:ind w:right="0"/>
        <w:jc w:val="left"/>
      </w:pPr>
      <w:r>
        <w:rPr/>
        <w:t>（</w:t>
      </w:r>
      <w:r>
        <w:rPr>
          <w:rFonts w:ascii="Times New Roman" w:hAnsi="Times New Roman" w:cs="Times New Roman" w:eastAsia="Times New Roman" w:hint="default"/>
        </w:rPr>
        <w:t>2</w:t>
      </w:r>
      <w:r>
        <w:rPr/>
        <w:t>）净损益、其他综合收益及其他所有者权益变动的确认</w:t>
      </w:r>
      <w:r>
        <w:rPr>
          <w:w w:val="100"/>
        </w:rPr>
        <w:t> </w:t>
      </w:r>
      <w:r>
        <w:rPr>
          <w:spacing w:val="-2"/>
        </w:rPr>
        <w:t>成本法下，除取得投资时实际支付的价款或对价中包含的已宣告但尚未发放的现金股利或利润外，公</w:t>
      </w:r>
    </w:p>
    <w:p>
      <w:pPr>
        <w:pStyle w:val="Heading4"/>
        <w:spacing w:line="240" w:lineRule="auto" w:before="37"/>
        <w:ind w:left="153" w:right="0"/>
        <w:jc w:val="both"/>
      </w:pPr>
      <w:r>
        <w:rPr/>
        <w:t>司按照享有被投资单位宣告发放的现金股利或利润确认投资收益。</w:t>
      </w:r>
    </w:p>
    <w:p>
      <w:pPr>
        <w:spacing w:line="240" w:lineRule="auto" w:before="9"/>
        <w:rPr>
          <w:rFonts w:ascii="宋体" w:hAnsi="宋体" w:cs="宋体" w:eastAsia="宋体" w:hint="default"/>
          <w:sz w:val="26"/>
          <w:szCs w:val="26"/>
        </w:rPr>
      </w:pPr>
    </w:p>
    <w:p>
      <w:pPr>
        <w:pStyle w:val="Heading4"/>
        <w:spacing w:line="273" w:lineRule="auto"/>
        <w:ind w:left="153" w:right="146" w:firstLine="424"/>
        <w:jc w:val="both"/>
      </w:pPr>
      <w:r>
        <w:rPr>
          <w:spacing w:val="-2"/>
        </w:rPr>
        <w:t>权益法下，公司按照应享有或应分担的被投资单位实现的净损益和其他综合收益的份额，分别确认投</w:t>
      </w:r>
      <w:r>
        <w:rPr>
          <w:w w:val="100"/>
        </w:rPr>
        <w:t> </w:t>
      </w:r>
      <w:r>
        <w:rPr>
          <w:spacing w:val="-2"/>
        </w:rPr>
        <w:t>资收益和其他综合收益，同时调整长期股权投资的账面价值；按照被投资单位宣告分派的利润或现金股利</w:t>
      </w:r>
      <w:r>
        <w:rPr>
          <w:spacing w:val="-42"/>
        </w:rPr>
        <w:t> </w:t>
      </w:r>
      <w:r>
        <w:rPr>
          <w:spacing w:val="-42"/>
        </w:rPr>
      </w:r>
      <w:r>
        <w:rPr>
          <w:spacing w:val="-2"/>
        </w:rPr>
        <w:t>计算应享有的部分，相应减少长期股权投资的账面价值；对于被投资单位除净损益、其他综合收益和利润</w:t>
      </w:r>
      <w:r>
        <w:rPr>
          <w:spacing w:val="-43"/>
        </w:rPr>
        <w:t> </w:t>
      </w:r>
      <w:r>
        <w:rPr>
          <w:spacing w:val="-43"/>
        </w:rPr>
      </w:r>
      <w:r>
        <w:rPr/>
        <w:t>分配以外所有者权益的其他变动，调整长期股权投资的账面价值并计入资本公积（其他资本公积）。</w:t>
      </w:r>
    </w:p>
    <w:p>
      <w:pPr>
        <w:pStyle w:val="Heading4"/>
        <w:spacing w:line="610" w:lineRule="atLeast"/>
        <w:ind w:left="578" w:right="0"/>
        <w:jc w:val="left"/>
      </w:pPr>
      <w:r>
        <w:rPr/>
        <w:t>（</w:t>
      </w:r>
      <w:r>
        <w:rPr>
          <w:rFonts w:ascii="Times New Roman" w:hAnsi="Times New Roman" w:cs="Times New Roman" w:eastAsia="Times New Roman" w:hint="default"/>
        </w:rPr>
        <w:t>3</w:t>
      </w:r>
      <w:r>
        <w:rPr/>
        <w:t>）长期股权投资的处置</w:t>
      </w:r>
      <w:r>
        <w:rPr>
          <w:spacing w:val="-3"/>
          <w:w w:val="100"/>
        </w:rPr>
        <w:t> </w:t>
      </w:r>
      <w:r>
        <w:rPr>
          <w:spacing w:val="-2"/>
        </w:rPr>
        <w:t>处置长期股权投资，其账面价值与实际取得价款的差额，计入当期损益。采用权益法核算的长期股权</w:t>
      </w:r>
    </w:p>
    <w:p>
      <w:pPr>
        <w:pStyle w:val="Heading4"/>
        <w:spacing w:line="273" w:lineRule="auto" w:before="37"/>
        <w:ind w:left="153" w:right="146"/>
        <w:jc w:val="both"/>
      </w:pPr>
      <w:r>
        <w:rPr>
          <w:spacing w:val="-2"/>
        </w:rPr>
        <w:t>投资，采用与被投资单位直接处置相关资产或负债相同的基础，按相应比例对原计入其他综合收益的部分</w:t>
      </w:r>
      <w:r>
        <w:rPr>
          <w:spacing w:val="-43"/>
        </w:rPr>
        <w:t> </w:t>
      </w:r>
      <w:r>
        <w:rPr>
          <w:spacing w:val="-43"/>
        </w:rPr>
      </w:r>
      <w:r>
        <w:rPr>
          <w:spacing w:val="-2"/>
        </w:rPr>
        <w:t>进行会计处理。因被投资单位除净损益、其他综合收益和利润分配以外的其他所有者权益变动而确认的所</w:t>
      </w:r>
      <w:r>
        <w:rPr>
          <w:spacing w:val="-42"/>
        </w:rPr>
        <w:t> </w:t>
      </w:r>
      <w:r>
        <w:rPr>
          <w:spacing w:val="-42"/>
        </w:rPr>
      </w:r>
      <w:r>
        <w:rPr/>
        <w:t>有者权益，按比例结转入当期损益。</w:t>
      </w:r>
    </w:p>
    <w:p>
      <w:pPr>
        <w:pStyle w:val="Heading4"/>
        <w:spacing w:line="610" w:lineRule="atLeast"/>
        <w:ind w:left="578" w:right="0"/>
        <w:jc w:val="left"/>
      </w:pPr>
      <w:r>
        <w:rPr>
          <w:rFonts w:ascii="Times New Roman" w:hAnsi="Times New Roman" w:cs="Times New Roman" w:eastAsia="Times New Roman" w:hint="default"/>
        </w:rPr>
        <w:t>3</w:t>
      </w:r>
      <w:r>
        <w:rPr/>
        <w:t>、确定对被投资单位具有重大影响的依据</w:t>
      </w:r>
      <w:r>
        <w:rPr>
          <w:w w:val="100"/>
        </w:rPr>
        <w:t> </w:t>
      </w:r>
      <w:r>
        <w:rPr>
          <w:spacing w:val="-3"/>
        </w:rPr>
        <w:t>共同控制，是指按照合同约定对某项经济活动所共有的控制，仅在与该项经济活动相关的重要财务和</w:t>
      </w:r>
    </w:p>
    <w:p>
      <w:pPr>
        <w:pStyle w:val="Heading4"/>
        <w:spacing w:line="273" w:lineRule="auto" w:before="37"/>
        <w:ind w:left="153" w:right="146"/>
        <w:jc w:val="both"/>
      </w:pPr>
      <w:r>
        <w:rPr>
          <w:spacing w:val="-2"/>
        </w:rPr>
        <w:t>经营决策需要分享控制权的投资方一致同意时存在。投资企业与其他方对被投资单位实施共同控制的，被</w:t>
      </w:r>
      <w:r>
        <w:rPr>
          <w:spacing w:val="-44"/>
        </w:rPr>
        <w:t> </w:t>
      </w:r>
      <w:r>
        <w:rPr>
          <w:spacing w:val="-44"/>
        </w:rPr>
      </w:r>
      <w:r>
        <w:rPr/>
        <w:t>投资单位为其合营企业。</w:t>
      </w:r>
    </w:p>
    <w:p>
      <w:pPr>
        <w:pStyle w:val="Heading4"/>
        <w:spacing w:line="610" w:lineRule="atLeast"/>
        <w:ind w:left="578" w:right="0"/>
        <w:jc w:val="left"/>
      </w:pPr>
      <w:r>
        <w:rPr>
          <w:rFonts w:ascii="Times New Roman" w:hAnsi="Times New Roman" w:cs="Times New Roman" w:eastAsia="Times New Roman" w:hint="default"/>
        </w:rPr>
        <w:t>4</w:t>
      </w:r>
      <w:r>
        <w:rPr/>
        <w:t>、减值测试方法及减值准备计提方法</w:t>
      </w:r>
      <w:r>
        <w:rPr>
          <w:w w:val="100"/>
        </w:rPr>
        <w:t> </w:t>
      </w:r>
      <w:r>
        <w:rPr>
          <w:spacing w:val="-2"/>
        </w:rPr>
        <w:t>公司的长期股权投资，如果可收回金额的计量结果表明，该长期股权投资的可收回金额低于其账面价</w:t>
      </w:r>
    </w:p>
    <w:p>
      <w:pPr>
        <w:pStyle w:val="Heading4"/>
        <w:spacing w:line="240" w:lineRule="auto" w:before="37"/>
        <w:ind w:left="153" w:right="0"/>
        <w:jc w:val="both"/>
      </w:pPr>
      <w:r>
        <w:rPr/>
        <w:t>值的，将差额确认为减值损失。</w:t>
      </w:r>
    </w:p>
    <w:p>
      <w:pPr>
        <w:spacing w:after="0" w:line="240" w:lineRule="auto"/>
        <w:jc w:val="both"/>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pPr>
      <w:r>
        <w:rPr/>
        <w:t>长期股权投资减值损失一经确认，不再转回。</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5、投资性房地产" w:id="140"/>
      <w:bookmarkEnd w:id="14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4"/>
        <w:jc w:val="left"/>
      </w:pP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16、固定资产" w:id="141"/>
      <w:bookmarkEnd w:id="14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42"/>
      <w:bookmarkEnd w:id="14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50" w:firstLine="722"/>
        <w:jc w:val="both"/>
      </w:pPr>
      <w:r>
        <w:rPr>
          <w:spacing w:val="-2"/>
        </w:rPr>
        <w:t>固定资产指为生产商品、提供劳务、出租或经营管理而持有，并且使用寿命超过一个会计年度的有形资产。固定资</w:t>
      </w:r>
      <w:r>
        <w:rPr/>
        <w:t> 产在同时满足下列条件时予以确认： （</w:t>
      </w:r>
      <w:r>
        <w:rPr>
          <w:rFonts w:ascii="Times New Roman" w:hAnsi="Times New Roman" w:cs="Times New Roman" w:eastAsia="Times New Roman" w:hint="default"/>
        </w:rPr>
        <w:t>1</w:t>
      </w:r>
      <w:r>
        <w:rPr/>
        <w:t>）与该固定资产有关的经济利益很可能流入企业；</w:t>
      </w:r>
      <w:r>
        <w:rPr>
          <w:spacing w:val="28"/>
        </w:rPr>
        <w:t> </w:t>
      </w:r>
      <w:r>
        <w:rPr>
          <w:spacing w:val="-3"/>
        </w:rPr>
        <w:t>（</w:t>
      </w:r>
      <w:r>
        <w:rPr>
          <w:rFonts w:ascii="Times New Roman" w:hAnsi="Times New Roman" w:cs="Times New Roman" w:eastAsia="Times New Roman" w:hint="default"/>
          <w:spacing w:val="-3"/>
        </w:rPr>
        <w:t>2</w:t>
      </w:r>
      <w:r>
        <w:rPr>
          <w:spacing w:val="-3"/>
        </w:rPr>
        <w:t>）该固定资产</w:t>
      </w:r>
      <w:r>
        <w:rPr/>
        <w:t> 的成本能够可靠地计量。</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折旧方法" w:id="143"/>
      <w:bookmarkEnd w:id="14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融资租入固定资产的认定依据、计价和折旧方法" w:id="144"/>
      <w:bookmarkEnd w:id="14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7、在建工程" w:id="145"/>
      <w:bookmarkEnd w:id="14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8、借款费用" w:id="146"/>
      <w:bookmarkEnd w:id="146"/>
      <w:r>
        <w:rPr>
          <w:b w:val="0"/>
          <w:bCs w:val="0"/>
        </w:rPr>
      </w:r>
      <w:r>
        <w:rPr>
          <w:rFonts w:ascii="Times New Roman" w:hAnsi="Times New Roman" w:cs="Times New Roman" w:eastAsia="Times New Roman" w:hint="default"/>
        </w:rPr>
        <w:t>18</w:t>
      </w:r>
      <w:r>
        <w:rPr/>
        <w:t>、借款费用</w:t>
      </w:r>
      <w:r>
        <w:rPr>
          <w:b w:val="0"/>
          <w:bCs w:val="0"/>
        </w:rPr>
      </w:r>
    </w:p>
    <w:p>
      <w:pPr>
        <w:pStyle w:val="Heading4"/>
        <w:spacing w:line="624" w:lineRule="exact" w:before="67"/>
        <w:ind w:right="0"/>
        <w:jc w:val="left"/>
      </w:pP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Heading4"/>
        <w:spacing w:line="217" w:lineRule="exact"/>
        <w:ind w:left="152" w:right="0"/>
        <w:jc w:val="left"/>
      </w:pPr>
      <w:r>
        <w:rPr/>
        <w:t>关资产成本；其他借款费用，在发生时根据其发生额确认为费用，计入当期损益。</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9、生物资产" w:id="147"/>
      <w:bookmarkEnd w:id="14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148"/>
      <w:bookmarkEnd w:id="14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149"/>
      <w:bookmarkEnd w:id="14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50"/>
      <w:bookmarkEnd w:id="15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pPr>
      <w:r>
        <w:rPr>
          <w:rFonts w:ascii="宋体" w:hAnsi="宋体" w:cs="宋体" w:eastAsia="宋体" w:hint="default"/>
        </w:rPr>
        <w:t>1.</w:t>
      </w:r>
      <w:r>
        <w:rPr>
          <w:rFonts w:ascii="宋体" w:hAnsi="宋体" w:cs="宋体" w:eastAsia="宋体" w:hint="default"/>
          <w:spacing w:val="46"/>
        </w:rPr>
        <w:t> </w:t>
      </w:r>
      <w:r>
        <w:rPr/>
        <w:t>无形资产的计价方法</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73" w:lineRule="auto" w:before="36"/>
        <w:ind w:left="152" w:right="147" w:firstLine="424"/>
        <w:jc w:val="both"/>
      </w:pPr>
      <w:r>
        <w:rPr>
          <w:spacing w:val="-2"/>
        </w:rPr>
        <w:t>外购无形资产的成本，包括购买价款、相关税费以及直接归属于使该项资产达到预定用途所发生的其</w:t>
      </w:r>
      <w:r>
        <w:rPr>
          <w:w w:val="100"/>
        </w:rPr>
        <w:t> </w:t>
      </w: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spacing w:line="240" w:lineRule="auto" w:before="6"/>
        <w:rPr>
          <w:rFonts w:ascii="宋体" w:hAnsi="宋体" w:cs="宋体" w:eastAsia="宋体" w:hint="default"/>
          <w:sz w:val="24"/>
          <w:szCs w:val="24"/>
        </w:rPr>
      </w:pPr>
    </w:p>
    <w:p>
      <w:pPr>
        <w:pStyle w:val="Heading4"/>
        <w:spacing w:line="273" w:lineRule="auto"/>
        <w:ind w:left="152" w:right="146" w:firstLine="424"/>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4"/>
        <w:spacing w:line="240" w:lineRule="auto"/>
        <w:ind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5"/>
        <w:rPr>
          <w:rFonts w:ascii="宋体" w:hAnsi="宋体" w:cs="宋体" w:eastAsia="宋体" w:hint="default"/>
          <w:sz w:val="26"/>
          <w:szCs w:val="26"/>
        </w:rPr>
      </w:pPr>
    </w:p>
    <w:tbl>
      <w:tblPr>
        <w:tblW w:w="0" w:type="auto"/>
        <w:jc w:val="left"/>
        <w:tblInd w:w="863" w:type="dxa"/>
        <w:tblLayout w:type="fixed"/>
        <w:tblCellMar>
          <w:top w:w="0" w:type="dxa"/>
          <w:left w:w="0" w:type="dxa"/>
          <w:bottom w:w="0" w:type="dxa"/>
          <w:right w:w="0" w:type="dxa"/>
        </w:tblCellMar>
        <w:tblLook w:val="01E0"/>
      </w:tblPr>
      <w:tblGrid>
        <w:gridCol w:w="2969"/>
        <w:gridCol w:w="2268"/>
        <w:gridCol w:w="2362"/>
      </w:tblGrid>
      <w:tr>
        <w:trPr>
          <w:trHeight w:val="355" w:hRule="exact"/>
        </w:trPr>
        <w:tc>
          <w:tcPr>
            <w:tcW w:w="2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3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53"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外购软件</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2"/>
        <w:rPr>
          <w:rFonts w:ascii="宋体" w:hAnsi="宋体" w:cs="宋体" w:eastAsia="宋体" w:hint="default"/>
          <w:sz w:val="20"/>
          <w:szCs w:val="20"/>
        </w:rPr>
      </w:pPr>
    </w:p>
    <w:p>
      <w:pPr>
        <w:pStyle w:val="Heading4"/>
        <w:spacing w:line="530" w:lineRule="auto" w:before="36"/>
        <w:ind w:right="2696"/>
        <w:jc w:val="left"/>
      </w:pPr>
      <w:r>
        <w:rPr>
          <w:rFonts w:ascii="Times New Roman" w:hAnsi="Times New Roman" w:cs="Times New Roman" w:eastAsia="Times New Roman" w:hint="default"/>
        </w:rPr>
        <w:t>3</w:t>
      </w:r>
      <w:r>
        <w:rPr/>
        <w:t>、无形资产减值准备的计提</w:t>
      </w:r>
      <w:r>
        <w:rPr>
          <w:spacing w:val="-3"/>
          <w:w w:val="100"/>
        </w:rPr>
        <w:t> </w:t>
      </w:r>
      <w:r>
        <w:rPr>
          <w:spacing w:val="-2"/>
        </w:rPr>
        <w:t>对于使用寿命有限的无形资产，如有减值迹象的，期末进行减值测试。</w:t>
      </w:r>
      <w:r>
        <w:rPr>
          <w:spacing w:val="-45"/>
        </w:rPr>
        <w:t> </w:t>
      </w:r>
      <w:r>
        <w:rPr>
          <w:spacing w:val="-45"/>
        </w:rPr>
      </w:r>
      <w:r>
        <w:rPr/>
        <w:t>对于使用寿命不确定的无形资产，每期末进行减值测试。</w:t>
      </w:r>
    </w:p>
    <w:p>
      <w:pPr>
        <w:pStyle w:val="Heading4"/>
        <w:spacing w:line="273" w:lineRule="auto" w:before="95"/>
        <w:ind w:left="152" w:right="0" w:firstLine="424"/>
        <w:jc w:val="left"/>
      </w:pPr>
      <w:r>
        <w:rPr>
          <w:spacing w:val="-3"/>
        </w:rPr>
        <w:t>对无形资产进行减值测试，估计其可收回金额。可收回金额根据无形资产的公允价值减去处置费用后</w:t>
      </w:r>
      <w:r>
        <w:rPr>
          <w:spacing w:val="-3"/>
          <w:w w:val="100"/>
        </w:rPr>
        <w:t> </w:t>
      </w:r>
      <w:r>
        <w:rPr/>
        <w:t>的净额与无形资产预计未来现金流量的现值两者之间较高者确定。</w:t>
      </w:r>
    </w:p>
    <w:p>
      <w:pPr>
        <w:spacing w:line="240" w:lineRule="auto" w:before="6"/>
        <w:rPr>
          <w:rFonts w:ascii="宋体" w:hAnsi="宋体" w:cs="宋体" w:eastAsia="宋体" w:hint="default"/>
          <w:sz w:val="24"/>
          <w:szCs w:val="24"/>
        </w:rPr>
      </w:pPr>
    </w:p>
    <w:p>
      <w:pPr>
        <w:pStyle w:val="Heading4"/>
        <w:spacing w:line="273" w:lineRule="auto"/>
        <w:ind w:left="152" w:right="0" w:firstLine="424"/>
        <w:jc w:val="left"/>
      </w:pPr>
      <w:r>
        <w:rPr>
          <w:spacing w:val="-2"/>
        </w:rPr>
        <w:t>当无形资产的可收回金额低于其账面价值的，将无形资产的账面价值减记至可收回金额，减记的金额</w:t>
      </w:r>
      <w:r>
        <w:rPr>
          <w:w w:val="100"/>
        </w:rPr>
        <w:t> </w:t>
      </w:r>
      <w:r>
        <w:rPr/>
        <w:t>确认为无形资产减值损失，计入当期损益，同时计提相应的无形资产减值准备。</w:t>
      </w:r>
    </w:p>
    <w:p>
      <w:pPr>
        <w:spacing w:line="240" w:lineRule="auto" w:before="6"/>
        <w:rPr>
          <w:rFonts w:ascii="宋体" w:hAnsi="宋体" w:cs="宋体" w:eastAsia="宋体" w:hint="default"/>
          <w:sz w:val="24"/>
          <w:szCs w:val="24"/>
        </w:rPr>
      </w:pPr>
    </w:p>
    <w:p>
      <w:pPr>
        <w:pStyle w:val="Heading4"/>
        <w:spacing w:line="240" w:lineRule="auto"/>
        <w:ind w:right="0"/>
        <w:jc w:val="left"/>
      </w:pPr>
      <w:r>
        <w:rPr/>
        <w:t>无形资产的减值损失一经确认，在以后会计期间不再转回。</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部研究开发支出会计政策" w:id="151"/>
      <w:bookmarkEnd w:id="15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2、长期资产减值" w:id="152"/>
      <w:bookmarkEnd w:id="152"/>
      <w:r>
        <w:rPr>
          <w:b w:val="0"/>
          <w:bCs w:val="0"/>
        </w:rPr>
      </w:r>
      <w:r>
        <w:rPr>
          <w:rFonts w:ascii="Times New Roman" w:hAnsi="Times New Roman" w:cs="Times New Roman" w:eastAsia="Times New Roman" w:hint="default"/>
        </w:rPr>
        <w:t>22</w:t>
      </w:r>
      <w:r>
        <w:rPr/>
        <w:t>、长期资产减值</w:t>
      </w:r>
      <w:r>
        <w:rPr>
          <w:b w:val="0"/>
          <w:bCs w:val="0"/>
        </w:rPr>
      </w:r>
    </w:p>
    <w:p>
      <w:pPr>
        <w:pStyle w:val="Heading4"/>
        <w:spacing w:line="610" w:lineRule="atLeast" w:before="4"/>
        <w:ind w:left="572" w:right="0" w:hanging="420"/>
        <w:jc w:val="left"/>
      </w:pPr>
      <w:bookmarkStart w:name="23、长期待摊费用" w:id="153"/>
      <w:bookmarkEnd w:id="153"/>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100"/>
        </w:rPr>
        <w:t> </w:t>
      </w:r>
      <w:r>
        <w:rPr/>
        <w:t>本公司长期待摊费用是指已经发生但应由本年和以后各期负担的分摊期限在</w:t>
      </w:r>
      <w:r>
        <w:rPr>
          <w:rFonts w:ascii="Times New Roman" w:hAnsi="Times New Roman" w:cs="Times New Roman" w:eastAsia="Times New Roman" w:hint="default"/>
        </w:rPr>
        <w:t>1</w:t>
      </w:r>
      <w:r>
        <w:rPr/>
        <w:t>年以上的各项费用。长</w:t>
      </w:r>
    </w:p>
    <w:p>
      <w:pPr>
        <w:pStyle w:val="Heading4"/>
        <w:spacing w:line="240" w:lineRule="auto" w:before="21"/>
        <w:ind w:left="152" w:right="0"/>
        <w:jc w:val="left"/>
      </w:pPr>
      <w:r>
        <w:rPr/>
        <w:t>期待摊费用按实际支出入账，在项目收益期内平均摊销。</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4、职工薪酬" w:id="154"/>
      <w:bookmarkEnd w:id="15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55"/>
      <w:bookmarkEnd w:id="15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离职后福利的会计处理方法" w:id="156"/>
      <w:bookmarkEnd w:id="15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辞退福利的会计处理方法" w:id="157"/>
      <w:bookmarkEnd w:id="15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其他长期职工福利的会计处理方法" w:id="158"/>
      <w:bookmarkEnd w:id="15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5、预计负债" w:id="159"/>
      <w:bookmarkEnd w:id="15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6、股份支付" w:id="160"/>
      <w:bookmarkEnd w:id="16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7、优先股、永续债等其他金融工具" w:id="161"/>
      <w:bookmarkEnd w:id="16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8、收入" w:id="162"/>
      <w:bookmarkEnd w:id="162"/>
      <w:r>
        <w:rPr>
          <w:b w:val="0"/>
          <w:bCs w:val="0"/>
        </w:rPr>
      </w:r>
      <w:r>
        <w:rPr>
          <w:rFonts w:ascii="Times New Roman" w:hAnsi="Times New Roman" w:cs="Times New Roman" w:eastAsia="Times New Roman" w:hint="default"/>
        </w:rPr>
        <w:t>28</w:t>
      </w:r>
      <w:r>
        <w:rPr/>
        <w:t>、收入</w:t>
      </w:r>
      <w:r>
        <w:rPr>
          <w:b w:val="0"/>
          <w:bCs w:val="0"/>
        </w:rPr>
      </w:r>
    </w:p>
    <w:p>
      <w:pPr>
        <w:pStyle w:val="Heading4"/>
        <w:spacing w:line="610" w:lineRule="atLeast" w:before="4"/>
        <w:ind w:right="0"/>
        <w:jc w:val="left"/>
      </w:pPr>
      <w:r>
        <w:rPr>
          <w:rFonts w:ascii="Times New Roman" w:hAnsi="Times New Roman" w:cs="Times New Roman" w:eastAsia="Times New Roman" w:hint="default"/>
        </w:rPr>
        <w:t>1</w:t>
      </w:r>
      <w:r>
        <w:rPr/>
        <w:t>、销售商品收入确认时间的具体判断标准</w:t>
      </w:r>
      <w:r>
        <w:rPr>
          <w:w w:val="100"/>
        </w:rPr>
        <w:t> </w:t>
      </w:r>
      <w:r>
        <w:rPr>
          <w:spacing w:val="-2"/>
        </w:rPr>
        <w:t>公司已将商品所有权上的主要风险和报酬转移给购买方；公司既没有保留与所有权相联系的继续管理</w:t>
      </w:r>
    </w:p>
    <w:p>
      <w:pPr>
        <w:pStyle w:val="Heading4"/>
        <w:spacing w:line="273" w:lineRule="auto" w:before="37"/>
        <w:ind w:left="152" w:right="0"/>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spacing w:line="240" w:lineRule="auto" w:before="6"/>
        <w:rPr>
          <w:rFonts w:ascii="宋体" w:hAnsi="宋体" w:cs="宋体" w:eastAsia="宋体" w:hint="default"/>
          <w:sz w:val="24"/>
          <w:szCs w:val="24"/>
        </w:rPr>
      </w:pPr>
    </w:p>
    <w:p>
      <w:pPr>
        <w:pStyle w:val="Heading4"/>
        <w:spacing w:line="273" w:lineRule="auto"/>
        <w:ind w:left="153" w:right="0" w:firstLine="424"/>
        <w:jc w:val="left"/>
      </w:pPr>
      <w:r>
        <w:rPr>
          <w:spacing w:val="-2"/>
        </w:rPr>
        <w:t>合同或协议价款的收取采用递延方式，实质上具有融资性质的，按照应收的合同或协议价款的公允价</w:t>
      </w:r>
      <w:r>
        <w:rPr>
          <w:w w:val="100"/>
        </w:rPr>
        <w:t> </w:t>
      </w:r>
      <w:r>
        <w:rPr/>
        <w:t>值确定销售商品收入金额。</w:t>
      </w:r>
    </w:p>
    <w:p>
      <w:pPr>
        <w:spacing w:line="240" w:lineRule="auto" w:before="6"/>
        <w:rPr>
          <w:rFonts w:ascii="宋体" w:hAnsi="宋体" w:cs="宋体" w:eastAsia="宋体" w:hint="default"/>
          <w:sz w:val="24"/>
          <w:szCs w:val="24"/>
        </w:rPr>
      </w:pPr>
    </w:p>
    <w:p>
      <w:pPr>
        <w:pStyle w:val="Heading4"/>
        <w:spacing w:line="240" w:lineRule="auto"/>
        <w:ind w:right="0"/>
        <w:jc w:val="left"/>
      </w:pPr>
      <w:r>
        <w:rPr/>
        <w:t>具体地，本公司产品销售收入确认时点，根据合同约定而分为二种：</w:t>
      </w:r>
    </w:p>
    <w:p>
      <w:pPr>
        <w:spacing w:line="240" w:lineRule="auto" w:before="9"/>
        <w:rPr>
          <w:rFonts w:ascii="宋体" w:hAnsi="宋体" w:cs="宋体" w:eastAsia="宋体" w:hint="default"/>
          <w:sz w:val="26"/>
          <w:szCs w:val="26"/>
        </w:rPr>
      </w:pPr>
    </w:p>
    <w:p>
      <w:pPr>
        <w:pStyle w:val="Heading4"/>
        <w:spacing w:line="256" w:lineRule="auto"/>
        <w:ind w:left="152" w:right="0" w:firstLine="424"/>
        <w:jc w:val="left"/>
      </w:pPr>
      <w:r>
        <w:rPr/>
        <w:t>（</w:t>
      </w:r>
      <w:r>
        <w:rPr>
          <w:rFonts w:ascii="Times New Roman" w:hAnsi="Times New Roman" w:cs="Times New Roman" w:eastAsia="Times New Roman" w:hint="default"/>
        </w:rPr>
        <w:t>1</w:t>
      </w:r>
      <w:r>
        <w:rPr/>
        <w:t>）软件销售合同：指销售软件并附带提供相关培训、安装调试、技术支持和售后服务的合同，软</w:t>
      </w:r>
      <w:r>
        <w:rPr>
          <w:w w:val="100"/>
        </w:rPr>
        <w:t> </w:t>
      </w:r>
      <w:r>
        <w:rPr/>
        <w:t>件销售合同在产品发出并经客户验收合格时确认收入。</w:t>
      </w:r>
    </w:p>
    <w:p>
      <w:pPr>
        <w:spacing w:line="240" w:lineRule="auto" w:before="7"/>
        <w:rPr>
          <w:rFonts w:ascii="宋体" w:hAnsi="宋体" w:cs="宋体" w:eastAsia="宋体" w:hint="default"/>
          <w:sz w:val="25"/>
          <w:szCs w:val="25"/>
        </w:rPr>
      </w:pPr>
    </w:p>
    <w:p>
      <w:pPr>
        <w:pStyle w:val="Heading4"/>
        <w:spacing w:line="256" w:lineRule="auto"/>
        <w:ind w:left="152" w:right="0" w:firstLine="424"/>
        <w:jc w:val="left"/>
      </w:pPr>
      <w:r>
        <w:rPr/>
        <w:t>（</w:t>
      </w:r>
      <w:r>
        <w:rPr>
          <w:rFonts w:ascii="Times New Roman" w:hAnsi="Times New Roman" w:cs="Times New Roman" w:eastAsia="Times New Roman" w:hint="default"/>
        </w:rPr>
        <w:t>2</w:t>
      </w:r>
      <w:r>
        <w:rPr/>
        <w:t>）硬件销售合同：指销售软件并附带销售配套硬件或者单独销售硬件的合同，硬件销售合同在软</w:t>
      </w:r>
      <w:r>
        <w:rPr>
          <w:w w:val="100"/>
        </w:rPr>
        <w:t> </w:t>
      </w:r>
      <w:r>
        <w:rPr/>
        <w:t>硬件组成的系统经客户验收合格后确认收入。</w:t>
      </w:r>
    </w:p>
    <w:p>
      <w:pPr>
        <w:pStyle w:val="Heading4"/>
        <w:spacing w:line="610" w:lineRule="atLeast" w:before="15"/>
        <w:ind w:right="0"/>
        <w:jc w:val="left"/>
      </w:pPr>
      <w:r>
        <w:rPr>
          <w:rFonts w:ascii="Times New Roman" w:hAnsi="Times New Roman" w:cs="Times New Roman" w:eastAsia="Times New Roman" w:hint="default"/>
        </w:rPr>
        <w:t>2</w:t>
      </w:r>
      <w:r>
        <w:rPr/>
        <w:t>、劳务收入确认时间的具体判断标准</w:t>
      </w:r>
      <w:r>
        <w:rPr>
          <w:w w:val="100"/>
        </w:rPr>
        <w:t> </w:t>
      </w:r>
      <w:r>
        <w:rPr>
          <w:spacing w:val="-2"/>
        </w:rPr>
        <w:t>在资产负债表日劳务交易的结果能够可靠估计的，采用完工百分比法确认提供劳务收入。本公司根据</w:t>
      </w:r>
    </w:p>
    <w:p>
      <w:pPr>
        <w:pStyle w:val="Heading4"/>
        <w:spacing w:line="544" w:lineRule="auto" w:before="37"/>
        <w:ind w:right="0" w:hanging="425"/>
        <w:jc w:val="left"/>
      </w:pPr>
      <w:r>
        <w:rPr/>
        <w:t>已经提供的劳务占应提供劳务总量的比例，确定提供劳务交易的完工进度（完工百分比）。</w:t>
      </w:r>
      <w:r>
        <w:rPr>
          <w:w w:val="100"/>
        </w:rPr>
        <w:t> </w:t>
      </w:r>
      <w:r>
        <w:rPr/>
        <w:t>在资产负债表日提供劳务交易结果不能够可靠估计的，分别下列情况处理：</w:t>
      </w:r>
    </w:p>
    <w:p>
      <w:pPr>
        <w:pStyle w:val="Heading4"/>
        <w:spacing w:line="256" w:lineRule="auto" w:before="82"/>
        <w:ind w:left="152" w:right="0" w:firstLine="424"/>
        <w:jc w:val="left"/>
      </w:pPr>
      <w:r>
        <w:rPr>
          <w:rFonts w:ascii="Times New Roman" w:hAnsi="Times New Roman" w:cs="Times New Roman" w:eastAsia="Times New Roman" w:hint="default"/>
          <w:spacing w:val="-1"/>
        </w:rPr>
        <w:t>A</w:t>
      </w:r>
      <w:r>
        <w:rPr>
          <w:spacing w:val="-1"/>
        </w:rPr>
        <w:t>、已经发生的劳务成本预计能够得到补偿的，按照已经发生的劳务成本金额确认提供劳务收入，并</w:t>
      </w:r>
      <w:r>
        <w:rPr>
          <w:w w:val="100"/>
        </w:rPr>
        <w:t> </w:t>
      </w:r>
      <w:r>
        <w:rPr/>
        <w:t>按相同金额结转劳务成本。</w:t>
      </w:r>
    </w:p>
    <w:p>
      <w:pPr>
        <w:spacing w:after="0" w:line="256" w:lineRule="auto"/>
        <w:jc w:val="left"/>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4"/>
        <w:spacing w:line="256" w:lineRule="auto" w:before="36"/>
        <w:ind w:left="152" w:right="210" w:firstLine="424"/>
        <w:jc w:val="both"/>
      </w:pPr>
      <w:r>
        <w:rPr>
          <w:rFonts w:ascii="Times New Roman" w:hAnsi="Times New Roman" w:cs="Times New Roman" w:eastAsia="Times New Roman" w:hint="default"/>
          <w:spacing w:val="-1"/>
        </w:rPr>
        <w:t>B</w:t>
      </w:r>
      <w:r>
        <w:rPr>
          <w:spacing w:val="-1"/>
        </w:rPr>
        <w:t>、已经发生的劳务成本预计不能够得到补偿的，将已经发生的劳务成本计入当期损益，不确认提供</w:t>
      </w:r>
      <w:r>
        <w:rPr>
          <w:w w:val="100"/>
        </w:rPr>
        <w:t> </w:t>
      </w:r>
      <w:r>
        <w:rPr/>
        <w:t>劳务收入。</w:t>
      </w:r>
    </w:p>
    <w:p>
      <w:pPr>
        <w:spacing w:line="240" w:lineRule="auto" w:before="7"/>
        <w:rPr>
          <w:rFonts w:ascii="宋体" w:hAnsi="宋体" w:cs="宋体" w:eastAsia="宋体" w:hint="default"/>
          <w:sz w:val="25"/>
          <w:szCs w:val="25"/>
        </w:rPr>
      </w:pPr>
    </w:p>
    <w:p>
      <w:pPr>
        <w:pStyle w:val="Heading4"/>
        <w:spacing w:line="261" w:lineRule="auto"/>
        <w:ind w:left="152" w:right="206" w:firstLine="424"/>
        <w:jc w:val="both"/>
      </w:pPr>
      <w:r>
        <w:rPr>
          <w:spacing w:val="-2"/>
        </w:rPr>
        <w:t>具体地，本公司提供的网络优化测试及维保服务，合同约定了服务期限、合同总价，以及以</w:t>
      </w:r>
      <w:r>
        <w:rPr>
          <w:rFonts w:ascii="Times New Roman" w:hAnsi="Times New Roman" w:cs="Times New Roman" w:eastAsia="Times New Roman" w:hint="default"/>
          <w:spacing w:val="-2"/>
        </w:rPr>
        <w:t>“</w:t>
      </w:r>
      <w:r>
        <w:rPr>
          <w:spacing w:val="-2"/>
        </w:rPr>
        <w:t>人日</w:t>
      </w:r>
      <w:r>
        <w:rPr>
          <w:rFonts w:ascii="Times New Roman" w:hAnsi="Times New Roman" w:cs="Times New Roman" w:eastAsia="Times New Roman" w:hint="default"/>
          <w:spacing w:val="-2"/>
        </w:rPr>
        <w:t>”</w:t>
      </w:r>
      <w:r>
        <w:rPr>
          <w:spacing w:val="-2"/>
        </w:rPr>
        <w:t>、</w:t>
      </w:r>
      <w:r>
        <w:rPr>
          <w:w w:val="100"/>
        </w:rPr>
        <w:t> </w:t>
      </w:r>
      <w:r>
        <w:rPr>
          <w:rFonts w:ascii="Times New Roman" w:hAnsi="Times New Roman" w:cs="Times New Roman" w:eastAsia="Times New Roman" w:hint="default"/>
        </w:rPr>
        <w:t>“</w:t>
      </w:r>
      <w:r>
        <w:rPr/>
        <w:t>人月</w:t>
      </w:r>
      <w:r>
        <w:rPr>
          <w:rFonts w:ascii="Times New Roman" w:hAnsi="Times New Roman" w:cs="Times New Roman" w:eastAsia="Times New Roman" w:hint="default"/>
        </w:rPr>
        <w:t>”</w:t>
      </w:r>
      <w:r>
        <w:rPr/>
        <w:t>等作为计价结算方式的，按照合同约定的方式按期结算并确认收入；不以</w:t>
      </w:r>
      <w:r>
        <w:rPr>
          <w:rFonts w:ascii="Times New Roman" w:hAnsi="Times New Roman" w:cs="Times New Roman" w:eastAsia="Times New Roman" w:hint="default"/>
        </w:rPr>
        <w:t>“</w:t>
      </w:r>
      <w:r>
        <w:rPr/>
        <w:t>人日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人月</w:t>
      </w:r>
      <w:r>
        <w:rPr>
          <w:rFonts w:ascii="Times New Roman" w:hAnsi="Times New Roman" w:cs="Times New Roman" w:eastAsia="Times New Roman" w:hint="default"/>
        </w:rPr>
        <w:t>”</w:t>
      </w:r>
      <w:r>
        <w:rPr/>
        <w:t>等作为计</w:t>
      </w:r>
      <w:r>
        <w:rPr>
          <w:spacing w:val="-63"/>
        </w:rPr>
        <w:t> </w:t>
      </w:r>
      <w:r>
        <w:rPr>
          <w:spacing w:val="-2"/>
        </w:rPr>
        <w:t>价结算方式的，根据服务期限按直线法确认收入。如果合同约定按里程碑结算的，则根据客户确认的里程</w:t>
      </w:r>
      <w:r>
        <w:rPr>
          <w:spacing w:val="-44"/>
        </w:rPr>
        <w:t> </w:t>
      </w:r>
      <w:r>
        <w:rPr>
          <w:spacing w:val="-44"/>
        </w:rPr>
      </w:r>
      <w:r>
        <w:rPr/>
        <w:t>碑确认收入。</w:t>
      </w:r>
    </w:p>
    <w:p>
      <w:pPr>
        <w:spacing w:line="240" w:lineRule="auto" w:before="3"/>
        <w:rPr>
          <w:rFonts w:ascii="宋体" w:hAnsi="宋体" w:cs="宋体" w:eastAsia="宋体" w:hint="default"/>
          <w:sz w:val="25"/>
          <w:szCs w:val="25"/>
        </w:rPr>
      </w:pPr>
    </w:p>
    <w:p>
      <w:pPr>
        <w:pStyle w:val="Heading4"/>
        <w:spacing w:line="273" w:lineRule="auto"/>
        <w:ind w:left="152" w:right="207" w:firstLine="424"/>
        <w:jc w:val="both"/>
      </w:pPr>
      <w:r>
        <w:rPr>
          <w:spacing w:val="-2"/>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42"/>
        </w:rPr>
        <w:t> </w:t>
      </w:r>
      <w:r>
        <w:rPr>
          <w:spacing w:val="-42"/>
        </w:rPr>
      </w:r>
      <w:r>
        <w:rPr>
          <w:spacing w:val="-2"/>
        </w:rPr>
        <w:t>售商品部分和提供劳务部分不能够区分，或虽能区分但不能够单独计量的，将销售商品部分和提供劳务部</w:t>
      </w:r>
      <w:r>
        <w:rPr>
          <w:spacing w:val="-42"/>
        </w:rPr>
        <w:t> </w:t>
      </w:r>
      <w:r>
        <w:rPr>
          <w:spacing w:val="-42"/>
        </w:rPr>
      </w:r>
      <w:r>
        <w:rPr/>
        <w:t>分全部作为销售商品处理。</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9、政府补助" w:id="163"/>
      <w:bookmarkEnd w:id="163"/>
      <w:r>
        <w:rPr>
          <w:b w:val="0"/>
          <w:bCs w:val="0"/>
        </w:rPr>
      </w:r>
      <w:r>
        <w:rPr>
          <w:rFonts w:ascii="Times New Roman" w:hAnsi="Times New Roman" w:cs="Times New Roman" w:eastAsia="Times New Roman" w:hint="default"/>
        </w:rPr>
        <w:t>29</w:t>
      </w:r>
      <w:r>
        <w:rPr/>
        <w:t>、政府补助</w:t>
      </w:r>
      <w:r>
        <w:rPr>
          <w:b w:val="0"/>
          <w:bCs w:val="0"/>
        </w:rPr>
      </w:r>
    </w:p>
    <w:p>
      <w:pPr>
        <w:spacing w:line="590" w:lineRule="atLeast" w:before="24"/>
        <w:ind w:left="580" w:right="0" w:hanging="428"/>
        <w:jc w:val="left"/>
        <w:rPr>
          <w:rFonts w:ascii="宋体" w:hAnsi="宋体" w:cs="宋体" w:eastAsia="宋体" w:hint="default"/>
          <w:sz w:val="21"/>
          <w:szCs w:val="21"/>
        </w:rPr>
      </w:pPr>
      <w:bookmarkStart w:name="（1）与资产相关的政府补助判断依据及会计处理方法" w:id="164"/>
      <w:bookmarkEnd w:id="1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本公司将政府补助划分为与资产相关的具体标准为：政府补助文件中明确约定该补助金额与长期资产</w:t>
      </w:r>
    </w:p>
    <w:p>
      <w:pPr>
        <w:pStyle w:val="Heading4"/>
        <w:spacing w:line="240" w:lineRule="auto" w:before="37"/>
        <w:ind w:left="155" w:right="0"/>
        <w:jc w:val="left"/>
      </w:pPr>
      <w:r>
        <w:rPr/>
        <w:t>相关。</w:t>
      </w:r>
    </w:p>
    <w:p>
      <w:pPr>
        <w:pStyle w:val="Heading4"/>
        <w:spacing w:line="624" w:lineRule="exact" w:before="95"/>
        <w:ind w:right="0" w:firstLine="2"/>
        <w:jc w:val="left"/>
      </w:pPr>
      <w:r>
        <w:rPr>
          <w:rFonts w:ascii="Times New Roman" w:hAnsi="Times New Roman" w:cs="Times New Roman" w:eastAsia="Times New Roman" w:hint="default"/>
        </w:rPr>
        <w:t>1</w:t>
      </w:r>
      <w:r>
        <w:rPr/>
        <w:t>、会计处理方法</w:t>
      </w:r>
      <w:r>
        <w:rPr>
          <w:spacing w:val="-3"/>
          <w:w w:val="100"/>
        </w:rPr>
        <w:t> </w:t>
      </w:r>
      <w:r>
        <w:rPr/>
        <w:t>与资产相关的政府补助，确认为递延收益，按照所建造或购买的资产使用年限分期计入营业外收入。</w:t>
      </w:r>
      <w:r>
        <w:rPr>
          <w:w w:val="100"/>
        </w:rPr>
        <w:t> </w:t>
      </w:r>
      <w:r>
        <w:rPr>
          <w:rFonts w:ascii="Times New Roman" w:hAnsi="Times New Roman" w:cs="Times New Roman" w:eastAsia="Times New Roman" w:hint="default"/>
        </w:rPr>
        <w:t>2</w:t>
      </w:r>
      <w:r>
        <w:rPr/>
        <w:t>、确认时点</w:t>
      </w:r>
      <w:r>
        <w:rPr>
          <w:spacing w:val="-3"/>
          <w:w w:val="100"/>
        </w:rPr>
        <w:t> </w:t>
      </w:r>
      <w:r>
        <w:rPr>
          <w:spacing w:val="-5"/>
        </w:rPr>
        <w:t>与政府补助相关的递延收益，在收到补助金额时确认。与研发项目相关的递延收益，在长期资产折旧，</w:t>
      </w:r>
    </w:p>
    <w:p>
      <w:pPr>
        <w:pStyle w:val="Heading4"/>
        <w:spacing w:line="217" w:lineRule="exact"/>
        <w:ind w:left="153" w:right="0"/>
        <w:jc w:val="left"/>
      </w:pPr>
      <w:r>
        <w:rPr/>
        <w:t>或者摊销时，配比转入营业外收入。补偿已发生费用、损失的补助，收到时计入营业外收入。补偿以后期</w:t>
      </w:r>
    </w:p>
    <w:p>
      <w:pPr>
        <w:pStyle w:val="Heading4"/>
        <w:spacing w:line="240" w:lineRule="auto" w:before="37"/>
        <w:ind w:left="153" w:right="0"/>
        <w:jc w:val="left"/>
      </w:pPr>
      <w:r>
        <w:rPr/>
        <w:t>间的补助，于相关费用、损失发生时计入营业外收入。</w:t>
      </w:r>
    </w:p>
    <w:p>
      <w:pPr>
        <w:spacing w:line="240" w:lineRule="auto" w:before="13"/>
        <w:rPr>
          <w:rFonts w:ascii="宋体" w:hAnsi="宋体" w:cs="宋体" w:eastAsia="宋体" w:hint="default"/>
          <w:sz w:val="25"/>
          <w:szCs w:val="25"/>
        </w:rPr>
      </w:pPr>
    </w:p>
    <w:p>
      <w:pPr>
        <w:spacing w:line="600" w:lineRule="atLeast" w:before="0"/>
        <w:ind w:left="580" w:right="0" w:hanging="428"/>
        <w:jc w:val="left"/>
        <w:rPr>
          <w:rFonts w:ascii="宋体" w:hAnsi="宋体" w:cs="宋体" w:eastAsia="宋体" w:hint="default"/>
          <w:sz w:val="21"/>
          <w:szCs w:val="21"/>
        </w:rPr>
      </w:pPr>
      <w:bookmarkStart w:name="（2）与收益相关的政府补助判断依据及会计处理方法" w:id="165"/>
      <w:bookmarkEnd w:id="1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本公司将政府补助划分为与收益相关的具体标准为：政府补助文件中除明确约定其补助金额与长期资</w:t>
      </w:r>
    </w:p>
    <w:p>
      <w:pPr>
        <w:pStyle w:val="Heading4"/>
        <w:spacing w:line="240" w:lineRule="auto" w:before="37"/>
        <w:ind w:left="155" w:right="0"/>
        <w:jc w:val="left"/>
      </w:pPr>
      <w:r>
        <w:rPr/>
        <w:t>产相关外的补助金额，一律作为与收益相关的政府补助。</w:t>
      </w:r>
    </w:p>
    <w:p>
      <w:pPr>
        <w:pStyle w:val="Heading4"/>
        <w:spacing w:line="610" w:lineRule="atLeast" w:before="30"/>
        <w:ind w:left="580" w:right="0"/>
        <w:jc w:val="left"/>
      </w:pPr>
      <w:r>
        <w:rPr>
          <w:rFonts w:ascii="Times New Roman" w:hAnsi="Times New Roman" w:cs="Times New Roman" w:eastAsia="Times New Roman" w:hint="default"/>
        </w:rPr>
        <w:t>1</w:t>
      </w:r>
      <w:r>
        <w:rPr/>
        <w:t>、会计处理方法</w:t>
      </w:r>
      <w:r>
        <w:rPr>
          <w:spacing w:val="-3"/>
          <w:w w:val="100"/>
        </w:rPr>
        <w:t> </w:t>
      </w:r>
      <w:r>
        <w:rPr>
          <w:spacing w:val="-3"/>
        </w:rPr>
        <w:t>与收益相关的政府补助，用于补偿企业以后期间的相关费用或损失的，取得时确认为递延收益，在确</w:t>
      </w:r>
    </w:p>
    <w:p>
      <w:pPr>
        <w:pStyle w:val="Heading4"/>
        <w:spacing w:line="273" w:lineRule="auto" w:before="37"/>
        <w:ind w:left="155" w:right="0"/>
        <w:jc w:val="left"/>
      </w:pPr>
      <w:r>
        <w:rPr>
          <w:spacing w:val="-2"/>
        </w:rPr>
        <w:t>认相关费用的期间计入当期营业外收入；用于补偿企业已发生的相关费用或损失的，取得时直接计入当期</w:t>
      </w:r>
      <w:r>
        <w:rPr>
          <w:spacing w:val="-46"/>
        </w:rPr>
        <w:t> </w:t>
      </w:r>
      <w:r>
        <w:rPr>
          <w:spacing w:val="-46"/>
        </w:rPr>
      </w:r>
      <w:r>
        <w:rPr/>
        <w:t>营业外收入。与研发项目相关的政府补助，在项目执行期内分期计入营业外收入。</w:t>
      </w:r>
    </w:p>
    <w:p>
      <w:pPr>
        <w:spacing w:line="240" w:lineRule="auto" w:before="6"/>
        <w:rPr>
          <w:rFonts w:ascii="宋体" w:hAnsi="宋体" w:cs="宋体" w:eastAsia="宋体" w:hint="default"/>
          <w:sz w:val="24"/>
          <w:szCs w:val="24"/>
        </w:rPr>
      </w:pPr>
    </w:p>
    <w:p>
      <w:pPr>
        <w:pStyle w:val="Heading4"/>
        <w:spacing w:line="240" w:lineRule="auto"/>
        <w:ind w:left="579" w:right="0"/>
        <w:jc w:val="left"/>
      </w:pPr>
      <w:r>
        <w:rPr>
          <w:rFonts w:ascii="Times New Roman" w:hAnsi="Times New Roman" w:cs="Times New Roman" w:eastAsia="Times New Roman" w:hint="default"/>
        </w:rPr>
        <w:t>2</w:t>
      </w:r>
      <w:r>
        <w:rPr/>
        <w:t>、确认时点</w:t>
      </w:r>
    </w:p>
    <w:p>
      <w:pPr>
        <w:spacing w:after="0" w:line="240" w:lineRule="auto"/>
        <w:jc w:val="left"/>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4"/>
        <w:spacing w:line="273" w:lineRule="auto" w:before="36"/>
        <w:ind w:left="152" w:right="0" w:firstLine="424"/>
        <w:jc w:val="left"/>
      </w:pPr>
      <w:r>
        <w:rPr>
          <w:spacing w:val="-5"/>
        </w:rPr>
        <w:t>与政府补助相关的递延收益，在收到补助金额时确认。与研发项目相关的递延收益，在长期资产折旧，</w:t>
      </w:r>
      <w:r>
        <w:rPr>
          <w:w w:val="100"/>
        </w:rPr>
        <w:t> </w:t>
      </w:r>
      <w:r>
        <w:rPr>
          <w:spacing w:val="-2"/>
        </w:rPr>
        <w:t>或者摊销时，配比转入营业外收入。补偿已发生费用、损失的补助，收到时计入营业外收入。补偿以后期</w:t>
      </w:r>
      <w:r>
        <w:rPr>
          <w:spacing w:val="-43"/>
        </w:rPr>
        <w:t> </w:t>
      </w:r>
      <w:r>
        <w:rPr>
          <w:spacing w:val="-43"/>
        </w:rPr>
      </w:r>
      <w:r>
        <w:rPr/>
        <w:t>间的补助，于相关费用、损失发生时计入营业外收入。</w:t>
      </w:r>
    </w:p>
    <w:p>
      <w:pPr>
        <w:spacing w:line="600" w:lineRule="atLeast" w:before="0"/>
        <w:ind w:left="577" w:right="0" w:hanging="425"/>
        <w:jc w:val="left"/>
        <w:rPr>
          <w:rFonts w:ascii="宋体" w:hAnsi="宋体" w:cs="宋体" w:eastAsia="宋体" w:hint="default"/>
          <w:sz w:val="21"/>
          <w:szCs w:val="21"/>
        </w:rPr>
      </w:pPr>
      <w:bookmarkStart w:name="30、递延所得税资产/递延所得税负债" w:id="166"/>
      <w:bookmarkEnd w:id="166"/>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3"/>
          <w:sz w:val="21"/>
          <w:szCs w:val="21"/>
        </w:rPr>
        <w:t>对于可抵扣暂时性差异确认递延所得税资产，以未来期间很可能取得的用来抵扣可抵扣暂时性差异的</w:t>
      </w:r>
      <w:r>
        <w:rPr>
          <w:rFonts w:ascii="宋体" w:hAnsi="宋体" w:cs="宋体" w:eastAsia="宋体" w:hint="default"/>
          <w:sz w:val="21"/>
          <w:szCs w:val="21"/>
        </w:rPr>
      </w:r>
    </w:p>
    <w:p>
      <w:pPr>
        <w:pStyle w:val="Heading4"/>
        <w:spacing w:line="273" w:lineRule="auto" w:before="37"/>
        <w:ind w:left="152" w:right="0"/>
        <w:jc w:val="left"/>
      </w:pP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Heading4"/>
        <w:spacing w:line="624" w:lineRule="exact" w:before="66"/>
        <w:ind w:right="0"/>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Heading4"/>
        <w:spacing w:line="217" w:lineRule="exact"/>
        <w:ind w:left="152" w:right="0"/>
        <w:jc w:val="left"/>
      </w:pPr>
      <w:r>
        <w:rPr/>
        <w:t>时既不影响会计利润也不影响应纳税所得额（或可抵扣亏损）的其他交易或事项。</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1、租赁" w:id="167"/>
      <w:bookmarkEnd w:id="167"/>
      <w:r>
        <w:rPr>
          <w:b w:val="0"/>
          <w:bCs w:val="0"/>
        </w:rPr>
      </w: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168"/>
      <w:bookmarkEnd w:id="16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56" w:lineRule="auto"/>
        <w:ind w:left="152" w:right="0" w:firstLine="424"/>
        <w:jc w:val="left"/>
      </w:pPr>
      <w:r>
        <w:rPr>
          <w:spacing w:val="-2"/>
        </w:rPr>
        <w:t>（</w:t>
      </w:r>
      <w:r>
        <w:rPr>
          <w:rFonts w:ascii="Times New Roman" w:hAnsi="Times New Roman" w:cs="Times New Roman" w:eastAsia="Times New Roman" w:hint="default"/>
          <w:spacing w:val="-2"/>
        </w:rPr>
        <w:t>1</w:t>
      </w:r>
      <w:r>
        <w:rPr>
          <w:spacing w:val="-2"/>
        </w:rPr>
        <w:t>）公司租入资产支付的租赁费，在不扣除免租期的整个租赁期内，按直线法分摊，计入当期费用。</w:t>
      </w:r>
      <w:r>
        <w:rPr>
          <w:w w:val="100"/>
        </w:rPr>
        <w:t> </w:t>
      </w:r>
      <w:r>
        <w:rPr/>
        <w:t>公司支付的与租赁交易相关的初始直接费用，计入当期费用。</w:t>
      </w:r>
    </w:p>
    <w:p>
      <w:pPr>
        <w:spacing w:line="240" w:lineRule="auto" w:before="7"/>
        <w:rPr>
          <w:rFonts w:ascii="宋体" w:hAnsi="宋体" w:cs="宋体" w:eastAsia="宋体" w:hint="default"/>
          <w:sz w:val="25"/>
          <w:szCs w:val="25"/>
        </w:rPr>
      </w:pPr>
    </w:p>
    <w:p>
      <w:pPr>
        <w:pStyle w:val="Heading4"/>
        <w:spacing w:line="256" w:lineRule="auto"/>
        <w:ind w:left="152" w:right="0" w:firstLine="424"/>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w:t>
      </w:r>
      <w:r>
        <w:rPr>
          <w:w w:val="100"/>
        </w:rPr>
        <w:t> </w:t>
      </w:r>
      <w:r>
        <w:rPr/>
        <w:t>租赁收入。公司支付的与租赁交易相关的初始直接费用，计入当期费用。</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2）融资租赁的会计处理方法" w:id="169"/>
      <w:bookmarkEnd w:id="16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32、其他重要的会计政策和会计估计" w:id="170"/>
      <w:bookmarkEnd w:id="17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171"/>
      <w:bookmarkEnd w:id="17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172"/>
      <w:bookmarkEnd w:id="17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重要会计估计变更" w:id="173"/>
      <w:bookmarkEnd w:id="17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spacing w:line="487" w:lineRule="auto" w:before="36"/>
        <w:ind w:left="152" w:right="8008" w:firstLine="0"/>
        <w:jc w:val="left"/>
        <w:rPr>
          <w:rFonts w:ascii="宋体" w:hAnsi="宋体" w:cs="宋体" w:eastAsia="宋体" w:hint="default"/>
          <w:sz w:val="21"/>
          <w:szCs w:val="21"/>
        </w:rPr>
      </w:pPr>
      <w:bookmarkStart w:name="34、其他" w:id="174"/>
      <w:bookmarkEnd w:id="174"/>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175"/>
      <w:bookmarkEnd w:id="175"/>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spacing w:val="-119"/>
          <w:sz w:val="24"/>
          <w:szCs w:val="24"/>
        </w:rPr>
        <w:t> </w:t>
      </w:r>
      <w:r>
        <w:rPr>
          <w:rFonts w:ascii="宋体" w:hAnsi="宋体" w:cs="宋体" w:eastAsia="宋体" w:hint="default"/>
          <w:b/>
          <w:bCs/>
          <w:spacing w:val="-119"/>
          <w:sz w:val="24"/>
          <w:szCs w:val="24"/>
        </w:rPr>
      </w:r>
      <w:bookmarkStart w:name="1、主要税种及税率" w:id="176"/>
      <w:bookmarkEnd w:id="176"/>
      <w:r>
        <w:rPr>
          <w:rFonts w:ascii="宋体" w:hAnsi="宋体" w:cs="宋体" w:eastAsia="宋体" w:hint="default"/>
          <w:b/>
          <w:bCs/>
          <w:spacing w:val="-11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技术服务销售额、货物销售额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6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60"/>
        <w:jc w:val="left"/>
        <w:rPr>
          <w:b w:val="0"/>
          <w:bCs w:val="0"/>
        </w:rPr>
      </w:pPr>
      <w:bookmarkStart w:name="2、税收优惠" w:id="177"/>
      <w:bookmarkEnd w:id="177"/>
      <w:r>
        <w:rPr>
          <w:b w:val="0"/>
          <w:bCs w:val="0"/>
        </w:rPr>
      </w:r>
      <w:r>
        <w:rPr>
          <w:rFonts w:ascii="Times New Roman" w:hAnsi="Times New Roman" w:cs="Times New Roman" w:eastAsia="Times New Roman" w:hint="default"/>
        </w:rPr>
        <w:t>2</w:t>
      </w:r>
      <w:r>
        <w:rPr/>
        <w:t>、税收优惠</w:t>
      </w:r>
      <w:r>
        <w:rPr>
          <w:b w:val="0"/>
          <w:bCs w:val="0"/>
        </w:rPr>
      </w:r>
    </w:p>
    <w:p>
      <w:pPr>
        <w:pStyle w:val="Heading4"/>
        <w:spacing w:line="624" w:lineRule="exact" w:before="67"/>
        <w:ind w:right="160"/>
        <w:jc w:val="left"/>
      </w:pPr>
      <w:r>
        <w:rPr>
          <w:rFonts w:ascii="Times New Roman" w:hAnsi="Times New Roman" w:cs="Times New Roman" w:eastAsia="Times New Roman" w:hint="default"/>
        </w:rPr>
        <w:t>1</w:t>
      </w:r>
      <w:r>
        <w:rPr/>
        <w:t>、增值税</w:t>
      </w:r>
      <w:r>
        <w:rPr>
          <w:spacing w:val="-103"/>
        </w:rPr>
        <w:t> </w:t>
      </w:r>
      <w:r>
        <w:rPr>
          <w:spacing w:val="-103"/>
        </w:rPr>
      </w:r>
      <w:r>
        <w:rPr>
          <w:spacing w:val="-2"/>
        </w:rPr>
        <w:t>根据《国务院关于印发进一步鼓励软件产业和集成电路产业发展若干政策的通知》（国发</w:t>
      </w:r>
      <w:r>
        <w:rPr>
          <w:rFonts w:ascii="Times New Roman" w:hAnsi="Times New Roman" w:cs="Times New Roman" w:eastAsia="Times New Roman" w:hint="default"/>
          <w:spacing w:val="-2"/>
        </w:rPr>
        <w:t>[2011]4</w:t>
      </w:r>
      <w:r>
        <w:rPr>
          <w:spacing w:val="-2"/>
        </w:rPr>
        <w:t>号）</w:t>
      </w:r>
      <w:r>
        <w:rPr/>
      </w:r>
    </w:p>
    <w:p>
      <w:pPr>
        <w:pStyle w:val="Heading4"/>
        <w:spacing w:line="233" w:lineRule="exact"/>
        <w:ind w:left="152" w:right="160"/>
        <w:jc w:val="left"/>
      </w:pPr>
      <w:r>
        <w:rPr>
          <w:spacing w:val="-3"/>
        </w:rPr>
        <w:t>及《财政部、国家税务总局关于软件产品增值税政策的通知》（财税</w:t>
      </w:r>
      <w:r>
        <w:rPr>
          <w:rFonts w:ascii="Times New Roman" w:hAnsi="Times New Roman" w:cs="Times New Roman" w:eastAsia="Times New Roman" w:hint="default"/>
          <w:spacing w:val="-3"/>
        </w:rPr>
        <w:t>[2011]100</w:t>
      </w:r>
      <w:r>
        <w:rPr>
          <w:spacing w:val="-3"/>
        </w:rPr>
        <w:t>号）的规定，本公司及除惠</w:t>
      </w:r>
    </w:p>
    <w:p>
      <w:pPr>
        <w:pStyle w:val="Heading4"/>
        <w:spacing w:line="256" w:lineRule="auto" w:before="21"/>
        <w:ind w:left="152" w:right="160"/>
        <w:jc w:val="left"/>
      </w:pPr>
      <w:r>
        <w:rPr>
          <w:spacing w:val="-2"/>
        </w:rPr>
        <w:t>捷朗科技有限公司外的子公司销售自行开发生产的软件产品，按</w:t>
      </w:r>
      <w:r>
        <w:rPr>
          <w:rFonts w:ascii="Times New Roman" w:hAnsi="Times New Roman" w:cs="Times New Roman" w:eastAsia="Times New Roman" w:hint="default"/>
          <w:spacing w:val="-2"/>
        </w:rPr>
        <w:t>17%</w:t>
      </w:r>
      <w:r>
        <w:rPr>
          <w:spacing w:val="-2"/>
        </w:rPr>
        <w:t>的法定税率征收增值税后，享受增值</w:t>
      </w:r>
      <w:r>
        <w:rPr>
          <w:spacing w:val="-6"/>
        </w:rPr>
        <w:t> </w:t>
      </w:r>
      <w:r>
        <w:rPr>
          <w:spacing w:val="-6"/>
        </w:rPr>
      </w:r>
      <w:r>
        <w:rPr/>
        <w:t>税实际税负超过</w:t>
      </w:r>
      <w:r>
        <w:rPr>
          <w:rFonts w:ascii="Times New Roman" w:hAnsi="Times New Roman" w:cs="Times New Roman" w:eastAsia="Times New Roman" w:hint="default"/>
        </w:rPr>
        <w:t>3%</w:t>
      </w:r>
      <w:r>
        <w:rPr/>
        <w:t>的部分即征即退的优惠政策。</w:t>
      </w:r>
    </w:p>
    <w:p>
      <w:pPr>
        <w:spacing w:line="240" w:lineRule="auto" w:before="3"/>
        <w:rPr>
          <w:rFonts w:ascii="宋体" w:hAnsi="宋体" w:cs="宋体" w:eastAsia="宋体" w:hint="default"/>
          <w:sz w:val="24"/>
          <w:szCs w:val="24"/>
        </w:rPr>
      </w:pPr>
    </w:p>
    <w:p>
      <w:pPr>
        <w:pStyle w:val="Heading4"/>
        <w:spacing w:line="240" w:lineRule="auto"/>
        <w:ind w:right="160"/>
        <w:jc w:val="left"/>
      </w:pPr>
      <w:r>
        <w:rPr>
          <w:rFonts w:ascii="Times New Roman" w:hAnsi="Times New Roman" w:cs="Times New Roman" w:eastAsia="Times New Roman" w:hint="default"/>
        </w:rPr>
        <w:t>2</w:t>
      </w:r>
      <w:r>
        <w:rPr/>
        <w:t>、所得税</w:t>
      </w:r>
    </w:p>
    <w:p>
      <w:pPr>
        <w:spacing w:line="240" w:lineRule="auto" w:before="6"/>
        <w:rPr>
          <w:rFonts w:ascii="宋体" w:hAnsi="宋体" w:cs="宋体" w:eastAsia="宋体" w:hint="default"/>
          <w:sz w:val="25"/>
          <w:szCs w:val="25"/>
        </w:rPr>
      </w:pPr>
    </w:p>
    <w:p>
      <w:pPr>
        <w:pStyle w:val="Heading4"/>
        <w:spacing w:line="261" w:lineRule="auto"/>
        <w:ind w:left="152" w:right="167" w:firstLine="424"/>
        <w:jc w:val="both"/>
      </w:pP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月，本公司通过国家规划布局内重点软件企业复审，被认定为</w:t>
      </w:r>
      <w:r>
        <w:rPr>
          <w:rFonts w:ascii="Times New Roman" w:hAnsi="Times New Roman" w:cs="Times New Roman" w:eastAsia="Times New Roman" w:hint="default"/>
          <w:spacing w:val="-4"/>
        </w:rPr>
        <w:t>2013-2014</w:t>
      </w:r>
      <w:r>
        <w:rPr>
          <w:spacing w:val="-4"/>
        </w:rPr>
        <w:t>年度国家规划布局内</w:t>
      </w:r>
      <w:r>
        <w:rPr>
          <w:w w:val="100"/>
        </w:rPr>
        <w:t> </w:t>
      </w:r>
      <w:r>
        <w:rPr>
          <w:spacing w:val="-2"/>
        </w:rPr>
        <w:t>重点软件企业。根据《财政部、国家税务总局关于进一步鼓励软件产业和集成电路产业发展企业所得税政</w:t>
      </w:r>
      <w:r>
        <w:rPr>
          <w:spacing w:val="-45"/>
        </w:rPr>
        <w:t> </w:t>
      </w:r>
      <w:r>
        <w:rPr>
          <w:spacing w:val="-45"/>
        </w:rPr>
      </w:r>
      <w:r>
        <w:rPr/>
        <w:t>策的通知》（财税</w:t>
      </w:r>
      <w:r>
        <w:rPr>
          <w:rFonts w:ascii="Times New Roman" w:hAnsi="Times New Roman" w:cs="Times New Roman" w:eastAsia="Times New Roman" w:hint="default"/>
        </w:rPr>
        <w:t>[2012]27</w:t>
      </w:r>
      <w:r>
        <w:rPr/>
        <w:t>号）的规定，本公司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年按国家规划布局内重点软件企业享受</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spacing w:val="-2"/>
        </w:rPr>
        <w:t>的优惠税率缴纳企业所得税。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日，本公司被北京市科学技术委员会、北京市财政局、北京市</w:t>
      </w:r>
      <w:r>
        <w:rPr>
          <w:spacing w:val="-36"/>
        </w:rPr>
        <w:t> </w:t>
      </w:r>
      <w:r>
        <w:rPr>
          <w:spacing w:val="-36"/>
        </w:rPr>
      </w:r>
      <w:r>
        <w:rPr/>
        <w:t>国家税务局、北京市地方税务局重新认定为高新技术企业。</w:t>
      </w:r>
    </w:p>
    <w:p>
      <w:pPr>
        <w:spacing w:line="240" w:lineRule="auto" w:before="3"/>
        <w:rPr>
          <w:rFonts w:ascii="宋体" w:hAnsi="宋体" w:cs="宋体" w:eastAsia="宋体" w:hint="default"/>
          <w:sz w:val="25"/>
          <w:szCs w:val="25"/>
        </w:rPr>
      </w:pPr>
    </w:p>
    <w:p>
      <w:pPr>
        <w:pStyle w:val="Heading4"/>
        <w:spacing w:line="240" w:lineRule="auto"/>
        <w:ind w:left="578" w:right="0"/>
        <w:jc w:val="left"/>
      </w:pPr>
      <w:r>
        <w:rPr/>
        <w:t>根据《财政部、国家税务总局关于进一步鼓励软件产业和集成电路产业发展企业所得税政策的通知》</w:t>
      </w:r>
    </w:p>
    <w:p>
      <w:pPr>
        <w:pStyle w:val="Heading4"/>
        <w:spacing w:line="240" w:lineRule="auto" w:before="37"/>
        <w:ind w:left="153" w:right="160"/>
        <w:jc w:val="left"/>
      </w:pPr>
      <w:r>
        <w:rPr/>
        <w:t>（财税</w:t>
      </w:r>
      <w:r>
        <w:rPr>
          <w:rFonts w:ascii="Times New Roman" w:hAnsi="Times New Roman" w:cs="Times New Roman" w:eastAsia="Times New Roman" w:hint="default"/>
        </w:rPr>
        <w:t>[2012]27</w:t>
      </w:r>
      <w:r>
        <w:rPr/>
        <w:t>号）的规定，上海东方通泰软件科技有限公司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年减半征收企业所得</w:t>
      </w:r>
    </w:p>
    <w:p>
      <w:pPr>
        <w:spacing w:after="0" w:line="240" w:lineRule="auto"/>
        <w:jc w:val="left"/>
        <w:sectPr>
          <w:pgSz w:w="11910" w:h="16840"/>
          <w:pgMar w:header="745" w:footer="982" w:top="1060" w:bottom="1180" w:left="980" w:right="960"/>
        </w:sectPr>
      </w:pPr>
    </w:p>
    <w:p>
      <w:pPr>
        <w:spacing w:line="240" w:lineRule="auto" w:before="10"/>
        <w:rPr>
          <w:rFonts w:ascii="宋体" w:hAnsi="宋体" w:cs="宋体" w:eastAsia="宋体" w:hint="default"/>
          <w:sz w:val="24"/>
          <w:szCs w:val="24"/>
        </w:rPr>
      </w:pPr>
    </w:p>
    <w:p>
      <w:pPr>
        <w:pStyle w:val="Heading4"/>
        <w:spacing w:line="256" w:lineRule="auto" w:before="36"/>
        <w:ind w:left="152" w:right="0"/>
        <w:jc w:val="left"/>
      </w:pPr>
      <w:r>
        <w:rPr>
          <w:spacing w:val="-2"/>
        </w:rPr>
        <w:t>税；成都东方通科技有限责任公司</w:t>
      </w:r>
      <w:r>
        <w:rPr>
          <w:rFonts w:ascii="Times New Roman" w:hAnsi="Times New Roman" w:cs="Times New Roman" w:eastAsia="Times New Roman" w:hint="default"/>
          <w:spacing w:val="-2"/>
        </w:rPr>
        <w:t>2012</w:t>
      </w:r>
      <w:r>
        <w:rPr>
          <w:spacing w:val="-2"/>
        </w:rPr>
        <w:t>年度、</w:t>
      </w:r>
      <w:r>
        <w:rPr>
          <w:rFonts w:ascii="Times New Roman" w:hAnsi="Times New Roman" w:cs="Times New Roman" w:eastAsia="Times New Roman" w:hint="default"/>
          <w:spacing w:val="-2"/>
        </w:rPr>
        <w:t>2013</w:t>
      </w:r>
      <w:r>
        <w:rPr>
          <w:spacing w:val="-2"/>
        </w:rPr>
        <w:t>年度免征企业所得税，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年减半征</w:t>
      </w:r>
      <w:r>
        <w:rPr>
          <w:spacing w:val="-31"/>
        </w:rPr>
        <w:t> </w:t>
      </w:r>
      <w:r>
        <w:rPr>
          <w:spacing w:val="-31"/>
        </w:rPr>
      </w:r>
      <w:r>
        <w:rPr/>
        <w:t>收企业所得税。</w:t>
      </w:r>
    </w:p>
    <w:p>
      <w:pPr>
        <w:spacing w:line="240" w:lineRule="auto" w:before="7"/>
        <w:rPr>
          <w:rFonts w:ascii="宋体" w:hAnsi="宋体" w:cs="宋体" w:eastAsia="宋体" w:hint="default"/>
          <w:sz w:val="25"/>
          <w:szCs w:val="25"/>
        </w:rPr>
      </w:pPr>
    </w:p>
    <w:p>
      <w:pPr>
        <w:pStyle w:val="Heading4"/>
        <w:spacing w:line="256" w:lineRule="auto"/>
        <w:ind w:left="152" w:right="0" w:firstLine="424"/>
        <w:jc w:val="left"/>
      </w:pPr>
      <w:r>
        <w:rPr>
          <w:spacing w:val="-2"/>
        </w:rPr>
        <w:t>北京惠捷朗科技有限公司于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日被北京市科学技术委员会、北京市财政局、北京市国家税</w:t>
      </w:r>
      <w:r>
        <w:rPr>
          <w:spacing w:val="-3"/>
          <w:w w:val="100"/>
        </w:rPr>
        <w:t> </w:t>
      </w:r>
      <w:r>
        <w:rPr/>
        <w:t>务局、北京市地方税务局重新认定为高新技术企业，有效期</w:t>
      </w:r>
      <w:r>
        <w:rPr>
          <w:rFonts w:ascii="Times New Roman" w:hAnsi="Times New Roman" w:cs="Times New Roman" w:eastAsia="Times New Roman" w:hint="default"/>
        </w:rPr>
        <w:t>3</w:t>
      </w:r>
      <w:r>
        <w:rPr/>
        <w:t>年。</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spacing w:line="487" w:lineRule="auto" w:before="0"/>
        <w:ind w:left="152" w:right="6883" w:firstLine="0"/>
        <w:jc w:val="left"/>
        <w:rPr>
          <w:rFonts w:ascii="宋体" w:hAnsi="宋体" w:cs="宋体" w:eastAsia="宋体" w:hint="default"/>
          <w:sz w:val="21"/>
          <w:szCs w:val="21"/>
        </w:rPr>
      </w:pPr>
      <w:bookmarkStart w:name="3、其他" w:id="178"/>
      <w:bookmarkEnd w:id="17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179"/>
      <w:bookmarkEnd w:id="179"/>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180"/>
      <w:bookmarkEnd w:id="18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102,214.69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29,223.95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296,817,727.61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70,521,807.20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249,138.99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1,285,403.60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297,169,081.29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71,836,434.75</w:t>
            </w:r>
          </w:p>
        </w:tc>
      </w:tr>
    </w:tbl>
    <w:p>
      <w:pPr>
        <w:pStyle w:val="BodyText"/>
        <w:spacing w:line="240" w:lineRule="auto" w:before="49"/>
        <w:ind w:right="0"/>
        <w:jc w:val="left"/>
      </w:pPr>
      <w:r>
        <w:rPr/>
        <w:t>其他说明</w:t>
      </w:r>
    </w:p>
    <w:p>
      <w:pPr>
        <w:pStyle w:val="Heading4"/>
        <w:spacing w:line="516" w:lineRule="auto" w:before="94"/>
        <w:ind w:right="0"/>
        <w:jc w:val="left"/>
      </w:pP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日，本公司不存在质押、冻结，或有潜在收回风险的款项。</w:t>
      </w:r>
      <w:r>
        <w:rPr>
          <w:spacing w:val="-34"/>
        </w:rPr>
        <w:t> </w:t>
      </w:r>
      <w:r>
        <w:rPr>
          <w:spacing w:val="-34"/>
        </w:rPr>
      </w:r>
      <w:r>
        <w:rPr/>
        <w:t>其中受限制的货币资金明细如下：</w:t>
      </w:r>
    </w:p>
    <w:p>
      <w:pPr>
        <w:spacing w:line="240" w:lineRule="auto" w:before="7"/>
        <w:rPr>
          <w:rFonts w:ascii="宋体" w:hAnsi="宋体" w:cs="宋体" w:eastAsia="宋体" w:hint="default"/>
          <w:sz w:val="27"/>
          <w:szCs w:val="27"/>
        </w:rPr>
      </w:pPr>
    </w:p>
    <w:tbl>
      <w:tblPr>
        <w:tblW w:w="0" w:type="auto"/>
        <w:jc w:val="left"/>
        <w:tblInd w:w="548" w:type="dxa"/>
        <w:tblLayout w:type="fixed"/>
        <w:tblCellMar>
          <w:top w:w="0" w:type="dxa"/>
          <w:left w:w="0" w:type="dxa"/>
          <w:bottom w:w="0" w:type="dxa"/>
          <w:right w:w="0" w:type="dxa"/>
        </w:tblCellMar>
        <w:tblLook w:val="01E0"/>
      </w:tblPr>
      <w:tblGrid>
        <w:gridCol w:w="3442"/>
        <w:gridCol w:w="2275"/>
        <w:gridCol w:w="2141"/>
      </w:tblGrid>
      <w:tr>
        <w:trPr>
          <w:trHeight w:val="355" w:hRule="exact"/>
        </w:trPr>
        <w:tc>
          <w:tcPr>
            <w:tcW w:w="3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3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其他货币资金（保证金存款）</w:t>
            </w:r>
          </w:p>
        </w:tc>
        <w:tc>
          <w:tcPr>
            <w:tcW w:w="2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447" w:right="-1"/>
              <w:jc w:val="left"/>
              <w:rPr>
                <w:rFonts w:ascii="Times New Roman" w:hAnsi="Times New Roman" w:cs="Times New Roman" w:eastAsia="Times New Roman" w:hint="default"/>
                <w:sz w:val="18"/>
                <w:szCs w:val="18"/>
              </w:rPr>
            </w:pPr>
            <w:r>
              <w:rPr>
                <w:rFonts w:ascii="Times New Roman"/>
                <w:sz w:val="18"/>
              </w:rPr>
              <w:t>246,286.00</w:t>
            </w:r>
          </w:p>
        </w:tc>
        <w:tc>
          <w:tcPr>
            <w:tcW w:w="21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315" w:right="0"/>
              <w:jc w:val="left"/>
              <w:rPr>
                <w:rFonts w:ascii="Times New Roman" w:hAnsi="Times New Roman" w:cs="Times New Roman" w:eastAsia="Times New Roman" w:hint="default"/>
                <w:sz w:val="18"/>
                <w:szCs w:val="18"/>
              </w:rPr>
            </w:pPr>
            <w:r>
              <w:rPr>
                <w:rFonts w:ascii="Times New Roman"/>
                <w:sz w:val="18"/>
              </w:rPr>
              <w:t>901,440.00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2、以公允价值计量且其变动计入当期损益的金融资产" w:id="181"/>
      <w:bookmarkEnd w:id="18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衍生金融资产" w:id="182"/>
      <w:bookmarkEnd w:id="18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应收票据" w:id="183"/>
      <w:bookmarkEnd w:id="18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184"/>
      <w:bookmarkEnd w:id="18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2,784,775.00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8,575,894.05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2,263,800.00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2,784,775.00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10,839,694.05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公司已质押的应收票据" w:id="185"/>
      <w:bookmarkEnd w:id="18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公司已背书或贴现且在资产负债表日尚未到期的应收票据" w:id="186"/>
      <w:bookmarkEnd w:id="18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4）期末公司因出票人未履约而将其转应收账款的票据" w:id="187"/>
      <w:bookmarkEnd w:id="18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0"/>
        <w:ind w:right="0"/>
        <w:jc w:val="left"/>
      </w:pPr>
      <w:r>
        <w:rPr/>
        <w:t>其他说明</w:t>
      </w:r>
    </w:p>
    <w:p>
      <w:pPr>
        <w:pStyle w:val="Heading4"/>
        <w:spacing w:line="544" w:lineRule="auto" w:before="94"/>
        <w:ind w:right="0"/>
        <w:jc w:val="left"/>
      </w:pPr>
      <w:r>
        <w:rPr/>
        <w:t>本公司期末没有用于质押的应收票据。</w:t>
      </w:r>
      <w:r>
        <w:rPr>
          <w:w w:val="100"/>
        </w:rPr>
        <w:t> </w:t>
      </w:r>
      <w:r>
        <w:rPr>
          <w:spacing w:val="-2"/>
        </w:rPr>
        <w:t>本公司期末没有因出票人无力履约而转为应收账款的应收票据。</w:t>
      </w:r>
      <w:r>
        <w:rPr>
          <w:spacing w:val="-52"/>
        </w:rPr>
        <w:t> </w:t>
      </w:r>
      <w:r>
        <w:rPr>
          <w:spacing w:val="-52"/>
        </w:rPr>
      </w:r>
      <w:r>
        <w:rPr/>
        <w:t>本公司期末没有已背书、已贴现情况的未到期应收票据。</w:t>
      </w:r>
    </w:p>
    <w:p>
      <w:pPr>
        <w:spacing w:line="240" w:lineRule="auto" w:before="3"/>
        <w:rPr>
          <w:rFonts w:ascii="宋体" w:hAnsi="宋体" w:cs="宋体" w:eastAsia="宋体" w:hint="default"/>
          <w:sz w:val="29"/>
          <w:szCs w:val="29"/>
        </w:rPr>
      </w:pPr>
    </w:p>
    <w:p>
      <w:pPr>
        <w:pStyle w:val="Heading3"/>
        <w:spacing w:line="240" w:lineRule="auto"/>
        <w:ind w:right="0"/>
        <w:jc w:val="left"/>
        <w:rPr>
          <w:b w:val="0"/>
          <w:bCs w:val="0"/>
        </w:rPr>
      </w:pPr>
      <w:bookmarkStart w:name="5、应收账款" w:id="188"/>
      <w:bookmarkEnd w:id="18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89"/>
      <w:bookmarkEnd w:id="18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3"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bl>
    <w:p>
      <w:pPr>
        <w:spacing w:after="0"/>
        <w:sectPr>
          <w:footerReference w:type="default" r:id="rId37"/>
          <w:pgSz w:w="11910" w:h="16840"/>
          <w:pgMar w:footer="982" w:header="745" w:top="1060" w:bottom="1180" w:left="980" w:right="980"/>
          <w:pgNumType w:start="11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258,946,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061.23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26,286,4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60.84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232,659,6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00.39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199,055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,110.59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16,809,16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5.98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182,245,94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4.61</w:t>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258,946,</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061.23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26,286,4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60.84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232,659,6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00.39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199,055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,110.59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16,809,16</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5.98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182,245,94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4.61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145,517,619.48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7,275,880.98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75,714,951.15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7,571,495.12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22,327,086.00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4,465,417.20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13,643,315.10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5,457,326.04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1,133,740.00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906,992.00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609,349.50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609,349.50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258,946,061.23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26,286,460.84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60" w:lineRule="auto" w:before="49"/>
        <w:ind w:right="5454"/>
        <w:jc w:val="left"/>
      </w:pPr>
      <w:r>
        <w:rPr/>
        <w:t>确定该组合依据的说明： 组合中，采用余额百分比法计提坏账准备的应收账款：</w:t>
      </w:r>
    </w:p>
    <w:p>
      <w:pPr>
        <w:pStyle w:val="BodyText"/>
        <w:spacing w:line="340" w:lineRule="auto" w:before="2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190"/>
      <w:bookmarkEnd w:id="19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pStyle w:val="BodyText"/>
        <w:spacing w:line="338" w:lineRule="auto" w:before="44"/>
        <w:ind w:right="-9"/>
        <w:jc w:val="left"/>
      </w:pPr>
      <w:r>
        <w:rPr/>
        <w:t>本期计提坏账准备金额</w:t>
      </w:r>
      <w:r>
        <w:rPr>
          <w:spacing w:val="-47"/>
        </w:rPr>
        <w:t> </w:t>
      </w:r>
      <w:r>
        <w:rPr>
          <w:rFonts w:ascii="Times New Roman" w:hAnsi="Times New Roman" w:cs="Times New Roman" w:eastAsia="Times New Roman" w:hint="default"/>
        </w:rPr>
        <w:t>9,477,294.86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458" w:space="2369"/>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4"/>
        <w:spacing w:line="273" w:lineRule="auto"/>
        <w:ind w:left="152" w:right="0" w:firstLine="424"/>
        <w:jc w:val="left"/>
      </w:pPr>
      <w:r>
        <w:rPr>
          <w:spacing w:val="-2"/>
        </w:rPr>
        <w:t>公司不存在本报告期前已全额计提坏账准备，或计提减值准备的比例较大，但在本报告期又全额收回</w:t>
      </w:r>
      <w:r>
        <w:rPr>
          <w:w w:val="100"/>
        </w:rPr>
        <w:t> </w:t>
      </w:r>
      <w:r>
        <w:rPr/>
        <w:t>或转回，或在本报告期收回或转回比例较大的应收账款情况。</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3）本期实际核销的应收账款情况" w:id="191"/>
      <w:bookmarkEnd w:id="19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其中重要的应收账款核销情况：</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pStyle w:val="Heading4"/>
        <w:spacing w:line="240" w:lineRule="auto" w:before="94"/>
        <w:ind w:right="0"/>
        <w:jc w:val="left"/>
      </w:pPr>
      <w:r>
        <w:rPr/>
        <w:t>公司于本报告期内无核销应收账款。</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按欠款方归集的期末余额前五名的应收账款情况" w:id="192"/>
      <w:bookmarkEnd w:id="19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3451"/>
        <w:gridCol w:w="1082"/>
        <w:gridCol w:w="1622"/>
        <w:gridCol w:w="2522"/>
        <w:gridCol w:w="979"/>
      </w:tblGrid>
      <w:tr>
        <w:trPr>
          <w:trHeight w:val="977" w:hRule="exact"/>
        </w:trPr>
        <w:tc>
          <w:tcPr>
            <w:tcW w:w="3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63" w:right="262"/>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2"/>
              <w:ind w:left="2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日账面余额</w:t>
            </w:r>
          </w:p>
        </w:tc>
        <w:tc>
          <w:tcPr>
            <w:tcW w:w="2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979"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124"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占应收账 款总额的 比例</w:t>
            </w:r>
            <w:r>
              <w:rPr>
                <w:rFonts w:ascii="Times New Roman" w:hAnsi="Times New Roman" w:cs="Times New Roman" w:eastAsia="Times New Roman" w:hint="default"/>
                <w:sz w:val="18"/>
                <w:szCs w:val="18"/>
              </w:rPr>
              <w:t>(%)</w:t>
            </w:r>
          </w:p>
        </w:tc>
      </w:tr>
      <w:tr>
        <w:trPr>
          <w:trHeight w:val="665" w:hRule="exact"/>
        </w:trPr>
        <w:tc>
          <w:tcPr>
            <w:tcW w:w="3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北京天晟通科技有限公司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11,850,000.00</w:t>
            </w:r>
          </w:p>
        </w:tc>
        <w:tc>
          <w:tcPr>
            <w:tcW w:w="2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9,050,000.00</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9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4.58</w:t>
            </w:r>
            <w:r>
              <w:rPr>
                <w:rFonts w:ascii="Times New Roman"/>
                <w:sz w:val="18"/>
              </w:rPr>
            </w:r>
          </w:p>
        </w:tc>
      </w:tr>
      <w:tr>
        <w:trPr>
          <w:trHeight w:val="353" w:hRule="exact"/>
        </w:trPr>
        <w:tc>
          <w:tcPr>
            <w:tcW w:w="3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成都斯普智和信息技术有限公司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8,550,000.00</w:t>
            </w:r>
            <w:r>
              <w:rPr>
                <w:rFonts w:ascii="Times New Roman"/>
                <w:sz w:val="18"/>
              </w:rPr>
            </w:r>
          </w:p>
        </w:tc>
        <w:tc>
          <w:tcPr>
            <w:tcW w:w="2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3.30</w:t>
            </w:r>
            <w:r>
              <w:rPr>
                <w:rFonts w:ascii="Times New Roman"/>
                <w:sz w:val="18"/>
              </w:rPr>
            </w:r>
          </w:p>
        </w:tc>
      </w:tr>
      <w:tr>
        <w:trPr>
          <w:trHeight w:val="350" w:hRule="exact"/>
        </w:trPr>
        <w:tc>
          <w:tcPr>
            <w:tcW w:w="3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上海贝尔股份有限公司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7,148,519.99</w:t>
            </w:r>
            <w:r>
              <w:rPr>
                <w:rFonts w:ascii="Times New Roman"/>
                <w:sz w:val="18"/>
              </w:rPr>
            </w:r>
          </w:p>
        </w:tc>
        <w:tc>
          <w:tcPr>
            <w:tcW w:w="2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2.76</w:t>
            </w:r>
            <w:r>
              <w:rPr>
                <w:rFonts w:ascii="Times New Roman"/>
                <w:sz w:val="18"/>
              </w:rPr>
            </w:r>
          </w:p>
        </w:tc>
      </w:tr>
      <w:tr>
        <w:trPr>
          <w:trHeight w:val="665" w:hRule="exact"/>
        </w:trPr>
        <w:tc>
          <w:tcPr>
            <w:tcW w:w="345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912"/>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 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6,777,970.57</w:t>
            </w:r>
            <w:r>
              <w:rPr>
                <w:rFonts w:ascii="Times New Roman"/>
                <w:sz w:val="18"/>
              </w:rPr>
            </w:r>
          </w:p>
        </w:tc>
        <w:tc>
          <w:tcPr>
            <w:tcW w:w="2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2,404,820.57</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9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2.62</w:t>
            </w:r>
            <w:r>
              <w:rPr>
                <w:rFonts w:ascii="Times New Roman"/>
                <w:sz w:val="18"/>
              </w:rPr>
            </w:r>
          </w:p>
        </w:tc>
      </w:tr>
      <w:tr>
        <w:trPr>
          <w:trHeight w:val="665" w:hRule="exact"/>
        </w:trPr>
        <w:tc>
          <w:tcPr>
            <w:tcW w:w="3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北京冠融世纪科技发展有限公司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5,609,000.00</w:t>
            </w:r>
            <w:r>
              <w:rPr>
                <w:rFonts w:ascii="Times New Roman"/>
                <w:sz w:val="18"/>
              </w:rPr>
            </w:r>
          </w:p>
        </w:tc>
        <w:tc>
          <w:tcPr>
            <w:tcW w:w="2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4,500,000.00</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9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2.17</w:t>
            </w:r>
            <w:r>
              <w:rPr>
                <w:rFonts w:ascii="Times New Roman"/>
                <w:sz w:val="18"/>
              </w:rPr>
            </w:r>
          </w:p>
        </w:tc>
      </w:tr>
      <w:tr>
        <w:trPr>
          <w:trHeight w:val="353" w:hRule="exact"/>
        </w:trPr>
        <w:tc>
          <w:tcPr>
            <w:tcW w:w="3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39,935,490.56</w:t>
            </w:r>
          </w:p>
        </w:tc>
        <w:tc>
          <w:tcPr>
            <w:tcW w:w="2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9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15.42</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5）因金融资产转移而终止确认的应收账款" w:id="193"/>
      <w:bookmarkEnd w:id="19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194"/>
      <w:bookmarkEnd w:id="19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pStyle w:val="Heading4"/>
        <w:spacing w:line="256" w:lineRule="auto" w:before="96"/>
        <w:ind w:right="0"/>
        <w:jc w:val="left"/>
      </w:pPr>
      <w:r>
        <w:rPr>
          <w:spacing w:val="-2"/>
        </w:rPr>
        <w:t>本报告期应收账款中无持本公司</w:t>
      </w:r>
      <w:r>
        <w:rPr>
          <w:rFonts w:ascii="Times New Roman" w:hAnsi="Times New Roman" w:cs="Times New Roman" w:eastAsia="Times New Roman" w:hint="default"/>
          <w:spacing w:val="-2"/>
        </w:rPr>
        <w:t>5%</w:t>
      </w:r>
      <w:r>
        <w:rPr>
          <w:spacing w:val="-2"/>
        </w:rPr>
        <w:t>以上（含</w:t>
      </w:r>
      <w:r>
        <w:rPr>
          <w:rFonts w:ascii="Times New Roman" w:hAnsi="Times New Roman" w:cs="Times New Roman" w:eastAsia="Times New Roman" w:hint="default"/>
          <w:spacing w:val="-2"/>
        </w:rPr>
        <w:t>5%</w:t>
      </w:r>
      <w:r>
        <w:rPr>
          <w:spacing w:val="-2"/>
        </w:rPr>
        <w:t>）表决权的股东单位欠款。</w:t>
      </w:r>
      <w:r>
        <w:rPr>
          <w:spacing w:val="-43"/>
        </w:rPr>
        <w:t> </w:t>
      </w:r>
      <w:r>
        <w:rPr>
          <w:spacing w:val="-43"/>
        </w:rPr>
      </w:r>
      <w:r>
        <w:rPr/>
        <w:t>本报告期无应收其他关联方的款项。</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6、预付款项" w:id="195"/>
      <w:bookmarkEnd w:id="19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96"/>
      <w:bookmarkEnd w:id="19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1,690,363.00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74.45%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715,818.71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55.24%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33.18%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18.94%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11.58%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5"/>
        <w:gridCol w:w="1913"/>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2,270,363.00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1,295,818.71</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631"/>
        <w:gridCol w:w="1082"/>
        <w:gridCol w:w="1620"/>
        <w:gridCol w:w="1082"/>
        <w:gridCol w:w="972"/>
        <w:gridCol w:w="1270"/>
      </w:tblGrid>
      <w:tr>
        <w:trPr>
          <w:trHeight w:val="979" w:hRule="exact"/>
        </w:trPr>
        <w:tc>
          <w:tcPr>
            <w:tcW w:w="3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355" w:right="17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p>
            <w:pPr>
              <w:pStyle w:val="TableParagraph"/>
              <w:spacing w:line="240" w:lineRule="auto" w:before="62"/>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100" w:right="96" w:firstLine="74"/>
              <w:jc w:val="both"/>
              <w:rPr>
                <w:rFonts w:ascii="宋体" w:hAnsi="宋体" w:cs="宋体" w:eastAsia="宋体" w:hint="default"/>
                <w:sz w:val="18"/>
                <w:szCs w:val="18"/>
              </w:rPr>
            </w:pPr>
            <w:r>
              <w:rPr>
                <w:rFonts w:ascii="宋体" w:hAnsi="宋体" w:cs="宋体" w:eastAsia="宋体" w:hint="default"/>
                <w:sz w:val="18"/>
                <w:szCs w:val="18"/>
              </w:rPr>
              <w:t>占预付账 款总额的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预付时间</w:t>
            </w:r>
          </w:p>
        </w:tc>
        <w:tc>
          <w:tcPr>
            <w:tcW w:w="12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0" w:hRule="exact"/>
        </w:trPr>
        <w:tc>
          <w:tcPr>
            <w:tcW w:w="3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430,000.00</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18.94</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3" w:hRule="exact"/>
        </w:trPr>
        <w:tc>
          <w:tcPr>
            <w:tcW w:w="3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重庆市浩鹏软件技术开发有限公司</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150,000.00</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6.61</w:t>
            </w:r>
            <w:r>
              <w:rPr>
                <w:rFonts w:ascii="Times New Roman"/>
                <w:sz w:val="18"/>
              </w:rPr>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1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3" w:hRule="exact"/>
        </w:trPr>
        <w:tc>
          <w:tcPr>
            <w:tcW w:w="3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580,000.00</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25.55</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2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2）按预付对象归集的期末余额前五名的预付款情况" w:id="197"/>
      <w:bookmarkEnd w:id="19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1433"/>
        <w:gridCol w:w="1433"/>
        <w:gridCol w:w="1963"/>
        <w:gridCol w:w="1963"/>
        <w:gridCol w:w="1433"/>
        <w:gridCol w:w="1433"/>
      </w:tblGrid>
      <w:tr>
        <w:trPr>
          <w:trHeight w:val="353" w:hRule="exact"/>
        </w:trPr>
        <w:tc>
          <w:tcPr>
            <w:tcW w:w="1433" w:type="dxa"/>
            <w:vMerge w:val="restart"/>
            <w:tcBorders>
              <w:top w:val="single" w:sz="6" w:space="0" w:color="000000"/>
              <w:left w:val="single" w:sz="6" w:space="0" w:color="000000"/>
              <w:right w:val="single" w:sz="6" w:space="0" w:color="000000"/>
            </w:tcBorders>
          </w:tcPr>
          <w:p>
            <w:pPr>
              <w:pStyle w:val="TableParagraph"/>
              <w:spacing w:line="240" w:lineRule="auto" w:before="17"/>
              <w:ind w:left="3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与本公司</w:t>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63" w:type="dxa"/>
            <w:vMerge w:val="restart"/>
            <w:tcBorders>
              <w:top w:val="single" w:sz="6" w:space="0" w:color="000000"/>
              <w:left w:val="single" w:sz="6" w:space="0" w:color="000000"/>
              <w:right w:val="single" w:sz="6" w:space="0" w:color="000000"/>
            </w:tcBorders>
          </w:tcPr>
          <w:p>
            <w:pPr>
              <w:pStyle w:val="TableParagraph"/>
              <w:spacing w:line="316" w:lineRule="auto" w:before="17"/>
              <w:ind w:left="539" w:right="538" w:firstLine="76"/>
              <w:jc w:val="both"/>
              <w:rPr>
                <w:rFonts w:ascii="宋体" w:hAnsi="宋体" w:cs="宋体" w:eastAsia="宋体" w:hint="default"/>
                <w:sz w:val="18"/>
                <w:szCs w:val="18"/>
              </w:rPr>
            </w:pPr>
            <w:r>
              <w:rPr>
                <w:rFonts w:ascii="宋体" w:hAnsi="宋体" w:cs="宋体" w:eastAsia="宋体" w:hint="default"/>
                <w:sz w:val="18"/>
                <w:szCs w:val="18"/>
              </w:rPr>
              <w:t>占预付账 款总额的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3" w:type="dxa"/>
            <w:vMerge w:val="restart"/>
            <w:tcBorders>
              <w:top w:val="single" w:sz="6" w:space="0" w:color="000000"/>
              <w:left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433" w:type="dxa"/>
            <w:vMerge w:val="restart"/>
            <w:tcBorders>
              <w:top w:val="single" w:sz="6" w:space="0" w:color="000000"/>
              <w:left w:val="single" w:sz="6" w:space="0" w:color="000000"/>
              <w:right w:val="nil" w:sz="6" w:space="0" w:color="auto"/>
            </w:tcBorders>
          </w:tcPr>
          <w:p>
            <w:pPr>
              <w:pStyle w:val="TableParagraph"/>
              <w:spacing w:line="240" w:lineRule="auto" w:before="17"/>
              <w:ind w:left="26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24" w:hRule="exact"/>
        </w:trPr>
        <w:tc>
          <w:tcPr>
            <w:tcW w:w="1433" w:type="dxa"/>
            <w:vMerge/>
            <w:tcBorders>
              <w:left w:val="single" w:sz="6" w:space="0" w:color="000000"/>
              <w:bottom w:val="single" w:sz="12" w:space="0" w:color="000000"/>
              <w:right w:val="single" w:sz="6" w:space="0" w:color="000000"/>
            </w:tcBorders>
          </w:tcPr>
          <w:p>
            <w:pP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3" w:type="dxa"/>
            <w:vMerge/>
            <w:tcBorders>
              <w:left w:val="single" w:sz="6" w:space="0" w:color="000000"/>
              <w:bottom w:val="single" w:sz="12" w:space="0" w:color="000000"/>
              <w:right w:val="single" w:sz="6" w:space="0" w:color="000000"/>
            </w:tcBorders>
          </w:tcPr>
          <w:p>
            <w:pPr/>
          </w:p>
        </w:tc>
        <w:tc>
          <w:tcPr>
            <w:tcW w:w="1433" w:type="dxa"/>
            <w:vMerge/>
            <w:tcBorders>
              <w:left w:val="single" w:sz="6" w:space="0" w:color="000000"/>
              <w:bottom w:val="single" w:sz="12" w:space="0" w:color="000000"/>
              <w:right w:val="single" w:sz="6" w:space="0" w:color="000000"/>
            </w:tcBorders>
          </w:tcPr>
          <w:p>
            <w:pPr/>
          </w:p>
        </w:tc>
        <w:tc>
          <w:tcPr>
            <w:tcW w:w="1433" w:type="dxa"/>
            <w:vMerge/>
            <w:tcBorders>
              <w:left w:val="single" w:sz="6" w:space="0" w:color="000000"/>
              <w:bottom w:val="single" w:sz="12" w:space="0" w:color="000000"/>
              <w:right w:val="nil" w:sz="6" w:space="0" w:color="auto"/>
            </w:tcBorders>
          </w:tcPr>
          <w:p>
            <w:pPr/>
          </w:p>
        </w:tc>
      </w:tr>
      <w:tr>
        <w:trPr>
          <w:trHeight w:val="665" w:hRule="exact"/>
        </w:trPr>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7"/>
              <w:jc w:val="left"/>
              <w:rPr>
                <w:rFonts w:ascii="宋体" w:hAnsi="宋体" w:cs="宋体" w:eastAsia="宋体" w:hint="default"/>
                <w:sz w:val="18"/>
                <w:szCs w:val="18"/>
              </w:rPr>
            </w:pPr>
            <w:r>
              <w:rPr>
                <w:rFonts w:ascii="宋体" w:hAnsi="宋体" w:cs="宋体" w:eastAsia="宋体" w:hint="default"/>
                <w:spacing w:val="19"/>
                <w:sz w:val="18"/>
                <w:szCs w:val="18"/>
              </w:rPr>
              <w:t>中软信息</w:t>
            </w:r>
            <w:r>
              <w:rPr>
                <w:rFonts w:ascii="宋体" w:hAnsi="宋体" w:cs="宋体" w:eastAsia="宋体" w:hint="default"/>
                <w:spacing w:val="-66"/>
                <w:sz w:val="18"/>
                <w:szCs w:val="18"/>
              </w:rPr>
              <w:t> </w:t>
            </w:r>
            <w:r>
              <w:rPr>
                <w:rFonts w:ascii="宋体" w:hAnsi="宋体" w:cs="宋体" w:eastAsia="宋体" w:hint="default"/>
                <w:spacing w:val="17"/>
                <w:sz w:val="18"/>
                <w:szCs w:val="18"/>
              </w:rPr>
              <w:t>系统工</w:t>
            </w:r>
            <w:r>
              <w:rPr>
                <w:rFonts w:ascii="宋体" w:hAnsi="宋体" w:cs="宋体" w:eastAsia="宋体" w:hint="default"/>
                <w:spacing w:val="-64"/>
                <w:sz w:val="18"/>
                <w:szCs w:val="18"/>
              </w:rPr>
              <w:t> </w:t>
            </w:r>
            <w:r>
              <w:rPr>
                <w:rFonts w:ascii="宋体" w:hAnsi="宋体" w:cs="宋体" w:eastAsia="宋体" w:hint="default"/>
                <w:sz w:val="18"/>
                <w:szCs w:val="18"/>
              </w:rPr>
              <w:t>程有限公司</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430,000.00</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18.94%</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665" w:hRule="exact"/>
        </w:trPr>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27"/>
              <w:jc w:val="left"/>
              <w:rPr>
                <w:rFonts w:ascii="宋体" w:hAnsi="宋体" w:cs="宋体" w:eastAsia="宋体" w:hint="default"/>
                <w:sz w:val="18"/>
                <w:szCs w:val="18"/>
              </w:rPr>
            </w:pPr>
            <w:r>
              <w:rPr>
                <w:rFonts w:ascii="宋体" w:hAnsi="宋体" w:cs="宋体" w:eastAsia="宋体" w:hint="default"/>
                <w:spacing w:val="19"/>
                <w:sz w:val="18"/>
                <w:szCs w:val="18"/>
              </w:rPr>
              <w:t>深圳市鑫</w:t>
            </w:r>
            <w:r>
              <w:rPr>
                <w:rFonts w:ascii="宋体" w:hAnsi="宋体" w:cs="宋体" w:eastAsia="宋体" w:hint="default"/>
                <w:spacing w:val="-66"/>
                <w:sz w:val="18"/>
                <w:szCs w:val="18"/>
              </w:rPr>
              <w:t> </w:t>
            </w:r>
            <w:r>
              <w:rPr>
                <w:rFonts w:ascii="宋体" w:hAnsi="宋体" w:cs="宋体" w:eastAsia="宋体" w:hint="default"/>
                <w:spacing w:val="17"/>
                <w:sz w:val="18"/>
                <w:szCs w:val="18"/>
              </w:rPr>
              <w:t>麒麟投</w:t>
            </w:r>
            <w:r>
              <w:rPr>
                <w:rFonts w:ascii="宋体" w:hAnsi="宋体" w:cs="宋体" w:eastAsia="宋体" w:hint="default"/>
                <w:spacing w:val="-64"/>
                <w:sz w:val="18"/>
                <w:szCs w:val="18"/>
              </w:rPr>
              <w:t> </w:t>
            </w:r>
            <w:r>
              <w:rPr>
                <w:rFonts w:ascii="宋体" w:hAnsi="宋体" w:cs="宋体" w:eastAsia="宋体" w:hint="default"/>
                <w:sz w:val="18"/>
                <w:szCs w:val="18"/>
              </w:rPr>
              <w:t>资咨询有限公司</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417,067.00</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18.37%</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974" w:hRule="exact"/>
        </w:trPr>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27"/>
              <w:jc w:val="both"/>
              <w:rPr>
                <w:rFonts w:ascii="宋体" w:hAnsi="宋体" w:cs="宋体" w:eastAsia="宋体" w:hint="default"/>
                <w:sz w:val="18"/>
                <w:szCs w:val="18"/>
              </w:rPr>
            </w:pPr>
            <w:r>
              <w:rPr>
                <w:rFonts w:ascii="宋体" w:hAnsi="宋体" w:cs="宋体" w:eastAsia="宋体" w:hint="default"/>
                <w:spacing w:val="19"/>
                <w:sz w:val="18"/>
                <w:szCs w:val="18"/>
              </w:rPr>
              <w:t>北京信息</w:t>
            </w:r>
            <w:r>
              <w:rPr>
                <w:rFonts w:ascii="宋体" w:hAnsi="宋体" w:cs="宋体" w:eastAsia="宋体" w:hint="default"/>
                <w:spacing w:val="-66"/>
                <w:sz w:val="18"/>
                <w:szCs w:val="18"/>
              </w:rPr>
              <w:t> </w:t>
            </w:r>
            <w:r>
              <w:rPr>
                <w:rFonts w:ascii="宋体" w:hAnsi="宋体" w:cs="宋体" w:eastAsia="宋体" w:hint="default"/>
                <w:spacing w:val="17"/>
                <w:sz w:val="18"/>
                <w:szCs w:val="18"/>
              </w:rPr>
              <w:t>基础设</w:t>
            </w:r>
            <w:r>
              <w:rPr>
                <w:rFonts w:ascii="宋体" w:hAnsi="宋体" w:cs="宋体" w:eastAsia="宋体" w:hint="default"/>
                <w:spacing w:val="-64"/>
                <w:sz w:val="18"/>
                <w:szCs w:val="18"/>
              </w:rPr>
              <w:t> </w:t>
            </w:r>
            <w:r>
              <w:rPr>
                <w:rFonts w:ascii="宋体" w:hAnsi="宋体" w:cs="宋体" w:eastAsia="宋体" w:hint="default"/>
                <w:spacing w:val="19"/>
                <w:sz w:val="18"/>
                <w:szCs w:val="18"/>
              </w:rPr>
              <w:t>施建设股</w:t>
            </w:r>
            <w:r>
              <w:rPr>
                <w:rFonts w:ascii="宋体" w:hAnsi="宋体" w:cs="宋体" w:eastAsia="宋体" w:hint="default"/>
                <w:spacing w:val="-66"/>
                <w:sz w:val="18"/>
                <w:szCs w:val="18"/>
              </w:rPr>
              <w:t> </w:t>
            </w:r>
            <w:r>
              <w:rPr>
                <w:rFonts w:ascii="宋体" w:hAnsi="宋体" w:cs="宋体" w:eastAsia="宋体" w:hint="default"/>
                <w:spacing w:val="17"/>
                <w:sz w:val="18"/>
                <w:szCs w:val="18"/>
              </w:rPr>
              <w:t>份有限</w:t>
            </w:r>
            <w:r>
              <w:rPr>
                <w:rFonts w:ascii="宋体" w:hAnsi="宋体" w:cs="宋体" w:eastAsia="宋体" w:hint="default"/>
                <w:spacing w:val="-64"/>
                <w:sz w:val="18"/>
                <w:szCs w:val="18"/>
              </w:rPr>
              <w:t> </w:t>
            </w:r>
            <w:r>
              <w:rPr>
                <w:rFonts w:ascii="宋体" w:hAnsi="宋体" w:cs="宋体" w:eastAsia="宋体" w:hint="default"/>
                <w:sz w:val="18"/>
                <w:szCs w:val="18"/>
              </w:rPr>
              <w:t>公司</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412,054.49</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18.15%</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665" w:hRule="exact"/>
        </w:trPr>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7"/>
              <w:jc w:val="left"/>
              <w:rPr>
                <w:rFonts w:ascii="宋体" w:hAnsi="宋体" w:cs="宋体" w:eastAsia="宋体" w:hint="default"/>
                <w:sz w:val="18"/>
                <w:szCs w:val="18"/>
              </w:rPr>
            </w:pPr>
            <w:r>
              <w:rPr>
                <w:rFonts w:ascii="宋体" w:hAnsi="宋体" w:cs="宋体" w:eastAsia="宋体" w:hint="default"/>
                <w:spacing w:val="19"/>
                <w:sz w:val="18"/>
                <w:szCs w:val="18"/>
              </w:rPr>
              <w:t>深圳海思</w:t>
            </w:r>
            <w:r>
              <w:rPr>
                <w:rFonts w:ascii="宋体" w:hAnsi="宋体" w:cs="宋体" w:eastAsia="宋体" w:hint="default"/>
                <w:spacing w:val="-66"/>
                <w:sz w:val="18"/>
                <w:szCs w:val="18"/>
              </w:rPr>
              <w:t> </w:t>
            </w:r>
            <w:r>
              <w:rPr>
                <w:rFonts w:ascii="宋体" w:hAnsi="宋体" w:cs="宋体" w:eastAsia="宋体" w:hint="default"/>
                <w:spacing w:val="17"/>
                <w:sz w:val="18"/>
                <w:szCs w:val="18"/>
              </w:rPr>
              <w:t>半导体</w:t>
            </w:r>
            <w:r>
              <w:rPr>
                <w:rFonts w:ascii="宋体" w:hAnsi="宋体" w:cs="宋体" w:eastAsia="宋体" w:hint="default"/>
                <w:spacing w:val="-64"/>
                <w:sz w:val="18"/>
                <w:szCs w:val="18"/>
              </w:rPr>
              <w:t> </w:t>
            </w:r>
            <w:r>
              <w:rPr>
                <w:rFonts w:ascii="宋体" w:hAnsi="宋体" w:cs="宋体" w:eastAsia="宋体" w:hint="default"/>
                <w:sz w:val="18"/>
                <w:szCs w:val="18"/>
              </w:rPr>
              <w:t>有限公司</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176,052.98</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7.75%</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977" w:hRule="exact"/>
        </w:trPr>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27"/>
              <w:jc w:val="both"/>
              <w:rPr>
                <w:rFonts w:ascii="宋体" w:hAnsi="宋体" w:cs="宋体" w:eastAsia="宋体" w:hint="default"/>
                <w:sz w:val="18"/>
                <w:szCs w:val="18"/>
              </w:rPr>
            </w:pPr>
            <w:r>
              <w:rPr>
                <w:rFonts w:ascii="宋体" w:hAnsi="宋体" w:cs="宋体" w:eastAsia="宋体" w:hint="default"/>
                <w:spacing w:val="19"/>
                <w:sz w:val="18"/>
                <w:szCs w:val="18"/>
              </w:rPr>
              <w:t>重庆市浩</w:t>
            </w:r>
            <w:r>
              <w:rPr>
                <w:rFonts w:ascii="宋体" w:hAnsi="宋体" w:cs="宋体" w:eastAsia="宋体" w:hint="default"/>
                <w:spacing w:val="-66"/>
                <w:sz w:val="18"/>
                <w:szCs w:val="18"/>
              </w:rPr>
              <w:t> </w:t>
            </w:r>
            <w:r>
              <w:rPr>
                <w:rFonts w:ascii="宋体" w:hAnsi="宋体" w:cs="宋体" w:eastAsia="宋体" w:hint="default"/>
                <w:spacing w:val="17"/>
                <w:sz w:val="18"/>
                <w:szCs w:val="18"/>
              </w:rPr>
              <w:t>鹏软件</w:t>
            </w:r>
            <w:r>
              <w:rPr>
                <w:rFonts w:ascii="宋体" w:hAnsi="宋体" w:cs="宋体" w:eastAsia="宋体" w:hint="default"/>
                <w:spacing w:val="-64"/>
                <w:sz w:val="18"/>
                <w:szCs w:val="18"/>
              </w:rPr>
              <w:t> </w:t>
            </w:r>
            <w:r>
              <w:rPr>
                <w:rFonts w:ascii="宋体" w:hAnsi="宋体" w:cs="宋体" w:eastAsia="宋体" w:hint="default"/>
                <w:spacing w:val="19"/>
                <w:sz w:val="18"/>
                <w:szCs w:val="18"/>
              </w:rPr>
              <w:t>技术开发</w:t>
            </w:r>
            <w:r>
              <w:rPr>
                <w:rFonts w:ascii="宋体" w:hAnsi="宋体" w:cs="宋体" w:eastAsia="宋体" w:hint="default"/>
                <w:spacing w:val="-66"/>
                <w:sz w:val="18"/>
                <w:szCs w:val="18"/>
              </w:rPr>
              <w:t> </w:t>
            </w:r>
            <w:r>
              <w:rPr>
                <w:rFonts w:ascii="宋体" w:hAnsi="宋体" w:cs="宋体" w:eastAsia="宋体" w:hint="default"/>
                <w:spacing w:val="17"/>
                <w:sz w:val="18"/>
                <w:szCs w:val="18"/>
              </w:rPr>
              <w:t>有限公</w:t>
            </w:r>
            <w:r>
              <w:rPr>
                <w:rFonts w:ascii="宋体" w:hAnsi="宋体" w:cs="宋体" w:eastAsia="宋体" w:hint="default"/>
                <w:spacing w:val="-64"/>
                <w:sz w:val="18"/>
                <w:szCs w:val="18"/>
              </w:rPr>
              <w:t> </w:t>
            </w:r>
            <w:r>
              <w:rPr>
                <w:rFonts w:ascii="宋体" w:hAnsi="宋体" w:cs="宋体" w:eastAsia="宋体" w:hint="default"/>
                <w:sz w:val="18"/>
                <w:szCs w:val="18"/>
              </w:rPr>
              <w:t>司</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150,000.00</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6.61%</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1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3" w:hRule="exact"/>
        </w:trPr>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1,585,174.47</w:t>
            </w:r>
            <w:r>
              <w:rPr>
                <w:rFonts w:ascii="Times New Roman"/>
                <w:sz w:val="18"/>
              </w:rPr>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69.82%</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Heading4"/>
        <w:spacing w:line="516" w:lineRule="auto" w:before="94"/>
        <w:ind w:right="0"/>
        <w:jc w:val="left"/>
      </w:pPr>
      <w:r>
        <w:rPr>
          <w:spacing w:val="-2"/>
        </w:rPr>
        <w:t>本报告期预付账款中无持本公司</w:t>
      </w:r>
      <w:r>
        <w:rPr>
          <w:rFonts w:ascii="Times New Roman" w:hAnsi="Times New Roman" w:cs="Times New Roman" w:eastAsia="Times New Roman" w:hint="default"/>
          <w:spacing w:val="-2"/>
        </w:rPr>
        <w:t>5%</w:t>
      </w:r>
      <w:r>
        <w:rPr>
          <w:spacing w:val="-2"/>
        </w:rPr>
        <w:t>以上（含</w:t>
      </w:r>
      <w:r>
        <w:rPr>
          <w:rFonts w:ascii="Times New Roman" w:hAnsi="Times New Roman" w:cs="Times New Roman" w:eastAsia="Times New Roman" w:hint="default"/>
          <w:spacing w:val="-2"/>
        </w:rPr>
        <w:t>5%</w:t>
      </w:r>
      <w:r>
        <w:rPr>
          <w:spacing w:val="-2"/>
        </w:rPr>
        <w:t>）表决权的股东单位款项。</w:t>
      </w:r>
      <w:r>
        <w:rPr>
          <w:spacing w:val="-43"/>
        </w:rPr>
        <w:t> </w:t>
      </w:r>
      <w:r>
        <w:rPr>
          <w:spacing w:val="-43"/>
        </w:rPr>
      </w:r>
      <w:r>
        <w:rPr/>
        <w:t>本报告期预付账款中无其他关联方的款项。</w:t>
      </w:r>
    </w:p>
    <w:p>
      <w:pPr>
        <w:pStyle w:val="Heading3"/>
        <w:spacing w:line="240" w:lineRule="auto" w:before="95"/>
        <w:ind w:right="0"/>
        <w:jc w:val="left"/>
        <w:rPr>
          <w:b w:val="0"/>
          <w:bCs w:val="0"/>
        </w:rPr>
      </w:pPr>
      <w:bookmarkStart w:name="7、应收利息" w:id="198"/>
      <w:bookmarkEnd w:id="19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199"/>
      <w:bookmarkEnd w:id="19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重要逾期利息" w:id="200"/>
      <w:bookmarkEnd w:id="20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8、应收股利" w:id="201"/>
      <w:bookmarkEnd w:id="20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02"/>
      <w:bookmarkEnd w:id="202"/>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的账龄超过1年的应收股利" w:id="203"/>
      <w:bookmarkEnd w:id="203"/>
      <w:r>
        <w:rPr>
          <w:b w:val="0"/>
          <w:bCs w:val="0"/>
        </w:rPr>
      </w: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9、其他应收款" w:id="204"/>
      <w:bookmarkEnd w:id="20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05"/>
      <w:bookmarkEnd w:id="20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3,211,54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3,178,740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6,153,8</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80.22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6,153,880.2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3,211,54</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3,178,740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6,153,8</w:t>
            </w:r>
          </w:p>
          <w:p>
            <w:pPr>
              <w:pStyle w:val="TableParagraph"/>
              <w:spacing w:line="240" w:lineRule="auto" w:before="102"/>
              <w:ind w:left="199" w:right="0"/>
              <w:jc w:val="center"/>
              <w:rPr>
                <w:rFonts w:ascii="Times New Roman" w:hAnsi="Times New Roman" w:cs="Times New Roman" w:eastAsia="Times New Roman" w:hint="default"/>
                <w:sz w:val="18"/>
                <w:szCs w:val="18"/>
              </w:rPr>
            </w:pPr>
            <w:r>
              <w:rPr>
                <w:rFonts w:ascii="Times New Roman"/>
                <w:sz w:val="18"/>
              </w:rPr>
              <w:t>80.22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6,153,880.2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7178"/>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06"/>
      <w:bookmarkEnd w:id="2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10"/>
        <w:jc w:val="left"/>
      </w:pPr>
      <w:r>
        <w:rPr/>
        <w:t>本期计提坏账准备金额</w:t>
      </w:r>
      <w:r>
        <w:rPr>
          <w:spacing w:val="-47"/>
        </w:rPr>
        <w:t> </w:t>
      </w:r>
      <w:r>
        <w:rPr>
          <w:rFonts w:ascii="Times New Roman" w:hAnsi="Times New Roman" w:cs="Times New Roman" w:eastAsia="Times New Roman" w:hint="default"/>
        </w:rPr>
        <w:t>32,800.00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232" w:space="2595"/>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4"/>
        <w:spacing w:line="273" w:lineRule="auto"/>
        <w:ind w:left="152" w:right="0" w:firstLine="424"/>
        <w:jc w:val="left"/>
      </w:pPr>
      <w:r>
        <w:rPr>
          <w:spacing w:val="-2"/>
        </w:rPr>
        <w:t>公司不存在本报告期前已全额计提坏账准备，或计提减值准备的比例较大，但在本报告期又全额收回</w:t>
      </w:r>
      <w:r>
        <w:rPr>
          <w:w w:val="100"/>
        </w:rPr>
        <w:t> </w:t>
      </w:r>
      <w:r>
        <w:rPr/>
        <w:t>或转回，或在本报告期收回或转回比例较大的其他应收款情况。</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3）本期实际核销的其他应收款情况" w:id="207"/>
      <w:bookmarkEnd w:id="20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pStyle w:val="Heading4"/>
        <w:spacing w:line="240" w:lineRule="auto" w:before="96"/>
        <w:ind w:right="0"/>
        <w:jc w:val="left"/>
      </w:pPr>
      <w:r>
        <w:rPr/>
        <w:t>公司于本报告期内无核销其他应收款。</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应收款按款项性质分类情况" w:id="208"/>
      <w:bookmarkEnd w:id="20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814,274.15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435,785.60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1,137,421.00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1,718,696.71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634,816.25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698,244.00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首次公开发行直接相关的费用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3,167,950.86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461,029.16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133,203.05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3,211,540.56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6,153,880.22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按欠款方归集的期末余额前五名的其他应收款情况" w:id="209"/>
      <w:bookmarkEnd w:id="20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中国人民银行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345,395.00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10.13%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海关总署物资装备 采购中心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北京信息基础设施 建设股份有限公司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271,025.75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广州思必达计算机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5.11%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1,258,920.75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39.20%</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210"/>
      <w:bookmarkEnd w:id="21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因金融资产转移而终止确认的其他应收款" w:id="211"/>
      <w:bookmarkEnd w:id="21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12"/>
      <w:bookmarkEnd w:id="21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pStyle w:val="Heading4"/>
        <w:spacing w:line="256" w:lineRule="auto" w:before="96"/>
        <w:ind w:right="0"/>
        <w:jc w:val="left"/>
      </w:pPr>
      <w:r>
        <w:rPr>
          <w:spacing w:val="-2"/>
        </w:rPr>
        <w:t>本报告期其他应收款中无持本公司</w:t>
      </w:r>
      <w:r>
        <w:rPr>
          <w:rFonts w:ascii="Times New Roman" w:hAnsi="Times New Roman" w:cs="Times New Roman" w:eastAsia="Times New Roman" w:hint="default"/>
          <w:spacing w:val="-2"/>
        </w:rPr>
        <w:t>5%</w:t>
      </w:r>
      <w:r>
        <w:rPr>
          <w:spacing w:val="-2"/>
        </w:rPr>
        <w:t>以上（含</w:t>
      </w:r>
      <w:r>
        <w:rPr>
          <w:rFonts w:ascii="Times New Roman" w:hAnsi="Times New Roman" w:cs="Times New Roman" w:eastAsia="Times New Roman" w:hint="default"/>
          <w:spacing w:val="-2"/>
        </w:rPr>
        <w:t>5%</w:t>
      </w:r>
      <w:r>
        <w:rPr>
          <w:spacing w:val="-2"/>
        </w:rPr>
        <w:t>）表决权的股东欠款情况。</w:t>
      </w:r>
      <w:r>
        <w:rPr>
          <w:spacing w:val="-40"/>
        </w:rPr>
        <w:t> </w:t>
      </w:r>
      <w:r>
        <w:rPr>
          <w:spacing w:val="-40"/>
        </w:rPr>
      </w:r>
      <w:r>
        <w:rPr/>
        <w:t>本报告期内，本公司无应收其他关联方款项情况。</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10、存货" w:id="213"/>
      <w:bookmarkEnd w:id="213"/>
      <w:r>
        <w:rPr>
          <w:b w:val="0"/>
          <w:bCs w:val="0"/>
        </w:rPr>
      </w: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14"/>
      <w:bookmarkEnd w:id="21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2,155,382.17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2,155,382.17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817,022.34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817,022.34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2,972,404.51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2,972,404.51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15"/>
      <w:bookmarkEnd w:id="21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16"/>
      <w:bookmarkEnd w:id="21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17"/>
      <w:bookmarkEnd w:id="21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1、划分为持有待售的资产" w:id="218"/>
      <w:bookmarkEnd w:id="218"/>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2、一年内到期的非流动资产" w:id="219"/>
      <w:bookmarkEnd w:id="21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办公场地装修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125,424.49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605,997.03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JavaEE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技术支持费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1,247,148.19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317,860.82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1,372,572.68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923,857.85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3、其他流动资产" w:id="220"/>
      <w:bookmarkEnd w:id="22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729,812.31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66,018.90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  值 </w:t>
            </w:r>
            <w:r>
              <w:rPr>
                <w:rFonts w:ascii="宋体" w:hAnsi="宋体" w:cs="宋体" w:eastAsia="宋体" w:hint="default"/>
                <w:spacing w:val="1"/>
                <w:sz w:val="18"/>
                <w:szCs w:val="18"/>
              </w:rPr>
              <w:t> </w:t>
            </w:r>
            <w:r>
              <w:rPr>
                <w:rFonts w:ascii="宋体" w:hAnsi="宋体" w:cs="宋体" w:eastAsia="宋体" w:hint="default"/>
                <w:sz w:val="18"/>
                <w:szCs w:val="18"/>
              </w:rPr>
              <w:t>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4,170.57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733,982.88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66,018.90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pStyle w:val="Heading4"/>
        <w:spacing w:line="240" w:lineRule="auto" w:before="96"/>
        <w:ind w:left="0" w:right="143"/>
        <w:jc w:val="righ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日，应交税费（企业所得税）借方余额</w:t>
      </w:r>
      <w:r>
        <w:rPr>
          <w:rFonts w:ascii="Times New Roman" w:hAnsi="Times New Roman" w:cs="Times New Roman" w:eastAsia="Times New Roman" w:hint="default"/>
          <w:spacing w:val="3"/>
        </w:rPr>
        <w:t>729,812.31</w:t>
      </w:r>
      <w:r>
        <w:rPr>
          <w:spacing w:val="3"/>
        </w:rPr>
        <w:t>元，是母公司</w:t>
      </w:r>
      <w:r>
        <w:rPr>
          <w:rFonts w:ascii="Times New Roman" w:hAnsi="Times New Roman" w:cs="Times New Roman" w:eastAsia="Times New Roman" w:hint="default"/>
          <w:spacing w:val="3"/>
        </w:rPr>
        <w:t>2011</w:t>
      </w:r>
      <w:r>
        <w:rPr>
          <w:spacing w:val="3"/>
        </w:rPr>
        <w:t>年多缴的所得税</w:t>
      </w:r>
      <w:r>
        <w:rPr/>
      </w:r>
    </w:p>
    <w:p>
      <w:pPr>
        <w:pStyle w:val="Heading4"/>
        <w:spacing w:line="256" w:lineRule="auto" w:before="21"/>
        <w:ind w:left="152" w:right="0"/>
        <w:jc w:val="left"/>
      </w:pPr>
      <w:r>
        <w:rPr>
          <w:rFonts w:ascii="Times New Roman" w:hAnsi="Times New Roman" w:cs="Times New Roman" w:eastAsia="Times New Roman" w:hint="default"/>
        </w:rPr>
        <w:t>3,714,013.45</w:t>
      </w:r>
      <w:r>
        <w:rPr/>
        <w:t>元及母公司</w:t>
      </w:r>
      <w:r>
        <w:rPr>
          <w:rFonts w:ascii="Times New Roman" w:hAnsi="Times New Roman" w:cs="Times New Roman" w:eastAsia="Times New Roman" w:hint="default"/>
        </w:rPr>
        <w:t>2014</w:t>
      </w:r>
      <w:r>
        <w:rPr/>
        <w:t>年已预缴的所得税</w:t>
      </w:r>
      <w:r>
        <w:rPr>
          <w:rFonts w:ascii="Times New Roman" w:hAnsi="Times New Roman" w:cs="Times New Roman" w:eastAsia="Times New Roman" w:hint="default"/>
        </w:rPr>
        <w:t>619,904.78</w:t>
      </w:r>
      <w:r>
        <w:rPr/>
        <w:t>元与</w:t>
      </w:r>
      <w:r>
        <w:rPr>
          <w:rFonts w:ascii="Times New Roman" w:hAnsi="Times New Roman" w:cs="Times New Roman" w:eastAsia="Times New Roman" w:hint="default"/>
        </w:rPr>
        <w:t>2014</w:t>
      </w:r>
      <w:r>
        <w:rPr/>
        <w:t>年母公司应缴所得税</w:t>
      </w:r>
      <w:r>
        <w:rPr>
          <w:rFonts w:ascii="Times New Roman" w:hAnsi="Times New Roman" w:cs="Times New Roman" w:eastAsia="Times New Roman" w:hint="default"/>
        </w:rPr>
        <w:t>3,604,105.92</w:t>
      </w:r>
      <w:r>
        <w:rPr/>
        <w:t>元的</w:t>
      </w:r>
      <w:r>
        <w:rPr>
          <w:spacing w:val="60"/>
        </w:rPr>
        <w:t> </w:t>
      </w:r>
      <w:r>
        <w:rPr/>
        <w:t>差额。</w:t>
      </w:r>
    </w:p>
    <w:p>
      <w:pPr>
        <w:spacing w:line="240" w:lineRule="auto" w:before="7"/>
        <w:rPr>
          <w:rFonts w:ascii="宋体" w:hAnsi="宋体" w:cs="宋体" w:eastAsia="宋体" w:hint="default"/>
          <w:sz w:val="25"/>
          <w:szCs w:val="25"/>
        </w:rPr>
      </w:pPr>
    </w:p>
    <w:p>
      <w:pPr>
        <w:pStyle w:val="Heading4"/>
        <w:spacing w:line="240" w:lineRule="auto"/>
        <w:ind w:left="0" w:right="151"/>
        <w:jc w:val="right"/>
      </w:pP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日，应交税费（企业所得税）借方余额</w:t>
      </w:r>
      <w:r>
        <w:rPr>
          <w:rFonts w:ascii="Times New Roman" w:hAnsi="Times New Roman" w:cs="Times New Roman" w:eastAsia="Times New Roman" w:hint="default"/>
          <w:spacing w:val="5"/>
        </w:rPr>
        <w:t>66,018.90</w:t>
      </w:r>
      <w:r>
        <w:rPr>
          <w:spacing w:val="5"/>
        </w:rPr>
        <w:t>元，是母公司</w:t>
      </w:r>
      <w:r>
        <w:rPr>
          <w:rFonts w:ascii="Times New Roman" w:hAnsi="Times New Roman" w:cs="Times New Roman" w:eastAsia="Times New Roman" w:hint="default"/>
          <w:spacing w:val="5"/>
        </w:rPr>
        <w:t>2011</w:t>
      </w:r>
      <w:r>
        <w:rPr>
          <w:spacing w:val="5"/>
        </w:rPr>
        <w:t>年多缴的所得税</w:t>
      </w:r>
    </w:p>
    <w:p>
      <w:pPr>
        <w:pStyle w:val="Heading4"/>
        <w:spacing w:line="256" w:lineRule="auto" w:before="21"/>
        <w:ind w:left="152" w:right="0"/>
        <w:jc w:val="left"/>
      </w:pPr>
      <w:r>
        <w:rPr>
          <w:rFonts w:ascii="Times New Roman" w:hAnsi="Times New Roman" w:cs="Times New Roman" w:eastAsia="Times New Roman" w:hint="default"/>
          <w:spacing w:val="-2"/>
        </w:rPr>
        <w:t>3,714,013.45</w:t>
      </w:r>
      <w:r>
        <w:rPr>
          <w:spacing w:val="-2"/>
        </w:rPr>
        <w:t>元及子公司上海东方通泰软件科技有限公司</w:t>
      </w:r>
      <w:r>
        <w:rPr>
          <w:rFonts w:ascii="Times New Roman" w:hAnsi="Times New Roman" w:cs="Times New Roman" w:eastAsia="Times New Roman" w:hint="default"/>
          <w:spacing w:val="-2"/>
        </w:rPr>
        <w:t>2013</w:t>
      </w:r>
      <w:r>
        <w:rPr>
          <w:spacing w:val="-2"/>
        </w:rPr>
        <w:t>年多缴的所得税</w:t>
      </w:r>
      <w:r>
        <w:rPr>
          <w:rFonts w:ascii="Times New Roman" w:hAnsi="Times New Roman" w:cs="Times New Roman" w:eastAsia="Times New Roman" w:hint="default"/>
          <w:spacing w:val="-2"/>
        </w:rPr>
        <w:t>786.25</w:t>
      </w:r>
      <w:r>
        <w:rPr>
          <w:spacing w:val="-2"/>
        </w:rPr>
        <w:t>元，以及母公司</w:t>
      </w:r>
      <w:r>
        <w:rPr>
          <w:rFonts w:ascii="Times New Roman" w:hAnsi="Times New Roman" w:cs="Times New Roman" w:eastAsia="Times New Roman" w:hint="default"/>
          <w:spacing w:val="-2"/>
        </w:rPr>
        <w:t>2013</w:t>
      </w:r>
      <w:r>
        <w:rPr>
          <w:spacing w:val="-2"/>
        </w:rPr>
        <w:t>年</w:t>
      </w:r>
      <w:r>
        <w:rPr>
          <w:spacing w:val="-22"/>
        </w:rPr>
        <w:t> </w:t>
      </w:r>
      <w:r>
        <w:rPr/>
        <w:t>已预缴的所得税</w:t>
      </w:r>
      <w:r>
        <w:rPr>
          <w:rFonts w:ascii="Times New Roman" w:hAnsi="Times New Roman" w:cs="Times New Roman" w:eastAsia="Times New Roman" w:hint="default"/>
        </w:rPr>
        <w:t>22,707.93</w:t>
      </w:r>
      <w:r>
        <w:rPr/>
        <w:t>元，减除母公司</w:t>
      </w:r>
      <w:r>
        <w:rPr>
          <w:rFonts w:ascii="Times New Roman" w:hAnsi="Times New Roman" w:cs="Times New Roman" w:eastAsia="Times New Roman" w:hint="default"/>
        </w:rPr>
        <w:t>2013</w:t>
      </w:r>
      <w:r>
        <w:rPr/>
        <w:t>年应交所得税</w:t>
      </w:r>
      <w:r>
        <w:rPr>
          <w:rFonts w:ascii="Times New Roman" w:hAnsi="Times New Roman" w:cs="Times New Roman" w:eastAsia="Times New Roman" w:hint="default"/>
        </w:rPr>
        <w:t>3,671,488.73</w:t>
      </w:r>
      <w:r>
        <w:rPr/>
        <w:t>元的差额。</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14、可供出售金融资产" w:id="221"/>
      <w:bookmarkEnd w:id="22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22"/>
      <w:bookmarkEnd w:id="22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5"/>
        <w:gridCol w:w="1198"/>
        <w:gridCol w:w="1195"/>
        <w:gridCol w:w="1248"/>
        <w:gridCol w:w="1368"/>
        <w:gridCol w:w="13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按公允价值计量的可供出售金融资产" w:id="223"/>
      <w:bookmarkEnd w:id="22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7"/>
        <w:gridCol w:w="1915"/>
        <w:gridCol w:w="1915"/>
        <w:gridCol w:w="1915"/>
        <w:gridCol w:w="1915"/>
      </w:tblGrid>
      <w:tr>
        <w:trPr>
          <w:trHeight w:val="715" w:hRule="exact"/>
        </w:trPr>
        <w:tc>
          <w:tcPr>
            <w:tcW w:w="19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15" w:right="23" w:hanging="384"/>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按成本计量的可供出售金融资产" w:id="224"/>
      <w:bookmarkEnd w:id="22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上海软件 产业促进 中心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12.50%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报告期内可供出售金融资产减值的变动情况" w:id="225"/>
      <w:bookmarkEnd w:id="22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5"/>
        <w:gridCol w:w="1330"/>
        <w:gridCol w:w="1327"/>
        <w:gridCol w:w="1327"/>
        <w:gridCol w:w="1327"/>
        <w:gridCol w:w="1330"/>
      </w:tblGrid>
      <w:tr>
        <w:trPr>
          <w:trHeight w:val="403" w:hRule="exact"/>
        </w:trPr>
        <w:tc>
          <w:tcPr>
            <w:tcW w:w="16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7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期初已计提减值</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其中：从其他综</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其中：期后公允</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期末已计提减值</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2"/>
        <w:gridCol w:w="1325"/>
        <w:gridCol w:w="1330"/>
        <w:gridCol w:w="1327"/>
        <w:gridCol w:w="1327"/>
        <w:gridCol w:w="1327"/>
        <w:gridCol w:w="1330"/>
      </w:tblGrid>
      <w:tr>
        <w:trPr>
          <w:trHeight w:val="362" w:hRule="exact"/>
        </w:trPr>
        <w:tc>
          <w:tcPr>
            <w:tcW w:w="16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分类</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价值回升转回</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可供出售权益工具期末公允价值严重下跌或非暂时性下跌但未计提减值准备的相关说" w:id="226"/>
      <w:bookmarkEnd w:id="22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5、持有至到期投资" w:id="227"/>
      <w:bookmarkEnd w:id="22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28"/>
      <w:bookmarkEnd w:id="22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重要的持有至到期投资" w:id="229"/>
      <w:bookmarkEnd w:id="22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重分类的持有至到期投资" w:id="230"/>
      <w:bookmarkEnd w:id="23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6、长期应收款" w:id="231"/>
      <w:bookmarkEnd w:id="23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32"/>
      <w:bookmarkEnd w:id="23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因金融资产转移而终止确认的长期应收款" w:id="233"/>
      <w:bookmarkEnd w:id="23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34"/>
      <w:bookmarkEnd w:id="23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7、长期股权投资" w:id="235"/>
      <w:bookmarkEnd w:id="23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北京核高 基软件有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308,219.3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9,350.64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308,219.3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9,350.64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308,219.3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9,350.64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Heading4"/>
        <w:spacing w:line="261" w:lineRule="auto" w:before="94"/>
        <w:ind w:left="152" w:right="128" w:firstLine="424"/>
        <w:jc w:val="both"/>
      </w:pPr>
      <w:r>
        <w:rPr>
          <w:spacing w:val="-2"/>
        </w:rPr>
        <w:t>北京核高基软件有限公司系由本公司、北京中科红旗软件技术有限公司和北京人大金仓信息技术股份</w:t>
      </w:r>
      <w:r>
        <w:rPr>
          <w:w w:val="100"/>
        </w:rPr>
        <w:t> </w:t>
      </w:r>
      <w:r>
        <w:rPr/>
        <w:t>有限公司共同出资组建，注册资本人民币</w:t>
      </w:r>
      <w:r>
        <w:rPr>
          <w:rFonts w:ascii="Times New Roman" w:hAnsi="Times New Roman" w:cs="Times New Roman" w:eastAsia="Times New Roman" w:hint="default"/>
        </w:rPr>
        <w:t>150</w:t>
      </w:r>
      <w:r>
        <w:rPr/>
        <w:t>万元，各股东分别以货币资金出资</w:t>
      </w:r>
      <w:r>
        <w:rPr>
          <w:rFonts w:ascii="Times New Roman" w:hAnsi="Times New Roman" w:cs="Times New Roman" w:eastAsia="Times New Roman" w:hint="default"/>
        </w:rPr>
        <w:t>50</w:t>
      </w:r>
      <w:r>
        <w:rPr/>
        <w:t>万元，该事项已由天华</w:t>
      </w:r>
      <w:r>
        <w:rPr>
          <w:spacing w:val="-28"/>
        </w:rPr>
        <w:t> </w:t>
      </w:r>
      <w:r>
        <w:rPr>
          <w:spacing w:val="-28"/>
        </w:rPr>
      </w:r>
      <w:r>
        <w:rPr>
          <w:spacing w:val="-2"/>
        </w:rPr>
        <w:t>正信（北京）会计师事务所有限公司于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日以天华正信验字</w:t>
      </w:r>
      <w:r>
        <w:rPr>
          <w:rFonts w:ascii="Times New Roman" w:hAnsi="Times New Roman" w:cs="Times New Roman" w:eastAsia="Times New Roman" w:hint="default"/>
          <w:spacing w:val="-2"/>
        </w:rPr>
        <w:t>[2008]</w:t>
      </w:r>
      <w:r>
        <w:rPr>
          <w:spacing w:val="-2"/>
        </w:rPr>
        <w:t>第</w:t>
      </w:r>
      <w:r>
        <w:rPr>
          <w:rFonts w:ascii="Times New Roman" w:hAnsi="Times New Roman" w:cs="Times New Roman" w:eastAsia="Times New Roman" w:hint="default"/>
          <w:spacing w:val="-2"/>
        </w:rPr>
        <w:t>1-46</w:t>
      </w:r>
      <w:r>
        <w:rPr>
          <w:spacing w:val="-2"/>
        </w:rPr>
        <w:t>号验资报告予以验证。</w:t>
      </w:r>
      <w:r>
        <w:rPr>
          <w:spacing w:val="-7"/>
        </w:rPr>
        <w:t> </w:t>
      </w:r>
      <w:r>
        <w:rPr>
          <w:spacing w:val="-7"/>
        </w:rPr>
      </w:r>
      <w:r>
        <w:rPr/>
        <w:t>该公司于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日在北京市工商行政管理局海淀分局领取注册号为</w:t>
      </w:r>
      <w:r>
        <w:rPr>
          <w:rFonts w:ascii="Times New Roman" w:hAnsi="Times New Roman" w:cs="Times New Roman" w:eastAsia="Times New Roman" w:hint="default"/>
        </w:rPr>
        <w:t>110108010781219</w:t>
      </w:r>
      <w:r>
        <w:rPr/>
        <w:t>号企业法人营</w:t>
      </w:r>
      <w:r>
        <w:rPr>
          <w:spacing w:val="60"/>
        </w:rPr>
        <w:t> </w:t>
      </w:r>
      <w:r>
        <w:rPr>
          <w:spacing w:val="60"/>
        </w:rPr>
      </w:r>
      <w:r>
        <w:rPr/>
        <w:t>业执照。经营期限为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18、投资性房地产" w:id="236"/>
      <w:bookmarkEnd w:id="23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37"/>
      <w:bookmarkEnd w:id="23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投资性房地产" w:id="238"/>
      <w:bookmarkEnd w:id="23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39"/>
      <w:bookmarkEnd w:id="23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after="0" w:line="240" w:lineRule="auto"/>
        <w:jc w:val="left"/>
        <w:sectPr>
          <w:footerReference w:type="default" r:id="rId38"/>
          <w:pgSz w:w="11910" w:h="16840"/>
          <w:pgMar w:footer="982" w:header="745" w:top="1060" w:bottom="1180" w:left="980" w:right="98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9、固定资产" w:id="240"/>
      <w:bookmarkEnd w:id="24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41"/>
      <w:bookmarkEnd w:id="24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31"/>
        <w:gridCol w:w="1198"/>
        <w:gridCol w:w="1195"/>
        <w:gridCol w:w="1195"/>
        <w:gridCol w:w="1195"/>
        <w:gridCol w:w="1286"/>
        <w:gridCol w:w="1368"/>
      </w:tblGrid>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30,550,098.08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30,550,098.08</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958,833.40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2,365,543.00</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3,324,376.40</w:t>
            </w:r>
            <w:r>
              <w:rPr>
                <w:rFonts w:ascii="Times New Roman"/>
                <w:sz w:val="18"/>
              </w:rPr>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361,437.57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361,437.57</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597,395.83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2,365,543.00</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2,962,938.83</w:t>
            </w:r>
            <w:r>
              <w:rPr>
                <w:rFonts w:ascii="Times New Roman"/>
                <w:sz w:val="18"/>
              </w:rPr>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12,135,599.44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12,135,599.44</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12,135,599.44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12,135,599.44</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19,373,332.04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2,365,543.00</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21,738,875.04</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17,188,170.42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17,188,170.42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5,650,852.15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1,864,354.35</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7,515,206.50</w:t>
            </w:r>
            <w:r>
              <w:rPr>
                <w:rFonts w:ascii="Times New Roman"/>
                <w:sz w:val="18"/>
              </w:rPr>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5,245,068.21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9,818.25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5,254,886.46</w:t>
            </w:r>
            <w:r>
              <w:rPr>
                <w:rFonts w:ascii="Times New Roman"/>
                <w:sz w:val="18"/>
              </w:rPr>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11,293,184.95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11,293,184.95</w:t>
            </w:r>
            <w:r>
              <w:rPr>
                <w:rFonts w:ascii="Times New Roman"/>
                <w:sz w:val="18"/>
              </w:rPr>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11,293,184.95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11,293,184.95</w:t>
            </w:r>
            <w:r>
              <w:rPr>
                <w:rFonts w:ascii="Times New Roman"/>
                <w:sz w:val="18"/>
              </w:rPr>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11,545,837.62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1,864,354.35</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13,410,191.97</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7,827,494.42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501,188.65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8,328,683.07</w:t>
            </w:r>
            <w:r>
              <w:rPr>
                <w:rFonts w:ascii="Times New Roman"/>
                <w:sz w:val="18"/>
              </w:rPr>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13,361,927.66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13,361,927.66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暂时闲置的固定资产情况" w:id="242"/>
      <w:bookmarkEnd w:id="24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通过融资租赁租入的固定资产情况" w:id="243"/>
      <w:bookmarkEnd w:id="24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4）通过经营租赁租出的固定资产" w:id="244"/>
      <w:bookmarkEnd w:id="24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未办妥产权证书的固定资产情况" w:id="245"/>
      <w:bookmarkEnd w:id="24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Heading4"/>
        <w:spacing w:line="240" w:lineRule="auto" w:before="94"/>
        <w:ind w:left="580"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日，本公司无用于抵押的固定资产。</w:t>
      </w:r>
    </w:p>
    <w:p>
      <w:pPr>
        <w:spacing w:line="240" w:lineRule="auto" w:before="6"/>
        <w:rPr>
          <w:rFonts w:ascii="宋体" w:hAnsi="宋体" w:cs="宋体" w:eastAsia="宋体" w:hint="default"/>
          <w:sz w:val="25"/>
          <w:szCs w:val="25"/>
        </w:rPr>
      </w:pPr>
    </w:p>
    <w:p>
      <w:pPr>
        <w:pStyle w:val="Heading4"/>
        <w:spacing w:line="240" w:lineRule="auto"/>
        <w:ind w:left="580"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日，本公司无持有待售的固定资产。</w:t>
      </w:r>
    </w:p>
    <w:p>
      <w:pPr>
        <w:spacing w:line="240" w:lineRule="auto" w:before="6"/>
        <w:rPr>
          <w:rFonts w:ascii="宋体" w:hAnsi="宋体" w:cs="宋体" w:eastAsia="宋体" w:hint="default"/>
          <w:sz w:val="25"/>
          <w:szCs w:val="25"/>
        </w:rPr>
      </w:pPr>
    </w:p>
    <w:p>
      <w:pPr>
        <w:pStyle w:val="Heading4"/>
        <w:spacing w:line="516" w:lineRule="auto"/>
        <w:ind w:left="580" w:right="0" w:hanging="1"/>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日，本公司有原值</w:t>
      </w:r>
      <w:r>
        <w:rPr>
          <w:rFonts w:ascii="Times New Roman" w:hAnsi="Times New Roman" w:cs="Times New Roman" w:eastAsia="Times New Roman" w:hint="default"/>
          <w:spacing w:val="-2"/>
        </w:rPr>
        <w:t>3,658,088.07</w:t>
      </w:r>
      <w:r>
        <w:rPr>
          <w:spacing w:val="-2"/>
        </w:rPr>
        <w:t>元的固定资产已提足折旧仍在使用。</w:t>
      </w:r>
      <w:r>
        <w:rPr>
          <w:spacing w:val="-19"/>
        </w:rPr>
        <w:t> </w:t>
      </w:r>
      <w:r>
        <w:rPr>
          <w:spacing w:val="-19"/>
        </w:rPr>
      </w:r>
      <w:r>
        <w:rPr/>
        <w:t>本公司无暂时闲置的固定资产。</w:t>
      </w:r>
    </w:p>
    <w:p>
      <w:pPr>
        <w:pStyle w:val="Heading4"/>
        <w:spacing w:line="544" w:lineRule="auto" w:before="107"/>
        <w:ind w:left="580" w:right="2696"/>
        <w:jc w:val="left"/>
      </w:pPr>
      <w:r>
        <w:rPr/>
        <w:t>本报告期内，公司无融资租入的固定资产。</w:t>
      </w:r>
      <w:r>
        <w:rPr>
          <w:w w:val="100"/>
        </w:rPr>
        <w:t> </w:t>
      </w:r>
      <w:r>
        <w:rPr>
          <w:spacing w:val="-2"/>
        </w:rPr>
        <w:t>本报告期内，公司无经营租赁租出的固定资产。</w:t>
      </w:r>
    </w:p>
    <w:p>
      <w:pPr>
        <w:pStyle w:val="Heading3"/>
        <w:spacing w:line="240" w:lineRule="auto" w:before="70"/>
        <w:ind w:right="0"/>
        <w:jc w:val="left"/>
        <w:rPr>
          <w:b w:val="0"/>
          <w:bCs w:val="0"/>
        </w:rPr>
      </w:pPr>
      <w:bookmarkStart w:name="20、在建工程" w:id="246"/>
      <w:bookmarkEnd w:id="24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47"/>
      <w:bookmarkEnd w:id="24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在建工程项目本期变动情况" w:id="248"/>
      <w:bookmarkEnd w:id="24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在建工程减值准备情况" w:id="249"/>
      <w:bookmarkEnd w:id="24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1、工程物资" w:id="250"/>
      <w:bookmarkEnd w:id="25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2、固定资产清理" w:id="251"/>
      <w:bookmarkEnd w:id="25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3、生产性生物资产" w:id="252"/>
      <w:bookmarkEnd w:id="25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53"/>
      <w:bookmarkEnd w:id="25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生产性生物资产" w:id="254"/>
      <w:bookmarkEnd w:id="25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4、无形资产" w:id="255"/>
      <w:bookmarkEnd w:id="255"/>
      <w:r>
        <w:rPr>
          <w:b w:val="0"/>
          <w:bCs w:val="0"/>
        </w:rPr>
      </w:r>
      <w:r>
        <w:rPr>
          <w:rFonts w:ascii="Times New Roman" w:hAnsi="Times New Roman" w:cs="Times New Roman" w:eastAsia="Times New Roman" w:hint="default"/>
        </w:rPr>
        <w:t>24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6"/>
      <w:bookmarkEnd w:id="25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2"/>
        <w:gridCol w:w="1397"/>
        <w:gridCol w:w="1368"/>
        <w:gridCol w:w="1382"/>
        <w:gridCol w:w="1380"/>
        <w:gridCol w:w="1579"/>
      </w:tblGrid>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14,906,444.25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14,906,444.25</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21,686,927.45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21,686,927.45</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1,545,897.45</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1,545,897.45</w:t>
            </w:r>
            <w:r>
              <w:rPr>
                <w:rFonts w:ascii="Times New Roman"/>
                <w:sz w:val="18"/>
              </w:rPr>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20,141,030.00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20,141,030.00</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36,593,371.70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36,593,371.70</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8,896,066.90</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8,896,066.90</w:t>
            </w:r>
            <w:r>
              <w:rPr>
                <w:rFonts w:ascii="Times New Roman"/>
                <w:sz w:val="18"/>
              </w:rPr>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6,733,383.13</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6,733,383.13</w:t>
            </w:r>
            <w:r>
              <w:rPr>
                <w:rFonts w:ascii="Times New Roman"/>
                <w:sz w:val="18"/>
              </w:rPr>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3,038,033.98</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3,038,033.98</w:t>
            </w:r>
            <w:r>
              <w:rPr>
                <w:rFonts w:ascii="Times New Roman"/>
                <w:sz w:val="18"/>
              </w:rPr>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）企业合并增加</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3,695,349.15</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3,695,349.15</w:t>
            </w:r>
            <w:r>
              <w:rPr>
                <w:rFonts w:ascii="Times New Roman"/>
                <w:sz w:val="18"/>
              </w:rPr>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15,629,450.03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15,629,450.03</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20,963,921.67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20,963,921.67</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6,010,377.35</w:t>
            </w:r>
            <w:r>
              <w:rPr>
                <w:rFonts w:ascii="Times New Roman"/>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6,010,377.35</w:t>
            </w:r>
            <w:r>
              <w:rPr>
                <w:rFonts w:ascii="Times New Roman"/>
                <w:sz w:val="18"/>
              </w:rPr>
            </w:r>
          </w:p>
        </w:tc>
      </w:tr>
    </w:tbl>
    <w:p>
      <w:pPr>
        <w:pStyle w:val="BodyText"/>
        <w:spacing w:line="240" w:lineRule="auto" w:before="49"/>
        <w:ind w:right="0"/>
        <w:jc w:val="left"/>
      </w:pPr>
      <w:r>
        <w:rPr/>
        <w:t>本期末通过公司内部研发形成的无形资产占无形资产余额的比例。</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未办妥产权证书的土地使用权情况" w:id="257"/>
      <w:bookmarkEnd w:id="25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Heading4"/>
        <w:spacing w:line="240" w:lineRule="auto" w:before="94"/>
        <w:ind w:left="580"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日，公司无用于抵押，或者担保的无形资产。</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5、开发支出" w:id="258"/>
      <w:bookmarkEnd w:id="258"/>
      <w:r>
        <w:rPr>
          <w:b w:val="0"/>
          <w:bCs w:val="0"/>
        </w:rPr>
      </w:r>
      <w:r>
        <w:rPr>
          <w:rFonts w:ascii="Times New Roman" w:hAnsi="Times New Roman" w:cs="Times New Roman" w:eastAsia="Times New Roman" w:hint="default"/>
        </w:rPr>
        <w:t>25</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5"/>
        <w:gridCol w:w="1198"/>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4D4D4"/>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6、商誉" w:id="259"/>
      <w:bookmarkEnd w:id="259"/>
      <w:r>
        <w:rPr>
          <w:b w:val="0"/>
          <w:bCs w:val="0"/>
        </w:rPr>
      </w:r>
      <w:r>
        <w:rPr>
          <w:rFonts w:ascii="Times New Roman" w:hAnsi="Times New Roman" w:cs="Times New Roman" w:eastAsia="Times New Roman" w:hint="default"/>
        </w:rPr>
        <w:t>26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0"/>
      <w:bookmarkEnd w:id="26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right="48"/>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363,369,417.11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363,369,417.11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392,976,796.03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392,976,796.03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261"/>
      <w:bookmarkEnd w:id="26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pStyle w:val="BodyText"/>
        <w:spacing w:line="357" w:lineRule="auto" w:before="49"/>
        <w:ind w:right="5094"/>
        <w:jc w:val="left"/>
      </w:pPr>
      <w:r>
        <w:rPr/>
        <w:t>说明商誉减值测试过程、参数及商誉减值损失的确认方法： 其他说明</w:t>
      </w:r>
    </w:p>
    <w:tbl>
      <w:tblPr>
        <w:tblW w:w="0" w:type="auto"/>
        <w:jc w:val="left"/>
        <w:tblInd w:w="831" w:type="dxa"/>
        <w:tblLayout w:type="fixed"/>
        <w:tblCellMar>
          <w:top w:w="0" w:type="dxa"/>
          <w:left w:w="0" w:type="dxa"/>
          <w:bottom w:w="0" w:type="dxa"/>
          <w:right w:w="0" w:type="dxa"/>
        </w:tblCellMar>
        <w:tblLook w:val="01E0"/>
      </w:tblPr>
      <w:tblGrid>
        <w:gridCol w:w="1723"/>
        <w:gridCol w:w="3828"/>
        <w:gridCol w:w="1990"/>
      </w:tblGrid>
      <w:tr>
        <w:trPr>
          <w:trHeight w:val="355" w:hRule="exact"/>
        </w:trPr>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96" w:right="0"/>
              <w:jc w:val="left"/>
              <w:rPr>
                <w:rFonts w:ascii="宋体" w:hAnsi="宋体" w:cs="宋体" w:eastAsia="宋体" w:hint="default"/>
                <w:sz w:val="18"/>
                <w:szCs w:val="18"/>
              </w:rPr>
            </w:pPr>
            <w:r>
              <w:rPr>
                <w:rFonts w:ascii="宋体" w:hAnsi="宋体" w:cs="宋体" w:eastAsia="宋体" w:hint="default"/>
                <w:sz w:val="18"/>
                <w:szCs w:val="18"/>
              </w:rPr>
              <w:t>被收购方</w:t>
            </w:r>
          </w:p>
        </w:tc>
        <w:tc>
          <w:tcPr>
            <w:tcW w:w="38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808"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350" w:hRule="exact"/>
        </w:trPr>
        <w:tc>
          <w:tcPr>
            <w:tcW w:w="1723" w:type="dxa"/>
            <w:vMerge w:val="restart"/>
            <w:tcBorders>
              <w:top w:val="single" w:sz="12" w:space="0" w:color="000000"/>
              <w:left w:val="single" w:sz="6" w:space="0" w:color="000000"/>
              <w:right w:val="single" w:sz="6" w:space="0" w:color="000000"/>
            </w:tcBorders>
          </w:tcPr>
          <w:p>
            <w:pPr>
              <w:pStyle w:val="TableParagraph"/>
              <w:spacing w:line="316" w:lineRule="auto" w:before="8"/>
              <w:ind w:left="496" w:right="491"/>
              <w:jc w:val="left"/>
              <w:rPr>
                <w:rFonts w:ascii="宋体" w:hAnsi="宋体" w:cs="宋体" w:eastAsia="宋体" w:hint="default"/>
                <w:sz w:val="18"/>
                <w:szCs w:val="18"/>
              </w:rPr>
            </w:pPr>
            <w:r>
              <w:rPr>
                <w:rFonts w:ascii="宋体" w:hAnsi="宋体" w:cs="宋体" w:eastAsia="宋体" w:hint="default"/>
                <w:sz w:val="18"/>
                <w:szCs w:val="18"/>
              </w:rPr>
              <w:t>北京惠捷 朗科技有</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847" w:right="0"/>
              <w:jc w:val="left"/>
              <w:rPr>
                <w:rFonts w:ascii="Times New Roman" w:hAnsi="Times New Roman" w:cs="Times New Roman" w:eastAsia="Times New Roman" w:hint="default"/>
                <w:sz w:val="18"/>
                <w:szCs w:val="18"/>
              </w:rPr>
            </w:pPr>
            <w:r>
              <w:rPr>
                <w:rFonts w:ascii="Times New Roman"/>
                <w:sz w:val="18"/>
              </w:rPr>
              <w:t>420,000,000.00</w:t>
            </w:r>
          </w:p>
        </w:tc>
      </w:tr>
      <w:tr>
        <w:trPr>
          <w:trHeight w:val="353" w:hRule="exact"/>
        </w:trPr>
        <w:tc>
          <w:tcPr>
            <w:tcW w:w="1723" w:type="dxa"/>
            <w:vMerge/>
            <w:tcBorders>
              <w:left w:val="single" w:sz="6" w:space="0" w:color="000000"/>
              <w:bottom w:val="single" w:sz="12"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847" w:right="0"/>
              <w:jc w:val="left"/>
              <w:rPr>
                <w:rFonts w:ascii="Times New Roman" w:hAnsi="Times New Roman" w:cs="Times New Roman" w:eastAsia="Times New Roman" w:hint="default"/>
                <w:sz w:val="18"/>
                <w:szCs w:val="18"/>
              </w:rPr>
            </w:pPr>
            <w:r>
              <w:rPr>
                <w:rFonts w:ascii="Times New Roman"/>
                <w:sz w:val="18"/>
              </w:rPr>
              <w:t>134,937,600.00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831" w:type="dxa"/>
        <w:tblLayout w:type="fixed"/>
        <w:tblCellMar>
          <w:top w:w="0" w:type="dxa"/>
          <w:left w:w="0" w:type="dxa"/>
          <w:bottom w:w="0" w:type="dxa"/>
          <w:right w:w="0" w:type="dxa"/>
        </w:tblCellMar>
        <w:tblLook w:val="01E0"/>
      </w:tblPr>
      <w:tblGrid>
        <w:gridCol w:w="1723"/>
        <w:gridCol w:w="3828"/>
        <w:gridCol w:w="1990"/>
      </w:tblGrid>
      <w:tr>
        <w:trPr>
          <w:trHeight w:val="355" w:hRule="exact"/>
        </w:trPr>
        <w:tc>
          <w:tcPr>
            <w:tcW w:w="1723"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38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19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285,062,400.00</w:t>
            </w:r>
            <w:r>
              <w:rPr>
                <w:rFonts w:ascii="Times New Roman"/>
                <w:sz w:val="18"/>
              </w:rPr>
            </w:r>
          </w:p>
        </w:tc>
      </w:tr>
      <w:tr>
        <w:trPr>
          <w:trHeight w:val="350" w:hRule="exact"/>
        </w:trPr>
        <w:tc>
          <w:tcPr>
            <w:tcW w:w="1723" w:type="dxa"/>
            <w:vMerge/>
            <w:tcBorders>
              <w:left w:val="single" w:sz="6"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44"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199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723" w:type="dxa"/>
            <w:vMerge/>
            <w:tcBorders>
              <w:left w:val="single" w:sz="6"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r>
      <w:tr>
        <w:trPr>
          <w:trHeight w:val="353" w:hRule="exact"/>
        </w:trPr>
        <w:tc>
          <w:tcPr>
            <w:tcW w:w="1723" w:type="dxa"/>
            <w:vMerge/>
            <w:tcBorders>
              <w:left w:val="single" w:sz="6"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56,630,582.89</w:t>
            </w:r>
          </w:p>
        </w:tc>
      </w:tr>
      <w:tr>
        <w:trPr>
          <w:trHeight w:val="350" w:hRule="exact"/>
        </w:trPr>
        <w:tc>
          <w:tcPr>
            <w:tcW w:w="1723" w:type="dxa"/>
            <w:vMerge/>
            <w:tcBorders>
              <w:left w:val="single" w:sz="6" w:space="0" w:color="000000"/>
              <w:bottom w:val="single" w:sz="12"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363,369,417.11</w:t>
            </w:r>
            <w:r>
              <w:rPr>
                <w:rFonts w:ascii="Times New Roman"/>
                <w:sz w:val="18"/>
              </w:rPr>
            </w:r>
          </w:p>
        </w:tc>
      </w:tr>
      <w:tr>
        <w:trPr>
          <w:trHeight w:val="353" w:hRule="exact"/>
        </w:trPr>
        <w:tc>
          <w:tcPr>
            <w:tcW w:w="1723" w:type="dxa"/>
            <w:vMerge w:val="restart"/>
            <w:tcBorders>
              <w:top w:val="single" w:sz="12" w:space="0" w:color="000000"/>
              <w:left w:val="single" w:sz="6" w:space="0" w:color="000000"/>
              <w:right w:val="single" w:sz="6" w:space="0" w:color="000000"/>
            </w:tcBorders>
          </w:tcPr>
          <w:p>
            <w:pPr>
              <w:pStyle w:val="TableParagraph"/>
              <w:spacing w:line="316" w:lineRule="auto" w:before="10"/>
              <w:ind w:left="496" w:right="491"/>
              <w:jc w:val="both"/>
              <w:rPr>
                <w:rFonts w:ascii="宋体" w:hAnsi="宋体" w:cs="宋体" w:eastAsia="宋体" w:hint="default"/>
                <w:sz w:val="18"/>
                <w:szCs w:val="18"/>
              </w:rPr>
            </w:pPr>
            <w:r>
              <w:rPr>
                <w:rFonts w:ascii="宋体" w:hAnsi="宋体" w:cs="宋体" w:eastAsia="宋体" w:hint="default"/>
                <w:sz w:val="18"/>
                <w:szCs w:val="18"/>
              </w:rPr>
              <w:t>北京同德 一心科技 有限公司</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3" w:hRule="exact"/>
        </w:trPr>
        <w:tc>
          <w:tcPr>
            <w:tcW w:w="1723" w:type="dxa"/>
            <w:vMerge/>
            <w:tcBorders>
              <w:left w:val="single" w:sz="6"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0" w:hRule="exact"/>
        </w:trPr>
        <w:tc>
          <w:tcPr>
            <w:tcW w:w="1723" w:type="dxa"/>
            <w:vMerge/>
            <w:tcBorders>
              <w:left w:val="single" w:sz="6"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44"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199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723" w:type="dxa"/>
            <w:vMerge/>
            <w:tcBorders>
              <w:left w:val="single" w:sz="6"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199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723" w:type="dxa"/>
            <w:vMerge/>
            <w:tcBorders>
              <w:left w:val="single" w:sz="6"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0" w:hRule="exact"/>
        </w:trPr>
        <w:tc>
          <w:tcPr>
            <w:tcW w:w="1723" w:type="dxa"/>
            <w:vMerge/>
            <w:tcBorders>
              <w:left w:val="single" w:sz="6"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392,621.08</w:t>
            </w:r>
          </w:p>
        </w:tc>
      </w:tr>
      <w:tr>
        <w:trPr>
          <w:trHeight w:val="353" w:hRule="exact"/>
        </w:trPr>
        <w:tc>
          <w:tcPr>
            <w:tcW w:w="1723" w:type="dxa"/>
            <w:vMerge/>
            <w:tcBorders>
              <w:left w:val="single" w:sz="6" w:space="0" w:color="000000"/>
              <w:bottom w:val="single" w:sz="12"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29,607,378.92</w:t>
            </w:r>
          </w:p>
        </w:tc>
      </w:tr>
    </w:tbl>
    <w:p>
      <w:pPr>
        <w:pStyle w:val="BodyText"/>
        <w:spacing w:line="300" w:lineRule="auto" w:before="8"/>
        <w:ind w:right="151" w:firstLine="424"/>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日，中和资产评估有限公司以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日为基准日对北京惠捷朗科技有限公司全部股东权益价值进行 </w:t>
      </w:r>
      <w:r>
        <w:rPr>
          <w:spacing w:val="-1"/>
        </w:rPr>
        <w:t>了评估，并出具中和评报字（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BJV2044</w:t>
      </w:r>
      <w:r>
        <w:rPr>
          <w:spacing w:val="-1"/>
        </w:rPr>
        <w:t>号资产评估报告书。北京惠捷朗科技有限公司可辨认净资产于收购日（</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日）公允价值以评估结果为基础确定。</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北京同德一心科技有限公司于收购日（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日）可辨认净资产均为货币性资产，其公允价值以账面价值确定。</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7、长期待摊费用" w:id="262"/>
      <w:bookmarkEnd w:id="262"/>
      <w:r>
        <w:rPr>
          <w:b w:val="0"/>
          <w:bCs w:val="0"/>
        </w:rPr>
      </w:r>
      <w:r>
        <w:rPr>
          <w:rFonts w:ascii="Times New Roman" w:hAnsi="Times New Roman" w:cs="Times New Roman" w:eastAsia="Times New Roman" w:hint="default"/>
        </w:rPr>
        <w:t>27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上海江场三路办公 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63,150.15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63,150.15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38,607.70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38,607.70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JavaEE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技术支持费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3,741,444.58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2,286,438.38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1,455,006.20</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大厦保密 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43,388.89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23,666.61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19,722.28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145,146.74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3,741,444.58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2,411,862.84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1,474,728.48</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8、递延所得税资产/递延所得税负债" w:id="263"/>
      <w:bookmarkEnd w:id="263"/>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4"/>
      <w:bookmarkEnd w:id="26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1" w:right="0"/>
              <w:jc w:val="left"/>
              <w:rPr>
                <w:rFonts w:ascii="Times New Roman" w:hAnsi="Times New Roman" w:cs="Times New Roman" w:eastAsia="Times New Roman" w:hint="default"/>
                <w:sz w:val="18"/>
                <w:szCs w:val="18"/>
              </w:rPr>
            </w:pPr>
            <w:r>
              <w:rPr>
                <w:rFonts w:ascii="Times New Roman"/>
                <w:sz w:val="18"/>
              </w:rPr>
              <w:t>18,188.03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0" w:right="0"/>
              <w:jc w:val="left"/>
              <w:rPr>
                <w:rFonts w:ascii="Times New Roman" w:hAnsi="Times New Roman" w:cs="Times New Roman" w:eastAsia="Times New Roman" w:hint="default"/>
                <w:sz w:val="18"/>
                <w:szCs w:val="18"/>
              </w:rPr>
            </w:pPr>
            <w:r>
              <w:rPr>
                <w:rFonts w:ascii="Times New Roman"/>
                <w:sz w:val="18"/>
              </w:rPr>
              <w:t>1,818.80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2,354,500.62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294,312.58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26,319,260.84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2,942,742.17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16,809,165.98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1,727,366.44</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 益</w:t>
            </w:r>
            <w:r>
              <w:rPr>
                <w:rFonts w:ascii="Times New Roman" w:hAnsi="Times New Roman" w:cs="Times New Roman" w:eastAsia="Times New Roman"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1,087,778.01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121,902.80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2,215,406.54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221,540.65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855,278.28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85,527.83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2,882,763.69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290,421.37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3,549,727.09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357,702.71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计提利息</w:t>
            </w:r>
            <w:r>
              <w:rPr>
                <w:rFonts w:ascii="Times New Roman" w:hAnsi="Times New Roman" w:cs="Times New Roman" w:eastAsia="Times New Roman"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76,702.77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7,670.28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30,289,802.54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3,355,066.34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25,878,969.31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2,695,939.29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265"/>
      <w:bookmarkEnd w:id="26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16,054,117.02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16,054,117.02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266"/>
      <w:bookmarkEnd w:id="26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3,355,066.34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2,695,939.29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2,408,117.55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267"/>
      <w:bookmarkEnd w:id="26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268"/>
      <w:bookmarkEnd w:id="26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9、其他非流动资产" w:id="269"/>
      <w:bookmarkEnd w:id="269"/>
      <w:r>
        <w:rPr>
          <w:b w:val="0"/>
          <w:bCs w:val="0"/>
        </w:rPr>
      </w:r>
      <w:r>
        <w:rPr>
          <w:rFonts w:ascii="Times New Roman" w:hAnsi="Times New Roman" w:cs="Times New Roman" w:eastAsia="Times New Roman" w:hint="default"/>
        </w:rPr>
        <w:t>29</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0、短期借款" w:id="270"/>
      <w:bookmarkEnd w:id="270"/>
      <w:r>
        <w:rPr>
          <w:b w:val="0"/>
          <w:bCs w:val="0"/>
        </w:rPr>
      </w:r>
      <w:r>
        <w:rPr>
          <w:rFonts w:ascii="Times New Roman" w:hAnsi="Times New Roman" w:cs="Times New Roman" w:eastAsia="Times New Roman" w:hint="default"/>
        </w:rPr>
        <w:t>30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1"/>
      <w:bookmarkEnd w:id="27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1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65,500,000.00</w:t>
            </w:r>
          </w:p>
        </w:tc>
      </w:tr>
    </w:tbl>
    <w:p>
      <w:pPr>
        <w:pStyle w:val="BodyText"/>
        <w:spacing w:line="240" w:lineRule="auto" w:before="49"/>
        <w:ind w:right="0"/>
        <w:jc w:val="both"/>
      </w:pPr>
      <w:r>
        <w:rPr/>
        <w:t>短期借款分类的说明：</w:t>
      </w:r>
    </w:p>
    <w:p>
      <w:pPr>
        <w:pStyle w:val="Heading4"/>
        <w:spacing w:line="256" w:lineRule="auto" w:before="96"/>
        <w:ind w:left="152" w:right="0" w:firstLine="425"/>
        <w:jc w:val="left"/>
      </w:pP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16</w:t>
      </w:r>
      <w:r>
        <w:rPr>
          <w:spacing w:val="-4"/>
        </w:rPr>
        <w:t>日，招商银行股份有限公司北京分行与本公司签署《授信协议》（</w:t>
      </w:r>
      <w:r>
        <w:rPr>
          <w:rFonts w:ascii="Times New Roman" w:hAnsi="Times New Roman" w:cs="Times New Roman" w:eastAsia="Times New Roman" w:hint="default"/>
          <w:spacing w:val="-4"/>
        </w:rPr>
        <w:t>2012</w:t>
      </w:r>
      <w:r>
        <w:rPr>
          <w:spacing w:val="-4"/>
        </w:rPr>
        <w:t>年大望授字第</w:t>
      </w:r>
      <w:r>
        <w:rPr>
          <w:rFonts w:ascii="Times New Roman" w:hAnsi="Times New Roman" w:cs="Times New Roman" w:eastAsia="Times New Roman" w:hint="default"/>
          <w:spacing w:val="-4"/>
        </w:rPr>
        <w:t>021</w:t>
      </w:r>
      <w:r>
        <w:rPr>
          <w:rFonts w:ascii="Times New Roman" w:hAnsi="Times New Roman" w:cs="Times New Roman" w:eastAsia="Times New Roman" w:hint="default"/>
          <w:w w:val="100"/>
        </w:rPr>
        <w:t> </w:t>
      </w:r>
      <w:r>
        <w:rPr/>
        <w:t>号），向本公司提供</w:t>
      </w:r>
      <w:r>
        <w:rPr>
          <w:rFonts w:ascii="Times New Roman" w:hAnsi="Times New Roman" w:cs="Times New Roman" w:eastAsia="Times New Roman" w:hint="default"/>
        </w:rPr>
        <w:t>3,000</w:t>
      </w:r>
      <w:r>
        <w:rPr/>
        <w:t>万元循环授信额度，用于流动资金贷款，授信期间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18"/>
        </w:rPr>
        <w:t> </w:t>
      </w:r>
      <w:r>
        <w:rPr>
          <w:spacing w:val="-2"/>
        </w:rPr>
        <w:t>月</w:t>
      </w:r>
      <w:r>
        <w:rPr>
          <w:rFonts w:ascii="Times New Roman" w:hAnsi="Times New Roman" w:cs="Times New Roman" w:eastAsia="Times New Roman" w:hint="default"/>
          <w:spacing w:val="-2"/>
        </w:rPr>
        <w:t>14</w:t>
      </w:r>
      <w:r>
        <w:rPr>
          <w:spacing w:val="-2"/>
        </w:rPr>
        <w:t>日，该《授信协议》项下的债务由股东张齐春承担连带责任保证，保证期间为主债务履行期限届满之</w:t>
      </w:r>
      <w:r>
        <w:rPr>
          <w:spacing w:val="-42"/>
        </w:rPr>
        <w:t> </w:t>
      </w:r>
      <w:r>
        <w:rPr>
          <w:spacing w:val="-42"/>
        </w:rPr>
      </w:r>
      <w:r>
        <w:rPr/>
        <w:t>日起两年。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日，该分行在上述《授信协议》项目下，与本公司签署《借款合同》（</w:t>
      </w:r>
      <w:r>
        <w:rPr>
          <w:rFonts w:ascii="Times New Roman" w:hAnsi="Times New Roman" w:cs="Times New Roman" w:eastAsia="Times New Roman" w:hint="default"/>
        </w:rPr>
        <w:t>2012</w:t>
      </w:r>
      <w:r>
        <w:rPr/>
        <w:t>年大</w:t>
      </w:r>
      <w:r>
        <w:rPr>
          <w:spacing w:val="-29"/>
        </w:rPr>
        <w:t> </w:t>
      </w:r>
      <w:r>
        <w:rPr/>
        <w:t>望授字第</w:t>
      </w:r>
      <w:r>
        <w:rPr>
          <w:rFonts w:ascii="Times New Roman" w:hAnsi="Times New Roman" w:cs="Times New Roman" w:eastAsia="Times New Roman" w:hint="default"/>
        </w:rPr>
        <w:t>021</w:t>
      </w:r>
      <w:r>
        <w:rPr/>
        <w:t>号贷</w:t>
      </w:r>
      <w:r>
        <w:rPr>
          <w:rFonts w:ascii="Times New Roman" w:hAnsi="Times New Roman" w:cs="Times New Roman" w:eastAsia="Times New Roman" w:hint="default"/>
        </w:rPr>
        <w:t>002</w:t>
      </w:r>
      <w:r>
        <w:rPr/>
        <w:t>），向本公司发放流动资金贷款</w:t>
      </w:r>
      <w:r>
        <w:rPr>
          <w:rFonts w:ascii="Times New Roman" w:hAnsi="Times New Roman" w:cs="Times New Roman" w:eastAsia="Times New Roman" w:hint="default"/>
        </w:rPr>
        <w:t>1,000</w:t>
      </w:r>
      <w:r>
        <w:rPr/>
        <w:t>万元，借款期限</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12"/>
        </w:rPr>
        <w:t> </w:t>
      </w:r>
      <w:r>
        <w:rPr>
          <w:spacing w:val="-6"/>
        </w:rPr>
        <w:t>日，利率在央行贷款基准利率基础上上浮</w:t>
      </w:r>
      <w:r>
        <w:rPr>
          <w:rFonts w:ascii="Times New Roman" w:hAnsi="Times New Roman" w:cs="Times New Roman" w:eastAsia="Times New Roman" w:hint="default"/>
          <w:spacing w:val="-6"/>
        </w:rPr>
        <w:t>10%</w:t>
      </w:r>
      <w:r>
        <w:rPr>
          <w:spacing w:val="-6"/>
        </w:rPr>
        <w:t>，按季计付利息，该笔贷款本息公司已于</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21</w:t>
      </w:r>
      <w:r>
        <w:rPr>
          <w:spacing w:val="-6"/>
        </w:rPr>
        <w:t>日偿还。</w:t>
      </w:r>
      <w:r>
        <w:rPr/>
        <w:t> </w:t>
      </w:r>
      <w:r>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日，该分行与本公司续签《授信协议》（</w:t>
      </w:r>
      <w:r>
        <w:rPr>
          <w:rFonts w:ascii="Times New Roman" w:hAnsi="Times New Roman" w:cs="Times New Roman" w:eastAsia="Times New Roman" w:hint="default"/>
        </w:rPr>
        <w:t>2013</w:t>
      </w:r>
      <w:r>
        <w:rPr/>
        <w:t>年大望授字第</w:t>
      </w:r>
      <w:r>
        <w:rPr>
          <w:rFonts w:ascii="Times New Roman" w:hAnsi="Times New Roman" w:cs="Times New Roman" w:eastAsia="Times New Roman" w:hint="default"/>
        </w:rPr>
        <w:t>035</w:t>
      </w:r>
      <w:r>
        <w:rPr/>
        <w:t>号），向本公司提供</w:t>
      </w:r>
      <w:r>
        <w:rPr>
          <w:rFonts w:ascii="Times New Roman" w:hAnsi="Times New Roman" w:cs="Times New Roman" w:eastAsia="Times New Roman" w:hint="default"/>
        </w:rPr>
        <w:t>3,000</w:t>
      </w:r>
      <w:r>
        <w:rPr/>
        <w:t>万</w:t>
      </w:r>
      <w:r>
        <w:rPr>
          <w:spacing w:val="-77"/>
        </w:rPr>
        <w:t> </w:t>
      </w:r>
      <w:r>
        <w:rPr>
          <w:spacing w:val="-2"/>
        </w:rPr>
        <w:t>元循环授信额度，用于流动资金贷款，授信期间自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日，股东张齐春为该授</w:t>
      </w:r>
      <w:r>
        <w:rPr>
          <w:spacing w:val="-34"/>
        </w:rPr>
        <w:t> </w:t>
      </w:r>
      <w:r>
        <w:rPr>
          <w:spacing w:val="-34"/>
        </w:rPr>
      </w:r>
      <w:r>
        <w:rPr/>
        <w:t>信协议下的债务承担连带责任保证。同日，该分行与本公司签署《借款合同》（</w:t>
      </w:r>
      <w:r>
        <w:rPr>
          <w:rFonts w:ascii="Times New Roman" w:hAnsi="Times New Roman" w:cs="Times New Roman" w:eastAsia="Times New Roman" w:hint="default"/>
        </w:rPr>
        <w:t>2013</w:t>
      </w:r>
      <w:r>
        <w:rPr/>
        <w:t>年大望授字第</w:t>
      </w:r>
      <w:r>
        <w:rPr>
          <w:rFonts w:ascii="Times New Roman" w:hAnsi="Times New Roman" w:cs="Times New Roman" w:eastAsia="Times New Roman" w:hint="default"/>
        </w:rPr>
        <w:t>035</w:t>
      </w:r>
      <w:r>
        <w:rPr/>
        <w:t>号</w:t>
      </w:r>
      <w:r>
        <w:rPr>
          <w:spacing w:val="-30"/>
        </w:rPr>
        <w:t> </w:t>
      </w:r>
      <w:r>
        <w:rPr>
          <w:spacing w:val="-5"/>
        </w:rPr>
        <w:t>贷</w:t>
      </w:r>
      <w:r>
        <w:rPr>
          <w:rFonts w:ascii="Times New Roman" w:hAnsi="Times New Roman" w:cs="Times New Roman" w:eastAsia="Times New Roman" w:hint="default"/>
          <w:spacing w:val="-5"/>
        </w:rPr>
        <w:t>001</w:t>
      </w:r>
      <w:r>
        <w:rPr>
          <w:spacing w:val="-5"/>
        </w:rPr>
        <w:t>），向本公司发放流动资金贷款</w:t>
      </w:r>
      <w:r>
        <w:rPr>
          <w:rFonts w:ascii="Times New Roman" w:hAnsi="Times New Roman" w:cs="Times New Roman" w:eastAsia="Times New Roman" w:hint="default"/>
          <w:spacing w:val="-5"/>
        </w:rPr>
        <w:t>1,500</w:t>
      </w:r>
      <w:r>
        <w:rPr>
          <w:spacing w:val="-5"/>
        </w:rPr>
        <w:t>万元，利率在央行贷款基准利率基础上上浮</w:t>
      </w:r>
      <w:r>
        <w:rPr>
          <w:rFonts w:ascii="Times New Roman" w:hAnsi="Times New Roman" w:cs="Times New Roman" w:eastAsia="Times New Roman" w:hint="default"/>
          <w:spacing w:val="-5"/>
        </w:rPr>
        <w:t>5%</w:t>
      </w:r>
      <w:r>
        <w:rPr>
          <w:spacing w:val="-5"/>
        </w:rPr>
        <w:t>，按季计付利息，</w:t>
      </w:r>
      <w:r>
        <w:rPr>
          <w:spacing w:val="-1"/>
        </w:rPr>
        <w:t> </w:t>
      </w:r>
      <w:r>
        <w:rPr>
          <w:spacing w:val="-1"/>
        </w:rPr>
      </w:r>
      <w:r>
        <w:rPr/>
        <w:t>贷款期限自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日提前偿还了该笔贷款。</w:t>
      </w:r>
    </w:p>
    <w:p>
      <w:pPr>
        <w:spacing w:line="240" w:lineRule="auto" w:before="3"/>
        <w:rPr>
          <w:rFonts w:ascii="宋体" w:hAnsi="宋体" w:cs="宋体" w:eastAsia="宋体" w:hint="default"/>
          <w:sz w:val="24"/>
          <w:szCs w:val="24"/>
        </w:rPr>
      </w:pPr>
    </w:p>
    <w:p>
      <w:pPr>
        <w:pStyle w:val="Heading4"/>
        <w:spacing w:line="256" w:lineRule="auto"/>
        <w:ind w:left="152" w:right="134" w:firstLine="425"/>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日，中国光大银行股份有限公司北京西坝河支行与本公司签署《综合授信合同》</w:t>
      </w:r>
      <w:r>
        <w:rPr>
          <w:rFonts w:ascii="Times New Roman" w:hAnsi="Times New Roman" w:cs="Times New Roman" w:eastAsia="Times New Roman" w:hint="default"/>
        </w:rPr>
        <w:t>(BJ</w:t>
      </w:r>
      <w:r>
        <w:rPr/>
        <w:t>西坝</w:t>
      </w:r>
      <w:r>
        <w:rPr>
          <w:w w:val="100"/>
        </w:rPr>
        <w:t> </w:t>
      </w:r>
      <w:r>
        <w:rPr/>
        <w:t>河</w:t>
      </w:r>
      <w:r>
        <w:rPr>
          <w:rFonts w:ascii="Times New Roman" w:hAnsi="Times New Roman" w:cs="Times New Roman" w:eastAsia="Times New Roman" w:hint="default"/>
        </w:rPr>
        <w:t>ZH13002)</w:t>
      </w:r>
      <w:r>
        <w:rPr/>
        <w:t>，向本公司提供</w:t>
      </w:r>
      <w:r>
        <w:rPr>
          <w:rFonts w:ascii="Times New Roman" w:hAnsi="Times New Roman" w:cs="Times New Roman" w:eastAsia="Times New Roman" w:hint="default"/>
        </w:rPr>
        <w:t>2,000</w:t>
      </w:r>
      <w:r>
        <w:rPr/>
        <w:t>万元的最高授信额度，授信期间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日，股东张</w:t>
      </w:r>
      <w:r>
        <w:rPr>
          <w:spacing w:val="-14"/>
        </w:rPr>
        <w:t> </w:t>
      </w:r>
      <w:r>
        <w:rPr>
          <w:spacing w:val="-14"/>
        </w:rPr>
      </w:r>
      <w:r>
        <w:rPr>
          <w:spacing w:val="-2"/>
        </w:rPr>
        <w:t>齐春、朱海东分别提供最高额</w:t>
      </w:r>
      <w:r>
        <w:rPr>
          <w:rFonts w:ascii="Times New Roman" w:hAnsi="Times New Roman" w:cs="Times New Roman" w:eastAsia="Times New Roman" w:hint="default"/>
          <w:spacing w:val="-2"/>
        </w:rPr>
        <w:t>2,000</w:t>
      </w:r>
      <w:r>
        <w:rPr>
          <w:spacing w:val="-2"/>
        </w:rPr>
        <w:t>万元的连带责任保证，该授信额度用于发放一般贷款。</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w:t>
      </w:r>
      <w:r>
        <w:rPr>
          <w:spacing w:val="-10"/>
        </w:rPr>
        <w:t> </w:t>
      </w:r>
      <w:r>
        <w:rPr>
          <w:spacing w:val="3"/>
        </w:rPr>
        <w:t>该支行在前述《综合授信合同》</w:t>
      </w:r>
      <w:r>
        <w:rPr>
          <w:rFonts w:ascii="Times New Roman" w:hAnsi="Times New Roman" w:cs="Times New Roman" w:eastAsia="Times New Roman" w:hint="default"/>
          <w:spacing w:val="3"/>
        </w:rPr>
        <w:t>(BJ</w:t>
      </w:r>
      <w:r>
        <w:rPr>
          <w:spacing w:val="3"/>
        </w:rPr>
        <w:t>西坝河</w:t>
      </w:r>
      <w:r>
        <w:rPr>
          <w:rFonts w:ascii="Times New Roman" w:hAnsi="Times New Roman" w:cs="Times New Roman" w:eastAsia="Times New Roman" w:hint="default"/>
          <w:spacing w:val="3"/>
        </w:rPr>
        <w:t>ZH13002)</w:t>
      </w:r>
      <w:r>
        <w:rPr>
          <w:spacing w:val="3"/>
        </w:rPr>
        <w:t>下与本公司签署《流动资金贷款合同》（</w:t>
      </w:r>
      <w:r>
        <w:rPr>
          <w:rFonts w:ascii="Times New Roman" w:hAnsi="Times New Roman" w:cs="Times New Roman" w:eastAsia="Times New Roman" w:hint="default"/>
          <w:spacing w:val="3"/>
        </w:rPr>
        <w:t>BJ</w:t>
      </w:r>
      <w:r>
        <w:rPr>
          <w:spacing w:val="3"/>
        </w:rPr>
        <w:t>西坝河</w:t>
      </w:r>
      <w:r>
        <w:rPr>
          <w:spacing w:val="-13"/>
        </w:rPr>
        <w:t> </w:t>
      </w:r>
      <w:r>
        <w:rPr>
          <w:rFonts w:ascii="Times New Roman" w:hAnsi="Times New Roman" w:cs="Times New Roman" w:eastAsia="Times New Roman" w:hint="default"/>
        </w:rPr>
        <w:t>ZHDK13002-1</w:t>
      </w:r>
      <w:r>
        <w:rPr/>
        <w:t>），向本公司发放流动资金贷款</w:t>
      </w:r>
      <w:r>
        <w:rPr>
          <w:rFonts w:ascii="Times New Roman" w:hAnsi="Times New Roman" w:cs="Times New Roman" w:eastAsia="Times New Roman" w:hint="default"/>
        </w:rPr>
        <w:t>2,685,945.71</w:t>
      </w:r>
      <w:r>
        <w:rPr/>
        <w:t>元，期限自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日，利率为固</w:t>
      </w:r>
      <w:r>
        <w:rPr>
          <w:w w:val="100"/>
        </w:rPr>
        <w:t> </w:t>
      </w:r>
      <w:r>
        <w:rPr/>
        <w:t>定年率</w:t>
      </w:r>
      <w:r>
        <w:rPr>
          <w:rFonts w:ascii="Times New Roman" w:hAnsi="Times New Roman" w:cs="Times New Roman" w:eastAsia="Times New Roman" w:hint="default"/>
        </w:rPr>
        <w:t>6.72%</w:t>
      </w:r>
      <w:r>
        <w:rPr/>
        <w:t>，按季计付利息。</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日，本公司偿还了该笔贷款本息。</w:t>
      </w:r>
    </w:p>
    <w:p>
      <w:pPr>
        <w:spacing w:line="240" w:lineRule="auto" w:before="3"/>
        <w:rPr>
          <w:rFonts w:ascii="宋体" w:hAnsi="宋体" w:cs="宋体" w:eastAsia="宋体" w:hint="default"/>
          <w:sz w:val="24"/>
          <w:szCs w:val="24"/>
        </w:rPr>
      </w:pPr>
    </w:p>
    <w:p>
      <w:pPr>
        <w:pStyle w:val="Heading4"/>
        <w:spacing w:line="240" w:lineRule="auto"/>
        <w:ind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w:t>
      </w:r>
      <w:r>
        <w:rPr>
          <w:spacing w:val="-60"/>
        </w:rPr>
        <w:t> </w:t>
      </w:r>
      <w:r>
        <w:rPr>
          <w:spacing w:val="21"/>
        </w:rPr>
        <w:t>，杭</w:t>
      </w:r>
      <w:r>
        <w:rPr>
          <w:spacing w:val="-60"/>
        </w:rPr>
        <w:t> </w:t>
      </w:r>
      <w:r>
        <w:rPr/>
        <w:t>州</w:t>
      </w:r>
      <w:r>
        <w:rPr>
          <w:spacing w:val="-63"/>
        </w:rPr>
        <w:t> </w:t>
      </w:r>
      <w:r>
        <w:rPr>
          <w:spacing w:val="21"/>
        </w:rPr>
        <w:t>银行</w:t>
      </w:r>
      <w:r>
        <w:rPr>
          <w:spacing w:val="-60"/>
        </w:rPr>
        <w:t> </w:t>
      </w:r>
      <w:r>
        <w:rPr>
          <w:spacing w:val="21"/>
        </w:rPr>
        <w:t>股份</w:t>
      </w:r>
      <w:r>
        <w:rPr>
          <w:spacing w:val="-60"/>
        </w:rPr>
        <w:t> </w:t>
      </w:r>
      <w:r>
        <w:rPr/>
        <w:t>有</w:t>
      </w:r>
      <w:r>
        <w:rPr>
          <w:spacing w:val="-60"/>
        </w:rPr>
        <w:t> </w:t>
      </w:r>
      <w:r>
        <w:rPr>
          <w:spacing w:val="21"/>
        </w:rPr>
        <w:t>限公</w:t>
      </w:r>
      <w:r>
        <w:rPr>
          <w:spacing w:val="-60"/>
        </w:rPr>
        <w:t> </w:t>
      </w:r>
      <w:r>
        <w:rPr>
          <w:spacing w:val="21"/>
        </w:rPr>
        <w:t>司北</w:t>
      </w:r>
      <w:r>
        <w:rPr>
          <w:spacing w:val="-60"/>
        </w:rPr>
        <w:t> </w:t>
      </w:r>
      <w:r>
        <w:rPr/>
        <w:t>京</w:t>
      </w:r>
      <w:r>
        <w:rPr>
          <w:spacing w:val="-60"/>
        </w:rPr>
        <w:t> </w:t>
      </w:r>
      <w:r>
        <w:rPr>
          <w:spacing w:val="21"/>
        </w:rPr>
        <w:t>中关</w:t>
      </w:r>
      <w:r>
        <w:rPr>
          <w:spacing w:val="-60"/>
        </w:rPr>
        <w:t> </w:t>
      </w:r>
      <w:r>
        <w:rPr>
          <w:spacing w:val="21"/>
        </w:rPr>
        <w:t>村支</w:t>
      </w:r>
      <w:r>
        <w:rPr>
          <w:spacing w:val="-60"/>
        </w:rPr>
        <w:t> </w:t>
      </w:r>
      <w:r>
        <w:rPr>
          <w:spacing w:val="21"/>
        </w:rPr>
        <w:t>行与</w:t>
      </w:r>
      <w:r>
        <w:rPr>
          <w:spacing w:val="-60"/>
        </w:rPr>
        <w:t> </w:t>
      </w:r>
      <w:r>
        <w:rPr/>
        <w:t>本</w:t>
      </w:r>
      <w:r>
        <w:rPr>
          <w:spacing w:val="-60"/>
        </w:rPr>
        <w:t> </w:t>
      </w:r>
      <w:r>
        <w:rPr>
          <w:spacing w:val="21"/>
        </w:rPr>
        <w:t>公司</w:t>
      </w:r>
      <w:r>
        <w:rPr>
          <w:spacing w:val="-60"/>
        </w:rPr>
        <w:t> </w:t>
      </w:r>
      <w:r>
        <w:rPr>
          <w:spacing w:val="21"/>
        </w:rPr>
        <w:t>签署</w:t>
      </w:r>
      <w:r>
        <w:rPr>
          <w:spacing w:val="-60"/>
        </w:rPr>
        <w:t> </w:t>
      </w:r>
      <w:r>
        <w:rPr>
          <w:spacing w:val="21"/>
        </w:rPr>
        <w:t>《借</w:t>
      </w:r>
      <w:r>
        <w:rPr>
          <w:spacing w:val="-60"/>
        </w:rPr>
        <w:t> </w:t>
      </w:r>
      <w:r>
        <w:rPr/>
        <w:t>款</w:t>
      </w:r>
      <w:r>
        <w:rPr>
          <w:spacing w:val="-60"/>
        </w:rPr>
        <w:t> </w:t>
      </w:r>
      <w:r>
        <w:rPr>
          <w:spacing w:val="21"/>
        </w:rPr>
        <w:t>合同</w:t>
      </w:r>
      <w:r>
        <w:rPr>
          <w:spacing w:val="-60"/>
        </w:rPr>
        <w:t> </w:t>
      </w:r>
      <w:r>
        <w:rPr/>
        <w:t>》</w:t>
      </w:r>
    </w:p>
    <w:p>
      <w:pPr>
        <w:pStyle w:val="Heading4"/>
        <w:spacing w:line="256" w:lineRule="auto" w:before="21"/>
        <w:ind w:left="153" w:right="209"/>
        <w:jc w:val="both"/>
      </w:pPr>
      <w:r>
        <w:rPr/>
        <w:t>（</w:t>
      </w:r>
      <w:r>
        <w:rPr>
          <w:rFonts w:ascii="Times New Roman" w:hAnsi="Times New Roman" w:cs="Times New Roman" w:eastAsia="Times New Roman" w:hint="default"/>
        </w:rPr>
        <w:t>129C110201300104</w:t>
      </w:r>
      <w:r>
        <w:rPr/>
        <w:t>），向本公司发放贷款</w:t>
      </w:r>
      <w:r>
        <w:rPr>
          <w:rFonts w:ascii="Times New Roman" w:hAnsi="Times New Roman" w:cs="Times New Roman" w:eastAsia="Times New Roman" w:hint="default"/>
        </w:rPr>
        <w:t>2,000</w:t>
      </w:r>
      <w:r>
        <w:rPr/>
        <w:t>万元，指定用于向成都东方通科技有限责任公司等支付</w:t>
      </w:r>
      <w:r>
        <w:rPr>
          <w:spacing w:val="-17"/>
        </w:rPr>
        <w:t> </w:t>
      </w:r>
      <w:r>
        <w:rPr>
          <w:spacing w:val="-17"/>
        </w:rPr>
      </w:r>
      <w:r>
        <w:rPr>
          <w:spacing w:val="-1"/>
        </w:rPr>
        <w:t>货款，借款期限自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13</w:t>
      </w:r>
      <w:r>
        <w:rPr>
          <w:spacing w:val="-1"/>
        </w:rPr>
        <w:t>日至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日，利率为固定月率</w:t>
      </w:r>
      <w:r>
        <w:rPr>
          <w:rFonts w:ascii="Times New Roman" w:hAnsi="Times New Roman" w:cs="Times New Roman" w:eastAsia="Times New Roman" w:hint="default"/>
          <w:spacing w:val="-1"/>
        </w:rPr>
        <w:t>5.0001‰</w:t>
      </w:r>
      <w:r>
        <w:rPr>
          <w:spacing w:val="-1"/>
        </w:rPr>
        <w:t>，按季计付利息。该贷款由</w:t>
      </w:r>
      <w:r>
        <w:rPr>
          <w:spacing w:val="-21"/>
        </w:rPr>
        <w:t> </w:t>
      </w:r>
      <w:r>
        <w:rPr>
          <w:spacing w:val="-21"/>
        </w:rPr>
      </w:r>
      <w:r>
        <w:rPr/>
        <w:t>股东张齐春承担不可撤销的连带责任保证。公司已于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日清偿了该笔贷款本息。</w:t>
      </w:r>
    </w:p>
    <w:p>
      <w:pPr>
        <w:spacing w:line="240" w:lineRule="auto" w:before="3"/>
        <w:rPr>
          <w:rFonts w:ascii="宋体" w:hAnsi="宋体" w:cs="宋体" w:eastAsia="宋体" w:hint="default"/>
          <w:sz w:val="24"/>
          <w:szCs w:val="24"/>
        </w:rPr>
      </w:pPr>
    </w:p>
    <w:p>
      <w:pPr>
        <w:pStyle w:val="Heading4"/>
        <w:spacing w:line="256" w:lineRule="auto"/>
        <w:ind w:left="153" w:right="0" w:firstLine="424"/>
        <w:jc w:val="left"/>
      </w:pPr>
      <w:r>
        <w:rPr>
          <w:rFonts w:ascii="Times New Roman" w:hAnsi="Times New Roman" w:cs="Times New Roman" w:eastAsia="Times New Roman" w:hint="default"/>
          <w:spacing w:val="-8"/>
          <w:w w:val="100"/>
        </w:rPr>
        <w:t>2013</w:t>
      </w:r>
      <w:r>
        <w:rPr>
          <w:spacing w:val="-8"/>
          <w:w w:val="100"/>
        </w:rPr>
        <w:t>年</w:t>
      </w:r>
      <w:r>
        <w:rPr>
          <w:rFonts w:ascii="Times New Roman" w:hAnsi="Times New Roman" w:cs="Times New Roman" w:eastAsia="Times New Roman" w:hint="default"/>
          <w:spacing w:val="-8"/>
          <w:w w:val="100"/>
        </w:rPr>
        <w:t>6</w:t>
      </w:r>
      <w:r>
        <w:rPr>
          <w:spacing w:val="-8"/>
          <w:w w:val="100"/>
        </w:rPr>
        <w:t>月</w:t>
      </w:r>
      <w:r>
        <w:rPr>
          <w:rFonts w:ascii="Times New Roman" w:hAnsi="Times New Roman" w:cs="Times New Roman" w:eastAsia="Times New Roman" w:hint="default"/>
          <w:spacing w:val="-8"/>
          <w:w w:val="100"/>
        </w:rPr>
        <w:t>28</w:t>
      </w:r>
      <w:r>
        <w:rPr>
          <w:spacing w:val="-8"/>
          <w:w w:val="100"/>
        </w:rPr>
        <w:t>日，北京银行股份有限公司中关村海淀园支行与本公司签署《综合授信合同》（</w:t>
      </w:r>
      <w:r>
        <w:rPr>
          <w:rFonts w:ascii="Times New Roman" w:hAnsi="Times New Roman" w:cs="Times New Roman" w:eastAsia="Times New Roman" w:hint="default"/>
          <w:spacing w:val="-8"/>
          <w:w w:val="100"/>
        </w:rPr>
        <w:t>0168421</w:t>
      </w:r>
      <w:r>
        <w:rPr>
          <w:spacing w:val="-8"/>
          <w:w w:val="100"/>
        </w:rPr>
        <w:t>），</w:t>
      </w:r>
      <w:r>
        <w:rPr>
          <w:w w:val="100"/>
        </w:rPr>
        <w:t> </w:t>
      </w:r>
      <w:r>
        <w:rPr>
          <w:spacing w:val="-3"/>
        </w:rPr>
        <w:t>向本公司提供</w:t>
      </w:r>
      <w:r>
        <w:rPr>
          <w:rFonts w:ascii="Times New Roman" w:hAnsi="Times New Roman" w:cs="Times New Roman" w:eastAsia="Times New Roman" w:hint="default"/>
          <w:spacing w:val="-3"/>
        </w:rPr>
        <w:t>3,000</w:t>
      </w:r>
      <w:r>
        <w:rPr>
          <w:spacing w:val="-3"/>
        </w:rPr>
        <w:t>万元的最高授信额度，用于发放人民币贷款，单笔贷款期限不超过</w:t>
      </w:r>
      <w:r>
        <w:rPr>
          <w:rFonts w:ascii="Times New Roman" w:hAnsi="Times New Roman" w:cs="Times New Roman" w:eastAsia="Times New Roman" w:hint="default"/>
          <w:spacing w:val="-3"/>
        </w:rPr>
        <w:t>12</w:t>
      </w:r>
      <w:r>
        <w:rPr>
          <w:spacing w:val="-3"/>
        </w:rPr>
        <w:t>个月，提款期自本</w:t>
      </w:r>
      <w:r>
        <w:rPr>
          <w:spacing w:val="-47"/>
        </w:rPr>
        <w:t> </w:t>
      </w:r>
      <w:r>
        <w:rPr>
          <w:spacing w:val="-47"/>
        </w:rPr>
      </w:r>
      <w:r>
        <w:rPr>
          <w:spacing w:val="-2"/>
        </w:rPr>
        <w:t>授信合同签订日起</w:t>
      </w:r>
      <w:r>
        <w:rPr>
          <w:rFonts w:ascii="Times New Roman" w:hAnsi="Times New Roman" w:cs="Times New Roman" w:eastAsia="Times New Roman" w:hint="default"/>
          <w:spacing w:val="-2"/>
        </w:rPr>
        <w:t>12</w:t>
      </w:r>
      <w:r>
        <w:rPr>
          <w:spacing w:val="-2"/>
        </w:rPr>
        <w:t>个月。本公司在该综合授信合同下的债务，由股东张齐春及其配偶朱德生、孙亚明及</w:t>
      </w:r>
      <w:r>
        <w:rPr>
          <w:spacing w:val="-41"/>
        </w:rPr>
        <w:t> </w:t>
      </w:r>
      <w:r>
        <w:rPr>
          <w:spacing w:val="-41"/>
        </w:rPr>
      </w:r>
      <w:r>
        <w:rPr>
          <w:spacing w:val="-3"/>
        </w:rPr>
        <w:t>其配偶刘军屹提供最高</w:t>
      </w:r>
      <w:r>
        <w:rPr>
          <w:rFonts w:ascii="Times New Roman" w:hAnsi="Times New Roman" w:cs="Times New Roman" w:eastAsia="Times New Roman" w:hint="default"/>
          <w:spacing w:val="-3"/>
        </w:rPr>
        <w:t>3,000</w:t>
      </w:r>
      <w:r>
        <w:rPr>
          <w:spacing w:val="-3"/>
        </w:rPr>
        <w:t>万元的连带责任保证。同日，该支行在前述授信协议下，与本公司签订《借款</w:t>
      </w:r>
      <w:r>
        <w:rPr>
          <w:spacing w:val="-45"/>
        </w:rPr>
        <w:t> </w:t>
      </w:r>
      <w:r>
        <w:rPr>
          <w:spacing w:val="-45"/>
        </w:rPr>
      </w:r>
      <w:r>
        <w:rPr>
          <w:spacing w:val="-2"/>
        </w:rPr>
        <w:t>合同》（</w:t>
      </w:r>
      <w:r>
        <w:rPr>
          <w:rFonts w:ascii="Times New Roman" w:hAnsi="Times New Roman" w:cs="Times New Roman" w:eastAsia="Times New Roman" w:hint="default"/>
          <w:spacing w:val="-2"/>
        </w:rPr>
        <w:t>0168608</w:t>
      </w:r>
      <w:r>
        <w:rPr>
          <w:spacing w:val="-2"/>
        </w:rPr>
        <w:t>），向本公司发放贷款</w:t>
      </w:r>
      <w:r>
        <w:rPr>
          <w:rFonts w:ascii="Times New Roman" w:hAnsi="Times New Roman" w:cs="Times New Roman" w:eastAsia="Times New Roman" w:hint="default"/>
          <w:spacing w:val="-2"/>
        </w:rPr>
        <w:t>50</w:t>
      </w:r>
      <w:r>
        <w:rPr>
          <w:spacing w:val="-2"/>
        </w:rPr>
        <w:t>万元，用于支付采购款及日常经营费用，期限自</w:t>
      </w:r>
      <w:r>
        <w:rPr>
          <w:rFonts w:ascii="Times New Roman" w:hAnsi="Times New Roman" w:cs="Times New Roman" w:eastAsia="Times New Roman" w:hint="default"/>
          <w:spacing w:val="-2"/>
        </w:rPr>
        <w:t>28</w:t>
      </w:r>
      <w:r>
        <w:rPr>
          <w:spacing w:val="-2"/>
        </w:rPr>
        <w:t>日起</w:t>
      </w:r>
      <w:r>
        <w:rPr>
          <w:rFonts w:ascii="Times New Roman" w:hAnsi="Times New Roman" w:cs="Times New Roman" w:eastAsia="Times New Roman" w:hint="default"/>
          <w:spacing w:val="-2"/>
        </w:rPr>
        <w:t>1</w:t>
      </w:r>
      <w:r>
        <w:rPr>
          <w:spacing w:val="-2"/>
        </w:rPr>
        <w:t>年，合</w:t>
      </w:r>
      <w:r>
        <w:rPr/>
      </w:r>
    </w:p>
    <w:p>
      <w:pPr>
        <w:spacing w:after="0" w:line="256" w:lineRule="auto"/>
        <w:jc w:val="left"/>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4"/>
        <w:spacing w:line="256" w:lineRule="auto" w:before="36"/>
        <w:ind w:left="153" w:right="0" w:hanging="1"/>
        <w:jc w:val="left"/>
      </w:pPr>
      <w:r>
        <w:rPr>
          <w:spacing w:val="-4"/>
        </w:rPr>
        <w:t>同利率</w:t>
      </w:r>
      <w:r>
        <w:rPr>
          <w:rFonts w:ascii="Times New Roman" w:hAnsi="Times New Roman" w:cs="Times New Roman" w:eastAsia="Times New Roman" w:hint="default"/>
          <w:spacing w:val="-4"/>
        </w:rPr>
        <w:t>6%</w:t>
      </w:r>
      <w:r>
        <w:rPr>
          <w:spacing w:val="-4"/>
        </w:rPr>
        <w:t>，按季支付利息，公司已于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30</w:t>
      </w:r>
      <w:r>
        <w:rPr>
          <w:spacing w:val="-4"/>
        </w:rPr>
        <w:t>日清偿了该笔贷款本息。</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29</w:t>
      </w:r>
      <w:r>
        <w:rPr>
          <w:spacing w:val="-4"/>
        </w:rPr>
        <w:t>日，在前述授信协议下，</w:t>
      </w:r>
      <w:r>
        <w:rPr>
          <w:spacing w:val="1"/>
        </w:rPr>
        <w:t> </w:t>
      </w:r>
      <w:r>
        <w:rPr>
          <w:spacing w:val="1"/>
        </w:rPr>
      </w:r>
      <w:r>
        <w:rPr/>
        <w:t>该支行与本公司签署《借款合同》（</w:t>
      </w:r>
      <w:r>
        <w:rPr>
          <w:rFonts w:ascii="Times New Roman" w:hAnsi="Times New Roman" w:cs="Times New Roman" w:eastAsia="Times New Roman" w:hint="default"/>
        </w:rPr>
        <w:t>0186183</w:t>
      </w:r>
      <w:r>
        <w:rPr/>
        <w:t>），向本公司发放贷款</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日清偿），</w:t>
      </w:r>
      <w:r>
        <w:rPr>
          <w:spacing w:val="-79"/>
        </w:rPr>
        <w:t> </w:t>
      </w:r>
      <w:r>
        <w:rPr>
          <w:spacing w:val="-79"/>
        </w:rPr>
      </w:r>
      <w:r>
        <w:rPr>
          <w:spacing w:val="-2"/>
        </w:rPr>
        <w:t>用于支付采购款及日常经营费用，期限自</w:t>
      </w:r>
      <w:r>
        <w:rPr>
          <w:rFonts w:ascii="Times New Roman" w:hAnsi="Times New Roman" w:cs="Times New Roman" w:eastAsia="Times New Roman" w:hint="default"/>
          <w:spacing w:val="-2"/>
        </w:rPr>
        <w:t>29</w:t>
      </w:r>
      <w:r>
        <w:rPr>
          <w:spacing w:val="-2"/>
        </w:rPr>
        <w:t>日起</w:t>
      </w:r>
      <w:r>
        <w:rPr>
          <w:rFonts w:ascii="Times New Roman" w:hAnsi="Times New Roman" w:cs="Times New Roman" w:eastAsia="Times New Roman" w:hint="default"/>
          <w:spacing w:val="-2"/>
        </w:rPr>
        <w:t>12</w:t>
      </w:r>
      <w:r>
        <w:rPr>
          <w:spacing w:val="-2"/>
        </w:rPr>
        <w:t>个月，利率执行央行贷款基准利率，按季计付利息。</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18</w:t>
      </w:r>
      <w:r>
        <w:rPr/>
        <w:t>日，在前述授信协议下，该支行与本公司签署《借款合同》（</w:t>
      </w:r>
      <w:r>
        <w:rPr>
          <w:rFonts w:ascii="Times New Roman" w:hAnsi="Times New Roman" w:cs="Times New Roman" w:eastAsia="Times New Roman" w:hint="default"/>
        </w:rPr>
        <w:t>0188869</w:t>
      </w:r>
      <w:r>
        <w:rPr/>
        <w:t>），向本公司发放贷款</w:t>
      </w:r>
      <w:r>
        <w:rPr>
          <w:rFonts w:ascii="Times New Roman" w:hAnsi="Times New Roman" w:cs="Times New Roman" w:eastAsia="Times New Roman" w:hint="default"/>
        </w:rPr>
        <w:t>1,000</w:t>
      </w:r>
      <w:r>
        <w:rPr/>
        <w:t>万</w:t>
      </w:r>
      <w:r>
        <w:rPr>
          <w:spacing w:val="-79"/>
        </w:rPr>
        <w:t> </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日清偿），用于支付采购款，期限自</w:t>
      </w:r>
      <w:r>
        <w:rPr>
          <w:rFonts w:ascii="Times New Roman" w:hAnsi="Times New Roman" w:cs="Times New Roman" w:eastAsia="Times New Roman" w:hint="default"/>
        </w:rPr>
        <w:t>25</w:t>
      </w:r>
      <w:r>
        <w:rPr/>
        <w:t>日起</w:t>
      </w:r>
      <w:r>
        <w:rPr>
          <w:rFonts w:ascii="Times New Roman" w:hAnsi="Times New Roman" w:cs="Times New Roman" w:eastAsia="Times New Roman" w:hint="default"/>
        </w:rPr>
        <w:t>10</w:t>
      </w:r>
      <w:r>
        <w:rPr/>
        <w:t>个月，利率执行央行贷款基准利率，按季</w:t>
      </w:r>
      <w:r>
        <w:rPr>
          <w:spacing w:val="-30"/>
        </w:rPr>
        <w:t> </w:t>
      </w:r>
      <w:r>
        <w:rPr>
          <w:spacing w:val="-30"/>
        </w:rPr>
      </w:r>
      <w:r>
        <w:rPr/>
        <w:t>计付利息。</w:t>
      </w:r>
    </w:p>
    <w:p>
      <w:pPr>
        <w:spacing w:line="240" w:lineRule="auto" w:before="7"/>
        <w:rPr>
          <w:rFonts w:ascii="宋体" w:hAnsi="宋体" w:cs="宋体" w:eastAsia="宋体" w:hint="default"/>
          <w:sz w:val="25"/>
          <w:szCs w:val="25"/>
        </w:rPr>
      </w:pPr>
    </w:p>
    <w:p>
      <w:pPr>
        <w:pStyle w:val="Heading4"/>
        <w:spacing w:line="240" w:lineRule="auto"/>
        <w:ind w:right="0"/>
        <w:jc w:val="left"/>
      </w:pPr>
      <w:r>
        <w:rPr>
          <w:rFonts w:ascii="Times New Roman" w:hAnsi="Times New Roman" w:cs="Times New Roman" w:eastAsia="Times New Roman" w:hint="default"/>
        </w:rPr>
        <w:t>2014</w:t>
      </w:r>
      <w:r>
        <w:rPr/>
        <w:t>年新增三笔贷款，见下：</w:t>
      </w:r>
    </w:p>
    <w:p>
      <w:pPr>
        <w:spacing w:line="240" w:lineRule="auto" w:before="6"/>
        <w:rPr>
          <w:rFonts w:ascii="宋体" w:hAnsi="宋体" w:cs="宋体" w:eastAsia="宋体" w:hint="default"/>
          <w:sz w:val="25"/>
          <w:szCs w:val="25"/>
        </w:rPr>
      </w:pPr>
    </w:p>
    <w:p>
      <w:pPr>
        <w:pStyle w:val="Heading4"/>
        <w:spacing w:line="256" w:lineRule="auto"/>
        <w:ind w:left="153" w:right="0" w:firstLine="424"/>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日，招商银行股份有限公司北京分行在前述</w:t>
      </w:r>
      <w:r>
        <w:rPr>
          <w:rFonts w:ascii="Times New Roman" w:hAnsi="Times New Roman" w:cs="Times New Roman" w:eastAsia="Times New Roman" w:hint="default"/>
          <w:spacing w:val="-2"/>
        </w:rPr>
        <w:t>2013</w:t>
      </w:r>
      <w:r>
        <w:rPr>
          <w:spacing w:val="-2"/>
        </w:rPr>
        <w:t>年大望授字第</w:t>
      </w:r>
      <w:r>
        <w:rPr>
          <w:rFonts w:ascii="Times New Roman" w:hAnsi="Times New Roman" w:cs="Times New Roman" w:eastAsia="Times New Roman" w:hint="default"/>
          <w:spacing w:val="-2"/>
        </w:rPr>
        <w:t>035</w:t>
      </w:r>
      <w:r>
        <w:rPr>
          <w:spacing w:val="-2"/>
        </w:rPr>
        <w:t>号授信协议下与本公司</w:t>
      </w:r>
      <w:r>
        <w:rPr>
          <w:w w:val="100"/>
        </w:rPr>
        <w:t> </w:t>
      </w:r>
      <w:r>
        <w:rPr>
          <w:spacing w:val="-3"/>
        </w:rPr>
        <w:t>签署《借款合同》（</w:t>
      </w:r>
      <w:r>
        <w:rPr>
          <w:rFonts w:ascii="Times New Roman" w:hAnsi="Times New Roman" w:cs="Times New Roman" w:eastAsia="Times New Roman" w:hint="default"/>
          <w:spacing w:val="-3"/>
        </w:rPr>
        <w:t>2013</w:t>
      </w:r>
      <w:r>
        <w:rPr>
          <w:spacing w:val="-3"/>
        </w:rPr>
        <w:t>年大望授字第</w:t>
      </w:r>
      <w:r>
        <w:rPr>
          <w:rFonts w:ascii="Times New Roman" w:hAnsi="Times New Roman" w:cs="Times New Roman" w:eastAsia="Times New Roman" w:hint="default"/>
          <w:spacing w:val="-3"/>
        </w:rPr>
        <w:t>035</w:t>
      </w:r>
      <w:r>
        <w:rPr>
          <w:spacing w:val="-3"/>
        </w:rPr>
        <w:t>号贷</w:t>
      </w:r>
      <w:r>
        <w:rPr>
          <w:rFonts w:ascii="Times New Roman" w:hAnsi="Times New Roman" w:cs="Times New Roman" w:eastAsia="Times New Roman" w:hint="default"/>
          <w:spacing w:val="-3"/>
        </w:rPr>
        <w:t>002</w:t>
      </w:r>
      <w:r>
        <w:rPr>
          <w:spacing w:val="-3"/>
        </w:rPr>
        <w:t>），向本公司发放短期贷款</w:t>
      </w:r>
      <w:r>
        <w:rPr>
          <w:rFonts w:ascii="Times New Roman" w:hAnsi="Times New Roman" w:cs="Times New Roman" w:eastAsia="Times New Roman" w:hint="default"/>
          <w:spacing w:val="-3"/>
        </w:rPr>
        <w:t>1,500</w:t>
      </w:r>
      <w:r>
        <w:rPr>
          <w:spacing w:val="-3"/>
        </w:rPr>
        <w:t>万元，用于流动资金周</w:t>
      </w:r>
      <w:r>
        <w:rPr>
          <w:spacing w:val="-33"/>
        </w:rPr>
        <w:t> </w:t>
      </w:r>
      <w:r>
        <w:rPr>
          <w:spacing w:val="-33"/>
        </w:rPr>
      </w:r>
      <w:r>
        <w:rPr>
          <w:spacing w:val="-2"/>
        </w:rPr>
        <w:t>转，期限自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日至</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日，利率为央行半年期贷款基准利率，本公司于到期日清偿了该笔贷款</w:t>
      </w:r>
      <w:r>
        <w:rPr>
          <w:spacing w:val="-39"/>
        </w:rPr>
        <w:t> </w:t>
      </w:r>
      <w:r>
        <w:rPr>
          <w:spacing w:val="-39"/>
        </w:rPr>
      </w:r>
      <w:r>
        <w:rPr>
          <w:spacing w:val="-2"/>
        </w:rPr>
        <w:t>本息。</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日，该分行仍在前述授信协议下与本公司签署《借款合同》（</w:t>
      </w:r>
      <w:r>
        <w:rPr>
          <w:rFonts w:ascii="Times New Roman" w:hAnsi="Times New Roman" w:cs="Times New Roman" w:eastAsia="Times New Roman" w:hint="default"/>
          <w:spacing w:val="-2"/>
        </w:rPr>
        <w:t>2013</w:t>
      </w:r>
      <w:r>
        <w:rPr>
          <w:spacing w:val="-2"/>
        </w:rPr>
        <w:t>年大望授字第</w:t>
      </w:r>
      <w:r>
        <w:rPr>
          <w:rFonts w:ascii="Times New Roman" w:hAnsi="Times New Roman" w:cs="Times New Roman" w:eastAsia="Times New Roman" w:hint="default"/>
          <w:spacing w:val="-2"/>
        </w:rPr>
        <w:t>035</w:t>
      </w:r>
      <w:r>
        <w:rPr>
          <w:spacing w:val="-2"/>
        </w:rPr>
        <w:t>号</w:t>
      </w:r>
      <w:r>
        <w:rPr>
          <w:spacing w:val="-34"/>
        </w:rPr>
        <w:t> </w:t>
      </w:r>
      <w:r>
        <w:rPr>
          <w:spacing w:val="-3"/>
        </w:rPr>
        <w:t>贷</w:t>
      </w:r>
      <w:r>
        <w:rPr>
          <w:rFonts w:ascii="Times New Roman" w:hAnsi="Times New Roman" w:cs="Times New Roman" w:eastAsia="Times New Roman" w:hint="default"/>
          <w:spacing w:val="-3"/>
        </w:rPr>
        <w:t>003</w:t>
      </w:r>
      <w:r>
        <w:rPr>
          <w:spacing w:val="-3"/>
        </w:rPr>
        <w:t>），向本公司发行短期贷款</w:t>
      </w:r>
      <w:r>
        <w:rPr>
          <w:rFonts w:ascii="Times New Roman" w:hAnsi="Times New Roman" w:cs="Times New Roman" w:eastAsia="Times New Roman" w:hint="default"/>
          <w:spacing w:val="-3"/>
        </w:rPr>
        <w:t>1,000</w:t>
      </w:r>
      <w:r>
        <w:rPr>
          <w:spacing w:val="-3"/>
        </w:rPr>
        <w:t>万元，用于流动资金周转，贷款期限</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日至次年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25</w:t>
      </w:r>
      <w:r>
        <w:rPr>
          <w:spacing w:val="-3"/>
        </w:rPr>
        <w:t>日，</w:t>
      </w:r>
      <w:r>
        <w:rPr>
          <w:spacing w:val="-28"/>
        </w:rPr>
        <w:t> </w:t>
      </w:r>
      <w:r>
        <w:rPr/>
        <w:t>利率为央行贷款基准利率。</w:t>
      </w:r>
    </w:p>
    <w:p>
      <w:pPr>
        <w:spacing w:line="240" w:lineRule="auto" w:before="7"/>
        <w:rPr>
          <w:rFonts w:ascii="宋体" w:hAnsi="宋体" w:cs="宋体" w:eastAsia="宋体" w:hint="default"/>
          <w:sz w:val="25"/>
          <w:szCs w:val="25"/>
        </w:rPr>
      </w:pPr>
    </w:p>
    <w:p>
      <w:pPr>
        <w:pStyle w:val="Heading4"/>
        <w:spacing w:line="256" w:lineRule="auto"/>
        <w:ind w:left="153" w:right="210" w:firstLine="425"/>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日，杭州银行股份有限公司北京中关村支行与本公司签署《杭州银行股份有限公司借款</w:t>
      </w:r>
      <w:r>
        <w:rPr>
          <w:w w:val="100"/>
        </w:rPr>
        <w:t> </w:t>
      </w:r>
      <w:r>
        <w:rPr/>
        <w:t>合同》（</w:t>
      </w:r>
      <w:r>
        <w:rPr>
          <w:rFonts w:ascii="Times New Roman" w:hAnsi="Times New Roman" w:cs="Times New Roman" w:eastAsia="Times New Roman" w:hint="default"/>
        </w:rPr>
        <w:t>C-A-10</w:t>
      </w:r>
      <w:r>
        <w:rPr/>
        <w:t>）</w:t>
      </w:r>
      <w:r>
        <w:rPr>
          <w:rFonts w:ascii="Times New Roman" w:hAnsi="Times New Roman" w:cs="Times New Roman" w:eastAsia="Times New Roman" w:hint="default"/>
        </w:rPr>
        <w:t>,</w:t>
      </w:r>
      <w:r>
        <w:rPr/>
        <w:t>向本公司发放普通流动资金贷款</w:t>
      </w:r>
      <w:r>
        <w:rPr>
          <w:rFonts w:ascii="Times New Roman" w:hAnsi="Times New Roman" w:cs="Times New Roman" w:eastAsia="Times New Roman" w:hint="default"/>
        </w:rPr>
        <w:t>1,000</w:t>
      </w:r>
      <w:r>
        <w:rPr/>
        <w:t>万元，用于向成都东方通科技有限责任公司支付</w:t>
      </w:r>
      <w:r>
        <w:rPr>
          <w:spacing w:val="-41"/>
        </w:rPr>
        <w:t> </w:t>
      </w:r>
      <w:r>
        <w:rPr>
          <w:spacing w:val="-41"/>
        </w:rPr>
      </w:r>
      <w:r>
        <w:rPr/>
        <w:t>货款，期限自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日至次年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日，利率为固定月率</w:t>
      </w:r>
      <w:r>
        <w:rPr>
          <w:rFonts w:ascii="Times New Roman" w:hAnsi="Times New Roman" w:cs="Times New Roman" w:eastAsia="Times New Roman" w:hint="default"/>
        </w:rPr>
        <w:t>5.0‰</w:t>
      </w:r>
      <w:r>
        <w:rPr/>
        <w:t>，一次还本，按季付息。</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2）已逾期未偿还的短期借款情况" w:id="272"/>
      <w:bookmarkEnd w:id="27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5"/>
        <w:ind w:left="0" w:right="21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1、应付账款" w:id="273"/>
      <w:bookmarkEnd w:id="273"/>
      <w:r>
        <w:rPr>
          <w:b w:val="0"/>
          <w:bCs w:val="0"/>
        </w:rPr>
      </w:r>
      <w:r>
        <w:rPr>
          <w:rFonts w:ascii="Times New Roman" w:hAnsi="Times New Roman" w:cs="Times New Roman" w:eastAsia="Times New Roman" w:hint="default"/>
        </w:rPr>
        <w:t>31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74"/>
      <w:bookmarkEnd w:id="27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1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1,482,942.93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1,506,345.18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281,500.00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1,833,692.93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1,860,095.18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275"/>
      <w:bookmarkEnd w:id="275"/>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3"/>
        <w:jc w:val="right"/>
      </w:pPr>
      <w:r>
        <w:rPr/>
        <w:t>单位：</w:t>
      </w:r>
      <w:r>
        <w:rPr>
          <w:spacing w:val="1"/>
        </w:rPr>
        <w:t> </w:t>
      </w:r>
      <w:r>
        <w:rPr/>
        <w:t>元</w:t>
      </w:r>
    </w:p>
    <w:p>
      <w:pPr>
        <w:spacing w:after="0" w:line="240" w:lineRule="auto"/>
        <w:jc w:val="right"/>
        <w:sectPr>
          <w:pgSz w:w="11910" w:h="16840"/>
          <w:pgMar w:header="745"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北京瑞驰雷欧科技有限公司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198,000.00</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Heading4"/>
        <w:spacing w:line="516" w:lineRule="auto" w:before="94"/>
        <w:ind w:right="0"/>
        <w:jc w:val="left"/>
      </w:pPr>
      <w:r>
        <w:rPr>
          <w:spacing w:val="-2"/>
        </w:rPr>
        <w:t>本报告期应付账款中无欠持本公司</w:t>
      </w:r>
      <w:r>
        <w:rPr>
          <w:rFonts w:ascii="Times New Roman" w:hAnsi="Times New Roman" w:cs="Times New Roman" w:eastAsia="Times New Roman" w:hint="default"/>
          <w:spacing w:val="-2"/>
        </w:rPr>
        <w:t>5%</w:t>
      </w:r>
      <w:r>
        <w:rPr>
          <w:spacing w:val="-2"/>
        </w:rPr>
        <w:t>以上（含</w:t>
      </w:r>
      <w:r>
        <w:rPr>
          <w:rFonts w:ascii="Times New Roman" w:hAnsi="Times New Roman" w:cs="Times New Roman" w:eastAsia="Times New Roman" w:hint="default"/>
          <w:spacing w:val="-2"/>
        </w:rPr>
        <w:t>5%</w:t>
      </w:r>
      <w:r>
        <w:rPr>
          <w:spacing w:val="-2"/>
        </w:rPr>
        <w:t>）表决权的股东单位款项。</w:t>
      </w:r>
      <w:r>
        <w:rPr>
          <w:spacing w:val="-40"/>
        </w:rPr>
        <w:t> </w:t>
      </w:r>
      <w:r>
        <w:rPr>
          <w:spacing w:val="-40"/>
        </w:rPr>
      </w:r>
      <w:r>
        <w:rPr/>
        <w:t>本报告期无应付其他关联方的款项。</w:t>
      </w:r>
    </w:p>
    <w:p>
      <w:pPr>
        <w:pStyle w:val="Heading3"/>
        <w:spacing w:line="240" w:lineRule="auto" w:before="95"/>
        <w:ind w:right="0"/>
        <w:jc w:val="left"/>
        <w:rPr>
          <w:b w:val="0"/>
          <w:bCs w:val="0"/>
        </w:rPr>
      </w:pPr>
      <w:bookmarkStart w:name="32、预收款项" w:id="276"/>
      <w:bookmarkEnd w:id="276"/>
      <w:r>
        <w:rPr>
          <w:b w:val="0"/>
          <w:bCs w:val="0"/>
        </w:rPr>
      </w:r>
      <w:r>
        <w:rPr>
          <w:rFonts w:ascii="Times New Roman" w:hAnsi="Times New Roman" w:cs="Times New Roman" w:eastAsia="Times New Roman" w:hint="default"/>
        </w:rPr>
        <w:t>32</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77"/>
      <w:bookmarkEnd w:id="27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3,543,139.75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1,415,361.13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3,543,139.75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1,515,361.13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建造合同形成的已结算未完工项目情况" w:id="278"/>
      <w:bookmarkEnd w:id="278"/>
      <w:r>
        <w:rPr>
          <w:b w:val="0"/>
          <w:bCs w:val="0"/>
        </w:rPr>
      </w:r>
      <w:r>
        <w:rPr/>
        <w:t>（</w:t>
      </w:r>
      <w:r>
        <w:rPr>
          <w:rFonts w:ascii="Times New Roman" w:hAnsi="Times New Roman" w:cs="Times New Roman" w:eastAsia="Times New Roman" w:hint="default"/>
        </w:rPr>
        <w:t>2</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pStyle w:val="Heading4"/>
        <w:spacing w:line="516" w:lineRule="auto" w:before="94"/>
        <w:ind w:right="0"/>
        <w:jc w:val="left"/>
      </w:pPr>
      <w:r>
        <w:rPr>
          <w:spacing w:val="-2"/>
        </w:rPr>
        <w:t>本报告期预收账款中无预收持本公司</w:t>
      </w:r>
      <w:r>
        <w:rPr>
          <w:rFonts w:ascii="Times New Roman" w:hAnsi="Times New Roman" w:cs="Times New Roman" w:eastAsia="Times New Roman" w:hint="default"/>
          <w:spacing w:val="-2"/>
        </w:rPr>
        <w:t>5%</w:t>
      </w:r>
      <w:r>
        <w:rPr>
          <w:spacing w:val="-2"/>
        </w:rPr>
        <w:t>以上（含</w:t>
      </w:r>
      <w:r>
        <w:rPr>
          <w:rFonts w:ascii="Times New Roman" w:hAnsi="Times New Roman" w:cs="Times New Roman" w:eastAsia="Times New Roman" w:hint="default"/>
          <w:spacing w:val="-2"/>
        </w:rPr>
        <w:t>5%</w:t>
      </w:r>
      <w:r>
        <w:rPr>
          <w:spacing w:val="-2"/>
        </w:rPr>
        <w:t>）表决权的股东单位款项。</w:t>
      </w:r>
      <w:r>
        <w:rPr>
          <w:spacing w:val="-40"/>
        </w:rPr>
        <w:t> </w:t>
      </w:r>
      <w:r>
        <w:rPr>
          <w:spacing w:val="-40"/>
        </w:rPr>
      </w:r>
      <w:r>
        <w:rPr/>
        <w:t>本报告期无预收其他关联方的款项。</w:t>
      </w:r>
    </w:p>
    <w:p>
      <w:pPr>
        <w:pStyle w:val="Heading3"/>
        <w:spacing w:line="240" w:lineRule="auto" w:before="95"/>
        <w:ind w:right="0"/>
        <w:jc w:val="left"/>
        <w:rPr>
          <w:b w:val="0"/>
          <w:bCs w:val="0"/>
        </w:rPr>
      </w:pPr>
      <w:bookmarkStart w:name="33、应付职工薪酬" w:id="279"/>
      <w:bookmarkEnd w:id="279"/>
      <w:r>
        <w:rPr>
          <w:b w:val="0"/>
          <w:bCs w:val="0"/>
        </w:rPr>
      </w:r>
      <w:r>
        <w:rPr>
          <w:rFonts w:ascii="Times New Roman" w:hAnsi="Times New Roman" w:cs="Times New Roman" w:eastAsia="Times New Roman" w:hint="default"/>
        </w:rPr>
        <w:t>33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0"/>
      <w:bookmarkEnd w:id="28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1,679,571.82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85,928,890.13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83,235,958.52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4,372,503.43</w:t>
            </w:r>
            <w:r>
              <w:rPr>
                <w:rFonts w:ascii="Times New Roman"/>
                <w:sz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6,899,088.56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6,889,381.16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9,707.40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1,679,571.82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92,827,978.69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90,125,339.68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4,382,210.83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短期薪酬列示" w:id="281"/>
      <w:bookmarkEnd w:id="28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68,424,273.11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67,641,601.48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782,671.63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1,068,897.61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1,068,897.61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6,836,132.26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6,827,662.10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8,470.16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3,747,929.47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3,743,384.94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4,544.53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124,435.50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124,383.36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251,255.14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251,171.71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6,811,243.76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6,801,284.76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9,959.00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1,679,571.82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2,788,343.39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896,512.57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3,571,402.64</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1,679,571.82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85,928,890.13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83,235,958.52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4,372,503.43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282"/>
      <w:bookmarkEnd w:id="28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6,488,787.43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6,479,544.56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9,242.87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410,301.13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409,836.60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464.53</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6,899,088.56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6,889,381.16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9,707.40</w:t>
            </w:r>
          </w:p>
        </w:tc>
      </w:tr>
    </w:tbl>
    <w:p>
      <w:pPr>
        <w:pStyle w:val="BodyText"/>
        <w:spacing w:line="240" w:lineRule="auto" w:before="49"/>
        <w:ind w:right="0"/>
        <w:jc w:val="left"/>
      </w:pPr>
      <w:r>
        <w:rPr/>
        <w:t>其他说明：</w:t>
      </w:r>
    </w:p>
    <w:p>
      <w:pPr>
        <w:pStyle w:val="Heading4"/>
        <w:spacing w:line="240" w:lineRule="auto" w:before="94"/>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日应付职工薪酬中无属于拖欠性质的金额。本期无发生非货币性福利。</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34、应交税费" w:id="283"/>
      <w:bookmarkEnd w:id="283"/>
      <w:r>
        <w:rPr>
          <w:b w:val="0"/>
          <w:bCs w:val="0"/>
        </w:rPr>
      </w:r>
      <w:r>
        <w:rPr>
          <w:rFonts w:ascii="Times New Roman" w:hAnsi="Times New Roman" w:cs="Times New Roman" w:eastAsia="Times New Roman" w:hint="default"/>
        </w:rPr>
        <w:t>34</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9,135,896.29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8,381,803.49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2,213.34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2,213.34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2,944,635.95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487,888.73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382,479.00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647,193.70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564,980.84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277,368.75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242,134.66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184,912.48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167,525.82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214,150.32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2,471.29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副食品价格调控基金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8,401.00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14,988.92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5,739.58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4,319.71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13,908,400.14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9,762,917.07</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5、应付利息" w:id="284"/>
      <w:bookmarkEnd w:id="284"/>
      <w:r>
        <w:rPr>
          <w:b w:val="0"/>
          <w:bCs w:val="0"/>
        </w:rPr>
      </w:r>
      <w:r>
        <w:rPr>
          <w:rFonts w:ascii="Times New Roman" w:hAnsi="Times New Roman" w:cs="Times New Roman" w:eastAsia="Times New Roman" w:hint="default"/>
        </w:rPr>
        <w:t>35</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重要的已逾期未支付的利息情况：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6、应付股利" w:id="285"/>
      <w:bookmarkEnd w:id="285"/>
      <w:r>
        <w:rPr>
          <w:b w:val="0"/>
          <w:bCs w:val="0"/>
        </w:rPr>
      </w:r>
      <w:r>
        <w:rPr>
          <w:rFonts w:ascii="Times New Roman" w:hAnsi="Times New Roman" w:cs="Times New Roman" w:eastAsia="Times New Roman" w:hint="default"/>
        </w:rPr>
        <w:t>36</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7、其他应付款" w:id="286"/>
      <w:bookmarkEnd w:id="286"/>
      <w:r>
        <w:rPr>
          <w:b w:val="0"/>
          <w:bCs w:val="0"/>
        </w:rPr>
      </w:r>
      <w:r>
        <w:rPr>
          <w:rFonts w:ascii="Times New Roman" w:hAnsi="Times New Roman" w:cs="Times New Roman" w:eastAsia="Times New Roman" w:hint="default"/>
        </w:rPr>
        <w:t>37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87"/>
      <w:bookmarkEnd w:id="28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应付职工个人款项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150,570.09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498,162.23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141,937,600.00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184,632.20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5,507.36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142,296,062.29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526,929.59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288"/>
      <w:bookmarkEnd w:id="288"/>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pStyle w:val="Heading4"/>
        <w:spacing w:line="240" w:lineRule="auto" w:before="96"/>
        <w:ind w:right="0"/>
        <w:jc w:val="left"/>
      </w:pPr>
      <w:r>
        <w:rPr>
          <w:spacing w:val="17"/>
        </w:rPr>
        <w:t>本公司于</w:t>
      </w:r>
      <w:r>
        <w:rPr>
          <w:spacing w:val="-7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73"/>
        </w:rPr>
        <w:t> </w:t>
      </w:r>
      <w:r>
        <w:rPr>
          <w:rFonts w:ascii="Times New Roman" w:hAnsi="Times New Roman" w:cs="Times New Roman" w:eastAsia="Times New Roman" w:hint="default"/>
        </w:rPr>
        <w:t>15</w:t>
      </w:r>
      <w:r>
        <w:rPr>
          <w:rFonts w:ascii="Times New Roman" w:hAnsi="Times New Roman" w:cs="Times New Roman" w:eastAsia="Times New Roman" w:hint="default"/>
          <w:spacing w:val="-24"/>
        </w:rPr>
        <w:t> </w:t>
      </w:r>
      <w:r>
        <w:rPr>
          <w:spacing w:val="21"/>
        </w:rPr>
        <w:t>日收购北京惠捷朗科技有限公司</w:t>
      </w:r>
      <w:r>
        <w:rPr>
          <w:spacing w:val="-73"/>
        </w:rPr>
        <w:t> </w:t>
      </w:r>
      <w:r>
        <w:rPr>
          <w:rFonts w:ascii="Times New Roman" w:hAnsi="Times New Roman" w:cs="Times New Roman" w:eastAsia="Times New Roman" w:hint="default"/>
        </w:rPr>
        <w:t>100%</w:t>
      </w:r>
      <w:r>
        <w:rPr>
          <w:rFonts w:ascii="Times New Roman" w:hAnsi="Times New Roman" w:cs="Times New Roman" w:eastAsia="Times New Roman" w:hint="default"/>
          <w:spacing w:val="-24"/>
        </w:rPr>
        <w:t> </w:t>
      </w:r>
      <w:r>
        <w:rPr>
          <w:spacing w:val="19"/>
        </w:rPr>
        <w:t>股权，收购对价</w:t>
      </w:r>
      <w:r>
        <w:rPr>
          <w:spacing w:val="-73"/>
        </w:rPr>
        <w:t> </w:t>
      </w:r>
      <w:r>
        <w:rPr>
          <w:rFonts w:ascii="Times New Roman" w:hAnsi="Times New Roman" w:cs="Times New Roman" w:eastAsia="Times New Roman" w:hint="default"/>
        </w:rPr>
        <w:t>4.2</w:t>
      </w:r>
      <w:r>
        <w:rPr>
          <w:rFonts w:ascii="Times New Roman" w:hAnsi="Times New Roman" w:cs="Times New Roman" w:eastAsia="Times New Roman" w:hint="default"/>
          <w:spacing w:val="-21"/>
        </w:rPr>
        <w:t> </w:t>
      </w:r>
      <w:r>
        <w:rPr>
          <w:spacing w:val="18"/>
        </w:rPr>
        <w:t>亿元，其中</w:t>
      </w:r>
      <w:r>
        <w:rPr>
          <w:spacing w:val="-81"/>
        </w:rPr>
        <w:t> </w:t>
      </w:r>
      <w:r>
        <w:rPr/>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4"/>
        <w:spacing w:line="256" w:lineRule="auto" w:before="36"/>
        <w:ind w:left="153" w:right="0" w:hanging="1"/>
        <w:jc w:val="left"/>
      </w:pPr>
      <w:r>
        <w:rPr>
          <w:rFonts w:ascii="Times New Roman" w:hAnsi="Times New Roman" w:cs="Times New Roman" w:eastAsia="Times New Roman" w:hint="default"/>
          <w:spacing w:val="-2"/>
        </w:rPr>
        <w:t>285,062,400.00</w:t>
      </w:r>
      <w:r>
        <w:rPr>
          <w:spacing w:val="-2"/>
        </w:rPr>
        <w:t>元以本公司股票</w:t>
      </w:r>
      <w:r>
        <w:rPr>
          <w:rFonts w:ascii="Times New Roman" w:hAnsi="Times New Roman" w:cs="Times New Roman" w:eastAsia="Times New Roman" w:hint="default"/>
          <w:spacing w:val="-2"/>
        </w:rPr>
        <w:t>4,480,000</w:t>
      </w:r>
      <w:r>
        <w:rPr>
          <w:spacing w:val="-2"/>
        </w:rPr>
        <w:t>股支付，每股发行价格</w:t>
      </w:r>
      <w:r>
        <w:rPr>
          <w:rFonts w:ascii="Times New Roman" w:hAnsi="Times New Roman" w:cs="Times New Roman" w:eastAsia="Times New Roman" w:hint="default"/>
          <w:spacing w:val="-2"/>
        </w:rPr>
        <w:t>63.63</w:t>
      </w:r>
      <w:r>
        <w:rPr>
          <w:spacing w:val="-2"/>
        </w:rPr>
        <w:t>元，其余</w:t>
      </w:r>
      <w:r>
        <w:rPr>
          <w:rFonts w:ascii="Times New Roman" w:hAnsi="Times New Roman" w:cs="Times New Roman" w:eastAsia="Times New Roman" w:hint="default"/>
          <w:spacing w:val="-2"/>
        </w:rPr>
        <w:t>134,937,600.00</w:t>
      </w:r>
      <w:r>
        <w:rPr>
          <w:spacing w:val="-2"/>
        </w:rPr>
        <w:t>元为现金对价。</w:t>
      </w:r>
      <w:r>
        <w:rPr>
          <w:spacing w:val="-49"/>
        </w:rPr>
        <w:t> </w:t>
      </w:r>
      <w:r>
        <w:rPr>
          <w:spacing w:val="-49"/>
        </w:rPr>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日向北京惠捷朗科技有限公司原四位自然人股东支付现金对价</w:t>
      </w:r>
      <w:r>
        <w:rPr>
          <w:rFonts w:ascii="Times New Roman" w:hAnsi="Times New Roman" w:cs="Times New Roman" w:eastAsia="Times New Roman" w:hint="default"/>
        </w:rPr>
        <w:t>134,937,600.00</w:t>
      </w:r>
      <w:r>
        <w:rPr/>
        <w:t>元，并</w:t>
      </w:r>
      <w:r>
        <w:rPr>
          <w:spacing w:val="-85"/>
        </w:rPr>
        <w:t> </w:t>
      </w:r>
      <w:r>
        <w:rPr/>
        <w:t>代扣代缴个人所得税</w:t>
      </w:r>
      <w:r>
        <w:rPr>
          <w:rFonts w:ascii="Times New Roman" w:hAnsi="Times New Roman" w:cs="Times New Roman" w:eastAsia="Times New Roman" w:hint="default"/>
        </w:rPr>
        <w:t>81,958,000.00</w:t>
      </w:r>
      <w:r>
        <w:rPr/>
        <w:t>元。</w:t>
      </w:r>
    </w:p>
    <w:p>
      <w:pPr>
        <w:spacing w:line="240" w:lineRule="auto" w:before="3"/>
        <w:rPr>
          <w:rFonts w:ascii="宋体" w:hAnsi="宋体" w:cs="宋体" w:eastAsia="宋体" w:hint="default"/>
          <w:sz w:val="24"/>
          <w:szCs w:val="24"/>
        </w:rPr>
      </w:pPr>
    </w:p>
    <w:p>
      <w:pPr>
        <w:pStyle w:val="Heading4"/>
        <w:spacing w:line="256" w:lineRule="auto"/>
        <w:ind w:left="153" w:right="209" w:firstLine="424"/>
        <w:jc w:val="both"/>
      </w:pPr>
      <w:r>
        <w:rPr>
          <w:spacing w:val="-1"/>
        </w:rPr>
        <w:t>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w:t>
      </w:r>
      <w:r>
        <w:rPr>
          <w:spacing w:val="-1"/>
        </w:rPr>
        <w:t>日收购北京同德一心科技有限公司</w:t>
      </w:r>
      <w:r>
        <w:rPr>
          <w:rFonts w:ascii="Times New Roman" w:hAnsi="Times New Roman" w:cs="Times New Roman" w:eastAsia="Times New Roman" w:hint="default"/>
          <w:spacing w:val="-1"/>
        </w:rPr>
        <w:t>100%</w:t>
      </w:r>
      <w:r>
        <w:rPr>
          <w:spacing w:val="-1"/>
        </w:rPr>
        <w:t>股权，收购对价</w:t>
      </w:r>
      <w:r>
        <w:rPr>
          <w:rFonts w:ascii="Times New Roman" w:hAnsi="Times New Roman" w:cs="Times New Roman" w:eastAsia="Times New Roman" w:hint="default"/>
          <w:spacing w:val="-1"/>
        </w:rPr>
        <w:t>3,000</w:t>
      </w:r>
      <w:r>
        <w:rPr>
          <w:spacing w:val="-1"/>
        </w:rPr>
        <w:t>万元，已支付</w:t>
      </w:r>
      <w:r>
        <w:rPr>
          <w:rFonts w:ascii="Times New Roman" w:hAnsi="Times New Roman" w:cs="Times New Roman" w:eastAsia="Times New Roman" w:hint="default"/>
          <w:spacing w:val="-1"/>
        </w:rPr>
        <w:t>2,300</w:t>
      </w:r>
      <w:r>
        <w:rPr>
          <w:rFonts w:ascii="Times New Roman" w:hAnsi="Times New Roman" w:cs="Times New Roman" w:eastAsia="Times New Roman" w:hint="default"/>
          <w:w w:val="100"/>
        </w:rPr>
        <w:t> </w:t>
      </w:r>
      <w:r>
        <w:rPr>
          <w:spacing w:val="-2"/>
        </w:rPr>
        <w:t>万元，尚余</w:t>
      </w:r>
      <w:r>
        <w:rPr>
          <w:rFonts w:ascii="Times New Roman" w:hAnsi="Times New Roman" w:cs="Times New Roman" w:eastAsia="Times New Roman" w:hint="default"/>
          <w:spacing w:val="-2"/>
        </w:rPr>
        <w:t>700</w:t>
      </w:r>
      <w:r>
        <w:rPr>
          <w:spacing w:val="-2"/>
        </w:rPr>
        <w:t>万元未支付。根据《股权转让协议》，本公司将于自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日起满十八个月、三十六</w:t>
      </w:r>
      <w:r>
        <w:rPr>
          <w:spacing w:val="-38"/>
        </w:rPr>
        <w:t> </w:t>
      </w:r>
      <w:r>
        <w:rPr>
          <w:spacing w:val="-38"/>
        </w:rPr>
      </w:r>
      <w:r>
        <w:rPr/>
        <w:t>个月后分别支付</w:t>
      </w:r>
      <w:r>
        <w:rPr>
          <w:rFonts w:ascii="Times New Roman" w:hAnsi="Times New Roman" w:cs="Times New Roman" w:eastAsia="Times New Roman" w:hint="default"/>
        </w:rPr>
        <w:t>350</w:t>
      </w:r>
      <w:r>
        <w:rPr/>
        <w:t>万元。</w:t>
      </w:r>
    </w:p>
    <w:p>
      <w:pPr>
        <w:spacing w:line="240" w:lineRule="auto" w:before="3"/>
        <w:rPr>
          <w:rFonts w:ascii="宋体" w:hAnsi="宋体" w:cs="宋体" w:eastAsia="宋体" w:hint="default"/>
          <w:sz w:val="24"/>
          <w:szCs w:val="24"/>
        </w:rPr>
      </w:pPr>
    </w:p>
    <w:p>
      <w:pPr>
        <w:pStyle w:val="Heading4"/>
        <w:spacing w:line="516" w:lineRule="auto"/>
        <w:ind w:left="578" w:right="0"/>
        <w:jc w:val="left"/>
      </w:pPr>
      <w:r>
        <w:rPr>
          <w:spacing w:val="-2"/>
        </w:rPr>
        <w:t>本报告期内，其他应付款中不存在应付持有本公司</w:t>
      </w:r>
      <w:r>
        <w:rPr>
          <w:rFonts w:ascii="Times New Roman" w:hAnsi="Times New Roman" w:cs="Times New Roman" w:eastAsia="Times New Roman" w:hint="default"/>
          <w:spacing w:val="-2"/>
        </w:rPr>
        <w:t>5%</w:t>
      </w:r>
      <w:r>
        <w:rPr>
          <w:spacing w:val="-2"/>
        </w:rPr>
        <w:t>（含</w:t>
      </w:r>
      <w:r>
        <w:rPr>
          <w:rFonts w:ascii="Times New Roman" w:hAnsi="Times New Roman" w:cs="Times New Roman" w:eastAsia="Times New Roman" w:hint="default"/>
          <w:spacing w:val="-2"/>
        </w:rPr>
        <w:t>5%</w:t>
      </w:r>
      <w:r>
        <w:rPr>
          <w:spacing w:val="-2"/>
        </w:rPr>
        <w:t>）以上表决权股份的股东单位的款项。</w:t>
      </w:r>
      <w:r>
        <w:rPr>
          <w:spacing w:val="-29"/>
        </w:rPr>
        <w:t> </w:t>
      </w:r>
      <w:r>
        <w:rPr>
          <w:spacing w:val="-29"/>
        </w:rPr>
      </w:r>
      <w:r>
        <w:rPr/>
        <w:t>本报告期其他应付款中无应付其他关联方的款项。</w:t>
      </w:r>
    </w:p>
    <w:p>
      <w:pPr>
        <w:pStyle w:val="Heading4"/>
        <w:spacing w:line="240" w:lineRule="auto" w:before="107"/>
        <w:ind w:left="578" w:right="0"/>
        <w:jc w:val="left"/>
      </w:pPr>
      <w:r>
        <w:rPr/>
        <w:t>无账龄一年以上的大额其他应付款。</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8、一年内到期的非流动负债" w:id="289"/>
      <w:bookmarkEnd w:id="289"/>
      <w:r>
        <w:rPr>
          <w:b w:val="0"/>
          <w:bCs w:val="0"/>
        </w:rPr>
      </w:r>
      <w:r>
        <w:rPr>
          <w:rFonts w:ascii="Times New Roman" w:hAnsi="Times New Roman" w:cs="Times New Roman" w:eastAsia="Times New Roman" w:hint="default"/>
        </w:rPr>
        <w:t>38</w:t>
      </w:r>
      <w:r>
        <w:rPr/>
        <w:t>、一年内到期的非流动负债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1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10,178,402.77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10,178,402.77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9、其他流动负债" w:id="290"/>
      <w:bookmarkEnd w:id="290"/>
      <w:r>
        <w:rPr>
          <w:b w:val="0"/>
          <w:bCs w:val="0"/>
        </w:rPr>
      </w:r>
      <w:r>
        <w:rPr>
          <w:rFonts w:ascii="Times New Roman" w:hAnsi="Times New Roman" w:cs="Times New Roman" w:eastAsia="Times New Roman" w:hint="default"/>
        </w:rPr>
        <w:t>39</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支撑工具集研发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24,111.64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319,840.00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开源软件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资源库组织及集成技术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面向软件服务运营的中间件系统的定制 化研发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156,000.00</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集成化中间件套件产品研发及产业化</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371,066.37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879,999.95</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国产中间件参考实现及平台之东方通部 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266,500.00</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面向大型复杂网络应用的集成类中间件 产品研发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91,833.33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134,000.00</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中间件与数据库的互操作及集成性能测 试用例开发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支持移动互联网络应用消息中间件</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116,666.59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金融领域密码软硬件研发及应用示范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233,333.35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基于移动通信网络路测解决方案的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CDSLTE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测试系统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262,500.00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1,087,778.01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2,215,406.54</w:t>
            </w:r>
            <w:r>
              <w:rPr>
                <w:rFonts w:ascii="Times New Roman"/>
                <w:sz w:val="18"/>
              </w:rPr>
            </w:r>
          </w:p>
        </w:tc>
      </w:tr>
    </w:tbl>
    <w:p>
      <w:pPr>
        <w:pStyle w:val="BodyText"/>
        <w:spacing w:line="240" w:lineRule="auto" w:before="49"/>
        <w:ind w:right="0"/>
        <w:jc w:val="left"/>
      </w:pPr>
      <w:r>
        <w:rPr/>
        <w:t>短期应付债券的增减变动：</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7"/>
        <w:gridCol w:w="797"/>
        <w:gridCol w:w="797"/>
        <w:gridCol w:w="797"/>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0、递延收益" w:id="291"/>
      <w:bookmarkEnd w:id="291"/>
      <w:r>
        <w:rPr>
          <w:b w:val="0"/>
          <w:bCs w:val="0"/>
        </w:rPr>
      </w:r>
      <w:r>
        <w:rPr>
          <w:rFonts w:ascii="Times New Roman" w:hAnsi="Times New Roman" w:cs="Times New Roman" w:eastAsia="Times New Roman" w:hint="default"/>
        </w:rPr>
        <w:t>40</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支撑工具集研 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24,111.64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24,111.64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开源软件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资源库 组织及集成技术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1,666.66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面向软件服务运营 的中间件系统的定 制化研发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集成化中间件套件 产品研发及产业化 </w:t>
            </w:r>
            <w:r>
              <w:rPr>
                <w:rFonts w:ascii="Times New Roman" w:hAnsi="Times New Roman" w:cs="Times New Roman" w:eastAsia="Times New Roman" w:hint="default"/>
                <w:sz w:val="18"/>
                <w:szCs w:val="18"/>
              </w:rPr>
              <w:t>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371,066.65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371,066.65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国产中间件参考实 现及平台之东方通 部分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面向大型复杂网络 应用的集成类中间 件产品研发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91,833.33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中间件与数据库的 互操作及集成性能 测试用例开发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支持移动互联网络 应用消息中间件</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金融领域密码软硬 件研发及应用示范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233,333.33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基于移动通信网络 路测解决方案的 </w:t>
            </w:r>
            <w:r>
              <w:rPr>
                <w:rFonts w:ascii="Times New Roman" w:hAnsi="Times New Roman" w:cs="Times New Roman" w:eastAsia="Times New Roman" w:hint="default"/>
                <w:spacing w:val="-4"/>
                <w:sz w:val="18"/>
                <w:szCs w:val="18"/>
              </w:rPr>
              <w:t>CDSLTE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测试系统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855,278.28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855,278.28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465"/>
        <w:jc w:val="left"/>
      </w:pPr>
      <w:r>
        <w:rPr/>
        <w:t>涉及政府补助的项目：</w:t>
      </w:r>
    </w:p>
    <w:p>
      <w:pPr>
        <w:pStyle w:val="BodyText"/>
        <w:spacing w:line="240" w:lineRule="auto" w:before="115"/>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bl>
    <w:p>
      <w:pPr>
        <w:pStyle w:val="BodyText"/>
        <w:spacing w:line="240" w:lineRule="auto" w:before="49"/>
        <w:ind w:right="46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465"/>
        <w:jc w:val="left"/>
        <w:rPr>
          <w:b w:val="0"/>
          <w:bCs w:val="0"/>
        </w:rPr>
      </w:pPr>
      <w:bookmarkStart w:name="41、股本" w:id="292"/>
      <w:bookmarkEnd w:id="292"/>
      <w:r>
        <w:rPr>
          <w:b w:val="0"/>
          <w:bCs w:val="0"/>
        </w:rPr>
      </w:r>
      <w:r>
        <w:rPr>
          <w:rFonts w:ascii="Times New Roman" w:hAnsi="Times New Roman" w:cs="Times New Roman" w:eastAsia="Times New Roman" w:hint="default"/>
        </w:rPr>
        <w:t>41</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6"/>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4D4D4"/>
          </w:tcPr>
          <w:p>
            <w:pP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45,000,000.00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12,610,150.00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12,610,150.00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57,610,150.00</w:t>
            </w:r>
          </w:p>
        </w:tc>
      </w:tr>
    </w:tbl>
    <w:p>
      <w:pPr>
        <w:pStyle w:val="BodyText"/>
        <w:spacing w:line="240" w:lineRule="auto" w:before="49"/>
        <w:ind w:right="465"/>
        <w:jc w:val="left"/>
      </w:pPr>
      <w:r>
        <w:rPr/>
        <w:t>其他说明：</w:t>
      </w:r>
    </w:p>
    <w:p>
      <w:pPr>
        <w:pStyle w:val="Heading4"/>
        <w:spacing w:line="256" w:lineRule="auto" w:before="94"/>
        <w:ind w:left="152" w:right="187" w:firstLine="424"/>
        <w:jc w:val="both"/>
      </w:pPr>
      <w:r>
        <w:rPr>
          <w:spacing w:val="-2"/>
        </w:rPr>
        <w:t>根据本公司</w:t>
      </w:r>
      <w:r>
        <w:rPr>
          <w:rFonts w:ascii="Times New Roman" w:hAnsi="Times New Roman" w:cs="Times New Roman" w:eastAsia="Times New Roman" w:hint="default"/>
          <w:spacing w:val="-2"/>
        </w:rPr>
        <w:t>2013</w:t>
      </w:r>
      <w:r>
        <w:rPr>
          <w:spacing w:val="-2"/>
        </w:rPr>
        <w:t>年第三次临时股东大会决议和中国证券监督管理委员会《关于核准北京东方通科技股</w:t>
      </w:r>
      <w:r>
        <w:rPr>
          <w:w w:val="100"/>
        </w:rPr>
        <w:t> </w:t>
      </w:r>
      <w:r>
        <w:rPr>
          <w:spacing w:val="-3"/>
        </w:rPr>
        <w:t>份有限公司首次公开发行股票并在创业板上市的批复》（证监许可</w:t>
      </w:r>
      <w:r>
        <w:rPr>
          <w:rFonts w:ascii="Times New Roman" w:hAnsi="Times New Roman" w:cs="Times New Roman" w:eastAsia="Times New Roman" w:hint="default"/>
          <w:spacing w:val="-3"/>
        </w:rPr>
        <w:t>[2014]66</w:t>
      </w:r>
      <w:r>
        <w:rPr>
          <w:spacing w:val="-3"/>
        </w:rPr>
        <w:t>号）核准，公司于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40"/>
        </w:rPr>
        <w:t> </w:t>
      </w:r>
      <w:r>
        <w:rPr/>
        <w:t>日公开发行人民币普通股</w:t>
      </w:r>
      <w:r>
        <w:rPr>
          <w:rFonts w:ascii="Times New Roman" w:hAnsi="Times New Roman" w:cs="Times New Roman" w:eastAsia="Times New Roman" w:hint="default"/>
        </w:rPr>
        <w:t>643.3181</w:t>
      </w:r>
      <w:r>
        <w:rPr/>
        <w:t>万股，每股价格为</w:t>
      </w:r>
      <w:r>
        <w:rPr>
          <w:rFonts w:ascii="Times New Roman" w:hAnsi="Times New Roman" w:cs="Times New Roman" w:eastAsia="Times New Roman" w:hint="default"/>
        </w:rPr>
        <w:t>22</w:t>
      </w:r>
      <w:r>
        <w:rPr/>
        <w:t>元，原股东公开发售股份</w:t>
      </w:r>
      <w:r>
        <w:rPr>
          <w:rFonts w:ascii="Times New Roman" w:hAnsi="Times New Roman" w:cs="Times New Roman" w:eastAsia="Times New Roman" w:hint="default"/>
        </w:rPr>
        <w:t>642.5115</w:t>
      </w:r>
      <w:r>
        <w:rPr/>
        <w:t>万股。本次发行</w:t>
      </w:r>
      <w:r>
        <w:rPr>
          <w:spacing w:val="-31"/>
        </w:rPr>
        <w:t> </w:t>
      </w:r>
      <w:r>
        <w:rPr>
          <w:spacing w:val="-31"/>
        </w:rPr>
      </w:r>
      <w:r>
        <w:rPr/>
        <w:t>后，公司股本总额为</w:t>
      </w:r>
      <w:r>
        <w:rPr>
          <w:rFonts w:ascii="Times New Roman" w:hAnsi="Times New Roman" w:cs="Times New Roman" w:eastAsia="Times New Roman" w:hint="default"/>
        </w:rPr>
        <w:t>51,433,181.00</w:t>
      </w:r>
      <w:r>
        <w:rPr/>
        <w:t>元，发起人股本</w:t>
      </w:r>
      <w:r>
        <w:rPr>
          <w:rFonts w:ascii="Times New Roman" w:hAnsi="Times New Roman" w:cs="Times New Roman" w:eastAsia="Times New Roman" w:hint="default"/>
        </w:rPr>
        <w:t>38,574,885.00</w:t>
      </w:r>
      <w:r>
        <w:rPr/>
        <w:t>元，占股本总额的</w:t>
      </w:r>
      <w:r>
        <w:rPr>
          <w:rFonts w:ascii="Times New Roman" w:hAnsi="Times New Roman" w:cs="Times New Roman" w:eastAsia="Times New Roman" w:hint="default"/>
        </w:rPr>
        <w:t>75.0000%</w:t>
      </w:r>
      <w:r>
        <w:rPr/>
        <w:t>；社会公众股</w:t>
      </w:r>
      <w:r>
        <w:rPr>
          <w:spacing w:val="-46"/>
        </w:rPr>
        <w:t> </w:t>
      </w:r>
      <w:r>
        <w:rPr>
          <w:spacing w:val="-46"/>
        </w:rPr>
      </w:r>
      <w:r>
        <w:rPr>
          <w:spacing w:val="-4"/>
        </w:rPr>
        <w:t>本</w:t>
      </w:r>
      <w:r>
        <w:rPr>
          <w:rFonts w:ascii="Times New Roman" w:hAnsi="Times New Roman" w:cs="Times New Roman" w:eastAsia="Times New Roman" w:hint="default"/>
          <w:spacing w:val="-4"/>
        </w:rPr>
        <w:t>12,858,296.00</w:t>
      </w:r>
      <w:r>
        <w:rPr>
          <w:spacing w:val="-4"/>
        </w:rPr>
        <w:t>元，占股本总额的</w:t>
      </w:r>
      <w:r>
        <w:rPr>
          <w:rFonts w:ascii="Times New Roman" w:hAnsi="Times New Roman" w:cs="Times New Roman" w:eastAsia="Times New Roman" w:hint="default"/>
          <w:spacing w:val="-4"/>
        </w:rPr>
        <w:t>25.0000%</w:t>
      </w:r>
      <w:r>
        <w:rPr>
          <w:spacing w:val="-4"/>
        </w:rPr>
        <w:t>。该事项业经大华会计师事务所</w:t>
      </w:r>
      <w:r>
        <w:rPr>
          <w:rFonts w:ascii="Times New Roman" w:hAnsi="Times New Roman" w:cs="Times New Roman" w:eastAsia="Times New Roman" w:hint="default"/>
          <w:spacing w:val="-4"/>
        </w:rPr>
        <w:t>(</w:t>
      </w:r>
      <w:r>
        <w:rPr>
          <w:spacing w:val="-4"/>
        </w:rPr>
        <w:t>特殊普通合伙</w:t>
      </w:r>
      <w:r>
        <w:rPr>
          <w:rFonts w:ascii="Times New Roman" w:hAnsi="Times New Roman" w:cs="Times New Roman" w:eastAsia="Times New Roman" w:hint="default"/>
          <w:spacing w:val="-4"/>
        </w:rPr>
        <w:t>)</w:t>
      </w:r>
      <w:r>
        <w:rPr>
          <w:spacing w:val="-4"/>
        </w:rPr>
        <w:t>审验，并于</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日出具大华验字</w:t>
      </w:r>
      <w:r>
        <w:rPr>
          <w:rFonts w:ascii="Times New Roman" w:hAnsi="Times New Roman" w:cs="Times New Roman" w:eastAsia="Times New Roman" w:hint="default"/>
        </w:rPr>
        <w:t>[2014]000055</w:t>
      </w:r>
      <w:r>
        <w:rPr/>
        <w:t>号验资报告。</w:t>
      </w:r>
    </w:p>
    <w:p>
      <w:pPr>
        <w:spacing w:line="240" w:lineRule="auto" w:before="3"/>
        <w:rPr>
          <w:rFonts w:ascii="宋体" w:hAnsi="宋体" w:cs="宋体" w:eastAsia="宋体" w:hint="default"/>
          <w:sz w:val="24"/>
          <w:szCs w:val="24"/>
        </w:rPr>
      </w:pPr>
    </w:p>
    <w:p>
      <w:pPr>
        <w:pStyle w:val="Heading4"/>
        <w:spacing w:line="254" w:lineRule="auto"/>
        <w:ind w:left="152" w:right="94" w:firstLine="425"/>
        <w:jc w:val="left"/>
      </w:pPr>
      <w:r>
        <w:rPr>
          <w:spacing w:val="-2"/>
        </w:rPr>
        <w:t>根据本公司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日召开的</w:t>
      </w:r>
      <w:r>
        <w:rPr>
          <w:rFonts w:ascii="Times New Roman" w:hAnsi="Times New Roman" w:cs="Times New Roman" w:eastAsia="Times New Roman" w:hint="default"/>
          <w:spacing w:val="-2"/>
        </w:rPr>
        <w:t>2014</w:t>
      </w:r>
      <w:r>
        <w:rPr>
          <w:spacing w:val="-2"/>
        </w:rPr>
        <w:t>年第二次临时股东大会决议和中国证券监督管理委员会《关于核</w:t>
      </w:r>
      <w:r>
        <w:rPr>
          <w:w w:val="100"/>
        </w:rPr>
        <w:t> </w:t>
      </w:r>
      <w:r>
        <w:rPr>
          <w:spacing w:val="-5"/>
          <w:w w:val="100"/>
        </w:rPr>
        <w:t>准北京东方通科技股份有限公司向李健等发行股份购买资产并募集配套资金的批复》（证监许可</w:t>
      </w:r>
      <w:r>
        <w:rPr>
          <w:rFonts w:ascii="Times New Roman" w:hAnsi="Times New Roman" w:cs="Times New Roman" w:eastAsia="Times New Roman" w:hint="default"/>
          <w:spacing w:val="-5"/>
          <w:w w:val="100"/>
        </w:rPr>
        <w:t>[2014]1354</w:t>
      </w:r>
      <w:r>
        <w:rPr>
          <w:rFonts w:ascii="Times New Roman" w:hAnsi="Times New Roman" w:cs="Times New Roman" w:eastAsia="Times New Roman" w:hint="default"/>
          <w:spacing w:val="-19"/>
          <w:w w:val="100"/>
        </w:rPr>
        <w:t> </w:t>
      </w:r>
      <w:r>
        <w:rPr>
          <w:rFonts w:ascii="Times New Roman" w:hAnsi="Times New Roman" w:cs="Times New Roman" w:eastAsia="Times New Roman" w:hint="default"/>
          <w:spacing w:val="-19"/>
          <w:w w:val="100"/>
        </w:rPr>
      </w:r>
      <w:r>
        <w:rPr>
          <w:spacing w:val="2"/>
        </w:rPr>
        <w:t>号）核准，公司于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日向李健、</w:t>
      </w:r>
      <w:r>
        <w:rPr>
          <w:spacing w:val="2"/>
          <w:sz w:val="24"/>
          <w:szCs w:val="24"/>
        </w:rPr>
        <w:t>王晋敏、王熙春、李飚等</w:t>
      </w:r>
      <w:r>
        <w:rPr>
          <w:rFonts w:ascii="Times New Roman" w:hAnsi="Times New Roman" w:cs="Times New Roman" w:eastAsia="Times New Roman" w:hint="default"/>
          <w:spacing w:val="2"/>
        </w:rPr>
        <w:t>4</w:t>
      </w:r>
      <w:r>
        <w:rPr>
          <w:spacing w:val="2"/>
        </w:rPr>
        <w:t>名交易对方非公开发行普通股</w:t>
      </w:r>
      <w:r>
        <w:rPr>
          <w:spacing w:val="-49"/>
        </w:rPr>
        <w:t> </w:t>
      </w:r>
      <w:r>
        <w:rPr>
          <w:spacing w:val="-49"/>
        </w:rPr>
      </w:r>
      <w:r>
        <w:rPr>
          <w:rFonts w:ascii="Times New Roman" w:hAnsi="Times New Roman" w:cs="Times New Roman" w:eastAsia="Times New Roman" w:hint="default"/>
          <w:spacing w:val="-2"/>
        </w:rPr>
        <w:t>4,480,000</w:t>
      </w:r>
      <w:r>
        <w:rPr>
          <w:spacing w:val="-2"/>
        </w:rPr>
        <w:t>股，每股价格</w:t>
      </w:r>
      <w:r>
        <w:rPr>
          <w:rFonts w:ascii="Times New Roman" w:hAnsi="Times New Roman" w:cs="Times New Roman" w:eastAsia="Times New Roman" w:hint="default"/>
          <w:spacing w:val="-2"/>
        </w:rPr>
        <w:t>63.63</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日，东海基金管理有限责任公司、华宝信托有限责任公司、</w:t>
      </w:r>
      <w:r>
        <w:rPr>
          <w:spacing w:val="1"/>
        </w:rPr>
        <w:t> </w:t>
      </w:r>
      <w:r>
        <w:rPr>
          <w:spacing w:val="1"/>
        </w:rPr>
      </w:r>
      <w:r>
        <w:rPr/>
        <w:t>天安财产保险股份有限公司等</w:t>
      </w:r>
      <w:r>
        <w:rPr>
          <w:rFonts w:ascii="Times New Roman" w:hAnsi="Times New Roman" w:cs="Times New Roman" w:eastAsia="Times New Roman" w:hint="default"/>
        </w:rPr>
        <w:t>3</w:t>
      </w:r>
      <w:r>
        <w:rPr/>
        <w:t>名特定投资者认购本公司非公开发行的普通股</w:t>
      </w:r>
      <w:r>
        <w:rPr>
          <w:rFonts w:ascii="Times New Roman" w:hAnsi="Times New Roman" w:cs="Times New Roman" w:eastAsia="Times New Roman" w:hint="default"/>
        </w:rPr>
        <w:t>1,696,969</w:t>
      </w:r>
      <w:r>
        <w:rPr/>
        <w:t>股，每股价格</w:t>
      </w:r>
      <w:r>
        <w:rPr>
          <w:rFonts w:ascii="Times New Roman" w:hAnsi="Times New Roman" w:cs="Times New Roman" w:eastAsia="Times New Roman" w:hint="default"/>
        </w:rPr>
        <w:t>82.50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元，发行后的股本为</w:t>
      </w:r>
      <w:r>
        <w:rPr>
          <w:rFonts w:ascii="Times New Roman" w:hAnsi="Times New Roman" w:cs="Times New Roman" w:eastAsia="Times New Roman" w:hint="default"/>
        </w:rPr>
        <w:t>57,610,150.00</w:t>
      </w:r>
      <w:r>
        <w:rPr/>
        <w:t>元。该两次非公开发行均由立信会计师事务所（特殊普通合伙）审验，</w:t>
      </w:r>
      <w:r>
        <w:rPr>
          <w:spacing w:val="-80"/>
        </w:rPr>
        <w:t> </w:t>
      </w:r>
      <w:r>
        <w:rPr>
          <w:spacing w:val="-80"/>
        </w:rPr>
      </w:r>
      <w:r>
        <w:rPr>
          <w:spacing w:val="-3"/>
        </w:rPr>
        <w:t>并于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30</w:t>
      </w:r>
      <w:r>
        <w:rPr>
          <w:spacing w:val="-3"/>
        </w:rPr>
        <w:t>日分别出具信会师报字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211399</w:t>
      </w:r>
      <w:r>
        <w:rPr>
          <w:spacing w:val="-3"/>
        </w:rPr>
        <w:t>号、信会师报字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211415</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号验资报告。</w:t>
      </w:r>
    </w:p>
    <w:p>
      <w:pPr>
        <w:spacing w:line="240" w:lineRule="auto" w:before="11"/>
        <w:rPr>
          <w:rFonts w:ascii="宋体" w:hAnsi="宋体" w:cs="宋体" w:eastAsia="宋体" w:hint="default"/>
          <w:sz w:val="24"/>
          <w:szCs w:val="24"/>
        </w:rPr>
      </w:pPr>
    </w:p>
    <w:p>
      <w:pPr>
        <w:pStyle w:val="Heading3"/>
        <w:spacing w:line="240" w:lineRule="auto"/>
        <w:ind w:right="465"/>
        <w:jc w:val="left"/>
        <w:rPr>
          <w:b w:val="0"/>
          <w:bCs w:val="0"/>
        </w:rPr>
      </w:pPr>
      <w:bookmarkStart w:name="42、资本公积" w:id="293"/>
      <w:bookmarkEnd w:id="293"/>
      <w:r>
        <w:rPr>
          <w:b w:val="0"/>
          <w:bCs w:val="0"/>
        </w:rPr>
      </w:r>
      <w:r>
        <w:rPr>
          <w:rFonts w:ascii="Times New Roman" w:hAnsi="Times New Roman" w:cs="Times New Roman" w:eastAsia="Times New Roman" w:hint="default"/>
        </w:rPr>
        <w:t>42</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35,918,968.29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519,872,353.91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555,791,322.20</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35,918,968.29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519,872,353.91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555,791,322.20</w:t>
            </w:r>
            <w:r>
              <w:rPr>
                <w:rFonts w:ascii="Times New Roman"/>
                <w:sz w:val="18"/>
              </w:rPr>
            </w:r>
          </w:p>
        </w:tc>
      </w:tr>
    </w:tbl>
    <w:p>
      <w:pPr>
        <w:pStyle w:val="BodyText"/>
        <w:spacing w:line="240" w:lineRule="auto" w:before="49"/>
        <w:ind w:right="465"/>
        <w:jc w:val="left"/>
      </w:pPr>
      <w:r>
        <w:rPr/>
        <w:t>其他说明，包括本期增减变动情况、变动原因说明：</w:t>
      </w:r>
    </w:p>
    <w:p>
      <w:pPr>
        <w:pStyle w:val="Heading4"/>
        <w:spacing w:line="240" w:lineRule="auto" w:before="94"/>
        <w:ind w:right="9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日，本公司发行新股募集资金</w:t>
      </w:r>
      <w:r>
        <w:rPr>
          <w:rFonts w:ascii="Times New Roman" w:hAnsi="Times New Roman" w:cs="Times New Roman" w:eastAsia="Times New Roman" w:hint="default"/>
        </w:rPr>
        <w:t>141,529,982.00</w:t>
      </w:r>
      <w:r>
        <w:rPr/>
        <w:t>元，扣除与发行有关的费用（不含增值税）</w:t>
      </w:r>
    </w:p>
    <w:p>
      <w:pPr>
        <w:pStyle w:val="Heading4"/>
        <w:spacing w:line="240" w:lineRule="auto" w:before="21"/>
        <w:ind w:left="152" w:right="209"/>
        <w:jc w:val="left"/>
      </w:pPr>
      <w:r>
        <w:rPr>
          <w:rFonts w:ascii="Times New Roman" w:hAnsi="Times New Roman" w:cs="Times New Roman" w:eastAsia="Times New Roman" w:hint="default"/>
        </w:rPr>
        <w:t>30,007,254.29</w:t>
      </w:r>
      <w:r>
        <w:rPr/>
        <w:t>元，募集资金净额</w:t>
      </w:r>
      <w:r>
        <w:rPr>
          <w:rFonts w:ascii="Times New Roman" w:hAnsi="Times New Roman" w:cs="Times New Roman" w:eastAsia="Times New Roman" w:hint="default"/>
        </w:rPr>
        <w:t>111,522,727.71</w:t>
      </w:r>
      <w:r>
        <w:rPr/>
        <w:t>元，计入股本</w:t>
      </w:r>
      <w:r>
        <w:rPr>
          <w:rFonts w:ascii="Times New Roman" w:hAnsi="Times New Roman" w:cs="Times New Roman" w:eastAsia="Times New Roman" w:hint="default"/>
        </w:rPr>
        <w:t>6,433,181.00</w:t>
      </w:r>
      <w:r>
        <w:rPr/>
        <w:t>元，计入资本公积（股本溢价）</w:t>
      </w:r>
    </w:p>
    <w:p>
      <w:pPr>
        <w:pStyle w:val="Heading4"/>
        <w:spacing w:line="240" w:lineRule="auto" w:before="21"/>
        <w:ind w:left="152" w:right="465"/>
        <w:jc w:val="left"/>
      </w:pPr>
      <w:r>
        <w:rPr>
          <w:rFonts w:ascii="Times New Roman" w:hAnsi="Times New Roman" w:cs="Times New Roman" w:eastAsia="Times New Roman" w:hint="default"/>
        </w:rPr>
        <w:t>105,089,546.71</w:t>
      </w:r>
      <w:r>
        <w:rPr/>
        <w:t>元。</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4"/>
        <w:spacing w:line="256" w:lineRule="auto" w:before="36"/>
        <w:ind w:left="153" w:right="150" w:firstLine="424"/>
        <w:jc w:val="both"/>
      </w:pPr>
      <w:r>
        <w:rPr>
          <w:spacing w:val="-3"/>
        </w:rPr>
        <w:t>本公司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日非公开发行普通股</w:t>
      </w:r>
      <w:r>
        <w:rPr>
          <w:rFonts w:ascii="Times New Roman" w:hAnsi="Times New Roman" w:cs="Times New Roman" w:eastAsia="Times New Roman" w:hint="default"/>
          <w:spacing w:val="-3"/>
        </w:rPr>
        <w:t>4,480,000</w:t>
      </w:r>
      <w:r>
        <w:rPr>
          <w:spacing w:val="-3"/>
        </w:rPr>
        <w:t>股，募集资金</w:t>
      </w:r>
      <w:r>
        <w:rPr>
          <w:rFonts w:ascii="Times New Roman" w:hAnsi="Times New Roman" w:cs="Times New Roman" w:eastAsia="Times New Roman" w:hint="default"/>
          <w:spacing w:val="-3"/>
        </w:rPr>
        <w:t>285,062,400.00</w:t>
      </w:r>
      <w:r>
        <w:rPr>
          <w:spacing w:val="-3"/>
        </w:rPr>
        <w:t>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29</w:t>
      </w:r>
      <w:r>
        <w:rPr>
          <w:spacing w:val="-3"/>
        </w:rPr>
        <w:t>日非</w:t>
      </w:r>
      <w:r>
        <w:rPr>
          <w:spacing w:val="-3"/>
          <w:w w:val="100"/>
        </w:rPr>
        <w:t> </w:t>
      </w:r>
      <w:r>
        <w:rPr>
          <w:spacing w:val="-3"/>
        </w:rPr>
        <w:t>公开发行普通股</w:t>
      </w:r>
      <w:r>
        <w:rPr>
          <w:rFonts w:ascii="Times New Roman" w:hAnsi="Times New Roman" w:cs="Times New Roman" w:eastAsia="Times New Roman" w:hint="default"/>
          <w:spacing w:val="-3"/>
        </w:rPr>
        <w:t>1,696,969</w:t>
      </w:r>
      <w:r>
        <w:rPr>
          <w:spacing w:val="-3"/>
        </w:rPr>
        <w:t>股，募集资金</w:t>
      </w:r>
      <w:r>
        <w:rPr>
          <w:rFonts w:ascii="Times New Roman" w:hAnsi="Times New Roman" w:cs="Times New Roman" w:eastAsia="Times New Roman" w:hint="default"/>
          <w:spacing w:val="-3"/>
        </w:rPr>
        <w:t>139,999,942.50</w:t>
      </w:r>
      <w:r>
        <w:rPr>
          <w:spacing w:val="-3"/>
        </w:rPr>
        <w:t>元。两次非公开发行股份合计募集资金</w:t>
      </w:r>
      <w:r>
        <w:rPr>
          <w:rFonts w:ascii="Times New Roman" w:hAnsi="Times New Roman" w:cs="Times New Roman" w:eastAsia="Times New Roman" w:hint="default"/>
          <w:spacing w:val="-3"/>
        </w:rPr>
        <w:t>425,062,342.50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3"/>
        </w:rPr>
        <w:t>元，扣除与发行有关的费用（不含增值税）</w:t>
      </w:r>
      <w:r>
        <w:rPr>
          <w:rFonts w:ascii="Times New Roman" w:hAnsi="Times New Roman" w:cs="Times New Roman" w:eastAsia="Times New Roman" w:hint="default"/>
          <w:spacing w:val="3"/>
        </w:rPr>
        <w:t>4,102,566.30</w:t>
      </w:r>
      <w:r>
        <w:rPr>
          <w:spacing w:val="3"/>
        </w:rPr>
        <w:t>元，募集资金净额</w:t>
      </w:r>
      <w:r>
        <w:rPr>
          <w:rFonts w:ascii="Times New Roman" w:hAnsi="Times New Roman" w:cs="Times New Roman" w:eastAsia="Times New Roman" w:hint="default"/>
          <w:spacing w:val="3"/>
        </w:rPr>
        <w:t>420,959,776.20</w:t>
      </w:r>
      <w:r>
        <w:rPr>
          <w:spacing w:val="3"/>
        </w:rPr>
        <w:t>元，计入股本</w:t>
      </w:r>
      <w:r>
        <w:rPr/>
        <w:t> </w:t>
      </w:r>
      <w:r>
        <w:rPr/>
      </w:r>
      <w:r>
        <w:rPr>
          <w:rFonts w:ascii="Times New Roman" w:hAnsi="Times New Roman" w:cs="Times New Roman" w:eastAsia="Times New Roman" w:hint="default"/>
        </w:rPr>
        <w:t>6,176,969.00</w:t>
      </w:r>
      <w:r>
        <w:rPr/>
        <w:t>元，计入资本公积（股本溢价）</w:t>
      </w:r>
      <w:r>
        <w:rPr>
          <w:rFonts w:ascii="Times New Roman" w:hAnsi="Times New Roman" w:cs="Times New Roman" w:eastAsia="Times New Roman" w:hint="default"/>
        </w:rPr>
        <w:t>414,782,807.20</w:t>
      </w:r>
      <w:r>
        <w:rPr/>
        <w:t>元。</w:t>
      </w:r>
    </w:p>
    <w:p>
      <w:pPr>
        <w:spacing w:line="240" w:lineRule="auto" w:before="3"/>
        <w:rPr>
          <w:rFonts w:ascii="宋体" w:hAnsi="宋体" w:cs="宋体" w:eastAsia="宋体" w:hint="default"/>
          <w:sz w:val="24"/>
          <w:szCs w:val="24"/>
        </w:rPr>
      </w:pPr>
    </w:p>
    <w:p>
      <w:pPr>
        <w:pStyle w:val="Heading4"/>
        <w:spacing w:line="240" w:lineRule="auto"/>
        <w:ind w:left="578" w:right="0"/>
        <w:jc w:val="left"/>
      </w:pPr>
      <w:r>
        <w:rPr>
          <w:rFonts w:ascii="Times New Roman" w:hAnsi="Times New Roman" w:cs="Times New Roman" w:eastAsia="Times New Roman" w:hint="default"/>
        </w:rPr>
        <w:t>2013</w:t>
      </w:r>
      <w:r>
        <w:rPr/>
        <w:t>年度本公司资本公积没有变化。</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43、其他综合收益" w:id="294"/>
      <w:bookmarkEnd w:id="294"/>
      <w:r>
        <w:rPr>
          <w:b w:val="0"/>
          <w:bCs w:val="0"/>
        </w:rPr>
      </w:r>
      <w:r>
        <w:rPr>
          <w:rFonts w:ascii="Times New Roman" w:hAnsi="Times New Roman" w:cs="Times New Roman" w:eastAsia="Times New Roman" w:hint="default"/>
        </w:rPr>
        <w:t>43</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0"/>
        <w:gridCol w:w="1068"/>
        <w:gridCol w:w="936"/>
        <w:gridCol w:w="1150"/>
        <w:gridCol w:w="936"/>
        <w:gridCol w:w="936"/>
        <w:gridCol w:w="936"/>
        <w:gridCol w:w="797"/>
      </w:tblGrid>
      <w:tr>
        <w:trPr>
          <w:trHeight w:val="403" w:hRule="exact"/>
        </w:trPr>
        <w:tc>
          <w:tcPr>
            <w:tcW w:w="2810" w:type="dxa"/>
            <w:vMerge w:val="restart"/>
            <w:tcBorders>
              <w:top w:val="single" w:sz="4" w:space="0" w:color="000000"/>
              <w:left w:val="single" w:sz="4" w:space="0" w:color="000000"/>
              <w:right w:val="single" w:sz="4" w:space="0" w:color="000000"/>
            </w:tcBorders>
            <w:shd w:val="clear" w:color="auto" w:fill="D4D4D4"/>
          </w:tcPr>
          <w:p>
            <w:pP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10" w:type="dxa"/>
            <w:vMerge/>
            <w:tcBorders>
              <w:left w:val="single" w:sz="4" w:space="0" w:color="000000"/>
              <w:bottom w:val="nil" w:sz="6" w:space="0" w:color="auto"/>
              <w:right w:val="single" w:sz="4" w:space="0" w:color="000000"/>
            </w:tcBorders>
            <w:shd w:val="clear" w:color="auto" w:fill="D4D4D4"/>
          </w:tcPr>
          <w:p>
            <w:pPr/>
          </w:p>
        </w:tc>
        <w:tc>
          <w:tcPr>
            <w:tcW w:w="1068" w:type="dxa"/>
            <w:vMerge/>
            <w:tcBorders>
              <w:left w:val="single" w:sz="4" w:space="0" w:color="000000"/>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 w:right="26"/>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4D4D4"/>
          </w:tcPr>
          <w:p>
            <w:pP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1150" w:type="dxa"/>
            <w:vMerge/>
            <w:tcBorders>
              <w:left w:val="single" w:sz="4" w:space="0" w:color="000000"/>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r>
      <w:tr>
        <w:trPr>
          <w:trHeight w:val="518" w:hRule="exact"/>
        </w:trPr>
        <w:tc>
          <w:tcPr>
            <w:tcW w:w="2810"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1150"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4D4D4"/>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-2,301.28</w:t>
            </w:r>
          </w:p>
        </w:tc>
      </w:tr>
      <w:tr>
        <w:trPr>
          <w:trHeight w:val="401" w:hRule="exact"/>
        </w:trPr>
        <w:tc>
          <w:tcPr>
            <w:tcW w:w="28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-2,301.28</w:t>
            </w: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-2,301.28</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-2,301.28</w:t>
            </w: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4、盈余公积" w:id="295"/>
      <w:bookmarkEnd w:id="295"/>
      <w:r>
        <w:rPr>
          <w:b w:val="0"/>
          <w:bCs w:val="0"/>
        </w:rPr>
      </w:r>
      <w:r>
        <w:rPr>
          <w:rFonts w:ascii="Times New Roman" w:hAnsi="Times New Roman" w:cs="Times New Roman" w:eastAsia="Times New Roman" w:hint="default"/>
        </w:rPr>
        <w:t>44</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9,052,735.19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4,303,742.11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13,356,477.30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9,052,735.19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4,303,742.11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13,356,477.30</w:t>
            </w:r>
          </w:p>
        </w:tc>
      </w:tr>
    </w:tbl>
    <w:p>
      <w:pPr>
        <w:pStyle w:val="BodyText"/>
        <w:spacing w:line="240" w:lineRule="auto" w:before="49"/>
        <w:ind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5、未分配利润" w:id="296"/>
      <w:bookmarkEnd w:id="296"/>
      <w:r>
        <w:rPr>
          <w:b w:val="0"/>
          <w:bCs w:val="0"/>
        </w:rPr>
      </w:r>
      <w:r>
        <w:rPr>
          <w:rFonts w:ascii="Times New Roman" w:hAnsi="Times New Roman" w:cs="Times New Roman" w:eastAsia="Times New Roman" w:hint="default"/>
        </w:rPr>
        <w:t>45</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112,017,593.59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70,393,405.45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112,017,593.59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70,393,405.45</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45,475,926.05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4,303,742.11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3,851,737.91</w:t>
            </w:r>
            <w:r>
              <w:rPr>
                <w:rFonts w:ascii="Times New Roman"/>
                <w:sz w:val="18"/>
              </w:rPr>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10,286,636.20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154,543,236.14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112,017,593.59</w:t>
            </w:r>
          </w:p>
        </w:tc>
      </w:tr>
    </w:tbl>
    <w:p>
      <w:pPr>
        <w:pStyle w:val="BodyText"/>
        <w:spacing w:line="240" w:lineRule="auto" w:before="49"/>
        <w:ind w:right="0"/>
        <w:jc w:val="left"/>
      </w:pPr>
      <w:r>
        <w:rPr/>
        <w:t>调整期初未分配利润明细：</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6、营业收入和营业成本" w:id="297"/>
      <w:bookmarkEnd w:id="297"/>
      <w:r>
        <w:rPr>
          <w:b w:val="0"/>
          <w:bCs w:val="0"/>
        </w:rPr>
      </w:r>
      <w:r>
        <w:rPr>
          <w:rFonts w:ascii="Times New Roman" w:hAnsi="Times New Roman" w:cs="Times New Roman" w:eastAsia="Times New Roman" w:hint="default"/>
        </w:rPr>
        <w:t>46</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194,137,637.99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3,967,139.97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180,212,251.65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3,867,336.16</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194,137,637.99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3,967,139.97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180,212,251.65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3,867,336.16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7、营业税金及附加" w:id="298"/>
      <w:bookmarkEnd w:id="298"/>
      <w:r>
        <w:rPr>
          <w:b w:val="0"/>
          <w:bCs w:val="0"/>
        </w:rPr>
      </w:r>
      <w:r>
        <w:rPr>
          <w:rFonts w:ascii="Times New Roman" w:hAnsi="Times New Roman" w:cs="Times New Roman" w:eastAsia="Times New Roman" w:hint="default"/>
        </w:rPr>
        <w:t>47</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27,340.01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2,182,915.55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1,871,514.61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935,535.24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802,077.67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623,690.12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534,718.46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副食品价格调控基金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14,762.47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13,487.65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24,529.94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15,485.63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3,787,373.32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3,264,624.03</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8、销售费用" w:id="299"/>
      <w:bookmarkEnd w:id="299"/>
      <w:r>
        <w:rPr>
          <w:b w:val="0"/>
          <w:bCs w:val="0"/>
        </w:rPr>
      </w:r>
      <w:r>
        <w:rPr>
          <w:rFonts w:ascii="Times New Roman" w:hAnsi="Times New Roman" w:cs="Times New Roman" w:eastAsia="Times New Roman" w:hint="default"/>
        </w:rPr>
        <w:t>48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35,092,446.81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28,780,220.67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67,809.18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86,423.10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5,159,318.66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1,321,217.21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517,150.04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476,425.00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8,035,510.20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8,062,525.94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6,013,289.54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6,337,810.88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3,869,789.84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2,272,476.63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235,223.78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1,108,788.89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2,109,848.45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1,825,072.83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543,801.58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587,228.55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2,433,408.05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2,395,036.65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141,523.47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345,149.26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64,219,119.60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53,598,375.61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9、管理费用" w:id="300"/>
      <w:bookmarkEnd w:id="300"/>
      <w:r>
        <w:rPr>
          <w:b w:val="0"/>
          <w:bCs w:val="0"/>
        </w:rPr>
      </w:r>
      <w:r>
        <w:rPr>
          <w:rFonts w:ascii="Times New Roman" w:hAnsi="Times New Roman" w:cs="Times New Roman" w:eastAsia="Times New Roman" w:hint="default"/>
        </w:rPr>
        <w:t>49</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15,059,185.15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15,171,850.63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1,229,010.41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757,951.01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995,834.38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320,479.88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长期待费用摊销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605,997.00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1,790,609.68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922,326.21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618,476.60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1,195,614.91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911,355.31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118,814.59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94,928.62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7,478,326.58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6,347,530.81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1,495,228.51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43,037.73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1,002,212.93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1,200,192.70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研究与开发费用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46,222,487.95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56,079,064.87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561,838.47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522,586.79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434,499.10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243,540.86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168,556.39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179,095.14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3,243,602.05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1,794,146.32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网络服务费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110,300.06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1,210,906.30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129,826.40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62,899.70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82,464.45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82,117,640.69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86,389,137.80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0、财务费用" w:id="301"/>
      <w:bookmarkEnd w:id="301"/>
      <w:r>
        <w:rPr>
          <w:b w:val="0"/>
          <w:bCs w:val="0"/>
        </w:rPr>
      </w:r>
      <w:r>
        <w:rPr>
          <w:rFonts w:ascii="Times New Roman" w:hAnsi="Times New Roman" w:cs="Times New Roman" w:eastAsia="Times New Roman" w:hint="default"/>
        </w:rPr>
        <w:t>50</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3,255,656.17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3,616,945.20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874,633.38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247,792.11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42,553.01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38,359.35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2,423,575.80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3,407,512.44</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1、资产减值损失" w:id="302"/>
      <w:bookmarkEnd w:id="302"/>
      <w:r>
        <w:rPr>
          <w:b w:val="0"/>
          <w:bCs w:val="0"/>
        </w:rPr>
      </w:r>
      <w:r>
        <w:rPr>
          <w:rFonts w:ascii="Times New Roman" w:hAnsi="Times New Roman" w:cs="Times New Roman" w:eastAsia="Times New Roman" w:hint="default"/>
        </w:rPr>
        <w:t>51</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7,858,583.08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4,949,972.28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7,858,583.08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4,949,972.28</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2、公允价值变动收益" w:id="303"/>
      <w:bookmarkEnd w:id="303"/>
      <w:r>
        <w:rPr>
          <w:b w:val="0"/>
          <w:bCs w:val="0"/>
        </w:rPr>
      </w:r>
      <w:r>
        <w:rPr>
          <w:rFonts w:ascii="Times New Roman" w:hAnsi="Times New Roman" w:cs="Times New Roman" w:eastAsia="Times New Roman" w:hint="default"/>
        </w:rPr>
        <w:t>52</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3、投资收益" w:id="304"/>
      <w:bookmarkEnd w:id="304"/>
      <w:r>
        <w:rPr>
          <w:b w:val="0"/>
          <w:bCs w:val="0"/>
        </w:rPr>
      </w:r>
      <w:r>
        <w:rPr>
          <w:rFonts w:ascii="Times New Roman" w:hAnsi="Times New Roman" w:cs="Times New Roman" w:eastAsia="Times New Roman" w:hint="default"/>
        </w:rPr>
        <w:t>53</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9,350.64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101,152.06</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9,350.64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101,152.06</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4、营业外收入" w:id="305"/>
      <w:bookmarkEnd w:id="305"/>
      <w:r>
        <w:rPr>
          <w:b w:val="0"/>
          <w:bCs w:val="0"/>
        </w:rPr>
      </w:r>
      <w:r>
        <w:rPr>
          <w:rFonts w:ascii="Times New Roman" w:hAnsi="Times New Roman" w:cs="Times New Roman" w:eastAsia="Times New Roman" w:hint="default"/>
        </w:rPr>
        <w:t>54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4D4D4"/>
          </w:tcPr>
          <w:p>
            <w:pPr/>
          </w:p>
        </w:tc>
        <w:tc>
          <w:tcPr>
            <w:tcW w:w="2395" w:type="dxa"/>
            <w:vMerge/>
            <w:tcBorders>
              <w:left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4D4D4"/>
          </w:tcPr>
          <w:p>
            <w:pPr/>
          </w:p>
        </w:tc>
        <w:tc>
          <w:tcPr>
            <w:tcW w:w="2395"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33,558,525.69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23,536,608.90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9,309,908.48</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579,575.79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100,888.40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579,575.79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34,138,101.48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23,637,497.30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9,889,484.27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计入当期损益的政府补助：</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一、研发项目国家补助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SOA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支撑工具集研发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319,840.00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377,873.35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开源软件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资源库组织及集 成技术</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面向软件服务运营的中间件 系统的定制化研发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156,000.01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Times New Roman" w:hAnsi="Times New Roman" w:cs="Times New Roman" w:eastAsia="Times New Roman" w:hint="default"/>
                <w:sz w:val="18"/>
                <w:szCs w:val="18"/>
              </w:rPr>
            </w:pPr>
            <w:r>
              <w:rPr>
                <w:rFonts w:ascii="宋体" w:hAnsi="宋体" w:cs="宋体" w:eastAsia="宋体" w:hint="default"/>
                <w:sz w:val="18"/>
                <w:szCs w:val="18"/>
              </w:rPr>
              <w:t>集成化中间件套件产品研发 及产业化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880,000.23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国产中间件参考实现及平台 之东方通部分</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面向大型复杂网络应用的集 成类中间件产品研发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中间件与数据库的互操作及 集成性能测试用例开发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42,400.00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云计算中间件关键技术与产 业化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的海量数据集成和 业务协同系统研发与产业化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支持移动互联网络应用的消 息中间件</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116,666.59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金融领域密码软硬件研发及 应用示范</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279,999.98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46,666.67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基于移动通信网络路测解决 方案的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CD-SLTE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测试系统</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29,166.67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云计算平台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TongAppland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研发 及产业化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二、增值税即征即退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24,248,617.21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18,802,015.88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三、其他政府补助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4,565,335.00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574,653.00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33,558,525.69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23,536,608.90</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Heading4"/>
        <w:spacing w:line="240" w:lineRule="auto" w:before="96"/>
        <w:ind w:left="0" w:right="126"/>
        <w:jc w:val="right"/>
      </w:pPr>
      <w:r>
        <w:rPr>
          <w:spacing w:val="12"/>
        </w:rPr>
        <w:t>云计算平台</w:t>
      </w:r>
      <w:r>
        <w:rPr>
          <w:rFonts w:ascii="Times New Roman" w:hAnsi="Times New Roman" w:cs="Times New Roman" w:eastAsia="Times New Roman" w:hint="default"/>
          <w:spacing w:val="12"/>
        </w:rPr>
        <w:t>TongAppland</w:t>
      </w:r>
      <w:r>
        <w:rPr>
          <w:spacing w:val="12"/>
        </w:rPr>
        <w:t>研发及产业化项目，</w:t>
      </w:r>
      <w:r>
        <w:rPr>
          <w:spacing w:val="-77"/>
        </w:rPr>
        <w:t> </w:t>
      </w:r>
      <w:r>
        <w:rPr>
          <w:spacing w:val="14"/>
        </w:rPr>
        <w:t>项目期</w:t>
      </w:r>
      <w:r>
        <w:rPr>
          <w:spacing w:val="-7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w:t>
      </w:r>
      <w:r>
        <w:rPr>
          <w:spacing w:val="-73"/>
        </w:rPr>
        <w:t>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10"/>
        </w:rPr>
        <w:t>月至</w:t>
      </w:r>
      <w:r>
        <w:rPr>
          <w:spacing w:val="-7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w:t>
      </w:r>
      <w:r>
        <w:rPr>
          <w:spacing w:val="-77"/>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spacing w:val="19"/>
        </w:rPr>
        <w:t>月，本期收到补助</w:t>
      </w:r>
      <w:r>
        <w:rPr>
          <w:spacing w:val="-81"/>
        </w:rPr>
        <w:t> </w:t>
      </w:r>
      <w:r>
        <w:rPr/>
      </w:r>
    </w:p>
    <w:p>
      <w:pPr>
        <w:pStyle w:val="Heading4"/>
        <w:spacing w:line="240" w:lineRule="auto" w:before="21"/>
        <w:ind w:left="152" w:right="0"/>
        <w:jc w:val="left"/>
      </w:pPr>
      <w:r>
        <w:rPr>
          <w:rFonts w:ascii="Times New Roman" w:hAnsi="Times New Roman" w:cs="Times New Roman" w:eastAsia="Times New Roman" w:hint="default"/>
          <w:spacing w:val="-2"/>
        </w:rPr>
        <w:t>2,500,000.00</w:t>
      </w:r>
      <w:r>
        <w:rPr>
          <w:spacing w:val="-2"/>
        </w:rPr>
        <w:t>元，均与收益相关。其他研发项目的具体情况，可参见</w:t>
      </w:r>
      <w:r>
        <w:rPr>
          <w:spacing w:val="66"/>
        </w:rPr>
        <w:t> </w:t>
      </w:r>
      <w:r>
        <w:rPr>
          <w:rFonts w:ascii="Times New Roman" w:hAnsi="Times New Roman" w:cs="Times New Roman" w:eastAsia="Times New Roman" w:hint="default"/>
          <w:spacing w:val="-2"/>
        </w:rPr>
        <w:t>“</w:t>
      </w:r>
      <w:r>
        <w:rPr>
          <w:spacing w:val="-2"/>
        </w:rPr>
        <w:t>递延收益、其他流动负债</w:t>
      </w:r>
      <w:r>
        <w:rPr>
          <w:rFonts w:ascii="Times New Roman" w:hAnsi="Times New Roman" w:cs="Times New Roman" w:eastAsia="Times New Roman" w:hint="default"/>
          <w:spacing w:val="-2"/>
        </w:rPr>
        <w:t>”</w:t>
      </w:r>
      <w:r>
        <w:rPr>
          <w:spacing w:val="-2"/>
        </w:rPr>
        <w:t>。</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55、营业外支出" w:id="306"/>
      <w:bookmarkEnd w:id="306"/>
      <w:r>
        <w:rPr>
          <w:b w:val="0"/>
          <w:bCs w:val="0"/>
        </w:rPr>
      </w:r>
      <w:r>
        <w:rPr>
          <w:rFonts w:ascii="Times New Roman" w:hAnsi="Times New Roman" w:cs="Times New Roman" w:eastAsia="Times New Roman" w:hint="default"/>
        </w:rPr>
        <w:t>55</w:t>
      </w:r>
      <w:r>
        <w:rPr/>
        <w:t>、营业外支出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4D4D4"/>
          </w:tcPr>
          <w:p>
            <w:pPr/>
          </w:p>
        </w:tc>
        <w:tc>
          <w:tcPr>
            <w:tcW w:w="2395" w:type="dxa"/>
            <w:vMerge/>
            <w:tcBorders>
              <w:left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4D4D4"/>
          </w:tcPr>
          <w:p>
            <w:pPr/>
          </w:p>
        </w:tc>
        <w:tc>
          <w:tcPr>
            <w:tcW w:w="2395"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781,987.13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33,530.27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781,987.13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781,987.13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781,987.13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363,899.45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363,899.45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1,245,886.58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33,530.27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1,245,886.58</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6、所得税费用" w:id="307"/>
      <w:bookmarkEnd w:id="307"/>
      <w:r>
        <w:rPr>
          <w:b w:val="0"/>
          <w:bCs w:val="0"/>
        </w:rPr>
      </w:r>
      <w:r>
        <w:rPr>
          <w:rFonts w:ascii="Times New Roman" w:hAnsi="Times New Roman" w:cs="Times New Roman" w:eastAsia="Times New Roman" w:hint="default"/>
        </w:rPr>
        <w:t>56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08"/>
      <w:bookmarkEnd w:id="30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5,973,655.07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3,712,289.00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-423,904.86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-747,802.63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5,549,750.21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2,964,486.37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09"/>
      <w:bookmarkEnd w:id="30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62,665,771.07</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6,266,577.11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541,412.97</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77,164.48</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98,249.45</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5,549,750.21</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7、其他综合收益" w:id="310"/>
      <w:bookmarkEnd w:id="31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详见附注。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8、现金流量表项目" w:id="311"/>
      <w:bookmarkEnd w:id="311"/>
      <w:r>
        <w:rPr>
          <w:b w:val="0"/>
          <w:bCs w:val="0"/>
        </w:rPr>
      </w:r>
      <w:r>
        <w:rPr>
          <w:rFonts w:ascii="Times New Roman" w:hAnsi="Times New Roman" w:cs="Times New Roman" w:eastAsia="Times New Roman" w:hint="default"/>
        </w:rPr>
        <w:t>58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12"/>
      <w:bookmarkEnd w:id="31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874,633.38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247,792.11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或者研发项目经费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7,065,085.00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2,404,653.00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2,559,840.00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662,400.00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职工暂借款及备用金返还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597,141.37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5,297,797.58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68,202.00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1,764,821.75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858,624.85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12,929,723.50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9,565,367.54</w:t>
            </w:r>
            <w:r>
              <w:rPr>
                <w:rFonts w:ascii="Times New Roman"/>
                <w:sz w:val="18"/>
              </w:rPr>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支付的其他与经营活动有关的现金" w:id="313"/>
      <w:bookmarkEnd w:id="31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42,553.01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38,359.35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811,015.00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2,577,440.00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支付代收项目经费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5,812,259.61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18,331,967.63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直接付现的销售费用、管理费用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26,838,480.63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26,768,214.07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6,394,848.29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5,412,794.21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支付拟首次公开发行直接相关的费用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预付研发项目外委费用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3,047,603.77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1,291,313.04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425,600.00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41,203,758.58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57,022,279.03</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收到的其他与投资活动有关的现金" w:id="314"/>
      <w:bookmarkEnd w:id="31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收到的其他与投资活动有关的现金说明：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支付的其他与投资活动有关的现金" w:id="315"/>
      <w:bookmarkEnd w:id="31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收到的其他与筹资活动有关的现金" w:id="316"/>
      <w:bookmarkEnd w:id="31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首次公开发行股份时原股东公开发售股 份的款项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137,551,581.89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137,551,581.89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收到的其他与筹资活动有关的现金说明：</w:t>
      </w:r>
    </w:p>
    <w:p>
      <w:pPr>
        <w:pStyle w:val="Heading4"/>
        <w:spacing w:line="256" w:lineRule="auto" w:before="96"/>
        <w:ind w:right="0"/>
        <w:jc w:val="left"/>
      </w:pPr>
      <w:r>
        <w:rPr>
          <w:rFonts w:ascii="Times New Roman" w:hAnsi="Times New Roman" w:cs="Times New Roman" w:eastAsia="Times New Roman" w:hint="default"/>
          <w:spacing w:val="-1"/>
        </w:rPr>
        <w:t>2014</w:t>
      </w:r>
      <w:r>
        <w:rPr>
          <w:spacing w:val="-1"/>
        </w:rPr>
        <w:t>年收到的其他与筹资活动有关的现金</w:t>
      </w:r>
      <w:r>
        <w:rPr>
          <w:rFonts w:ascii="Times New Roman" w:hAnsi="Times New Roman" w:cs="Times New Roman" w:eastAsia="Times New Roman" w:hint="default"/>
          <w:spacing w:val="-1"/>
        </w:rPr>
        <w:t>137,551,581.89</w:t>
      </w:r>
      <w:r>
        <w:rPr>
          <w:spacing w:val="-1"/>
        </w:rPr>
        <w:t>元，主要是本公司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w:t>
      </w:r>
      <w:r>
        <w:rPr>
          <w:spacing w:val="-1"/>
        </w:rPr>
        <w:t>日首次公开发</w:t>
      </w:r>
      <w:r>
        <w:rPr>
          <w:spacing w:val="-27"/>
        </w:rPr>
        <w:t> </w:t>
      </w:r>
      <w:r>
        <w:rPr>
          <w:spacing w:val="-27"/>
        </w:rPr>
      </w:r>
      <w:r>
        <w:rPr/>
        <w:t>行股份时原股东公开发售股份的款项。</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6）支付的其他与筹资活动有关的现金" w:id="317"/>
      <w:bookmarkEnd w:id="31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支付原股东公开发售股份的款项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135,327,140.72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135,327,140.72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支付的其他与筹资活动有关的现金说明：</w:t>
      </w:r>
    </w:p>
    <w:p>
      <w:pPr>
        <w:pStyle w:val="Heading4"/>
        <w:spacing w:line="256" w:lineRule="auto" w:before="94"/>
        <w:ind w:left="152" w:right="0" w:firstLine="424"/>
        <w:jc w:val="left"/>
      </w:pPr>
      <w:r>
        <w:rPr>
          <w:rFonts w:ascii="Times New Roman" w:hAnsi="Times New Roman" w:cs="Times New Roman" w:eastAsia="Times New Roman" w:hint="default"/>
          <w:spacing w:val="-3"/>
        </w:rPr>
        <w:t>2014</w:t>
      </w:r>
      <w:r>
        <w:rPr>
          <w:spacing w:val="-3"/>
        </w:rPr>
        <w:t>年支付的其他与筹资活动有关的现金</w:t>
      </w:r>
      <w:r>
        <w:rPr>
          <w:rFonts w:ascii="Times New Roman" w:hAnsi="Times New Roman" w:cs="Times New Roman" w:eastAsia="Times New Roman" w:hint="default"/>
          <w:spacing w:val="-3"/>
        </w:rPr>
        <w:t>135,327,140.72</w:t>
      </w:r>
      <w:r>
        <w:rPr>
          <w:spacing w:val="-3"/>
        </w:rPr>
        <w:t>元，主要是本公司支付上述原股东公开发售股</w:t>
      </w:r>
      <w:r>
        <w:rPr>
          <w:spacing w:val="-3"/>
          <w:w w:val="100"/>
        </w:rPr>
        <w:t> </w:t>
      </w:r>
      <w:r>
        <w:rPr/>
        <w:t>份的款项。</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59、现金流量表补充资料" w:id="318"/>
      <w:bookmarkEnd w:id="318"/>
      <w:r>
        <w:rPr>
          <w:b w:val="0"/>
          <w:bCs w:val="0"/>
        </w:rPr>
      </w:r>
      <w:r>
        <w:rPr>
          <w:rFonts w:ascii="Times New Roman" w:hAnsi="Times New Roman" w:cs="Times New Roman" w:eastAsia="Times New Roman" w:hint="default"/>
        </w:rPr>
        <w:t>59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19"/>
      <w:bookmarkEnd w:id="31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57,116,020.86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45,475,926.05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7,858,583.08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4,949,972.28</w:t>
            </w:r>
            <w:r>
              <w:rPr>
                <w:rFonts w:ascii="Times New Roman"/>
                <w:sz w:val="18"/>
              </w:rPr>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5,254,886.46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5,139,631.25</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3,038,033.98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2,342,740.59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90.080002pt;margin-top:168.47998pt;width:185.55pt;height:19.6pt;mso-position-horizontal-relative:page;mso-position-vertical-relative:page;z-index:-83581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080002pt;margin-top:188.639984pt;width:185.55pt;height:19.6pt;mso-position-horizontal-relative:page;mso-position-vertical-relative:page;z-index:-835792"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6"/>
        <w:gridCol w:w="62"/>
        <w:gridCol w:w="2995"/>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1,963,148.01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3,697,774.72</w:t>
            </w:r>
            <w:r>
              <w:rPr>
                <w:rFonts w:ascii="Times New Roman"/>
                <w:sz w:val="18"/>
              </w:rPr>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781,987.13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33,530.27</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3,255,656.17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3,616,945.20</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-9,350.64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-101,152.06</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62" w:type="dxa"/>
            <w:tcBorders>
              <w:top w:val="single" w:sz="4" w:space="0" w:color="000000"/>
              <w:left w:val="single" w:sz="4" w:space="0" w:color="000000"/>
              <w:bottom w:val="single" w:sz="4" w:space="0" w:color="000000"/>
              <w:right w:val="nil" w:sz="6" w:space="0" w:color="auto"/>
            </w:tcBorders>
            <w:shd w:val="clear" w:color="auto" w:fill="FFFFFF"/>
          </w:tcPr>
          <w:p>
            <w:pPr/>
          </w:p>
        </w:tc>
        <w:tc>
          <w:tcPr>
            <w:tcW w:w="299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-365,170.28</w:t>
            </w:r>
            <w:r>
              <w:rPr>
                <w:rFonts w:ascii="Times New Roman"/>
                <w:sz w:val="18"/>
              </w:rPr>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-747,802.63</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62" w:type="dxa"/>
            <w:tcBorders>
              <w:top w:val="single" w:sz="4" w:space="0" w:color="000000"/>
              <w:left w:val="single" w:sz="4" w:space="0" w:color="000000"/>
              <w:bottom w:val="single" w:sz="4" w:space="0" w:color="000000"/>
              <w:right w:val="nil" w:sz="6" w:space="0" w:color="auto"/>
            </w:tcBorders>
            <w:shd w:val="clear" w:color="auto" w:fill="FFFFFF"/>
          </w:tcPr>
          <w:p>
            <w:pPr/>
          </w:p>
        </w:tc>
        <w:tc>
          <w:tcPr>
            <w:tcW w:w="299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w w:val="95"/>
                <w:sz w:val="18"/>
              </w:rPr>
              <w:t>-58,734.58</w:t>
            </w:r>
            <w:r>
              <w:rPr>
                <w:rFonts w:ascii="Times New Roman"/>
                <w:sz w:val="18"/>
              </w:rPr>
            </w:r>
          </w:p>
        </w:tc>
        <w:tc>
          <w:tcPr>
            <w:tcW w:w="3185" w:type="dxa"/>
            <w:tcBorders>
              <w:top w:val="single" w:sz="4" w:space="0" w:color="000000"/>
              <w:left w:val="single" w:sz="12" w:space="0" w:color="FFFFFF"/>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806,444.89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-23,223,896.47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-47,367,297.09</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2,264,523.09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-1,138,969.55</w:t>
            </w:r>
            <w:r>
              <w:rPr>
                <w:rFonts w:ascii="Times New Roman"/>
                <w:sz w:val="18"/>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89" w:right="0"/>
              <w:jc w:val="left"/>
              <w:rPr>
                <w:rFonts w:ascii="Times New Roman" w:hAnsi="Times New Roman" w:cs="Times New Roman" w:eastAsia="Times New Roman" w:hint="default"/>
                <w:sz w:val="18"/>
                <w:szCs w:val="18"/>
              </w:rPr>
            </w:pPr>
            <w:r>
              <w:rPr>
                <w:rFonts w:ascii="Times New Roman"/>
                <w:sz w:val="18"/>
              </w:rPr>
              <w:t>58,682,131.70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15,901,299.03</w:t>
            </w:r>
          </w:p>
        </w:tc>
      </w:tr>
      <w:tr>
        <w:trPr>
          <w:trHeight w:val="161" w:hRule="exact"/>
        </w:trPr>
        <w:tc>
          <w:tcPr>
            <w:tcW w:w="3326"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26" w:type="dxa"/>
            <w:vMerge/>
            <w:tcBorders>
              <w:left w:val="single" w:sz="4" w:space="0" w:color="000000"/>
              <w:right w:val="single" w:sz="4" w:space="0" w:color="000000"/>
            </w:tcBorders>
            <w:shd w:val="clear" w:color="auto" w:fill="D4D4D4"/>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6" w:type="dxa"/>
            <w:vMerge/>
            <w:tcBorders>
              <w:left w:val="single" w:sz="4" w:space="0" w:color="000000"/>
              <w:bottom w:val="single" w:sz="4" w:space="0" w:color="000000"/>
              <w:right w:val="single" w:sz="4" w:space="0" w:color="000000"/>
            </w:tcBorders>
            <w:shd w:val="clear" w:color="auto" w:fill="D4D4D4"/>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296,922,795.29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70,934,994.75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89" w:right="0"/>
              <w:jc w:val="left"/>
              <w:rPr>
                <w:rFonts w:ascii="Times New Roman" w:hAnsi="Times New Roman" w:cs="Times New Roman" w:eastAsia="Times New Roman" w:hint="default"/>
                <w:sz w:val="18"/>
                <w:szCs w:val="18"/>
              </w:rPr>
            </w:pPr>
            <w:r>
              <w:rPr>
                <w:rFonts w:ascii="Times New Roman"/>
                <w:sz w:val="18"/>
              </w:rPr>
              <w:t>70,934,994.75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49,974,398.19</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225,987,800.54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20,960,596.56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320"/>
      <w:bookmarkEnd w:id="32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收购北京惠捷朗科技有限公司支付的现金或现金等价物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收购北京同德一心科技有限公司支付的现金或现金等价物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8"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14,720,520.56</w:t>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北京惠捷朗科技有限公司持有的现金或现金等价物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14,674,583.82</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北京同德一心科技有限公司持有的现金或现金等价物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45,936.74</w:t>
            </w:r>
          </w:p>
        </w:tc>
      </w:tr>
      <w:tr>
        <w:trPr>
          <w:trHeight w:val="397"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8,279,479.44</w:t>
            </w:r>
            <w:r>
              <w:rPr>
                <w:rFonts w:ascii="Times New Roman"/>
                <w:sz w:val="18"/>
              </w:rPr>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本期收到的处置子公司的现金净额" w:id="321"/>
      <w:bookmarkEnd w:id="32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现金和现金等价物的构成" w:id="322"/>
      <w:bookmarkEnd w:id="32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296,922,795.29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70,934,994.75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102,214.69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29,223.95</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296,817,727.61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70,521,807.20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2,852.99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383,963.60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296,922,795.29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70,934,994.75</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246,286.00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901,440.00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4394" w:firstLine="0"/>
        <w:jc w:val="left"/>
        <w:rPr>
          <w:rFonts w:ascii="宋体" w:hAnsi="宋体" w:cs="宋体" w:eastAsia="宋体" w:hint="default"/>
          <w:sz w:val="21"/>
          <w:szCs w:val="21"/>
        </w:rPr>
      </w:pPr>
      <w:bookmarkStart w:name="60、所有者权益变动表项目注释" w:id="323"/>
      <w:bookmarkEnd w:id="323"/>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61、所有权或使用权受到限制的资产" w:id="324"/>
      <w:bookmarkEnd w:id="324"/>
      <w:r>
        <w:rPr>
          <w:rFonts w:ascii="宋体" w:hAnsi="宋体" w:cs="宋体" w:eastAsia="宋体" w:hint="default"/>
          <w:sz w:val="18"/>
          <w:szCs w:val="18"/>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line="487" w:lineRule="auto" w:before="36"/>
        <w:ind w:left="152" w:right="7350" w:firstLine="0"/>
        <w:jc w:val="left"/>
        <w:rPr>
          <w:rFonts w:ascii="宋体" w:hAnsi="宋体" w:cs="宋体" w:eastAsia="宋体" w:hint="default"/>
          <w:sz w:val="21"/>
          <w:szCs w:val="21"/>
        </w:rPr>
      </w:pPr>
      <w:bookmarkStart w:name="62、其他" w:id="325"/>
      <w:bookmarkEnd w:id="325"/>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326"/>
      <w:bookmarkEnd w:id="326"/>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27"/>
      <w:bookmarkEnd w:id="3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0"/>
        <w:jc w:val="left"/>
        <w:rPr>
          <w:b w:val="0"/>
          <w:bCs w:val="0"/>
        </w:rPr>
      </w:pPr>
      <w:bookmarkStart w:name="（1）本期发生的非同一控制下企业合并" w:id="328"/>
      <w:bookmarkEnd w:id="32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北京惠捷朗 科技有限公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420,000,000.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发行股并支 付现金购买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5"/>
              <w:jc w:val="left"/>
              <w:rPr>
                <w:rFonts w:ascii="宋体" w:hAnsi="宋体" w:cs="宋体" w:eastAsia="宋体" w:hint="default"/>
                <w:sz w:val="18"/>
                <w:szCs w:val="18"/>
              </w:rPr>
            </w:pPr>
            <w:r>
              <w:rPr>
                <w:rFonts w:ascii="宋体" w:hAnsi="宋体" w:cs="宋体" w:eastAsia="宋体" w:hint="default"/>
                <w:sz w:val="18"/>
                <w:szCs w:val="18"/>
              </w:rPr>
              <w:t>控制权转移 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15,861,306.9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9,725,745.62</w:t>
            </w:r>
            <w:r>
              <w:rPr>
                <w:rFonts w:ascii="Times New Roman"/>
                <w:sz w:val="18"/>
              </w:rPr>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北京同德一 心科技有限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支付现金购 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5"/>
              <w:jc w:val="left"/>
              <w:rPr>
                <w:rFonts w:ascii="宋体" w:hAnsi="宋体" w:cs="宋体" w:eastAsia="宋体" w:hint="default"/>
                <w:sz w:val="18"/>
                <w:szCs w:val="18"/>
              </w:rPr>
            </w:pPr>
            <w:r>
              <w:rPr>
                <w:rFonts w:ascii="宋体" w:hAnsi="宋体" w:cs="宋体" w:eastAsia="宋体" w:hint="default"/>
                <w:sz w:val="18"/>
                <w:szCs w:val="18"/>
              </w:rPr>
              <w:t>控制权转移 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1,021,709.40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-6,786.84</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合并成本及商誉" w:id="329"/>
      <w:bookmarkEnd w:id="32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831" w:type="dxa"/>
        <w:tblLayout w:type="fixed"/>
        <w:tblCellMar>
          <w:top w:w="0" w:type="dxa"/>
          <w:left w:w="0" w:type="dxa"/>
          <w:bottom w:w="0" w:type="dxa"/>
          <w:right w:w="0" w:type="dxa"/>
        </w:tblCellMar>
        <w:tblLook w:val="01E0"/>
      </w:tblPr>
      <w:tblGrid>
        <w:gridCol w:w="1723"/>
        <w:gridCol w:w="3828"/>
        <w:gridCol w:w="1990"/>
      </w:tblGrid>
      <w:tr>
        <w:trPr>
          <w:trHeight w:val="353" w:hRule="exact"/>
        </w:trPr>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被收购方</w:t>
            </w:r>
          </w:p>
        </w:tc>
        <w:tc>
          <w:tcPr>
            <w:tcW w:w="38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3" w:hRule="exact"/>
        </w:trPr>
        <w:tc>
          <w:tcPr>
            <w:tcW w:w="172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北京惠捷</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r>
      <w:tr>
        <w:trPr>
          <w:trHeight w:val="353" w:hRule="exact"/>
        </w:trPr>
        <w:tc>
          <w:tcPr>
            <w:tcW w:w="1723"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4" w:right="0"/>
              <w:jc w:val="center"/>
              <w:rPr>
                <w:rFonts w:ascii="宋体" w:hAnsi="宋体" w:cs="宋体" w:eastAsia="宋体" w:hint="default"/>
                <w:sz w:val="18"/>
                <w:szCs w:val="18"/>
              </w:rPr>
            </w:pPr>
            <w:r>
              <w:rPr>
                <w:rFonts w:ascii="宋体" w:hAnsi="宋体" w:cs="宋体" w:eastAsia="宋体" w:hint="default"/>
                <w:sz w:val="18"/>
                <w:szCs w:val="18"/>
              </w:rPr>
              <w:t>朗科技有</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134,937,600.00</w:t>
            </w:r>
            <w:r>
              <w:rPr>
                <w:rFonts w:ascii="Times New Roman"/>
                <w:sz w:val="18"/>
              </w:rPr>
            </w:r>
          </w:p>
        </w:tc>
      </w:tr>
      <w:tr>
        <w:trPr>
          <w:trHeight w:val="350" w:hRule="exact"/>
        </w:trPr>
        <w:tc>
          <w:tcPr>
            <w:tcW w:w="1723" w:type="dxa"/>
            <w:tcBorders>
              <w:top w:val="nil" w:sz="6" w:space="0" w:color="auto"/>
              <w:left w:val="single" w:sz="6" w:space="0" w:color="000000"/>
              <w:bottom w:val="nil" w:sz="6" w:space="0" w:color="auto"/>
              <w:right w:val="single" w:sz="6" w:space="0" w:color="000000"/>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44"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285,062,400.00</w:t>
            </w:r>
            <w:r>
              <w:rPr>
                <w:rFonts w:ascii="Times New Roman"/>
                <w:sz w:val="18"/>
              </w:rPr>
            </w:r>
          </w:p>
        </w:tc>
      </w:tr>
      <w:tr>
        <w:trPr>
          <w:trHeight w:val="353" w:hRule="exact"/>
        </w:trPr>
        <w:tc>
          <w:tcPr>
            <w:tcW w:w="1723" w:type="dxa"/>
            <w:tcBorders>
              <w:top w:val="nil" w:sz="6" w:space="0" w:color="auto"/>
              <w:left w:val="single" w:sz="6" w:space="0" w:color="000000"/>
              <w:bottom w:val="nil" w:sz="6" w:space="0" w:color="auto"/>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199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723" w:type="dxa"/>
            <w:tcBorders>
              <w:top w:val="nil" w:sz="6" w:space="0" w:color="auto"/>
              <w:left w:val="single" w:sz="6" w:space="0" w:color="000000"/>
              <w:bottom w:val="nil" w:sz="6" w:space="0" w:color="auto"/>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r>
      <w:tr>
        <w:trPr>
          <w:trHeight w:val="350" w:hRule="exact"/>
        </w:trPr>
        <w:tc>
          <w:tcPr>
            <w:tcW w:w="1723" w:type="dxa"/>
            <w:tcBorders>
              <w:top w:val="nil" w:sz="6" w:space="0" w:color="auto"/>
              <w:left w:val="single" w:sz="6" w:space="0" w:color="000000"/>
              <w:bottom w:val="nil" w:sz="6" w:space="0" w:color="auto"/>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56,630,582.89</w:t>
            </w:r>
          </w:p>
        </w:tc>
      </w:tr>
      <w:tr>
        <w:trPr>
          <w:trHeight w:val="353" w:hRule="exact"/>
        </w:trPr>
        <w:tc>
          <w:tcPr>
            <w:tcW w:w="1723" w:type="dxa"/>
            <w:tcBorders>
              <w:top w:val="nil" w:sz="6" w:space="0" w:color="auto"/>
              <w:left w:val="single" w:sz="6" w:space="0" w:color="000000"/>
              <w:bottom w:val="single" w:sz="12"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363,369,417.11</w:t>
            </w:r>
            <w:r>
              <w:rPr>
                <w:rFonts w:ascii="Times New Roman"/>
                <w:sz w:val="18"/>
              </w:rPr>
            </w:r>
          </w:p>
        </w:tc>
      </w:tr>
      <w:tr>
        <w:trPr>
          <w:trHeight w:val="353" w:hRule="exact"/>
        </w:trPr>
        <w:tc>
          <w:tcPr>
            <w:tcW w:w="172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北京同德</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0" w:hRule="exact"/>
        </w:trPr>
        <w:tc>
          <w:tcPr>
            <w:tcW w:w="1723" w:type="dxa"/>
            <w:tcBorders>
              <w:top w:val="nil" w:sz="6" w:space="0" w:color="auto"/>
              <w:left w:val="single" w:sz="6" w:space="0" w:color="000000"/>
              <w:bottom w:val="nil" w:sz="6" w:space="0" w:color="auto"/>
              <w:right w:val="single" w:sz="6" w:space="0" w:color="000000"/>
            </w:tcBorders>
          </w:tcPr>
          <w:p>
            <w:pPr>
              <w:pStyle w:val="TableParagraph"/>
              <w:spacing w:line="217" w:lineRule="exact"/>
              <w:ind w:left="4" w:right="0"/>
              <w:jc w:val="center"/>
              <w:rPr>
                <w:rFonts w:ascii="宋体" w:hAnsi="宋体" w:cs="宋体" w:eastAsia="宋体" w:hint="default"/>
                <w:sz w:val="18"/>
                <w:szCs w:val="18"/>
              </w:rPr>
            </w:pPr>
            <w:r>
              <w:rPr>
                <w:rFonts w:ascii="宋体" w:hAnsi="宋体" w:cs="宋体" w:eastAsia="宋体" w:hint="default"/>
                <w:sz w:val="18"/>
                <w:szCs w:val="18"/>
              </w:rPr>
              <w:t>一心科技</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3" w:hRule="exact"/>
        </w:trPr>
        <w:tc>
          <w:tcPr>
            <w:tcW w:w="1723" w:type="dxa"/>
            <w:tcBorders>
              <w:top w:val="nil" w:sz="6" w:space="0" w:color="auto"/>
              <w:left w:val="single" w:sz="6" w:space="0" w:color="000000"/>
              <w:bottom w:val="nil" w:sz="6" w:space="0" w:color="auto"/>
              <w:right w:val="single" w:sz="6" w:space="0" w:color="000000"/>
            </w:tcBorders>
          </w:tcPr>
          <w:p>
            <w:pPr>
              <w:pStyle w:val="TableParagraph"/>
              <w:spacing w:line="179" w:lineRule="exact"/>
              <w:ind w:left="4"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199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723" w:type="dxa"/>
            <w:tcBorders>
              <w:top w:val="nil" w:sz="6" w:space="0" w:color="auto"/>
              <w:left w:val="single" w:sz="6" w:space="0" w:color="000000"/>
              <w:bottom w:val="nil" w:sz="6" w:space="0" w:color="auto"/>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44"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1990"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723" w:type="dxa"/>
            <w:tcBorders>
              <w:top w:val="nil" w:sz="6" w:space="0" w:color="auto"/>
              <w:left w:val="single" w:sz="6" w:space="0" w:color="000000"/>
              <w:bottom w:val="nil" w:sz="6" w:space="0" w:color="auto"/>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53" w:hRule="exact"/>
        </w:trPr>
        <w:tc>
          <w:tcPr>
            <w:tcW w:w="1723" w:type="dxa"/>
            <w:tcBorders>
              <w:top w:val="nil" w:sz="6" w:space="0" w:color="auto"/>
              <w:left w:val="single" w:sz="6" w:space="0" w:color="000000"/>
              <w:bottom w:val="nil" w:sz="6" w:space="0" w:color="auto"/>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392,621.08</w:t>
            </w:r>
          </w:p>
        </w:tc>
      </w:tr>
      <w:tr>
        <w:trPr>
          <w:trHeight w:val="353" w:hRule="exact"/>
        </w:trPr>
        <w:tc>
          <w:tcPr>
            <w:tcW w:w="1723" w:type="dxa"/>
            <w:tcBorders>
              <w:top w:val="nil" w:sz="6" w:space="0" w:color="auto"/>
              <w:left w:val="single" w:sz="6" w:space="0" w:color="000000"/>
              <w:bottom w:val="single" w:sz="12" w:space="0" w:color="000000"/>
              <w:right w:val="single" w:sz="6" w:space="0" w:color="000000"/>
            </w:tcBorders>
          </w:tcPr>
          <w:p>
            <w:pP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29,607,378.92</w:t>
            </w:r>
          </w:p>
        </w:tc>
      </w:tr>
    </w:tbl>
    <w:p>
      <w:pPr>
        <w:pStyle w:val="BodyText"/>
        <w:spacing w:line="240" w:lineRule="auto" w:before="49"/>
        <w:ind w:right="0"/>
        <w:jc w:val="left"/>
      </w:pPr>
      <w:r>
        <w:rPr/>
        <w:t>合并成本公允价值的确定方法、或有对价及其变动的说明：</w:t>
      </w:r>
    </w:p>
    <w:p>
      <w:pPr>
        <w:pStyle w:val="Heading4"/>
        <w:spacing w:line="256" w:lineRule="auto" w:before="94"/>
        <w:ind w:left="153" w:right="149" w:firstLine="424"/>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日，中和资产评估有限公司以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日为基准日对北京惠捷朗科技有限公司全部股</w:t>
      </w:r>
      <w:r>
        <w:rPr>
          <w:w w:val="100"/>
        </w:rPr>
        <w:t> </w:t>
      </w:r>
      <w:r>
        <w:rPr>
          <w:spacing w:val="-1"/>
        </w:rPr>
        <w:t>东权益价值进行了评估，并出具中和评报字（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BJV2044</w:t>
      </w:r>
      <w:r>
        <w:rPr>
          <w:spacing w:val="-1"/>
        </w:rPr>
        <w:t>号资产评估报告书。北京惠捷朗科技有限</w:t>
      </w:r>
      <w:r>
        <w:rPr>
          <w:spacing w:val="-37"/>
        </w:rPr>
        <w:t> </w:t>
      </w:r>
      <w:r>
        <w:rPr>
          <w:spacing w:val="-37"/>
        </w:rPr>
      </w:r>
      <w:r>
        <w:rPr/>
        <w:t>公司可辨认净资产于收购日（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日）公允价值以评估结果为基础确定。</w:t>
      </w:r>
    </w:p>
    <w:p>
      <w:pPr>
        <w:spacing w:after="0" w:line="256"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56" w:lineRule="auto" w:before="36"/>
        <w:ind w:left="152" w:right="0" w:firstLine="424"/>
        <w:jc w:val="left"/>
      </w:pPr>
      <w:r>
        <w:rPr>
          <w:spacing w:val="-2"/>
        </w:rPr>
        <w:t>北京同德一心科技有限公司于收购日（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w:t>
      </w:r>
      <w:r>
        <w:rPr>
          <w:spacing w:val="-2"/>
        </w:rPr>
        <w:t>日）可辨认净资产均为货币性资产，其公允价值以</w:t>
      </w:r>
      <w:r>
        <w:rPr>
          <w:w w:val="100"/>
        </w:rPr>
        <w:t> </w:t>
      </w:r>
      <w:r>
        <w:rPr/>
        <w:t>账面价值确定。</w:t>
      </w:r>
    </w:p>
    <w:p>
      <w:pPr>
        <w:pStyle w:val="BodyText"/>
        <w:spacing w:line="357" w:lineRule="auto" w:before="84"/>
        <w:ind w:right="7614"/>
        <w:jc w:val="left"/>
      </w:pPr>
      <w:r>
        <w:rPr/>
        <w:t>大额商誉形成的主要原因：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被购买方于购买日可辨认资产、负债" w:id="330"/>
      <w:bookmarkEnd w:id="33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831" w:type="dxa"/>
        <w:tblLayout w:type="fixed"/>
        <w:tblCellMar>
          <w:top w:w="0" w:type="dxa"/>
          <w:left w:w="0" w:type="dxa"/>
          <w:bottom w:w="0" w:type="dxa"/>
          <w:right w:w="0" w:type="dxa"/>
        </w:tblCellMar>
        <w:tblLook w:val="01E0"/>
      </w:tblPr>
      <w:tblGrid>
        <w:gridCol w:w="1865"/>
        <w:gridCol w:w="1418"/>
        <w:gridCol w:w="1421"/>
        <w:gridCol w:w="1416"/>
        <w:gridCol w:w="1421"/>
      </w:tblGrid>
      <w:tr>
        <w:trPr>
          <w:trHeight w:val="353" w:hRule="exact"/>
        </w:trPr>
        <w:tc>
          <w:tcPr>
            <w:tcW w:w="1865"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24"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2837"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r>
      <w:tr>
        <w:trPr>
          <w:trHeight w:val="353" w:hRule="exact"/>
        </w:trPr>
        <w:tc>
          <w:tcPr>
            <w:tcW w:w="1865"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14,920,869.82</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14,920,869.82</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45,936.74</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45,936.74</w:t>
            </w: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25,789,030.57</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25,789,030.57</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476,500.00</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476,500.00</w:t>
            </w: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996,109.54</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996,109.54</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3,778,849.40</w:t>
            </w:r>
            <w:r>
              <w:rPr>
                <w:rFonts w:ascii="Times New Roman"/>
                <w:sz w:val="18"/>
              </w:rPr>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3,778,849.40</w:t>
            </w:r>
            <w:r>
              <w:rPr>
                <w:rFonts w:ascii="Times New Roman"/>
                <w:sz w:val="18"/>
              </w:rPr>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117.07</w:t>
            </w:r>
            <w:r>
              <w:rPr>
                <w:rFonts w:ascii="Times New Roman"/>
                <w:sz w:val="18"/>
              </w:rPr>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117.07</w:t>
            </w:r>
            <w:r>
              <w:rPr>
                <w:rFonts w:ascii="Times New Roman"/>
                <w:sz w:val="18"/>
              </w:rPr>
            </w: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702,618.79</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702,618.79</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16,445,680.85</w:t>
            </w:r>
          </w:p>
        </w:tc>
        <w:tc>
          <w:tcPr>
            <w:tcW w:w="142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287,756.77</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287,756.77</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6,200.00</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6,200.00</w:t>
            </w: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154,834.50</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154,834.50</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1,430,100.00</w:t>
            </w:r>
            <w:r>
              <w:rPr>
                <w:rFonts w:ascii="Times New Roman"/>
                <w:sz w:val="18"/>
              </w:rPr>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1,430,100.00</w:t>
            </w:r>
            <w:r>
              <w:rPr>
                <w:rFonts w:ascii="Times New Roman"/>
                <w:sz w:val="18"/>
              </w:rPr>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1,234,107.39</w:t>
            </w:r>
            <w:r>
              <w:rPr>
                <w:rFonts w:ascii="Times New Roman"/>
                <w:sz w:val="18"/>
              </w:rPr>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1,234,107.39</w:t>
            </w:r>
            <w:r>
              <w:rPr>
                <w:rFonts w:ascii="Times New Roman"/>
                <w:sz w:val="18"/>
              </w:rPr>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14,000.00</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14,000.00</w:t>
            </w: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712,772.16</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712,772.16</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122,132.73</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122,132.73</w:t>
            </w: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291,666.67</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291,666.67</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2,466,852.13</w:t>
            </w:r>
            <w:r>
              <w:rPr>
                <w:rFonts w:ascii="Times New Roman"/>
                <w:sz w:val="18"/>
              </w:rPr>
            </w:r>
          </w:p>
        </w:tc>
        <w:tc>
          <w:tcPr>
            <w:tcW w:w="142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56,630,582.89</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42,651,754.17</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392,621.08</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392,621.08</w:t>
            </w:r>
          </w:p>
        </w:tc>
      </w:tr>
      <w:tr>
        <w:trPr>
          <w:trHeight w:val="350"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56,630,582.89</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42,651,754.17</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392,621.08</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392,621.08</w:t>
            </w:r>
          </w:p>
        </w:tc>
      </w:tr>
    </w:tbl>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可辨认资产、负债公允价值的确定方法：</w:t>
      </w:r>
    </w:p>
    <w:p>
      <w:pPr>
        <w:pStyle w:val="Heading4"/>
        <w:spacing w:line="256" w:lineRule="auto" w:before="94"/>
        <w:ind w:left="153" w:right="149" w:firstLine="424"/>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日，中和资产评估有限公司以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日为基准日对北京惠捷朗科技有限公司全部股</w:t>
      </w:r>
      <w:r>
        <w:rPr>
          <w:w w:val="100"/>
        </w:rPr>
        <w:t> </w:t>
      </w:r>
      <w:r>
        <w:rPr>
          <w:spacing w:val="-1"/>
        </w:rPr>
        <w:t>东权益价值进行了评估，并出具中和评报字（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BJV2044</w:t>
      </w:r>
      <w:r>
        <w:rPr>
          <w:spacing w:val="-1"/>
        </w:rPr>
        <w:t>号资产评估报告书。北京惠捷朗科技有限</w:t>
      </w:r>
      <w:r>
        <w:rPr>
          <w:spacing w:val="-37"/>
        </w:rPr>
        <w:t> </w:t>
      </w:r>
      <w:r>
        <w:rPr>
          <w:spacing w:val="-37"/>
        </w:rPr>
      </w:r>
      <w:r>
        <w:rPr/>
        <w:t>公司可辨认净资产于收购日（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日）公允价值以评估结果为基础确定。</w:t>
      </w:r>
    </w:p>
    <w:p>
      <w:pPr>
        <w:spacing w:line="240" w:lineRule="auto" w:before="3"/>
        <w:rPr>
          <w:rFonts w:ascii="宋体" w:hAnsi="宋体" w:cs="宋体" w:eastAsia="宋体" w:hint="default"/>
          <w:sz w:val="24"/>
          <w:szCs w:val="24"/>
        </w:rPr>
      </w:pPr>
    </w:p>
    <w:p>
      <w:pPr>
        <w:pStyle w:val="Heading4"/>
        <w:spacing w:line="256" w:lineRule="auto"/>
        <w:ind w:left="152" w:right="151" w:firstLine="424"/>
        <w:jc w:val="both"/>
      </w:pPr>
      <w:r>
        <w:rPr/>
        <w:t>北京同德一心科技有限公司于收购日（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日）可辨认净资产均为货币性资产，其公允价值</w:t>
      </w:r>
      <w:r>
        <w:rPr>
          <w:w w:val="100"/>
        </w:rPr>
        <w:t> </w:t>
      </w:r>
      <w:r>
        <w:rPr/>
        <w:t>以账面价值确定。</w:t>
      </w:r>
    </w:p>
    <w:p>
      <w:pPr>
        <w:pStyle w:val="BodyText"/>
        <w:spacing w:line="357" w:lineRule="auto" w:before="84"/>
        <w:ind w:right="6534"/>
        <w:jc w:val="left"/>
      </w:pPr>
      <w:r>
        <w:rPr/>
        <w:t>企业合并中承担的被购买方的或有负债： 其他说明：</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购买日之前持有的股权按照公允价值重新计量产生的利得或损失" w:id="331"/>
      <w:bookmarkEnd w:id="33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购买日或合并当期期末无法合理确定合并对价或被购买方可辨认资产、负债公允价值" w:id="332"/>
      <w:bookmarkEnd w:id="33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33"/>
      <w:bookmarkEnd w:id="33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530" w:lineRule="auto"/>
        <w:ind w:right="5774"/>
        <w:jc w:val="left"/>
      </w:pPr>
      <w:r>
        <w:rPr>
          <w:rFonts w:ascii="Times New Roman" w:hAnsi="Times New Roman" w:cs="Times New Roman" w:eastAsia="Times New Roman" w:hint="default"/>
        </w:rPr>
        <w:t>1</w:t>
      </w:r>
      <w:r>
        <w:rPr/>
        <w:t>、同一控制下企业合并</w:t>
      </w:r>
      <w:r>
        <w:rPr>
          <w:w w:val="100"/>
        </w:rPr>
        <w:t> </w:t>
      </w:r>
      <w:r>
        <w:rPr>
          <w:spacing w:val="-2"/>
        </w:rPr>
        <w:t>本报告期无发生同一控制下企业合并。</w:t>
      </w:r>
      <w:r>
        <w:rPr>
          <w:spacing w:val="-72"/>
        </w:rPr>
        <w:t> </w:t>
      </w:r>
      <w:r>
        <w:rPr>
          <w:spacing w:val="-72"/>
        </w:rPr>
      </w:r>
      <w:r>
        <w:rPr>
          <w:rFonts w:ascii="Times New Roman" w:hAnsi="Times New Roman" w:cs="Times New Roman" w:eastAsia="Times New Roman" w:hint="default"/>
        </w:rPr>
        <w:t>2</w:t>
      </w:r>
      <w:r>
        <w:rPr/>
        <w:t>、处置子公司</w:t>
      </w:r>
      <w:r>
        <w:rPr>
          <w:w w:val="100"/>
        </w:rPr>
        <w:t> </w:t>
      </w:r>
      <w:r>
        <w:rPr/>
        <w:t>本报告期无处置子公司。</w:t>
      </w:r>
      <w:r>
        <w:rPr>
          <w:w w:val="100"/>
        </w:rPr>
        <w:t> </w:t>
      </w:r>
      <w:r>
        <w:rPr>
          <w:rFonts w:ascii="Times New Roman" w:hAnsi="Times New Roman" w:cs="Times New Roman" w:eastAsia="Times New Roman" w:hint="default"/>
        </w:rPr>
        <w:t>3</w:t>
      </w:r>
      <w:r>
        <w:rPr/>
        <w:t>、其他原因的合并范围变动</w:t>
      </w:r>
    </w:p>
    <w:p>
      <w:pPr>
        <w:pStyle w:val="Heading4"/>
        <w:spacing w:line="240" w:lineRule="auto" w:before="52"/>
        <w:ind w:right="0"/>
        <w:jc w:val="left"/>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9</w:t>
      </w:r>
      <w:r>
        <w:rPr>
          <w:spacing w:val="-5"/>
        </w:rPr>
        <w:t>日，本公司出资设立独资子公司北京东方通宇技术有限公司，并于当期将其纳入合并范围。</w:t>
      </w:r>
      <w:r>
        <w:rPr/>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同一控制下企业合并" w:id="334"/>
      <w:bookmarkEnd w:id="33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35"/>
      <w:bookmarkEnd w:id="33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1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合并成本" w:id="336"/>
      <w:bookmarkEnd w:id="33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74"/>
        <w:jc w:val="left"/>
      </w:pPr>
      <w:r>
        <w:rPr/>
        <w:t>或有对价及其变动的说明：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337"/>
      <w:bookmarkEnd w:id="33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94"/>
        <w:jc w:val="left"/>
      </w:pPr>
      <w:r>
        <w:rPr/>
        <w:t>企业合并中承担的被合并方的或有负债： 其他说明：</w:t>
      </w:r>
    </w:p>
    <w:p>
      <w:pPr>
        <w:spacing w:after="0" w:line="360" w:lineRule="auto"/>
        <w:jc w:val="left"/>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反向购买" w:id="338"/>
      <w:bookmarkEnd w:id="33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处置子公司" w:id="339"/>
      <w:bookmarkEnd w:id="33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0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340"/>
      <w:bookmarkEnd w:id="34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18"/>
        <w:ind w:left="152" w:right="7124" w:firstLine="0"/>
        <w:jc w:val="left"/>
        <w:rPr>
          <w:rFonts w:ascii="宋体" w:hAnsi="宋体" w:cs="宋体" w:eastAsia="宋体" w:hint="default"/>
          <w:sz w:val="21"/>
          <w:szCs w:val="21"/>
        </w:rPr>
      </w:pPr>
      <w:bookmarkStart w:name="6、其他" w:id="341"/>
      <w:bookmarkEnd w:id="34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342"/>
      <w:bookmarkEnd w:id="342"/>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43"/>
      <w:bookmarkEnd w:id="3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0"/>
        <w:jc w:val="left"/>
        <w:rPr>
          <w:b w:val="0"/>
          <w:bCs w:val="0"/>
        </w:rPr>
      </w:pPr>
      <w:bookmarkStart w:name="（1）企业集团的构成" w:id="344"/>
      <w:bookmarkEnd w:id="34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成都东方通科技 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成都高新区天府 大道中段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 </w:t>
            </w:r>
            <w:r>
              <w:rPr>
                <w:rFonts w:ascii="宋体" w:hAnsi="宋体" w:cs="宋体" w:eastAsia="宋体" w:hint="default"/>
                <w:sz w:val="18"/>
                <w:szCs w:val="18"/>
              </w:rPr>
              <w:t>号 天府软件园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B3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上海东方通泰软 件科技有限公司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江场三路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北京东方通宇技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北京市海淀区西 直门北大街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号楼一层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北京市海淀区花 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中城写字楼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7"/>
              <w:jc w:val="left"/>
              <w:rPr>
                <w:rFonts w:ascii="宋体" w:hAnsi="宋体" w:cs="宋体" w:eastAsia="宋体" w:hint="default"/>
                <w:sz w:val="18"/>
                <w:szCs w:val="18"/>
              </w:rPr>
            </w:pPr>
            <w:r>
              <w:rPr>
                <w:rFonts w:ascii="宋体" w:hAnsi="宋体" w:cs="宋体" w:eastAsia="宋体" w:hint="default"/>
                <w:sz w:val="18"/>
                <w:szCs w:val="18"/>
              </w:rPr>
              <w:t>北京市海淀区长 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902 </w:t>
            </w:r>
            <w:r>
              <w:rPr>
                <w:rFonts w:ascii="宋体" w:hAnsi="宋体" w:cs="宋体" w:eastAsia="宋体" w:hint="default"/>
                <w:sz w:val="18"/>
                <w:szCs w:val="18"/>
              </w:rPr>
              <w:t>室</w:t>
            </w:r>
            <w:r>
              <w:rPr>
                <w:rFonts w:ascii="Times New Roman" w:hAnsi="Times New Roman" w:cs="Times New Roman" w:eastAsia="Times New Roman" w:hint="default"/>
                <w:sz w:val="18"/>
                <w:szCs w:val="18"/>
              </w:rPr>
              <w:t>(</w:t>
            </w:r>
            <w:r>
              <w:rPr>
                <w:rFonts w:ascii="宋体" w:hAnsi="宋体" w:cs="宋体" w:eastAsia="宋体" w:hint="default"/>
                <w:sz w:val="18"/>
                <w:szCs w:val="18"/>
              </w:rPr>
              <w:t>住宅</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惠捷朗科技有限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英属维尔京群岛 托托拉罗德城海 外企业中心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pStyle w:val="BodyText"/>
        <w:spacing w:line="240" w:lineRule="auto" w:before="49"/>
        <w:ind w:right="0"/>
        <w:jc w:val="left"/>
      </w:pPr>
      <w:r>
        <w:rPr/>
        <w:t>在子公司的持股比例不同于表决权比例的说明：</w:t>
      </w:r>
    </w:p>
    <w:p>
      <w:pPr>
        <w:pStyle w:val="Heading4"/>
        <w:spacing w:line="240" w:lineRule="auto" w:before="96"/>
        <w:ind w:right="0"/>
        <w:jc w:val="left"/>
      </w:pPr>
      <w:r>
        <w:rPr/>
        <w:t>本公司无持股比例与表决权比例不同的子公司。</w:t>
      </w:r>
    </w:p>
    <w:p>
      <w:pPr>
        <w:pStyle w:val="BodyText"/>
        <w:spacing w:line="240" w:lineRule="auto" w:before="98"/>
        <w:ind w:right="0"/>
        <w:jc w:val="left"/>
      </w:pPr>
      <w:r>
        <w:rPr/>
        <w:t>持有半数或以下表决权但仍控制被投资单位、以及持有半数以上表决权但不控制被投资单位的依据：</w:t>
      </w:r>
    </w:p>
    <w:p>
      <w:pPr>
        <w:pStyle w:val="Heading4"/>
        <w:spacing w:line="240" w:lineRule="auto" w:before="94"/>
        <w:ind w:right="0"/>
        <w:jc w:val="left"/>
      </w:pPr>
      <w:r>
        <w:rPr/>
        <w:t>本公司无持有半数或半数以下表决权，仍能够对其实施控制的子公司。</w:t>
      </w:r>
    </w:p>
    <w:p>
      <w:pPr>
        <w:spacing w:line="240" w:lineRule="auto" w:before="9"/>
        <w:rPr>
          <w:rFonts w:ascii="宋体" w:hAnsi="宋体" w:cs="宋体" w:eastAsia="宋体" w:hint="default"/>
          <w:sz w:val="26"/>
          <w:szCs w:val="26"/>
        </w:rPr>
      </w:pPr>
    </w:p>
    <w:p>
      <w:pPr>
        <w:spacing w:line="340" w:lineRule="auto" w:before="0"/>
        <w:ind w:left="152" w:right="2696" w:firstLine="424"/>
        <w:jc w:val="left"/>
        <w:rPr>
          <w:rFonts w:ascii="宋体" w:hAnsi="宋体" w:cs="宋体" w:eastAsia="宋体" w:hint="default"/>
          <w:sz w:val="18"/>
          <w:szCs w:val="18"/>
        </w:rPr>
      </w:pPr>
      <w:r>
        <w:rPr>
          <w:rFonts w:ascii="宋体" w:hAnsi="宋体" w:cs="宋体" w:eastAsia="宋体" w:hint="default"/>
          <w:spacing w:val="-2"/>
          <w:sz w:val="21"/>
          <w:szCs w:val="21"/>
        </w:rPr>
        <w:t>本公司无持有半数以上表决权而不能对其实施控制的子公司。</w:t>
      </w:r>
      <w:r>
        <w:rPr>
          <w:rFonts w:ascii="宋体" w:hAnsi="宋体" w:cs="宋体" w:eastAsia="宋体" w:hint="default"/>
          <w:w w:val="100"/>
          <w:sz w:val="21"/>
          <w:szCs w:val="21"/>
        </w:rPr>
        <w:t> </w:t>
      </w:r>
      <w:r>
        <w:rPr>
          <w:rFonts w:ascii="宋体" w:hAnsi="宋体" w:cs="宋体" w:eastAsia="宋体" w:hint="default"/>
          <w:sz w:val="18"/>
          <w:szCs w:val="18"/>
        </w:rPr>
        <w:t>对于纳入合并范围的重要的结构化主体，控制的依据：</w:t>
      </w:r>
      <w:r>
        <w:rPr>
          <w:rFonts w:ascii="宋体" w:hAnsi="宋体" w:cs="宋体" w:eastAsia="宋体" w:hint="default"/>
          <w:sz w:val="18"/>
          <w:szCs w:val="18"/>
        </w:rPr>
        <w:t> 确定公司是代理人还是委托人的依据：</w:t>
      </w:r>
    </w:p>
    <w:p>
      <w:pPr>
        <w:pStyle w:val="BodyText"/>
        <w:spacing w:line="240" w:lineRule="auto" w:before="4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重要的非全资子公司" w:id="345"/>
      <w:bookmarkEnd w:id="34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3"/>
        <w:gridCol w:w="1913"/>
        <w:gridCol w:w="1915"/>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49"/>
        <w:ind w:right="5454"/>
        <w:jc w:val="left"/>
      </w:pPr>
      <w:r>
        <w:rPr/>
        <w:t>子公司少数股东的持股比例不同于表决权比例的说明： 其他说明：</w:t>
      </w:r>
    </w:p>
    <w:p>
      <w:pPr>
        <w:pStyle w:val="Heading4"/>
        <w:spacing w:line="240" w:lineRule="auto" w:before="8"/>
        <w:ind w:right="0"/>
        <w:jc w:val="left"/>
      </w:pPr>
      <w:r>
        <w:rPr/>
        <w:t>本公司无非全资子公司。</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重要非全资子公司的主要财务信息" w:id="346"/>
      <w:bookmarkEnd w:id="34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4"/>
        <w:gridCol w:w="737"/>
        <w:gridCol w:w="737"/>
        <w:gridCol w:w="734"/>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3"/>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06" w:lineRule="auto" w:before="118"/>
        <w:ind w:left="577" w:right="0" w:hanging="425"/>
        <w:jc w:val="left"/>
        <w:rPr>
          <w:rFonts w:ascii="宋体" w:hAnsi="宋体" w:cs="宋体" w:eastAsia="宋体" w:hint="default"/>
          <w:sz w:val="21"/>
          <w:szCs w:val="21"/>
        </w:rPr>
      </w:pPr>
      <w:bookmarkStart w:name="（4）使用企业集团资产和清偿企业集团债务的重大限制"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本公司使用企业集团内资产清偿企业集团内债务无重大限制。</w:t>
      </w:r>
    </w:p>
    <w:p>
      <w:pPr>
        <w:spacing w:after="0" w:line="506" w:lineRule="auto"/>
        <w:jc w:val="left"/>
        <w:rPr>
          <w:rFonts w:ascii="宋体" w:hAnsi="宋体" w:cs="宋体" w:eastAsia="宋体" w:hint="default"/>
          <w:sz w:val="21"/>
          <w:szCs w:val="21"/>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向纳入合并财务报表范围的结构化主体提供的财务支持或其他支持" w:id="348"/>
      <w:bookmarkEnd w:id="34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在子公司的所有者权益份额发生变化且仍控制子公司的交易" w:id="349"/>
      <w:bookmarkEnd w:id="34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spacing w:line="506" w:lineRule="auto" w:before="0"/>
        <w:ind w:left="577" w:right="0" w:hanging="425"/>
        <w:jc w:val="left"/>
        <w:rPr>
          <w:rFonts w:ascii="宋体" w:hAnsi="宋体" w:cs="宋体" w:eastAsia="宋体" w:hint="default"/>
          <w:sz w:val="21"/>
          <w:szCs w:val="21"/>
        </w:rPr>
      </w:pPr>
      <w:bookmarkStart w:name="（1）在子公司所有者权益份额发生变化的情况说明" w:id="350"/>
      <w:bookmarkEnd w:id="3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本报告期，本公司在子公司中的所有者权益份额没有发生变化。</w:t>
      </w:r>
    </w:p>
    <w:p>
      <w:pPr>
        <w:pStyle w:val="Heading3"/>
        <w:spacing w:line="240" w:lineRule="auto" w:before="104"/>
        <w:ind w:right="0"/>
        <w:jc w:val="left"/>
        <w:rPr>
          <w:b w:val="0"/>
          <w:bCs w:val="0"/>
        </w:rPr>
      </w:pPr>
      <w:bookmarkStart w:name="（2）交易对于少数股东权益及归属于母公司所有者权益的影响" w:id="351"/>
      <w:bookmarkEnd w:id="35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在合营安排或联营企业中的权益" w:id="352"/>
      <w:bookmarkEnd w:id="35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53"/>
      <w:bookmarkEnd w:id="35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北京核高基软件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北京市海淀区北 四环西路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z w:val="18"/>
              </w:rPr>
              <w:t>2108-212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1"/>
              <w:jc w:val="left"/>
              <w:rPr>
                <w:rFonts w:ascii="宋体" w:hAnsi="宋体" w:cs="宋体" w:eastAsia="宋体" w:hint="default"/>
                <w:sz w:val="18"/>
                <w:szCs w:val="18"/>
              </w:rPr>
            </w:pPr>
            <w:r>
              <w:rPr>
                <w:rFonts w:ascii="宋体" w:hAnsi="宋体" w:cs="宋体" w:eastAsia="宋体" w:hint="default"/>
                <w:sz w:val="18"/>
                <w:szCs w:val="18"/>
              </w:rPr>
              <w:t>基础软件、应用 软件服务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33.33%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7"/>
        <w:ind w:right="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354"/>
      <w:bookmarkEnd w:id="35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491" w:type="dxa"/>
        <w:tblLayout w:type="fixed"/>
        <w:tblCellMar>
          <w:top w:w="0" w:type="dxa"/>
          <w:left w:w="0" w:type="dxa"/>
          <w:bottom w:w="0" w:type="dxa"/>
          <w:right w:w="0" w:type="dxa"/>
        </w:tblCellMar>
        <w:tblLook w:val="01E0"/>
      </w:tblPr>
      <w:tblGrid>
        <w:gridCol w:w="3214"/>
        <w:gridCol w:w="2412"/>
        <w:gridCol w:w="2119"/>
      </w:tblGrid>
      <w:tr>
        <w:trPr>
          <w:trHeight w:val="355" w:hRule="exact"/>
        </w:trPr>
        <w:tc>
          <w:tcPr>
            <w:tcW w:w="3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1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53"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317,569.96</w:t>
            </w:r>
          </w:p>
        </w:tc>
        <w:tc>
          <w:tcPr>
            <w:tcW w:w="21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308,219.32</w:t>
            </w:r>
          </w:p>
        </w:tc>
      </w:tr>
      <w:tr>
        <w:trPr>
          <w:trHeight w:val="350"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按持股比例计算的净利润</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9,350.64</w:t>
            </w:r>
          </w:p>
        </w:tc>
        <w:tc>
          <w:tcPr>
            <w:tcW w:w="21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101,152.06</w:t>
            </w:r>
          </w:p>
        </w:tc>
      </w:tr>
      <w:tr>
        <w:trPr>
          <w:trHeight w:val="353"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按持股比例计算的其他综合收益</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353"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按持股比例计算的综合收益总额</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重要联营企业的主要财务信息" w:id="355"/>
      <w:bookmarkEnd w:id="35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不重要的合营企业和联营企业的汇总财务信息" w:id="356"/>
      <w:bookmarkEnd w:id="35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06" w:lineRule="auto" w:before="118"/>
        <w:ind w:left="573" w:right="0" w:hanging="421"/>
        <w:jc w:val="left"/>
        <w:rPr>
          <w:rFonts w:ascii="宋体" w:hAnsi="宋体" w:cs="宋体" w:eastAsia="宋体" w:hint="default"/>
          <w:sz w:val="21"/>
          <w:szCs w:val="21"/>
        </w:rPr>
      </w:pPr>
      <w:bookmarkStart w:name="（5）合营企业或联营企业向本公司转移资金的能力存在重大限制的说明" w:id="357"/>
      <w:bookmarkEnd w:id="357"/>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）合营企业或联营企业向本公司转移资金的能力存在重大限制的说明</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合营企业向本公司转移资金的能力不存在重大限制。</w:t>
      </w:r>
    </w:p>
    <w:p>
      <w:pPr>
        <w:pStyle w:val="Heading3"/>
        <w:spacing w:line="240" w:lineRule="auto" w:before="104"/>
        <w:ind w:right="0"/>
        <w:jc w:val="left"/>
        <w:rPr>
          <w:b w:val="0"/>
          <w:bCs w:val="0"/>
        </w:rPr>
      </w:pPr>
      <w:bookmarkStart w:name="（6）合营企业或联营企业发生的超额亏损" w:id="358"/>
      <w:bookmarkEnd w:id="35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5"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与合营企业投资相关的未确认承诺" w:id="359"/>
      <w:bookmarkEnd w:id="35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360"/>
      <w:bookmarkEnd w:id="36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361"/>
      <w:bookmarkEnd w:id="36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9"/>
        <w:ind w:right="4554"/>
        <w:jc w:val="left"/>
      </w:pPr>
      <w:r>
        <w:rPr/>
        <w:t>在共同经营中的持股比例或享有的份额不同于表决权比例的说明： 共同经营为单独主体的，分类为共同经营的依据：</w:t>
      </w:r>
    </w:p>
    <w:p>
      <w:pPr>
        <w:pStyle w:val="BodyText"/>
        <w:spacing w:line="240" w:lineRule="auto" w:before="25"/>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在未纳入合并财务报表范围的结构化主体中的权益" w:id="362"/>
      <w:bookmarkEnd w:id="36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2"/>
        <w:spacing w:line="477" w:lineRule="auto" w:before="36"/>
        <w:ind w:right="6883"/>
        <w:jc w:val="left"/>
        <w:rPr>
          <w:b w:val="0"/>
          <w:bCs w:val="0"/>
        </w:rPr>
      </w:pPr>
      <w:bookmarkStart w:name="6、其他" w:id="363"/>
      <w:bookmarkEnd w:id="363"/>
      <w:r>
        <w:rPr>
          <w:b w:val="0"/>
          <w:bCs w:val="0"/>
        </w:rPr>
      </w:r>
      <w:r>
        <w:rPr>
          <w:rFonts w:ascii="Times New Roman" w:hAnsi="Times New Roman" w:cs="Times New Roman" w:eastAsia="Times New Roman" w:hint="default"/>
          <w:sz w:val="21"/>
          <w:szCs w:val="21"/>
        </w:rPr>
        <w:t>6</w:t>
      </w:r>
      <w:r>
        <w:rPr>
          <w:sz w:val="21"/>
          <w:szCs w:val="21"/>
        </w:rPr>
        <w:t>、其他</w:t>
      </w:r>
      <w:r>
        <w:rPr>
          <w:w w:val="100"/>
          <w:sz w:val="21"/>
          <w:szCs w:val="21"/>
        </w:rPr>
        <w:t> </w:t>
      </w:r>
      <w:bookmarkStart w:name="十、与金融工具相关的风险" w:id="364"/>
      <w:bookmarkEnd w:id="364"/>
      <w:r>
        <w:rPr>
          <w:w w:val="100"/>
          <w:sz w:val="21"/>
          <w:szCs w:val="21"/>
        </w:rPr>
      </w:r>
      <w:r>
        <w:rPr/>
        <w:t>十、与金融工具相关的风险</w:t>
      </w:r>
      <w:r>
        <w:rPr>
          <w:w w:val="99"/>
        </w:rPr>
        <w:t> </w:t>
      </w:r>
      <w:bookmarkStart w:name="十一、公允价值的披露" w:id="365"/>
      <w:bookmarkEnd w:id="365"/>
      <w:r>
        <w:rPr/>
        <w:t>十</w:t>
      </w:r>
      <w:r>
        <w:rPr/>
        <w:t>一、公允价值的披露</w:t>
      </w:r>
      <w:r>
        <w:rPr>
          <w:b w:val="0"/>
          <w:bCs w:val="0"/>
        </w:rPr>
      </w:r>
    </w:p>
    <w:p>
      <w:pPr>
        <w:pStyle w:val="Heading3"/>
        <w:spacing w:line="240" w:lineRule="auto" w:before="88"/>
        <w:ind w:right="0"/>
        <w:jc w:val="left"/>
        <w:rPr>
          <w:b w:val="0"/>
          <w:bCs w:val="0"/>
        </w:rPr>
      </w:pPr>
      <w:bookmarkStart w:name="1、以公允价值计量的资产和负债的期末公允价值" w:id="366"/>
      <w:bookmarkEnd w:id="36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持续和非持续第一层次公允价值计量项目市价的确定依据" w:id="367"/>
      <w:bookmarkEnd w:id="36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368"/>
      <w:bookmarkEnd w:id="36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369"/>
      <w:bookmarkEnd w:id="36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370"/>
      <w:bookmarkEnd w:id="37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371"/>
      <w:bookmarkEnd w:id="37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372"/>
      <w:bookmarkEnd w:id="37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373"/>
      <w:bookmarkEnd w:id="37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bookmarkStart w:name="9、其他" w:id="374"/>
      <w:bookmarkEnd w:id="37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375"/>
      <w:bookmarkEnd w:id="375"/>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子公司情况" w:id="376"/>
      <w:bookmarkEnd w:id="3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40" w:lineRule="auto" w:before="102"/>
        <w:ind w:right="0"/>
        <w:jc w:val="left"/>
      </w:pPr>
      <w:r>
        <w:rPr/>
        <w:t>本企业子公司的情况详见附注第九节第三项公司基本情况。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本企业合营和联营企业情况" w:id="377"/>
      <w:bookmarkEnd w:id="377"/>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31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其他关联方情况" w:id="378"/>
      <w:bookmarkEnd w:id="378"/>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关联交易情况" w:id="379"/>
      <w:bookmarkEnd w:id="379"/>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关联担保情况" w:id="380"/>
      <w:bookmarkEnd w:id="380"/>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关键管理人员报酬" w:id="381"/>
      <w:bookmarkEnd w:id="381"/>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本公司关键管理人员领取薪酬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4,598,200.00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5,833,400.00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关联方应收应付款项" w:id="382"/>
      <w:bookmarkEnd w:id="382"/>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83"/>
      <w:bookmarkEnd w:id="38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384"/>
      <w:bookmarkEnd w:id="38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6、关联方承诺" w:id="385"/>
      <w:bookmarkEnd w:id="385"/>
      <w:r>
        <w:rPr>
          <w:b w:val="0"/>
          <w:bCs w:val="0"/>
        </w:rPr>
      </w:r>
      <w:r>
        <w:rPr>
          <w:rFonts w:ascii="Times New Roman" w:hAnsi="Times New Roman" w:cs="Times New Roman" w:eastAsia="Times New Roman" w:hint="default"/>
        </w:rPr>
        <w:t>6</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365" w:firstLine="0"/>
        <w:jc w:val="left"/>
        <w:rPr>
          <w:rFonts w:ascii="宋体" w:hAnsi="宋体" w:cs="宋体" w:eastAsia="宋体" w:hint="default"/>
          <w:sz w:val="21"/>
          <w:szCs w:val="21"/>
        </w:rPr>
      </w:pPr>
      <w:bookmarkStart w:name="7、其他" w:id="386"/>
      <w:bookmarkEnd w:id="38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承诺及或有事项" w:id="387"/>
      <w:bookmarkEnd w:id="387"/>
      <w:r>
        <w:rPr>
          <w:rFonts w:ascii="宋体" w:hAnsi="宋体" w:cs="宋体" w:eastAsia="宋体" w:hint="default"/>
          <w:b/>
          <w:bCs/>
          <w:w w:val="100"/>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88"/>
      <w:bookmarkEnd w:id="38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2"/>
        <w:ind w:right="0"/>
        <w:jc w:val="left"/>
      </w:pPr>
      <w:r>
        <w:rPr/>
        <w:t>资产负债表日存在的重要承诺</w:t>
      </w:r>
    </w:p>
    <w:p>
      <w:pPr>
        <w:pStyle w:val="Heading4"/>
        <w:spacing w:line="240" w:lineRule="auto" w:before="96"/>
        <w:ind w:right="0"/>
        <w:jc w:val="left"/>
      </w:pPr>
      <w:r>
        <w:rPr/>
        <w:t>本公司经营租赁承诺事项见</w:t>
      </w:r>
      <w:r>
        <w:rPr>
          <w:rFonts w:ascii="Times New Roman" w:hAnsi="Times New Roman" w:cs="Times New Roman" w:eastAsia="Times New Roman" w:hint="default"/>
        </w:rPr>
        <w:t>“</w:t>
      </w:r>
      <w:r>
        <w:rPr/>
        <w:t>其他重要事项说明</w:t>
      </w:r>
      <w:r>
        <w:rPr>
          <w:rFonts w:ascii="Times New Roman" w:hAnsi="Times New Roman" w:cs="Times New Roman" w:eastAsia="Times New Roman" w:hint="default"/>
        </w:rPr>
        <w:t>”</w:t>
      </w:r>
      <w:r>
        <w:rPr/>
        <w:t>租赁。除此外，本公司无其他需要披露的重大承诺事</w:t>
      </w:r>
    </w:p>
    <w:p>
      <w:pPr>
        <w:pStyle w:val="Heading4"/>
        <w:spacing w:line="240" w:lineRule="auto" w:before="21"/>
        <w:ind w:left="152" w:right="0"/>
        <w:jc w:val="left"/>
      </w:pPr>
      <w:r>
        <w:rPr/>
        <w:t>项。</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或有事项" w:id="389"/>
      <w:bookmarkEnd w:id="38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line="506" w:lineRule="auto" w:before="0"/>
        <w:ind w:left="577" w:right="5453" w:hanging="425"/>
        <w:jc w:val="left"/>
        <w:rPr>
          <w:rFonts w:ascii="宋体" w:hAnsi="宋体" w:cs="宋体" w:eastAsia="宋体" w:hint="default"/>
          <w:sz w:val="21"/>
          <w:szCs w:val="21"/>
        </w:rPr>
      </w:pPr>
      <w:bookmarkStart w:name="（1）资产负债表日存在的重要或有事项" w:id="390"/>
      <w:bookmarkEnd w:id="390"/>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）资产负债表日存在的重要或有事项</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本公司无需要披露的或有事项。</w:t>
      </w:r>
    </w:p>
    <w:p>
      <w:pPr>
        <w:pStyle w:val="Heading3"/>
        <w:spacing w:line="240" w:lineRule="auto" w:before="104"/>
        <w:ind w:right="0"/>
        <w:jc w:val="left"/>
        <w:rPr>
          <w:b w:val="0"/>
          <w:bCs w:val="0"/>
        </w:rPr>
      </w:pPr>
      <w:bookmarkStart w:name="（2）公司没有需要披露的重要或有事项，也应予以说明" w:id="391"/>
      <w:bookmarkEnd w:id="39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6883" w:firstLine="0"/>
        <w:jc w:val="left"/>
        <w:rPr>
          <w:rFonts w:ascii="宋体" w:hAnsi="宋体" w:cs="宋体" w:eastAsia="宋体" w:hint="default"/>
          <w:sz w:val="21"/>
          <w:szCs w:val="21"/>
        </w:rPr>
      </w:pPr>
      <w:bookmarkStart w:name="3、其他" w:id="392"/>
      <w:bookmarkEnd w:id="39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资产负债表日后事项" w:id="393"/>
      <w:bookmarkEnd w:id="393"/>
      <w:r>
        <w:rPr>
          <w:rFonts w:ascii="宋体" w:hAnsi="宋体" w:cs="宋体" w:eastAsia="宋体" w:hint="default"/>
          <w:b/>
          <w:bCs/>
          <w:w w:val="100"/>
          <w:sz w:val="21"/>
          <w:szCs w:val="21"/>
        </w:rPr>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bookmarkStart w:name="1、利润分配情况" w:id="394"/>
      <w:bookmarkEnd w:id="3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02"/>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11,522,030.00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资产负债表日后事项说明" w:id="395"/>
      <w:bookmarkEnd w:id="395"/>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10"/>
        <w:rPr>
          <w:rFonts w:ascii="宋体" w:hAnsi="宋体" w:cs="宋体" w:eastAsia="宋体" w:hint="default"/>
          <w:b/>
          <w:bCs/>
          <w:sz w:val="24"/>
          <w:szCs w:val="24"/>
        </w:rPr>
      </w:pPr>
    </w:p>
    <w:p>
      <w:pPr>
        <w:pStyle w:val="Heading4"/>
        <w:spacing w:line="256" w:lineRule="auto"/>
        <w:ind w:left="152" w:right="148" w:firstLine="424"/>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日，本公司第二届董事会第十一次会议，决议批准</w:t>
      </w:r>
      <w:r>
        <w:rPr>
          <w:rFonts w:ascii="Times New Roman" w:hAnsi="Times New Roman" w:cs="Times New Roman" w:eastAsia="Times New Roman" w:hint="default"/>
        </w:rPr>
        <w:t>2014</w:t>
      </w:r>
      <w:r>
        <w:rPr/>
        <w:t>年度利润分配方案，以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57,610,150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w:t>
      </w:r>
      <w:r>
        <w:rPr/>
        <w:t>元（含税），计现金股利</w:t>
      </w:r>
      <w:r>
        <w:rPr>
          <w:rFonts w:ascii="Times New Roman" w:hAnsi="Times New Roman" w:cs="Times New Roman" w:eastAsia="Times New Roman" w:hint="default"/>
        </w:rPr>
        <w:t>11,522,030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8"/>
        </w:rPr>
        <w:t>元（含税）。以资本公积向全体股东每</w:t>
      </w:r>
      <w:r>
        <w:rPr>
          <w:rFonts w:ascii="Times New Roman" w:hAnsi="Times New Roman" w:cs="Times New Roman" w:eastAsia="Times New Roman" w:hint="default"/>
          <w:spacing w:val="8"/>
        </w:rPr>
        <w:t>10</w:t>
      </w:r>
      <w:r>
        <w:rPr>
          <w:spacing w:val="8"/>
        </w:rPr>
        <w:t>股转增</w:t>
      </w:r>
      <w:r>
        <w:rPr>
          <w:rFonts w:ascii="Times New Roman" w:hAnsi="Times New Roman" w:cs="Times New Roman" w:eastAsia="Times New Roman" w:hint="default"/>
          <w:spacing w:val="8"/>
        </w:rPr>
        <w:t>10</w:t>
      </w:r>
      <w:r>
        <w:rPr>
          <w:spacing w:val="8"/>
        </w:rPr>
        <w:t>股，合计转增</w:t>
      </w:r>
      <w:r>
        <w:rPr>
          <w:rFonts w:ascii="Times New Roman" w:hAnsi="Times New Roman" w:cs="Times New Roman" w:eastAsia="Times New Roman" w:hint="default"/>
          <w:spacing w:val="8"/>
        </w:rPr>
        <w:t>57,610,150</w:t>
      </w:r>
      <w:r>
        <w:rPr>
          <w:spacing w:val="8"/>
        </w:rPr>
        <w:t>股，转增后公司总股本为</w:t>
      </w:r>
      <w:r>
        <w:rPr>
          <w:spacing w:val="-13"/>
        </w:rPr>
        <w:t> </w:t>
      </w:r>
      <w:r>
        <w:rPr>
          <w:spacing w:val="-13"/>
        </w:rPr>
      </w:r>
      <w:r>
        <w:rPr>
          <w:rFonts w:ascii="Times New Roman" w:hAnsi="Times New Roman" w:cs="Times New Roman" w:eastAsia="Times New Roman" w:hint="default"/>
        </w:rPr>
        <w:t>115,220,300</w:t>
      </w:r>
      <w:r>
        <w:rPr/>
        <w:t>股。该利润分配方案仍需提交本公司</w:t>
      </w:r>
      <w:r>
        <w:rPr>
          <w:rFonts w:ascii="Times New Roman" w:hAnsi="Times New Roman" w:cs="Times New Roman" w:eastAsia="Times New Roman" w:hint="default"/>
        </w:rPr>
        <w:t>2014</w:t>
      </w:r>
      <w:r>
        <w:rPr/>
        <w:t>年股东大会审议批准。</w:t>
      </w:r>
    </w:p>
    <w:p>
      <w:pPr>
        <w:spacing w:line="240" w:lineRule="auto" w:before="3"/>
        <w:rPr>
          <w:rFonts w:ascii="宋体" w:hAnsi="宋体" w:cs="宋体" w:eastAsia="宋体" w:hint="default"/>
          <w:sz w:val="24"/>
          <w:szCs w:val="24"/>
        </w:rPr>
      </w:pPr>
    </w:p>
    <w:p>
      <w:pPr>
        <w:pStyle w:val="Heading4"/>
        <w:spacing w:line="240" w:lineRule="auto"/>
        <w:ind w:right="0"/>
        <w:jc w:val="left"/>
      </w:pPr>
      <w:r>
        <w:rPr/>
        <w:t>本公司无其他需要披露的日后事项。</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其他重要事项" w:id="396"/>
      <w:bookmarkEnd w:id="396"/>
      <w:r>
        <w:rPr>
          <w:b w:val="0"/>
          <w:bCs w:val="0"/>
        </w:rPr>
      </w: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其他" w:id="397"/>
      <w:bookmarkEnd w:id="397"/>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4"/>
          <w:szCs w:val="24"/>
        </w:rPr>
      </w:pPr>
    </w:p>
    <w:p>
      <w:pPr>
        <w:pStyle w:val="Heading4"/>
        <w:spacing w:line="516" w:lineRule="auto"/>
        <w:ind w:right="4112" w:hanging="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租赁</w:t>
      </w:r>
      <w:r>
        <w:rPr>
          <w:spacing w:val="-103"/>
        </w:rPr>
        <w:t> </w:t>
      </w: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日，本公司重大经营租赁如下：</w:t>
      </w:r>
    </w:p>
    <w:p>
      <w:pPr>
        <w:spacing w:line="240" w:lineRule="auto" w:before="13"/>
        <w:rPr>
          <w:rFonts w:ascii="宋体" w:hAnsi="宋体" w:cs="宋体" w:eastAsia="宋体" w:hint="default"/>
          <w:sz w:val="5"/>
          <w:szCs w:val="5"/>
        </w:rPr>
      </w:pPr>
    </w:p>
    <w:tbl>
      <w:tblPr>
        <w:tblW w:w="0" w:type="auto"/>
        <w:jc w:val="left"/>
        <w:tblInd w:w="599" w:type="dxa"/>
        <w:tblLayout w:type="fixed"/>
        <w:tblCellMar>
          <w:top w:w="0" w:type="dxa"/>
          <w:left w:w="0" w:type="dxa"/>
          <w:bottom w:w="0" w:type="dxa"/>
          <w:right w:w="0" w:type="dxa"/>
        </w:tblCellMar>
        <w:tblLook w:val="01E0"/>
      </w:tblPr>
      <w:tblGrid>
        <w:gridCol w:w="2666"/>
        <w:gridCol w:w="1843"/>
        <w:gridCol w:w="1702"/>
        <w:gridCol w:w="1615"/>
      </w:tblGrid>
      <w:tr>
        <w:trPr>
          <w:trHeight w:val="355" w:hRule="exact"/>
        </w:trPr>
        <w:tc>
          <w:tcPr>
            <w:tcW w:w="2666" w:type="dxa"/>
            <w:vMerge w:val="restart"/>
            <w:tcBorders>
              <w:top w:val="single" w:sz="6" w:space="0" w:color="000000"/>
              <w:left w:val="single" w:sz="6" w:space="0" w:color="000000"/>
              <w:right w:val="single" w:sz="6" w:space="0" w:color="000000"/>
            </w:tcBorders>
          </w:tcPr>
          <w:p>
            <w:pPr>
              <w:pStyle w:val="TableParagraph"/>
              <w:spacing w:line="240" w:lineRule="auto" w:before="17"/>
              <w:ind w:left="878"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516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662" w:hRule="exact"/>
        </w:trPr>
        <w:tc>
          <w:tcPr>
            <w:tcW w:w="2666" w:type="dxa"/>
            <w:vMerge/>
            <w:tcBorders>
              <w:left w:val="single" w:sz="6"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13" w:right="211" w:firstLine="91"/>
              <w:jc w:val="left"/>
              <w:rPr>
                <w:rFonts w:ascii="宋体" w:hAnsi="宋体" w:cs="宋体" w:eastAsia="宋体" w:hint="default"/>
                <w:sz w:val="18"/>
                <w:szCs w:val="18"/>
              </w:rPr>
            </w:pPr>
            <w:r>
              <w:rPr>
                <w:rFonts w:ascii="宋体" w:hAnsi="宋体" w:cs="宋体" w:eastAsia="宋体" w:hint="default"/>
                <w:sz w:val="18"/>
                <w:szCs w:val="18"/>
              </w:rPr>
              <w:t>成都东方通科 技有限责任公司</w:t>
            </w: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170" w:right="175"/>
              <w:jc w:val="left"/>
              <w:rPr>
                <w:rFonts w:ascii="宋体" w:hAnsi="宋体" w:cs="宋体" w:eastAsia="宋体" w:hint="default"/>
                <w:sz w:val="18"/>
                <w:szCs w:val="18"/>
              </w:rPr>
            </w:pPr>
            <w:r>
              <w:rPr>
                <w:rFonts w:ascii="宋体" w:hAnsi="宋体" w:cs="宋体" w:eastAsia="宋体" w:hint="default"/>
                <w:sz w:val="18"/>
                <w:szCs w:val="18"/>
              </w:rPr>
              <w:t>上海东方通泰软 件科技有限公司</w:t>
            </w:r>
          </w:p>
        </w:tc>
      </w:tr>
      <w:tr>
        <w:trPr>
          <w:trHeight w:val="353" w:hRule="exact"/>
        </w:trPr>
        <w:tc>
          <w:tcPr>
            <w:tcW w:w="2666" w:type="dxa"/>
            <w:vMerge/>
            <w:tcBorders>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799" w:right="0"/>
              <w:jc w:val="left"/>
              <w:rPr>
                <w:rFonts w:ascii="Times New Roman" w:hAnsi="Times New Roman" w:cs="Times New Roman" w:eastAsia="Times New Roman" w:hint="default"/>
                <w:sz w:val="18"/>
                <w:szCs w:val="18"/>
              </w:rPr>
            </w:pPr>
            <w:r>
              <w:rPr>
                <w:rFonts w:ascii="Times New Roman"/>
                <w:sz w:val="18"/>
              </w:rPr>
              <w:t>2</w:t>
            </w: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3</w:t>
            </w:r>
          </w:p>
        </w:tc>
      </w:tr>
      <w:tr>
        <w:trPr>
          <w:trHeight w:val="353"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5,031,074.98</w:t>
            </w:r>
            <w:r>
              <w:rPr>
                <w:rFonts w:ascii="Times New Roman"/>
                <w:sz w:val="18"/>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505,350.00</w:t>
            </w: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489,853.85</w:t>
            </w:r>
          </w:p>
        </w:tc>
      </w:tr>
      <w:tr>
        <w:trPr>
          <w:trHeight w:val="350"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4,080,544.90</w:t>
            </w:r>
            <w:r>
              <w:rPr>
                <w:rFonts w:ascii="Times New Roman"/>
                <w:sz w:val="18"/>
              </w:rPr>
            </w:r>
          </w:p>
        </w:tc>
        <w:tc>
          <w:tcPr>
            <w:tcW w:w="1702" w:type="dxa"/>
            <w:tcBorders>
              <w:top w:val="single" w:sz="12" w:space="0" w:color="000000"/>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457,958.93</w:t>
            </w:r>
          </w:p>
        </w:tc>
      </w:tr>
      <w:tr>
        <w:trPr>
          <w:trHeight w:val="353"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3</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457,958.93</w:t>
            </w:r>
          </w:p>
        </w:tc>
      </w:tr>
      <w:tr>
        <w:trPr>
          <w:trHeight w:val="353"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915,917.86</w:t>
            </w:r>
          </w:p>
        </w:tc>
      </w:tr>
      <w:tr>
        <w:trPr>
          <w:trHeight w:val="350"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9,111,619.88</w:t>
            </w:r>
            <w:r>
              <w:rPr>
                <w:rFonts w:ascii="Times New Roman"/>
                <w:sz w:val="18"/>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505,350.00</w:t>
            </w: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2,321,689.57</w:t>
            </w:r>
            <w:r>
              <w:rPr>
                <w:rFonts w:ascii="Times New Roman"/>
                <w:sz w:val="18"/>
              </w:rPr>
            </w:r>
          </w:p>
        </w:tc>
      </w:tr>
      <w:tr>
        <w:trPr>
          <w:trHeight w:val="353" w:hRule="exact"/>
        </w:trPr>
        <w:tc>
          <w:tcPr>
            <w:tcW w:w="2666" w:type="dxa"/>
            <w:vMerge w:val="restart"/>
            <w:tcBorders>
              <w:top w:val="single" w:sz="12" w:space="0" w:color="000000"/>
              <w:left w:val="single" w:sz="6" w:space="0" w:color="000000"/>
              <w:right w:val="single" w:sz="6" w:space="0" w:color="000000"/>
            </w:tcBorders>
          </w:tcPr>
          <w:p>
            <w:pPr>
              <w:pStyle w:val="TableParagraph"/>
              <w:spacing w:line="240" w:lineRule="auto" w:before="10"/>
              <w:ind w:left="878"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5160" w:type="dxa"/>
            <w:gridSpan w:val="3"/>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665" w:hRule="exact"/>
        </w:trPr>
        <w:tc>
          <w:tcPr>
            <w:tcW w:w="2666" w:type="dxa"/>
            <w:vMerge/>
            <w:tcBorders>
              <w:left w:val="single" w:sz="6"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376" w:right="369" w:firstLine="88"/>
              <w:jc w:val="left"/>
              <w:rPr>
                <w:rFonts w:ascii="宋体" w:hAnsi="宋体" w:cs="宋体" w:eastAsia="宋体" w:hint="default"/>
                <w:sz w:val="18"/>
                <w:szCs w:val="18"/>
              </w:rPr>
            </w:pPr>
            <w:r>
              <w:rPr>
                <w:rFonts w:ascii="宋体" w:hAnsi="宋体" w:cs="宋体" w:eastAsia="宋体" w:hint="default"/>
                <w:sz w:val="18"/>
                <w:szCs w:val="18"/>
              </w:rPr>
              <w:t>北京惠捷朗 科技有限公司</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666" w:type="dxa"/>
            <w:vMerge/>
            <w:tcBorders>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4</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799" w:right="0"/>
              <w:jc w:val="left"/>
              <w:rPr>
                <w:rFonts w:ascii="Times New Roman" w:hAnsi="Times New Roman" w:cs="Times New Roman" w:eastAsia="Times New Roman" w:hint="default"/>
                <w:sz w:val="18"/>
                <w:szCs w:val="18"/>
              </w:rPr>
            </w:pPr>
            <w:r>
              <w:rPr>
                <w:rFonts w:ascii="Times New Roman"/>
                <w:sz w:val="18"/>
              </w:rPr>
              <w:t>5</w:t>
            </w: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3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6=1+2+…+5</w:t>
            </w:r>
          </w:p>
        </w:tc>
      </w:tr>
      <w:tr>
        <w:trPr>
          <w:trHeight w:val="353"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529,608.52</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6,555,887.35</w:t>
            </w:r>
            <w:r>
              <w:rPr>
                <w:rFonts w:ascii="Times New Roman"/>
                <w:sz w:val="18"/>
              </w:rPr>
            </w:r>
          </w:p>
        </w:tc>
      </w:tr>
      <w:tr>
        <w:trPr>
          <w:trHeight w:val="353"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4,538,503.83</w:t>
            </w:r>
            <w:r>
              <w:rPr>
                <w:rFonts w:ascii="Times New Roman"/>
                <w:sz w:val="18"/>
              </w:rPr>
            </w:r>
          </w:p>
        </w:tc>
      </w:tr>
      <w:tr>
        <w:trPr>
          <w:trHeight w:val="350"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3</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457,958.93</w:t>
            </w:r>
          </w:p>
        </w:tc>
      </w:tr>
      <w:tr>
        <w:trPr>
          <w:trHeight w:val="353"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915,917.86</w:t>
            </w:r>
          </w:p>
        </w:tc>
      </w:tr>
      <w:tr>
        <w:trPr>
          <w:trHeight w:val="353" w:hRule="exact"/>
        </w:trPr>
        <w:tc>
          <w:tcPr>
            <w:tcW w:w="2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529,608.52</w:t>
            </w:r>
          </w:p>
        </w:tc>
        <w:tc>
          <w:tcPr>
            <w:tcW w:w="1702" w:type="dxa"/>
            <w:tcBorders>
              <w:top w:val="single" w:sz="12" w:space="0" w:color="000000"/>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12,468,267.97</w:t>
            </w:r>
          </w:p>
        </w:tc>
      </w:tr>
    </w:tbl>
    <w:p>
      <w:pPr>
        <w:spacing w:line="240" w:lineRule="auto" w:before="2"/>
        <w:rPr>
          <w:rFonts w:ascii="宋体" w:hAnsi="宋体" w:cs="宋体" w:eastAsia="宋体" w:hint="default"/>
          <w:sz w:val="20"/>
          <w:szCs w:val="20"/>
        </w:rPr>
      </w:pPr>
    </w:p>
    <w:p>
      <w:pPr>
        <w:pStyle w:val="Heading4"/>
        <w:spacing w:line="256" w:lineRule="auto" w:before="36"/>
        <w:ind w:right="0"/>
        <w:jc w:val="left"/>
      </w:pPr>
      <w:r>
        <w:rPr>
          <w:rFonts w:ascii="Times New Roman" w:hAnsi="Times New Roman" w:cs="Times New Roman" w:eastAsia="Times New Roman" w:hint="default"/>
          <w:b/>
          <w:bCs/>
          <w:spacing w:val="-2"/>
        </w:rPr>
        <w:t>1</w:t>
      </w:r>
      <w:r>
        <w:rPr>
          <w:rFonts w:ascii="宋体" w:hAnsi="宋体" w:cs="宋体" w:eastAsia="宋体" w:hint="default"/>
          <w:b/>
          <w:bCs/>
          <w:spacing w:val="-2"/>
        </w:rPr>
        <w:t>、</w:t>
      </w:r>
      <w:r>
        <w:rPr>
          <w:spacing w:val="-2"/>
        </w:rPr>
        <w:t>根据本公司与北京信息基础设施建设股份有限公司签署的《中关村瀚海国际大厦写字楼租赁合同》</w:t>
      </w:r>
      <w:r>
        <w:rPr>
          <w:spacing w:val="-50"/>
        </w:rPr>
        <w:t> </w:t>
      </w:r>
      <w:r>
        <w:rPr>
          <w:spacing w:val="-50"/>
        </w:rPr>
      </w:r>
      <w:r>
        <w:rPr/>
        <w:t>及其补充协议，本公司续租中关村瀚海国际大厦</w:t>
      </w:r>
      <w:r>
        <w:rPr>
          <w:rFonts w:ascii="Times New Roman" w:hAnsi="Times New Roman" w:cs="Times New Roman" w:eastAsia="Times New Roman" w:hint="default"/>
        </w:rPr>
        <w:t>2</w:t>
      </w:r>
      <w:r>
        <w:rPr/>
        <w:t>层</w:t>
      </w:r>
      <w:r>
        <w:rPr>
          <w:rFonts w:ascii="Times New Roman" w:hAnsi="Times New Roman" w:cs="Times New Roman" w:eastAsia="Times New Roman" w:hint="default"/>
        </w:rPr>
        <w:t>203</w:t>
      </w:r>
      <w:r>
        <w:rPr/>
        <w:t>室、</w:t>
      </w:r>
      <w:r>
        <w:rPr>
          <w:rFonts w:ascii="Times New Roman" w:hAnsi="Times New Roman" w:cs="Times New Roman" w:eastAsia="Times New Roman" w:hint="default"/>
        </w:rPr>
        <w:t>3</w:t>
      </w:r>
      <w:r>
        <w:rPr/>
        <w:t>层</w:t>
      </w:r>
      <w:r>
        <w:rPr>
          <w:rFonts w:ascii="Times New Roman" w:hAnsi="Times New Roman" w:cs="Times New Roman" w:eastAsia="Times New Roman" w:hint="default"/>
        </w:rPr>
        <w:t>305</w:t>
      </w:r>
      <w:r>
        <w:rPr/>
        <w:t>室及</w:t>
      </w:r>
      <w:r>
        <w:rPr>
          <w:rFonts w:ascii="Times New Roman" w:hAnsi="Times New Roman" w:cs="Times New Roman" w:eastAsia="Times New Roman" w:hint="default"/>
        </w:rPr>
        <w:t>13</w:t>
      </w:r>
      <w:r>
        <w:rPr/>
        <w:t>层</w:t>
      </w:r>
      <w:r>
        <w:rPr>
          <w:rFonts w:ascii="Times New Roman" w:hAnsi="Times New Roman" w:cs="Times New Roman" w:eastAsia="Times New Roman" w:hint="default"/>
        </w:rPr>
        <w:t>1306</w:t>
      </w:r>
      <w:r>
        <w:rPr/>
        <w:t>室房产，用于办公，</w:t>
      </w:r>
      <w:r>
        <w:rPr>
          <w:spacing w:val="-3"/>
          <w:w w:val="100"/>
        </w:rPr>
        <w:t> </w:t>
      </w:r>
      <w:r>
        <w:rPr/>
        <w:t>该房产建筑面积</w:t>
      </w:r>
      <w:r>
        <w:rPr>
          <w:rFonts w:ascii="Times New Roman" w:hAnsi="Times New Roman" w:cs="Times New Roman" w:eastAsia="Times New Roman" w:hint="default"/>
        </w:rPr>
        <w:t>2,439.18</w:t>
      </w:r>
      <w:r>
        <w:rPr/>
        <w:t>㎡</w:t>
      </w:r>
      <w:r>
        <w:rPr>
          <w:rFonts w:ascii="Times New Roman" w:hAnsi="Times New Roman" w:cs="Times New Roman" w:eastAsia="Times New Roman" w:hint="default"/>
        </w:rPr>
        <w:t>,</w:t>
      </w:r>
      <w:r>
        <w:rPr/>
        <w:t>租期自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日计</w:t>
      </w:r>
      <w:r>
        <w:rPr>
          <w:rFonts w:ascii="Times New Roman" w:hAnsi="Times New Roman" w:cs="Times New Roman" w:eastAsia="Times New Roman" w:hint="default"/>
        </w:rPr>
        <w:t>36</w:t>
      </w:r>
      <w:r>
        <w:rPr/>
        <w:t>个自然月，自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月起月</w:t>
      </w:r>
      <w:r>
        <w:rPr>
          <w:spacing w:val="-80"/>
        </w:rPr>
        <w:t> </w:t>
      </w:r>
      <w:r>
        <w:rPr/>
        <w:t>租金</w:t>
      </w:r>
      <w:r>
        <w:rPr>
          <w:rFonts w:ascii="Times New Roman" w:hAnsi="Times New Roman" w:cs="Times New Roman" w:eastAsia="Times New Roman" w:hint="default"/>
        </w:rPr>
        <w:t>408,054.49</w:t>
      </w:r>
      <w:r>
        <w:rPr/>
        <w:t>元，每三个月预付。</w:t>
      </w:r>
      <w:r>
        <w:rPr>
          <w:spacing w:val="-3"/>
          <w:w w:val="100"/>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日，本公司与自然人刘星星签订《广州市房屋租赁合同》，承租其位于天河区林和西街</w:t>
      </w:r>
    </w:p>
    <w:p>
      <w:pPr>
        <w:pStyle w:val="Heading4"/>
        <w:spacing w:line="259" w:lineRule="auto" w:before="5"/>
        <w:ind w:right="0"/>
        <w:jc w:val="left"/>
      </w:pPr>
      <w:r>
        <w:rPr>
          <w:rFonts w:ascii="Times New Roman" w:hAnsi="Times New Roman" w:cs="Times New Roman" w:eastAsia="Times New Roman" w:hint="default"/>
        </w:rPr>
        <w:t>167</w:t>
      </w:r>
      <w:r>
        <w:rPr/>
        <w:t>号</w:t>
      </w:r>
      <w:r>
        <w:rPr>
          <w:rFonts w:ascii="Times New Roman" w:hAnsi="Times New Roman" w:cs="Times New Roman" w:eastAsia="Times New Roman" w:hint="default"/>
        </w:rPr>
        <w:t>1411</w:t>
      </w:r>
      <w:r>
        <w:rPr/>
        <w:t>、</w:t>
      </w:r>
      <w:r>
        <w:rPr>
          <w:rFonts w:ascii="Times New Roman" w:hAnsi="Times New Roman" w:cs="Times New Roman" w:eastAsia="Times New Roman" w:hint="default"/>
        </w:rPr>
        <w:t>1412</w:t>
      </w:r>
      <w:r>
        <w:rPr/>
        <w:t>房号的房产，用于办公。该房产建筑面积</w:t>
      </w:r>
      <w:r>
        <w:rPr>
          <w:rFonts w:ascii="Times New Roman" w:hAnsi="Times New Roman" w:cs="Times New Roman" w:eastAsia="Times New Roman" w:hint="default"/>
        </w:rPr>
        <w:t>103</w:t>
      </w:r>
      <w:r>
        <w:rPr/>
        <w:t>㎡，租期自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spacing w:val="-2"/>
        </w:rPr>
        <w:t>月</w:t>
      </w:r>
      <w:r>
        <w:rPr>
          <w:rFonts w:ascii="Times New Roman" w:hAnsi="Times New Roman" w:cs="Times New Roman" w:eastAsia="Times New Roman" w:hint="default"/>
          <w:spacing w:val="-2"/>
        </w:rPr>
        <w:t>7</w:t>
      </w:r>
      <w:r>
        <w:rPr>
          <w:spacing w:val="-2"/>
        </w:rPr>
        <w:t>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日月租金</w:t>
      </w:r>
      <w:r>
        <w:rPr>
          <w:rFonts w:ascii="Times New Roman" w:hAnsi="Times New Roman" w:cs="Times New Roman" w:eastAsia="Times New Roman" w:hint="default"/>
          <w:spacing w:val="-2"/>
        </w:rPr>
        <w:t>1.12</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日月租金</w:t>
      </w:r>
      <w:r>
        <w:rPr>
          <w:rFonts w:ascii="Times New Roman" w:hAnsi="Times New Roman" w:cs="Times New Roman" w:eastAsia="Times New Roman" w:hint="default"/>
          <w:spacing w:val="-2"/>
        </w:rPr>
        <w:t>1.19</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万元，租金按月支付。</w:t>
      </w:r>
      <w:r>
        <w:rPr>
          <w:w w:val="100"/>
        </w:rPr>
        <w:t> </w:t>
      </w:r>
      <w:r>
        <w:rPr>
          <w:rFonts w:ascii="Times New Roman" w:hAnsi="Times New Roman" w:cs="Times New Roman" w:eastAsia="Times New Roman" w:hint="default"/>
          <w:b/>
          <w:bCs/>
          <w:spacing w:val="-5"/>
        </w:rPr>
        <w:t>2</w:t>
      </w:r>
      <w:r>
        <w:rPr>
          <w:rFonts w:ascii="宋体" w:hAnsi="宋体" w:cs="宋体" w:eastAsia="宋体" w:hint="default"/>
          <w:b/>
          <w:bCs/>
          <w:spacing w:val="-5"/>
        </w:rPr>
        <w:t>、</w:t>
      </w:r>
      <w:r>
        <w:rPr>
          <w:spacing w:val="-5"/>
        </w:rPr>
        <w:t>根据成都东方通科技有限责任公司与成都高新置业有限公司和成都天府软件园有限公司签订的《天</w:t>
      </w:r>
      <w:r>
        <w:rPr>
          <w:spacing w:val="-21"/>
        </w:rPr>
        <w:t> </w:t>
      </w:r>
      <w:r>
        <w:rPr>
          <w:spacing w:val="-21"/>
        </w:rPr>
      </w:r>
      <w:r>
        <w:rPr>
          <w:spacing w:val="-2"/>
        </w:rPr>
        <w:t>府软件园房屋租赁协议》（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w:t>
      </w:r>
      <w:r>
        <w:rPr>
          <w:spacing w:val="-2"/>
        </w:rPr>
        <w:t>日签订）及其补充协议一（</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日签订）、补充协议</w:t>
      </w:r>
      <w:r>
        <w:rPr>
          <w:spacing w:val="-40"/>
        </w:rPr>
        <w:t> </w:t>
      </w:r>
      <w:r>
        <w:rPr>
          <w:spacing w:val="-40"/>
        </w:rPr>
      </w:r>
      <w:r>
        <w:rPr/>
        <w:t>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日签订），以及《天府软件园房屋租赁协议》（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日签订），本公司承</w:t>
      </w:r>
      <w:r>
        <w:rPr>
          <w:spacing w:val="-32"/>
        </w:rPr>
        <w:t> </w:t>
      </w:r>
      <w:r>
        <w:rPr>
          <w:spacing w:val="-32"/>
        </w:rPr>
      </w:r>
      <w:r>
        <w:rPr>
          <w:spacing w:val="-2"/>
        </w:rPr>
        <w:t>租成都高新区天府大道中段</w:t>
      </w:r>
      <w:r>
        <w:rPr>
          <w:rFonts w:ascii="Times New Roman" w:hAnsi="Times New Roman" w:cs="Times New Roman" w:eastAsia="Times New Roman" w:hint="default"/>
          <w:spacing w:val="-2"/>
        </w:rPr>
        <w:t>1268</w:t>
      </w:r>
      <w:r>
        <w:rPr>
          <w:spacing w:val="-2"/>
        </w:rPr>
        <w:t>号（天府软件园</w:t>
      </w:r>
      <w:r>
        <w:rPr>
          <w:rFonts w:ascii="Times New Roman" w:hAnsi="Times New Roman" w:cs="Times New Roman" w:eastAsia="Times New Roman" w:hint="default"/>
          <w:spacing w:val="-2"/>
        </w:rPr>
        <w:t>E</w:t>
      </w:r>
      <w:r>
        <w:rPr>
          <w:spacing w:val="-2"/>
        </w:rPr>
        <w:t>区</w:t>
      </w:r>
      <w:r>
        <w:rPr>
          <w:rFonts w:ascii="Times New Roman" w:hAnsi="Times New Roman" w:cs="Times New Roman" w:eastAsia="Times New Roman" w:hint="default"/>
          <w:spacing w:val="-2"/>
        </w:rPr>
        <w:t>1</w:t>
      </w:r>
      <w:r>
        <w:rPr>
          <w:spacing w:val="-2"/>
        </w:rPr>
        <w:t>号楼）</w:t>
      </w:r>
      <w:r>
        <w:rPr>
          <w:rFonts w:ascii="Times New Roman" w:hAnsi="Times New Roman" w:cs="Times New Roman" w:eastAsia="Times New Roman" w:hint="default"/>
          <w:spacing w:val="-2"/>
        </w:rPr>
        <w:t>11</w:t>
      </w:r>
      <w:r>
        <w:rPr>
          <w:spacing w:val="-2"/>
        </w:rPr>
        <w:t>层</w:t>
      </w:r>
      <w:r>
        <w:rPr>
          <w:rFonts w:ascii="Times New Roman" w:hAnsi="Times New Roman" w:cs="Times New Roman" w:eastAsia="Times New Roman" w:hint="default"/>
          <w:spacing w:val="-2"/>
        </w:rPr>
        <w:t>27</w:t>
      </w:r>
      <w:r>
        <w:rPr>
          <w:spacing w:val="-2"/>
        </w:rPr>
        <w:t>、</w:t>
      </w:r>
      <w:r>
        <w:rPr>
          <w:rFonts w:ascii="Times New Roman" w:hAnsi="Times New Roman" w:cs="Times New Roman" w:eastAsia="Times New Roman" w:hint="default"/>
          <w:spacing w:val="-2"/>
        </w:rPr>
        <w:t>28</w:t>
      </w:r>
      <w:r>
        <w:rPr>
          <w:spacing w:val="-2"/>
        </w:rPr>
        <w:t>、</w:t>
      </w:r>
      <w:r>
        <w:rPr>
          <w:rFonts w:ascii="Times New Roman" w:hAnsi="Times New Roman" w:cs="Times New Roman" w:eastAsia="Times New Roman" w:hint="default"/>
          <w:spacing w:val="-2"/>
        </w:rPr>
        <w:t>29</w:t>
      </w:r>
      <w:r>
        <w:rPr>
          <w:spacing w:val="-2"/>
        </w:rPr>
        <w:t>、</w:t>
      </w:r>
      <w:r>
        <w:rPr>
          <w:rFonts w:ascii="Times New Roman" w:hAnsi="Times New Roman" w:cs="Times New Roman" w:eastAsia="Times New Roman" w:hint="default"/>
          <w:spacing w:val="-2"/>
        </w:rPr>
        <w:t>30</w:t>
      </w:r>
      <w:r>
        <w:rPr>
          <w:spacing w:val="-2"/>
        </w:rPr>
        <w:t>号房间，用于科研、</w:t>
      </w:r>
      <w:r>
        <w:rPr>
          <w:spacing w:val="-8"/>
        </w:rPr>
        <w:t> </w:t>
      </w:r>
      <w:r>
        <w:rPr>
          <w:spacing w:val="-8"/>
        </w:rPr>
      </w:r>
      <w:r>
        <w:rPr/>
        <w:t>办公，该房屋建筑面积</w:t>
      </w:r>
      <w:r>
        <w:rPr>
          <w:rFonts w:ascii="Times New Roman" w:hAnsi="Times New Roman" w:cs="Times New Roman" w:eastAsia="Times New Roman" w:hint="default"/>
        </w:rPr>
        <w:t>842.25</w:t>
      </w:r>
      <w:r>
        <w:rPr/>
        <w:t>㎡，租期自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日起至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日止。租金自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spacing w:val="-2"/>
        </w:rPr>
        <w:t>日起算，月租金</w:t>
      </w:r>
      <w:r>
        <w:rPr>
          <w:rFonts w:ascii="Times New Roman" w:hAnsi="Times New Roman" w:cs="Times New Roman" w:eastAsia="Times New Roman" w:hint="default"/>
          <w:spacing w:val="-2"/>
        </w:rPr>
        <w:t>42,112.50</w:t>
      </w:r>
      <w:r>
        <w:rPr>
          <w:spacing w:val="-2"/>
        </w:rPr>
        <w:t>元，按季预付。天府软件园由成都高新置业有限公司开发建设，成都天府软</w:t>
      </w:r>
      <w:r>
        <w:rPr>
          <w:spacing w:val="-43"/>
        </w:rPr>
        <w:t> </w:t>
      </w:r>
      <w:r>
        <w:rPr>
          <w:spacing w:val="-43"/>
        </w:rPr>
      </w:r>
      <w:r>
        <w:rPr/>
        <w:t>件园有限公司受托经营管理。</w:t>
      </w:r>
    </w:p>
    <w:p>
      <w:pPr>
        <w:spacing w:after="0" w:line="259" w:lineRule="auto"/>
        <w:jc w:val="left"/>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pStyle w:val="Heading4"/>
        <w:spacing w:line="261" w:lineRule="auto" w:before="36"/>
        <w:ind w:right="206"/>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日，上海东方通泰软件科技有限公司与上海市北高新（集团）有限公司签订《市北高</w:t>
      </w:r>
      <w:r>
        <w:rPr>
          <w:spacing w:val="-29"/>
        </w:rPr>
        <w:t> </w:t>
      </w:r>
      <w:r>
        <w:rPr>
          <w:spacing w:val="-29"/>
        </w:rPr>
      </w:r>
      <w:r>
        <w:rPr>
          <w:spacing w:val="-2"/>
        </w:rPr>
        <w:t>新技术服务业园区房屋租赁合同》，承租该公司位于上海市闸北江场三路</w:t>
      </w:r>
      <w:r>
        <w:rPr>
          <w:rFonts w:ascii="Times New Roman" w:hAnsi="Times New Roman" w:cs="Times New Roman" w:eastAsia="Times New Roman" w:hint="default"/>
          <w:spacing w:val="-2"/>
        </w:rPr>
        <w:t>26</w:t>
      </w:r>
      <w:r>
        <w:rPr>
          <w:spacing w:val="-2"/>
        </w:rPr>
        <w:t>、</w:t>
      </w:r>
      <w:r>
        <w:rPr>
          <w:rFonts w:ascii="Times New Roman" w:hAnsi="Times New Roman" w:cs="Times New Roman" w:eastAsia="Times New Roman" w:hint="default"/>
          <w:spacing w:val="-2"/>
        </w:rPr>
        <w:t>28</w:t>
      </w:r>
      <w:r>
        <w:rPr>
          <w:spacing w:val="-2"/>
        </w:rPr>
        <w:t>号</w:t>
      </w:r>
      <w:r>
        <w:rPr>
          <w:rFonts w:ascii="Times New Roman" w:hAnsi="Times New Roman" w:cs="Times New Roman" w:eastAsia="Times New Roman" w:hint="default"/>
          <w:spacing w:val="-2"/>
        </w:rPr>
        <w:t>3</w:t>
      </w:r>
      <w:r>
        <w:rPr>
          <w:spacing w:val="-2"/>
        </w:rPr>
        <w:t>层</w:t>
      </w:r>
      <w:r>
        <w:rPr>
          <w:rFonts w:ascii="Times New Roman" w:hAnsi="Times New Roman" w:cs="Times New Roman" w:eastAsia="Times New Roman" w:hint="default"/>
          <w:spacing w:val="-2"/>
        </w:rPr>
        <w:t>303-304</w:t>
      </w:r>
      <w:r>
        <w:rPr>
          <w:spacing w:val="-2"/>
        </w:rPr>
        <w:t>室，用</w:t>
      </w:r>
      <w:r>
        <w:rPr>
          <w:spacing w:val="-6"/>
        </w:rPr>
        <w:t> </w:t>
      </w:r>
      <w:r>
        <w:rPr>
          <w:spacing w:val="-6"/>
        </w:rPr>
      </w:r>
      <w:r>
        <w:rPr>
          <w:spacing w:val="-1"/>
        </w:rPr>
        <w:t>于研发经营，该房屋建筑面积</w:t>
      </w:r>
      <w:r>
        <w:rPr>
          <w:rFonts w:ascii="Times New Roman" w:hAnsi="Times New Roman" w:cs="Times New Roman" w:eastAsia="Times New Roman" w:hint="default"/>
          <w:spacing w:val="-1"/>
        </w:rPr>
        <w:t>570.31</w:t>
      </w:r>
      <w:r>
        <w:rPr>
          <w:spacing w:val="-1"/>
        </w:rPr>
        <w:t>㎡，租期自</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w:t>
      </w:r>
      <w:r>
        <w:rPr>
          <w:rFonts w:ascii="Times New Roman" w:hAnsi="Times New Roman" w:cs="Times New Roman" w:eastAsia="Times New Roman" w:hint="default"/>
          <w:spacing w:val="-1"/>
        </w:rPr>
        <w:t>2010</w:t>
      </w:r>
      <w:r>
        <w:rPr>
          <w:spacing w:val="-1"/>
        </w:rPr>
        <w:t>年前三个</w:t>
      </w:r>
      <w:r>
        <w:rPr>
          <w:spacing w:val="-24"/>
        </w:rPr>
        <w:t> </w:t>
      </w:r>
      <w:r>
        <w:rPr>
          <w:spacing w:val="-24"/>
        </w:rPr>
      </w:r>
      <w:r>
        <w:rPr>
          <w:spacing w:val="-2"/>
        </w:rPr>
        <w:t>月为装修期，免租金；</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日止，日租金</w:t>
      </w:r>
      <w:r>
        <w:rPr>
          <w:rFonts w:ascii="Times New Roman" w:hAnsi="Times New Roman" w:cs="Times New Roman" w:eastAsia="Times New Roman" w:hint="default"/>
          <w:spacing w:val="-2"/>
        </w:rPr>
        <w:t>1.80</w:t>
      </w:r>
      <w:r>
        <w:rPr>
          <w:spacing w:val="-2"/>
        </w:rPr>
        <w:t>元</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2019</w:t>
      </w:r>
      <w:r>
        <w:rPr>
          <w:spacing w:val="-2"/>
        </w:rPr>
        <w:t>年</w:t>
      </w:r>
      <w:r>
        <w:rPr>
          <w:spacing w:val="-34"/>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日止，日租金</w:t>
      </w:r>
      <w:r>
        <w:rPr>
          <w:rFonts w:ascii="Times New Roman" w:hAnsi="Times New Roman" w:cs="Times New Roman" w:eastAsia="Times New Roman" w:hint="default"/>
          <w:spacing w:val="-2"/>
        </w:rPr>
        <w:t>2.20</w:t>
      </w:r>
      <w:r>
        <w:rPr>
          <w:spacing w:val="-2"/>
        </w:rPr>
        <w:t>元</w:t>
      </w:r>
      <w:r>
        <w:rPr>
          <w:rFonts w:ascii="Times New Roman" w:hAnsi="Times New Roman" w:cs="Times New Roman" w:eastAsia="Times New Roman" w:hint="default"/>
          <w:spacing w:val="-2"/>
        </w:rPr>
        <w:t>/</w:t>
      </w:r>
      <w:r>
        <w:rPr>
          <w:spacing w:val="-2"/>
        </w:rPr>
        <w:t>㎡。租金按季预付。自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日起，上海市北高新（集团）有限公司</w:t>
      </w:r>
      <w:r>
        <w:rPr>
          <w:spacing w:val="-53"/>
        </w:rPr>
        <w:t> </w:t>
      </w:r>
      <w:r>
        <w:rPr>
          <w:spacing w:val="-53"/>
        </w:rPr>
      </w:r>
      <w:r>
        <w:rPr>
          <w:spacing w:val="-2"/>
        </w:rPr>
        <w:t>在前述《市北高新技术服务业园区房屋租赁合同》中的权利义务无偿划转至上海市北生产性企业服务</w:t>
      </w:r>
      <w:r>
        <w:rPr>
          <w:spacing w:val="-52"/>
        </w:rPr>
        <w:t> </w:t>
      </w:r>
      <w:r>
        <w:rPr>
          <w:spacing w:val="-52"/>
        </w:rPr>
      </w:r>
      <w:r>
        <w:rPr/>
        <w:t>发展有限公司。</w:t>
      </w:r>
      <w:r>
        <w:rPr>
          <w:spacing w:val="-103"/>
        </w:rPr>
        <w:t> </w:t>
      </w:r>
      <w:r>
        <w:rPr>
          <w:spacing w:val="-103"/>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日，上海东方通泰软件科技有限公司与中国计量学院资产经营有限责任公司签订《房屋</w:t>
      </w:r>
      <w:r>
        <w:rPr>
          <w:spacing w:val="-30"/>
        </w:rPr>
        <w:t> </w:t>
      </w:r>
      <w:r>
        <w:rPr>
          <w:spacing w:val="-30"/>
        </w:rPr>
      </w:r>
      <w:r>
        <w:rPr>
          <w:spacing w:val="-2"/>
        </w:rPr>
        <w:t>租赁合同》，续租杭州市西湖区万塘路</w:t>
      </w:r>
      <w:r>
        <w:rPr>
          <w:rFonts w:ascii="Times New Roman" w:hAnsi="Times New Roman" w:cs="Times New Roman" w:eastAsia="Times New Roman" w:hint="default"/>
          <w:spacing w:val="-2"/>
        </w:rPr>
        <w:t>252</w:t>
      </w:r>
      <w:r>
        <w:rPr>
          <w:spacing w:val="-2"/>
        </w:rPr>
        <w:t>号</w:t>
      </w:r>
      <w:r>
        <w:rPr>
          <w:rFonts w:ascii="Times New Roman" w:hAnsi="Times New Roman" w:cs="Times New Roman" w:eastAsia="Times New Roman" w:hint="default"/>
          <w:spacing w:val="-2"/>
        </w:rPr>
        <w:t>1</w:t>
      </w:r>
      <w:r>
        <w:rPr>
          <w:spacing w:val="-2"/>
        </w:rPr>
        <w:t>幢</w:t>
      </w:r>
      <w:r>
        <w:rPr>
          <w:rFonts w:ascii="Times New Roman" w:hAnsi="Times New Roman" w:cs="Times New Roman" w:eastAsia="Times New Roman" w:hint="default"/>
          <w:spacing w:val="-2"/>
        </w:rPr>
        <w:t>(806</w:t>
      </w:r>
      <w:r>
        <w:rPr>
          <w:rFonts w:ascii="Times New Roman" w:hAnsi="Times New Roman" w:cs="Times New Roman" w:eastAsia="Times New Roman" w:hint="default"/>
        </w:rPr>
        <w:t> </w:t>
      </w:r>
      <w:r>
        <w:rPr>
          <w:rFonts w:ascii="Times New Roman" w:hAnsi="Times New Roman" w:cs="Times New Roman" w:eastAsia="Times New Roman" w:hint="default"/>
          <w:spacing w:val="-2"/>
        </w:rPr>
        <w:t>808)</w:t>
      </w:r>
      <w:r>
        <w:rPr>
          <w:spacing w:val="-2"/>
        </w:rPr>
        <w:t>，该房屋建筑面积</w:t>
      </w:r>
      <w:r>
        <w:rPr>
          <w:rFonts w:ascii="Times New Roman" w:hAnsi="Times New Roman" w:cs="Times New Roman" w:eastAsia="Times New Roman" w:hint="default"/>
          <w:spacing w:val="-2"/>
        </w:rPr>
        <w:t>107</w:t>
      </w:r>
      <w:r>
        <w:rPr>
          <w:spacing w:val="-2"/>
        </w:rPr>
        <w:t>㎡，租期为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spacing w:val="-67"/>
        </w:rPr>
        <w:t> </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日，租金</w:t>
      </w:r>
      <w:r>
        <w:rPr>
          <w:rFonts w:ascii="Times New Roman" w:hAnsi="Times New Roman" w:cs="Times New Roman" w:eastAsia="Times New Roman" w:hint="default"/>
        </w:rPr>
        <w:t>109,354.00</w:t>
      </w:r>
      <w:r>
        <w:rPr/>
        <w:t>元</w:t>
      </w:r>
      <w:r>
        <w:rPr>
          <w:rFonts w:ascii="Times New Roman" w:hAnsi="Times New Roman" w:cs="Times New Roman" w:eastAsia="Times New Roman" w:hint="default"/>
        </w:rPr>
        <w:t>/</w:t>
      </w:r>
      <w:r>
        <w:rPr/>
        <w:t>年，先付租金后使用，每</w:t>
      </w:r>
      <w:r>
        <w:rPr>
          <w:rFonts w:ascii="Times New Roman" w:hAnsi="Times New Roman" w:cs="Times New Roman" w:eastAsia="Times New Roman" w:hint="default"/>
        </w:rPr>
        <w:t>6</w:t>
      </w:r>
      <w:r>
        <w:rPr/>
        <w:t>个月为一期，分期支付。</w:t>
      </w:r>
    </w:p>
    <w:p>
      <w:pPr>
        <w:pStyle w:val="Heading4"/>
        <w:spacing w:line="256" w:lineRule="auto"/>
        <w:ind w:right="206"/>
        <w:jc w:val="both"/>
      </w:pPr>
      <w:r>
        <w:rPr>
          <w:rFonts w:ascii="Times New Roman" w:hAnsi="Times New Roman" w:cs="Times New Roman" w:eastAsia="Times New Roman" w:hint="default"/>
          <w:b/>
          <w:bCs/>
        </w:rPr>
        <w:t>4</w:t>
      </w:r>
      <w:r>
        <w:rPr>
          <w:rFonts w:ascii="宋体" w:hAnsi="宋体" w:cs="宋体" w:eastAsia="宋体" w:hint="default"/>
          <w:b/>
          <w:bCs/>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日，北京惠捷朗科技有限公司与中国城乡建设发展有限公司签署《中城写字楼租赁</w:t>
      </w:r>
      <w:r>
        <w:rPr>
          <w:spacing w:val="-32"/>
        </w:rPr>
        <w:t> </w:t>
      </w:r>
      <w:r>
        <w:rPr>
          <w:spacing w:val="-32"/>
        </w:rPr>
      </w:r>
      <w:r>
        <w:rPr>
          <w:spacing w:val="-2"/>
        </w:rPr>
        <w:t>合同》，承租该公司位于北京市海淀区花园路</w:t>
      </w:r>
      <w:r>
        <w:rPr>
          <w:rFonts w:ascii="Times New Roman" w:hAnsi="Times New Roman" w:cs="Times New Roman" w:eastAsia="Times New Roman" w:hint="default"/>
          <w:spacing w:val="-2"/>
        </w:rPr>
        <w:t>2</w:t>
      </w:r>
      <w:r>
        <w:rPr>
          <w:spacing w:val="-2"/>
        </w:rPr>
        <w:t>号院四号楼（中城写字楼）</w:t>
      </w:r>
      <w:r>
        <w:rPr>
          <w:rFonts w:ascii="Times New Roman" w:hAnsi="Times New Roman" w:cs="Times New Roman" w:eastAsia="Times New Roman" w:hint="default"/>
          <w:spacing w:val="-2"/>
        </w:rPr>
        <w:t>503</w:t>
      </w:r>
      <w:r>
        <w:rPr>
          <w:spacing w:val="-2"/>
        </w:rPr>
        <w:t>室，用于办公。该房产</w:t>
      </w:r>
      <w:r>
        <w:rPr>
          <w:spacing w:val="-52"/>
        </w:rPr>
        <w:t> </w:t>
      </w:r>
      <w:r>
        <w:rPr>
          <w:spacing w:val="-52"/>
        </w:rPr>
      </w:r>
      <w:r>
        <w:rPr/>
        <w:t>租赁面积</w:t>
      </w:r>
      <w:r>
        <w:rPr>
          <w:rFonts w:ascii="Times New Roman" w:hAnsi="Times New Roman" w:cs="Times New Roman" w:eastAsia="Times New Roman" w:hint="default"/>
        </w:rPr>
        <w:t>302.15</w:t>
      </w:r>
      <w:r>
        <w:rPr/>
        <w:t>㎡，租期自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日至次年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日止，日租金</w:t>
      </w:r>
      <w:r>
        <w:rPr>
          <w:rFonts w:ascii="Times New Roman" w:hAnsi="Times New Roman" w:cs="Times New Roman" w:eastAsia="Times New Roman" w:hint="default"/>
        </w:rPr>
        <w:t>5.60</w:t>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月租金</w:t>
      </w:r>
      <w:r>
        <w:rPr>
          <w:rFonts w:ascii="Times New Roman" w:hAnsi="Times New Roman" w:cs="Times New Roman" w:eastAsia="Times New Roman" w:hint="default"/>
        </w:rPr>
        <w:t>51,466.22</w:t>
      </w:r>
      <w:r>
        <w:rPr/>
        <w:t>元，</w:t>
      </w:r>
      <w:r>
        <w:rPr>
          <w:spacing w:val="-38"/>
        </w:rPr>
        <w:t> </w:t>
      </w:r>
      <w:r>
        <w:rPr/>
        <w:t>每</w:t>
      </w:r>
      <w:r>
        <w:rPr>
          <w:rFonts w:ascii="Times New Roman" w:hAnsi="Times New Roman" w:cs="Times New Roman" w:eastAsia="Times New Roman" w:hint="default"/>
        </w:rPr>
        <w:t>3</w:t>
      </w:r>
      <w:r>
        <w:rPr/>
        <w:t>个月预付。</w:t>
      </w:r>
    </w:p>
    <w:p>
      <w:pPr>
        <w:spacing w:line="240" w:lineRule="auto" w:before="12"/>
        <w:rPr>
          <w:rFonts w:ascii="宋体" w:hAnsi="宋体" w:cs="宋体" w:eastAsia="宋体" w:hint="default"/>
          <w:sz w:val="22"/>
          <w:szCs w:val="22"/>
        </w:rPr>
      </w:pPr>
    </w:p>
    <w:p>
      <w:pPr>
        <w:pStyle w:val="Heading4"/>
        <w:spacing w:line="620" w:lineRule="atLeast"/>
        <w:ind w:right="0" w:hanging="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本期重大收购</w:t>
      </w:r>
      <w:r>
        <w:rPr>
          <w:w w:val="100"/>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日，本公司与庄小凡、龙启斌、陈少龙及北京同德一心科技有限公司签署《股权转让协</w:t>
      </w:r>
    </w:p>
    <w:p>
      <w:pPr>
        <w:pStyle w:val="Heading4"/>
        <w:spacing w:line="256" w:lineRule="auto" w:before="21"/>
        <w:ind w:left="152" w:right="210"/>
        <w:jc w:val="both"/>
      </w:pPr>
      <w:r>
        <w:rPr>
          <w:spacing w:val="-1"/>
        </w:rPr>
        <w:t>议》，拟收购北京同德一心科技有限公司</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14</w:t>
      </w:r>
      <w:r>
        <w:rPr>
          <w:spacing w:val="-1"/>
        </w:rPr>
        <w:t>日，本公司第二届董事会第十次会议决</w:t>
      </w:r>
      <w:r>
        <w:rPr>
          <w:spacing w:val="-48"/>
        </w:rPr>
        <w:t> </w:t>
      </w:r>
      <w:r>
        <w:rPr>
          <w:spacing w:val="-48"/>
        </w:rPr>
      </w:r>
      <w:r>
        <w:rPr/>
        <w:t>议，同意该收购议案。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日，北京同德一心科技有限公司办理工商变更登记手续，变更为本公</w:t>
      </w:r>
      <w:r>
        <w:rPr>
          <w:spacing w:val="-29"/>
        </w:rPr>
        <w:t> </w:t>
      </w:r>
      <w:r>
        <w:rPr>
          <w:spacing w:val="-29"/>
        </w:rPr>
      </w:r>
      <w:r>
        <w:rPr/>
        <w:t>司独资的有限责任公司。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日，本公司向庄小凡、龙启斌、陈少龙支付北京同德一心科技有限</w:t>
      </w:r>
      <w:r>
        <w:rPr>
          <w:spacing w:val="-29"/>
        </w:rPr>
        <w:t> </w:t>
      </w:r>
      <w:r>
        <w:rPr>
          <w:spacing w:val="-29"/>
        </w:rPr>
      </w:r>
      <w:r>
        <w:rPr>
          <w:spacing w:val="-3"/>
        </w:rPr>
        <w:t>公司股权对价</w:t>
      </w:r>
      <w:r>
        <w:rPr>
          <w:rFonts w:ascii="Times New Roman" w:hAnsi="Times New Roman" w:cs="Times New Roman" w:eastAsia="Times New Roman" w:hint="default"/>
          <w:spacing w:val="-3"/>
        </w:rPr>
        <w:t>2,300</w:t>
      </w:r>
      <w:r>
        <w:rPr>
          <w:spacing w:val="-3"/>
        </w:rPr>
        <w:t>万元（含税），尚余</w:t>
      </w:r>
      <w:r>
        <w:rPr>
          <w:rFonts w:ascii="Times New Roman" w:hAnsi="Times New Roman" w:cs="Times New Roman" w:eastAsia="Times New Roman" w:hint="default"/>
          <w:spacing w:val="-3"/>
        </w:rPr>
        <w:t>700</w:t>
      </w:r>
      <w:r>
        <w:rPr>
          <w:spacing w:val="-3"/>
        </w:rPr>
        <w:t>万元未付。根据前述《股权转让协议》，本公司将于自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rFonts w:ascii="Times New Roman" w:hAnsi="Times New Roman" w:cs="Times New Roman" w:eastAsia="Times New Roman" w:hint="default"/>
          <w:spacing w:val="16"/>
        </w:rPr>
        <w:t> </w:t>
      </w:r>
      <w:r>
        <w:rPr/>
        <w:t>月</w:t>
      </w:r>
      <w:r>
        <w:rPr>
          <w:rFonts w:ascii="Times New Roman" w:hAnsi="Times New Roman" w:cs="Times New Roman" w:eastAsia="Times New Roman" w:hint="default"/>
        </w:rPr>
        <w:t>14</w:t>
      </w:r>
      <w:r>
        <w:rPr/>
        <w:t>日起满十八个月、三十六个月后分别支付</w:t>
      </w:r>
      <w:r>
        <w:rPr>
          <w:rFonts w:ascii="Times New Roman" w:hAnsi="Times New Roman" w:cs="Times New Roman" w:eastAsia="Times New Roman" w:hint="default"/>
        </w:rPr>
        <w:t>350</w:t>
      </w:r>
      <w:r>
        <w:rPr/>
        <w:t>万元。</w:t>
      </w:r>
    </w:p>
    <w:p>
      <w:pPr>
        <w:spacing w:line="240" w:lineRule="auto" w:before="3"/>
        <w:rPr>
          <w:rFonts w:ascii="宋体" w:hAnsi="宋体" w:cs="宋体" w:eastAsia="宋体" w:hint="default"/>
          <w:sz w:val="24"/>
          <w:szCs w:val="24"/>
        </w:rPr>
      </w:pPr>
    </w:p>
    <w:p>
      <w:pPr>
        <w:pStyle w:val="Heading4"/>
        <w:spacing w:line="256" w:lineRule="auto"/>
        <w:ind w:left="153" w:right="0" w:firstLine="424"/>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日，本公司与李健、王晋敏、王熙春、李飚签署《发行股份及支付现金购买资产协议》，</w:t>
      </w:r>
      <w:r>
        <w:rPr>
          <w:w w:val="100"/>
        </w:rPr>
        <w:t> </w:t>
      </w:r>
      <w:r>
        <w:rPr>
          <w:spacing w:val="-4"/>
        </w:rPr>
        <w:t>本公司拟收购北京惠捷朗科技有限公司</w:t>
      </w:r>
      <w:r>
        <w:rPr>
          <w:rFonts w:ascii="Times New Roman" w:hAnsi="Times New Roman" w:cs="Times New Roman" w:eastAsia="Times New Roman" w:hint="default"/>
          <w:spacing w:val="-4"/>
        </w:rPr>
        <w:t>100%</w:t>
      </w:r>
      <w:r>
        <w:rPr>
          <w:spacing w:val="-4"/>
        </w:rPr>
        <w:t>股权。</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15</w:t>
      </w:r>
      <w:r>
        <w:rPr>
          <w:spacing w:val="-4"/>
        </w:rPr>
        <w:t>日，中国证券监督管理委员会以《关于核</w:t>
      </w:r>
      <w:r>
        <w:rPr>
          <w:spacing w:val="-6"/>
        </w:rPr>
        <w:t> </w:t>
      </w:r>
      <w:r>
        <w:rPr>
          <w:spacing w:val="-6"/>
        </w:rPr>
      </w:r>
      <w:r>
        <w:rPr>
          <w:spacing w:val="-5"/>
          <w:w w:val="100"/>
        </w:rPr>
        <w:t>准北京东方通科技股份有限公司向李健等发行股份购买资产并募集配套资金的批复》（证监许可</w:t>
      </w:r>
      <w:r>
        <w:rPr>
          <w:rFonts w:ascii="Times New Roman" w:hAnsi="Times New Roman" w:cs="Times New Roman" w:eastAsia="Times New Roman" w:hint="default"/>
          <w:spacing w:val="-5"/>
          <w:w w:val="100"/>
        </w:rPr>
        <w:t>[2014]1354</w:t>
      </w:r>
      <w:r>
        <w:rPr>
          <w:rFonts w:ascii="Times New Roman" w:hAnsi="Times New Roman" w:cs="Times New Roman" w:eastAsia="Times New Roman" w:hint="default"/>
          <w:spacing w:val="-19"/>
          <w:w w:val="100"/>
        </w:rPr>
        <w:t> </w:t>
      </w:r>
      <w:r>
        <w:rPr>
          <w:rFonts w:ascii="Times New Roman" w:hAnsi="Times New Roman" w:cs="Times New Roman" w:eastAsia="Times New Roman" w:hint="default"/>
          <w:spacing w:val="-19"/>
          <w:w w:val="100"/>
        </w:rPr>
      </w:r>
      <w:r>
        <w:rPr>
          <w:spacing w:val="-3"/>
        </w:rPr>
        <w:t>号）核准本公司向李健等发行</w:t>
      </w:r>
      <w:r>
        <w:rPr>
          <w:rFonts w:ascii="Times New Roman" w:hAnsi="Times New Roman" w:cs="Times New Roman" w:eastAsia="Times New Roman" w:hint="default"/>
          <w:spacing w:val="-3"/>
        </w:rPr>
        <w:t>4,480,000</w:t>
      </w:r>
      <w:r>
        <w:rPr>
          <w:spacing w:val="-3"/>
        </w:rPr>
        <w:t>股股票以购买北京惠捷朗科技有限公司</w:t>
      </w:r>
      <w:r>
        <w:rPr>
          <w:rFonts w:ascii="Times New Roman" w:hAnsi="Times New Roman" w:cs="Times New Roman" w:eastAsia="Times New Roman" w:hint="default"/>
          <w:spacing w:val="-3"/>
        </w:rPr>
        <w:t>100%</w:t>
      </w:r>
      <w:r>
        <w:rPr>
          <w:spacing w:val="-3"/>
        </w:rPr>
        <w:t>股权，并非公开发行股</w:t>
      </w:r>
      <w:r>
        <w:rPr>
          <w:spacing w:val="-48"/>
        </w:rPr>
        <w:t> </w:t>
      </w:r>
      <w:r>
        <w:rPr>
          <w:spacing w:val="-48"/>
        </w:rPr>
      </w:r>
      <w:r>
        <w:rPr/>
        <w:t>票募集配套资金不超过</w:t>
      </w:r>
      <w:r>
        <w:rPr>
          <w:rFonts w:ascii="Times New Roman" w:hAnsi="Times New Roman" w:cs="Times New Roman" w:eastAsia="Times New Roman" w:hint="default"/>
        </w:rPr>
        <w:t>14,000</w:t>
      </w:r>
      <w:r>
        <w:rPr/>
        <w:t>万元。同日，北京惠捷朗科技有限公司办理工商变更登记手续，变更为本公</w:t>
      </w:r>
      <w:r>
        <w:rPr>
          <w:spacing w:val="-80"/>
        </w:rPr>
        <w:t> </w:t>
      </w:r>
      <w:r>
        <w:rPr>
          <w:spacing w:val="-80"/>
        </w:rPr>
      </w:r>
      <w:r>
        <w:rPr>
          <w:spacing w:val="-2"/>
        </w:rPr>
        <w:t>司独资的有限责任公司。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日，本公司向李健等发行股票</w:t>
      </w:r>
      <w:r>
        <w:rPr>
          <w:rFonts w:ascii="Times New Roman" w:hAnsi="Times New Roman" w:cs="Times New Roman" w:eastAsia="Times New Roman" w:hint="default"/>
          <w:spacing w:val="-2"/>
        </w:rPr>
        <w:t>4,480,000</w:t>
      </w:r>
      <w:r>
        <w:rPr>
          <w:spacing w:val="-2"/>
        </w:rPr>
        <w:t>股，每股发行价格</w:t>
      </w:r>
      <w:r>
        <w:rPr>
          <w:rFonts w:ascii="Times New Roman" w:hAnsi="Times New Roman" w:cs="Times New Roman" w:eastAsia="Times New Roman" w:hint="default"/>
          <w:spacing w:val="-2"/>
        </w:rPr>
        <w:t>63.63</w:t>
      </w:r>
      <w:r>
        <w:rPr>
          <w:spacing w:val="-2"/>
        </w:rPr>
        <w:t>元，</w:t>
      </w:r>
      <w:r>
        <w:rPr>
          <w:spacing w:val="-7"/>
        </w:rPr>
        <w:t> </w:t>
      </w:r>
      <w:r>
        <w:rPr/>
        <w:t>募集资金</w:t>
      </w:r>
      <w:r>
        <w:rPr>
          <w:rFonts w:ascii="Times New Roman" w:hAnsi="Times New Roman" w:cs="Times New Roman" w:eastAsia="Times New Roman" w:hint="default"/>
        </w:rPr>
        <w:t>285,062,400.00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日，本公司向东海基金管理有限责任公司等</w:t>
      </w:r>
      <w:r>
        <w:rPr>
          <w:rFonts w:ascii="Times New Roman" w:hAnsi="Times New Roman" w:cs="Times New Roman" w:eastAsia="Times New Roman" w:hint="default"/>
        </w:rPr>
        <w:t>3</w:t>
      </w:r>
      <w:r>
        <w:rPr/>
        <w:t>名特定投资者非公</w:t>
      </w:r>
      <w:r>
        <w:rPr>
          <w:spacing w:val="-80"/>
        </w:rPr>
        <w:t> </w:t>
      </w:r>
      <w:r>
        <w:rPr>
          <w:spacing w:val="-80"/>
        </w:rPr>
      </w:r>
      <w:r>
        <w:rPr/>
        <w:t>开发行股票</w:t>
      </w:r>
      <w:r>
        <w:rPr>
          <w:rFonts w:ascii="Times New Roman" w:hAnsi="Times New Roman" w:cs="Times New Roman" w:eastAsia="Times New Roman" w:hint="default"/>
        </w:rPr>
        <w:t>1,696,969</w:t>
      </w:r>
      <w:r>
        <w:rPr/>
        <w:t>股，发行价格</w:t>
      </w:r>
      <w:r>
        <w:rPr>
          <w:rFonts w:ascii="Times New Roman" w:hAnsi="Times New Roman" w:cs="Times New Roman" w:eastAsia="Times New Roman" w:hint="default"/>
        </w:rPr>
        <w:t>82.50</w:t>
      </w:r>
      <w:r>
        <w:rPr/>
        <w:t>元</w:t>
      </w:r>
      <w:r>
        <w:rPr>
          <w:rFonts w:ascii="Times New Roman" w:hAnsi="Times New Roman" w:cs="Times New Roman" w:eastAsia="Times New Roman" w:hint="default"/>
        </w:rPr>
        <w:t>/</w:t>
      </w:r>
      <w:r>
        <w:rPr/>
        <w:t>股，募集资金总额</w:t>
      </w:r>
      <w:r>
        <w:rPr>
          <w:rFonts w:ascii="Times New Roman" w:hAnsi="Times New Roman" w:cs="Times New Roman" w:eastAsia="Times New Roman" w:hint="default"/>
        </w:rPr>
        <w:t>139,999,942.50</w:t>
      </w:r>
      <w:r>
        <w:rPr/>
        <w:t>元，剔除交易费用后用于支付</w:t>
      </w:r>
      <w:r>
        <w:rPr>
          <w:spacing w:val="-85"/>
        </w:rPr>
        <w:t> </w:t>
      </w:r>
      <w:r>
        <w:rPr>
          <w:spacing w:val="-85"/>
        </w:rPr>
      </w:r>
      <w:r>
        <w:rPr/>
        <w:t>北京惠捷朗科技有限公司</w:t>
      </w:r>
      <w:r>
        <w:rPr>
          <w:rFonts w:ascii="Times New Roman" w:hAnsi="Times New Roman" w:cs="Times New Roman" w:eastAsia="Times New Roman" w:hint="default"/>
        </w:rPr>
        <w:t>100%</w:t>
      </w:r>
      <w:r>
        <w:rPr/>
        <w:t>股权的现金对价。</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日，本公司向北京惠捷朗科技有限公司原四</w:t>
      </w:r>
      <w:r>
        <w:rPr>
          <w:spacing w:val="-100"/>
        </w:rPr>
        <w:t> </w:t>
      </w:r>
      <w:r>
        <w:rPr>
          <w:spacing w:val="-100"/>
        </w:rPr>
      </w:r>
      <w:r>
        <w:rPr/>
        <w:t>位自然人股东支付现金对价</w:t>
      </w:r>
      <w:r>
        <w:rPr>
          <w:rFonts w:ascii="Times New Roman" w:hAnsi="Times New Roman" w:cs="Times New Roman" w:eastAsia="Times New Roman" w:hint="default"/>
        </w:rPr>
        <w:t>134,937,600.00</w:t>
      </w:r>
      <w:r>
        <w:rPr/>
        <w:t>元，并于之前的</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日代扣代缴北京惠捷朗科技有限公司</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股权对价</w:t>
      </w:r>
      <w:r>
        <w:rPr>
          <w:rFonts w:ascii="Times New Roman" w:hAnsi="Times New Roman" w:cs="Times New Roman" w:eastAsia="Times New Roman" w:hint="default"/>
        </w:rPr>
        <w:t>4.2</w:t>
      </w:r>
      <w:r>
        <w:rPr/>
        <w:t>亿元的个人所得税</w:t>
      </w:r>
      <w:r>
        <w:rPr>
          <w:rFonts w:ascii="Times New Roman" w:hAnsi="Times New Roman" w:cs="Times New Roman" w:eastAsia="Times New Roman" w:hint="default"/>
        </w:rPr>
        <w:t>81,958,000.00</w:t>
      </w:r>
      <w:r>
        <w:rPr/>
        <w:t>元。</w:t>
      </w:r>
    </w:p>
    <w:p>
      <w:pPr>
        <w:spacing w:after="0" w:line="256" w:lineRule="auto"/>
        <w:jc w:val="left"/>
        <w:sectPr>
          <w:pgSz w:w="11910" w:h="16840"/>
          <w:pgMar w:header="745" w:footer="982" w:top="1060" w:bottom="118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母公司财务报表主要项目注释" w:id="398"/>
      <w:bookmarkEnd w:id="398"/>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99"/>
      <w:bookmarkEnd w:id="39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400"/>
      <w:bookmarkEnd w:id="40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193,550,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217.98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20,715,9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99.06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10.70%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172,834,2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18.92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177,518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,514.92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14,951,17</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162,567,34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2.52</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193,550,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217.98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20,715,9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99.06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10.70%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172,834,2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18.92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177,518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,514.92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14,951,17</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162,567,34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96,207,042.53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4,810,352.13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49.71%</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66,443,707.85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6,644,370.79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34.33%</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19,500,483.00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3,900,096.60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10.08%</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9,699,695.10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3,879,878.04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1,089,940.00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871,952.00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0.56%</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609,349.50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609,349.50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193,550,217.98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20,715,999.06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401"/>
      <w:bookmarkEnd w:id="40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5,764,826.66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其中本期坏账准备收回或转回金额重要的：</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402"/>
      <w:bookmarkEnd w:id="40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按欠款方归集的期末余额前五名的应收账款情况" w:id="403"/>
      <w:bookmarkEnd w:id="40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831" w:type="dxa"/>
        <w:tblLayout w:type="fixed"/>
        <w:tblCellMar>
          <w:top w:w="0" w:type="dxa"/>
          <w:left w:w="0" w:type="dxa"/>
          <w:bottom w:w="0" w:type="dxa"/>
          <w:right w:w="0" w:type="dxa"/>
        </w:tblCellMar>
        <w:tblLook w:val="01E0"/>
      </w:tblPr>
      <w:tblGrid>
        <w:gridCol w:w="2717"/>
        <w:gridCol w:w="850"/>
        <w:gridCol w:w="1277"/>
        <w:gridCol w:w="1982"/>
        <w:gridCol w:w="773"/>
      </w:tblGrid>
      <w:tr>
        <w:trPr>
          <w:trHeight w:val="977" w:hRule="exact"/>
        </w:trPr>
        <w:tc>
          <w:tcPr>
            <w:tcW w:w="27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37" w:right="55"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316" w:lineRule="auto" w:before="62"/>
              <w:ind w:left="271" w:right="269" w:firstLine="2"/>
              <w:jc w:val="center"/>
              <w:rPr>
                <w:rFonts w:ascii="宋体" w:hAnsi="宋体" w:cs="宋体" w:eastAsia="宋体" w:hint="default"/>
                <w:sz w:val="18"/>
                <w:szCs w:val="18"/>
              </w:rPr>
            </w:pPr>
            <w:r>
              <w:rPr>
                <w:rFonts w:ascii="宋体" w:hAnsi="宋体" w:cs="宋体" w:eastAsia="宋体" w:hint="default"/>
                <w:sz w:val="18"/>
                <w:szCs w:val="18"/>
              </w:rPr>
              <w:t>日 账面余额</w:t>
            </w:r>
          </w:p>
        </w:tc>
        <w:tc>
          <w:tcPr>
            <w:tcW w:w="1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73"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17"/>
              <w:ind w:left="19"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占应收账 款总额的 比例</w:t>
            </w:r>
            <w:r>
              <w:rPr>
                <w:rFonts w:ascii="Times New Roman" w:hAnsi="Times New Roman" w:cs="Times New Roman" w:eastAsia="Times New Roman" w:hint="default"/>
                <w:sz w:val="18"/>
                <w:szCs w:val="18"/>
              </w:rPr>
              <w:t>(%)</w:t>
            </w:r>
          </w:p>
        </w:tc>
      </w:tr>
      <w:tr>
        <w:trPr>
          <w:trHeight w:val="665" w:hRule="exact"/>
        </w:trPr>
        <w:tc>
          <w:tcPr>
            <w:tcW w:w="2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北京天晟通科技有限公司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11,850,000.00</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9,050,000.00</w:t>
            </w:r>
            <w:r>
              <w:rPr>
                <w:rFonts w:ascii="宋体" w:hAnsi="宋体" w:cs="宋体" w:eastAsia="宋体" w:hint="default"/>
                <w:sz w:val="18"/>
                <w:szCs w:val="18"/>
              </w:rPr>
              <w:t>元，</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7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6.12</w:t>
            </w:r>
            <w:r>
              <w:rPr>
                <w:rFonts w:ascii="Times New Roman"/>
                <w:sz w:val="18"/>
              </w:rPr>
            </w:r>
          </w:p>
        </w:tc>
      </w:tr>
      <w:tr>
        <w:trPr>
          <w:trHeight w:val="353" w:hRule="exact"/>
        </w:trPr>
        <w:tc>
          <w:tcPr>
            <w:tcW w:w="2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成都斯普智和信息技术有限公司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8,550,000.00</w:t>
            </w:r>
            <w:r>
              <w:rPr>
                <w:rFonts w:ascii="Times New Roman"/>
                <w:sz w:val="18"/>
              </w:rPr>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7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4.42</w:t>
            </w:r>
            <w:r>
              <w:rPr>
                <w:rFonts w:ascii="Times New Roman"/>
                <w:sz w:val="18"/>
              </w:rPr>
            </w:r>
          </w:p>
        </w:tc>
      </w:tr>
      <w:tr>
        <w:trPr>
          <w:trHeight w:val="662" w:hRule="exact"/>
        </w:trPr>
        <w:tc>
          <w:tcPr>
            <w:tcW w:w="27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75"/>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 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6,777,970.57</w:t>
            </w:r>
            <w:r>
              <w:rPr>
                <w:rFonts w:ascii="Times New Roman"/>
                <w:sz w:val="18"/>
              </w:rPr>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2,404,820.57</w:t>
            </w:r>
            <w:r>
              <w:rPr>
                <w:rFonts w:ascii="宋体" w:hAnsi="宋体" w:cs="宋体" w:eastAsia="宋体" w:hint="default"/>
                <w:sz w:val="18"/>
                <w:szCs w:val="18"/>
              </w:rPr>
              <w:t>元，</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7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3.50</w:t>
            </w:r>
            <w:r>
              <w:rPr>
                <w:rFonts w:ascii="Times New Roman"/>
                <w:sz w:val="18"/>
              </w:rPr>
            </w:r>
          </w:p>
        </w:tc>
      </w:tr>
      <w:tr>
        <w:trPr>
          <w:trHeight w:val="665" w:hRule="exact"/>
        </w:trPr>
        <w:tc>
          <w:tcPr>
            <w:tcW w:w="2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北京冠融世纪科技发展有限公司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5,609,000.00</w:t>
            </w:r>
            <w:r>
              <w:rPr>
                <w:rFonts w:ascii="Times New Roman"/>
                <w:sz w:val="18"/>
              </w:rPr>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4,500,000.00</w:t>
            </w:r>
            <w:r>
              <w:rPr>
                <w:rFonts w:ascii="宋体" w:hAnsi="宋体" w:cs="宋体" w:eastAsia="宋体" w:hint="default"/>
                <w:sz w:val="18"/>
                <w:szCs w:val="18"/>
              </w:rPr>
              <w:t>元，</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7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2.90</w:t>
            </w:r>
            <w:r>
              <w:rPr>
                <w:rFonts w:ascii="Times New Roman"/>
                <w:sz w:val="18"/>
              </w:rPr>
            </w:r>
          </w:p>
        </w:tc>
      </w:tr>
      <w:tr>
        <w:trPr>
          <w:trHeight w:val="977" w:hRule="exact"/>
        </w:trPr>
        <w:tc>
          <w:tcPr>
            <w:tcW w:w="2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中科软科技股份有限公司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5,430,000.00</w:t>
            </w:r>
            <w:r>
              <w:rPr>
                <w:rFonts w:ascii="Times New Roman"/>
                <w:sz w:val="18"/>
              </w:rPr>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1,165,000.00</w:t>
            </w:r>
            <w:r>
              <w:rPr>
                <w:rFonts w:ascii="宋体" w:hAnsi="宋体" w:cs="宋体" w:eastAsia="宋体" w:hint="default"/>
                <w:sz w:val="18"/>
                <w:szCs w:val="18"/>
              </w:rPr>
              <w:t>元，</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3,145,001.00</w:t>
            </w:r>
            <w:r>
              <w:rPr>
                <w:rFonts w:ascii="宋体" w:hAnsi="宋体" w:cs="宋体" w:eastAsia="宋体" w:hint="default"/>
                <w:sz w:val="18"/>
                <w:szCs w:val="18"/>
              </w:rPr>
              <w:t>元，</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7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2.81</w:t>
            </w:r>
            <w:r>
              <w:rPr>
                <w:rFonts w:ascii="Times New Roman"/>
                <w:sz w:val="18"/>
              </w:rPr>
            </w:r>
          </w:p>
        </w:tc>
      </w:tr>
      <w:tr>
        <w:trPr>
          <w:trHeight w:val="353" w:hRule="exact"/>
        </w:trPr>
        <w:tc>
          <w:tcPr>
            <w:tcW w:w="27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38,216,970.57</w:t>
            </w:r>
          </w:p>
        </w:tc>
        <w:tc>
          <w:tcPr>
            <w:tcW w:w="1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19.75</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bookmarkStart w:name="（5）因金融资产转移而终止确认的应收账款" w:id="404"/>
      <w:bookmarkEnd w:id="40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05"/>
      <w:bookmarkEnd w:id="40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其他应收款" w:id="406"/>
      <w:bookmarkEnd w:id="40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07"/>
      <w:bookmarkEnd w:id="40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10,183,9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03.36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10,183,90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21,140,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315.72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21,140,315.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10,183,9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03.36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10,183,90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21,140,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315.72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21,140,315.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r>
    </w:tbl>
    <w:p>
      <w:pPr>
        <w:pStyle w:val="BodyText"/>
        <w:spacing w:line="240" w:lineRule="auto" w:before="49"/>
        <w:ind w:right="0"/>
        <w:jc w:val="left"/>
      </w:pPr>
      <w:r>
        <w:rPr/>
        <w:t>期末单项金额重大并单项计提坏账准备的其他应收款：</w:t>
      </w:r>
    </w:p>
    <w:p>
      <w:pPr>
        <w:pStyle w:val="BodyText"/>
        <w:spacing w:line="338" w:lineRule="auto" w:before="117"/>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40" w:lineRule="auto" w:before="43"/>
        <w:ind w:left="153" w:right="52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40" w:lineRule="auto" w:before="39"/>
        <w:ind w:left="153" w:right="563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408"/>
      <w:bookmarkEnd w:id="40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1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5827" w:space="3000"/>
            <w:col w:w="112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其他应收款情况" w:id="409"/>
      <w:bookmarkEnd w:id="40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其他应收款按款项性质分类情况" w:id="410"/>
      <w:bookmarkEnd w:id="41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582,093.96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288,342.60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1,112,421.00</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1,697,911.00</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328,359.75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450,719.75</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首次公开发行直接相关的费用</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3,167,950.86</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7,728,301.41</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15,402,188.46</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432,727.24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133,203.05</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10,183,903.36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21,140,315.72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按欠款方归集的期末余额前五名的其他应收款情况" w:id="411"/>
      <w:bookmarkEnd w:id="41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成都东方通科技有限 责任公司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7,164,802.06</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70.35%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北京同德一心科技有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563,499.35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中国人民银行集中采 购中心</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345,395.00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海关总署物资装备采 购中心</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294,500.00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北京信息基础设施建 设股份有限公司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271,025.75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8,639,222.16</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84.83%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412"/>
      <w:bookmarkEnd w:id="41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因金融资产转移而终止确认的其他应收款" w:id="413"/>
      <w:bookmarkEnd w:id="41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414"/>
      <w:bookmarkEnd w:id="41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4"/>
        <w:spacing w:line="273" w:lineRule="auto" w:before="36"/>
        <w:ind w:left="152" w:right="0" w:firstLine="424"/>
        <w:jc w:val="left"/>
      </w:pPr>
      <w:r>
        <w:rPr>
          <w:spacing w:val="-2"/>
        </w:rPr>
        <w:t>本公司对合并范围内往来款、押金、保证金、备用金及职工暂借款以及支付的首次公开发行的保荐、</w:t>
      </w:r>
      <w:r>
        <w:rPr>
          <w:w w:val="100"/>
        </w:rPr>
        <w:t> </w:t>
      </w:r>
      <w:r>
        <w:rPr/>
        <w:t>审计、律师费用等，不计提坏账准备。</w:t>
      </w:r>
    </w:p>
    <w:p>
      <w:pPr>
        <w:spacing w:line="240" w:lineRule="auto" w:before="6"/>
        <w:rPr>
          <w:rFonts w:ascii="宋体" w:hAnsi="宋体" w:cs="宋体" w:eastAsia="宋体" w:hint="default"/>
          <w:sz w:val="24"/>
          <w:szCs w:val="24"/>
        </w:rPr>
      </w:pPr>
    </w:p>
    <w:p>
      <w:pPr>
        <w:pStyle w:val="Heading4"/>
        <w:spacing w:line="544" w:lineRule="auto"/>
        <w:ind w:right="0"/>
        <w:jc w:val="left"/>
      </w:pPr>
      <w:r>
        <w:rPr/>
        <w:t>公司于本报告期内无核销其他应收款。</w:t>
      </w:r>
      <w:r>
        <w:rPr>
          <w:w w:val="100"/>
        </w:rPr>
        <w:t> </w:t>
      </w:r>
      <w:r>
        <w:rPr>
          <w:spacing w:val="-2"/>
        </w:rPr>
        <w:t>本报告期其他应收款中无持本公司</w:t>
      </w:r>
      <w:r>
        <w:rPr>
          <w:rFonts w:ascii="Times New Roman" w:hAnsi="Times New Roman" w:cs="Times New Roman" w:eastAsia="Times New Roman" w:hint="default"/>
          <w:spacing w:val="-2"/>
        </w:rPr>
        <w:t>5%</w:t>
      </w:r>
      <w:r>
        <w:rPr>
          <w:spacing w:val="-2"/>
        </w:rPr>
        <w:t>以上（含</w:t>
      </w:r>
      <w:r>
        <w:rPr>
          <w:rFonts w:ascii="Times New Roman" w:hAnsi="Times New Roman" w:cs="Times New Roman" w:eastAsia="Times New Roman" w:hint="default"/>
          <w:spacing w:val="-2"/>
        </w:rPr>
        <w:t>5%</w:t>
      </w:r>
      <w:r>
        <w:rPr>
          <w:spacing w:val="-2"/>
        </w:rPr>
        <w:t>）表决权的股东欠款。</w:t>
      </w:r>
    </w:p>
    <w:p>
      <w:pPr>
        <w:pStyle w:val="Heading3"/>
        <w:spacing w:line="240" w:lineRule="auto" w:before="26"/>
        <w:ind w:right="0"/>
        <w:jc w:val="left"/>
        <w:rPr>
          <w:b w:val="0"/>
          <w:bCs w:val="0"/>
        </w:rPr>
      </w:pPr>
      <w:bookmarkStart w:name="3、长期股权投资" w:id="415"/>
      <w:bookmarkEnd w:id="41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473,000,000.00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473,000,000.00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317,569.96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317,569.96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308,219.32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308,219.32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473,317,569.96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473,317,569.96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13,308,219.32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13,308,219.32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416"/>
      <w:bookmarkEnd w:id="41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成都东方通科技 有限责任公司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上海东方通泰软 件科技有限公司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北京东方通宇技 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13,000,000.00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473,000,000.00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417"/>
      <w:bookmarkEnd w:id="41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9"/>
              <w:ind w:left="33" w:right="35"/>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9"/>
              <w:ind w:left="33" w:right="31"/>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北京核高 基软件有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308,219.3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9,350.64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308,219.3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9,350.64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308,219.3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9,350.64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317,569.9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说明" w:id="418"/>
      <w:bookmarkEnd w:id="41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19"/>
      <w:bookmarkEnd w:id="41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143,707,439.87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1,945,937.66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157,057,709.58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6,340,667.44</w:t>
            </w:r>
            <w:r>
              <w:rPr>
                <w:rFonts w:ascii="Times New Roman"/>
                <w:sz w:val="18"/>
              </w:rPr>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118,800.00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118,800.00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143,826,239.87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2,064,737.66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157,057,709.58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6,340,667.44</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投资收益" w:id="420"/>
      <w:bookmarkEnd w:id="42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9,350.64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101,152.06</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9,350.64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101,152.06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w:id="421"/>
      <w:bookmarkEnd w:id="421"/>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bookmarkStart w:name="十七、补充资料" w:id="422"/>
      <w:bookmarkEnd w:id="422"/>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23"/>
      <w:bookmarkEnd w:id="42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-781,987.13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9,309,908.48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115,676.34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888,356.31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7,755,241.38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424"/>
      <w:bookmarkEnd w:id="42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1.1222</w:t>
            </w:r>
            <w:r>
              <w:rPr>
                <w:rFonts w:ascii="Times New Roman"/>
                <w:sz w:val="18"/>
              </w:rPr>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0.9698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0.9698</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境内外会计准则下会计数据差异" w:id="425"/>
      <w:bookmarkEnd w:id="42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26"/>
      <w:bookmarkEnd w:id="42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27"/>
      <w:bookmarkEnd w:id="42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428"/>
      <w:bookmarkEnd w:id="42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bookmarkStart w:name="4、会计政策变更相关补充资料" w:id="429"/>
      <w:bookmarkEnd w:id="429"/>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其他" w:id="430"/>
      <w:bookmarkEnd w:id="430"/>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0"/>
        <w:ind w:left="135" w:right="138" w:firstLine="0"/>
        <w:jc w:val="center"/>
        <w:rPr>
          <w:rFonts w:ascii="宋体" w:hAnsi="宋体" w:cs="宋体" w:eastAsia="宋体" w:hint="default"/>
          <w:sz w:val="32"/>
          <w:szCs w:val="32"/>
        </w:rPr>
      </w:pPr>
      <w:bookmarkStart w:name="第十节 备查文件目录" w:id="431"/>
      <w:bookmarkEnd w:id="431"/>
      <w:r>
        <w:rPr/>
      </w:r>
      <w:r>
        <w:rPr>
          <w:rFonts w:ascii="宋体" w:hAnsi="宋体" w:cs="宋体" w:eastAsia="宋体" w:hint="default"/>
          <w:b/>
          <w:bCs/>
          <w:sz w:val="32"/>
          <w:szCs w:val="32"/>
        </w:rPr>
        <w:t>第十节</w:t>
      </w:r>
      <w:r>
        <w:rPr>
          <w:rFonts w:ascii="宋体" w:hAnsi="宋体" w:cs="宋体" w:eastAsia="宋体" w:hint="default"/>
          <w:b/>
          <w:bCs/>
          <w:spacing w:val="-6"/>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6"/>
        <w:rPr>
          <w:rFonts w:ascii="宋体" w:hAnsi="宋体" w:cs="宋体" w:eastAsia="宋体" w:hint="default"/>
          <w:b/>
          <w:bCs/>
          <w:sz w:val="42"/>
          <w:szCs w:val="42"/>
        </w:rPr>
      </w:pPr>
    </w:p>
    <w:p>
      <w:pPr>
        <w:pStyle w:val="BodyText"/>
        <w:spacing w:line="316" w:lineRule="auto"/>
        <w:ind w:right="2574"/>
        <w:jc w:val="left"/>
      </w:pPr>
      <w:r>
        <w:rPr/>
        <w:t>一、载有法定代表人、财务负责人、财务报表编制人签名并盖章的会计报表。 二、载有会计师事务所盖章、注册会计师签名并盖章的审计报告原件。 三、报告期内在中国证监会指定信息披露网站上披露的所有公司文件的正本及公告的原稿。 以上备查文件的备置地点：公司董事会秘书办公室。</w:t>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8366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836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836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836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836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836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559998pt;margin-top:781.837891pt;width:11.15pt;height:11pt;mso-position-horizontal-relative:page;mso-position-vertical-relative:page;z-index:-8365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8365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836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836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pt;margin-top:36.265610pt;width:204.7pt;height:11.5pt;mso-position-horizontal-relative:page;mso-position-vertical-relative:page;z-index:-836680" type="#_x0000_t202" filled="false" stroked="false">
          <v:textbox inset="0,0,0,0">
            <w:txbxContent>
              <w:p>
                <w:pPr>
                  <w:pStyle w:val="BodyText"/>
                  <w:spacing w:line="214" w:lineRule="exact"/>
                  <w:ind w:left="20" w:right="0"/>
                  <w:jc w:val="left"/>
                </w:pPr>
                <w:r>
                  <w:rPr/>
                  <w:t>北京东方通科技股份有限公司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77"/>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tongtech.com/" TargetMode="External"/><Relationship Id="rId10" Type="http://schemas.openxmlformats.org/officeDocument/2006/relationships/hyperlink" Target="mailto:tongtech@tongtech.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footer" Target="footer4.xml"/><Relationship Id="rId32" Type="http://schemas.openxmlformats.org/officeDocument/2006/relationships/image" Target="media/image20.jpeg"/><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北京东方通科技股份有限公司</dc:creator>
  <dc:title>北京东方通科技股份有限公司2014年年度报告全文</dc:title>
  <dcterms:created xsi:type="dcterms:W3CDTF">2020-05-06T19:38:57Z</dcterms:created>
  <dcterms:modified xsi:type="dcterms:W3CDTF">2020-05-06T19:38:57Z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Acrobat PDFMaker 10.1 Word 版</vt:lpwstr>
  </property>
  <property fmtid="{D5CDD505-2E9C-101B-9397-08002B2CF9AE}" pid="4" name="LastSaved">
    <vt:filetime>2020-05-06T00:00:00Z</vt:filetime>
  </property>
</Properties>
</file>