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60" w:lineRule="exact"/>
        <w:ind w:left="152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4372610" cy="6096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372610" cy="609600"/>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602" w:right="2606" w:firstLine="0"/>
        <w:jc w:val="center"/>
        <w:rPr>
          <w:rFonts w:ascii="宋体" w:hAnsi="宋体" w:cs="宋体" w:eastAsia="宋体" w:hint="default"/>
          <w:sz w:val="36"/>
          <w:szCs w:val="36"/>
        </w:rPr>
      </w:pPr>
      <w:r>
        <w:rPr>
          <w:rFonts w:ascii="宋体" w:hAnsi="宋体" w:cs="宋体" w:eastAsia="宋体" w:hint="default"/>
          <w:b/>
          <w:bCs/>
          <w:sz w:val="36"/>
          <w:szCs w:val="36"/>
        </w:rPr>
        <w:t>北京东方通科技股份有限公司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602" w:right="260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7"/>
        <w:rPr>
          <w:rFonts w:ascii="宋体" w:hAnsi="宋体" w:cs="宋体" w:eastAsia="宋体" w:hint="default"/>
          <w:b/>
          <w:bCs/>
          <w:sz w:val="29"/>
          <w:szCs w:val="29"/>
        </w:rPr>
      </w:pPr>
    </w:p>
    <w:p>
      <w:pPr>
        <w:spacing w:before="0"/>
        <w:ind w:left="2602" w:right="2602" w:firstLine="0"/>
        <w:jc w:val="center"/>
        <w:rPr>
          <w:rFonts w:ascii="Times New Roman" w:hAnsi="Times New Roman" w:cs="Times New Roman" w:eastAsia="Times New Roman" w:hint="default"/>
          <w:sz w:val="22"/>
          <w:szCs w:val="22"/>
        </w:rPr>
      </w:pPr>
      <w:r>
        <w:rPr>
          <w:rFonts w:ascii="宋体" w:hAnsi="宋体" w:cs="宋体" w:eastAsia="宋体" w:hint="default"/>
          <w:b/>
          <w:bCs/>
          <w:sz w:val="22"/>
          <w:szCs w:val="22"/>
        </w:rPr>
        <w:t>定</w:t>
      </w:r>
      <w:r>
        <w:rPr>
          <w:rFonts w:ascii="宋体" w:hAnsi="宋体" w:cs="宋体" w:eastAsia="宋体" w:hint="default"/>
          <w:b/>
          <w:bCs/>
          <w:spacing w:val="-60"/>
          <w:sz w:val="22"/>
          <w:szCs w:val="22"/>
        </w:rPr>
        <w:t> </w:t>
      </w:r>
      <w:r>
        <w:rPr>
          <w:rFonts w:ascii="Times New Roman" w:hAnsi="Times New Roman" w:cs="Times New Roman" w:eastAsia="Times New Roman" w:hint="default"/>
          <w:b/>
          <w:bCs/>
          <w:sz w:val="22"/>
          <w:szCs w:val="22"/>
        </w:rPr>
        <w:t>2016-002</w:t>
      </w:r>
      <w:r>
        <w:rPr>
          <w:rFonts w:ascii="Times New Roman" w:hAnsi="Times New Roman" w:cs="Times New Roman" w:eastAsia="Times New Roman" w:hint="default"/>
          <w:sz w:val="22"/>
          <w:szCs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46"/>
        <w:ind w:left="2602" w:right="26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_TOC_250010" w:id="1"/>
      <w:bookmarkStart w:name="第一节 重要提示、目录和释义" w:id="2"/>
      <w:r>
        <w:rPr>
          <w:b w:val="0"/>
          <w:bCs w:val="0"/>
        </w:rPr>
      </w:r>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1"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2"/>
        <w:ind w:left="152" w:right="153"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公司负责人张齐春、主管会计工作负责人徐少璞及会计机构负责人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王会声明：保证年度报告中财务报告的真实、准确、完整。</w:t>
      </w:r>
      <w:r>
        <w:rPr>
          <w:rFonts w:ascii="宋体" w:hAnsi="宋体" w:cs="宋体" w:eastAsia="宋体" w:hint="default"/>
          <w:sz w:val="28"/>
          <w:szCs w:val="28"/>
        </w:rPr>
      </w:r>
    </w:p>
    <w:p>
      <w:pPr>
        <w:spacing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393" w:lineRule="auto" w:before="0"/>
        <w:ind w:left="152" w:right="153" w:firstLine="561"/>
        <w:jc w:val="both"/>
        <w:rPr>
          <w:rFonts w:ascii="宋体" w:hAnsi="宋体" w:cs="宋体" w:eastAsia="宋体" w:hint="default"/>
          <w:sz w:val="28"/>
          <w:szCs w:val="28"/>
        </w:rPr>
      </w:pPr>
      <w:r>
        <w:rPr>
          <w:rFonts w:ascii="Times New Roman" w:hAnsi="Times New Roman" w:cs="Times New Roman" w:eastAsia="Times New Roman" w:hint="default"/>
          <w:b/>
          <w:bCs/>
          <w:spacing w:val="-4"/>
          <w:sz w:val="28"/>
          <w:szCs w:val="28"/>
        </w:rPr>
        <w:t>1</w:t>
      </w:r>
      <w:r>
        <w:rPr>
          <w:rFonts w:ascii="宋体" w:hAnsi="宋体" w:cs="宋体" w:eastAsia="宋体" w:hint="default"/>
          <w:b/>
          <w:bCs/>
          <w:spacing w:val="-4"/>
          <w:sz w:val="28"/>
          <w:szCs w:val="28"/>
        </w:rPr>
        <w:t>、市场竞争风险</w:t>
      </w:r>
      <w:r>
        <w:rPr>
          <w:rFonts w:ascii="宋体" w:hAnsi="宋体" w:cs="宋体" w:eastAsia="宋体" w:hint="default"/>
          <w:b/>
          <w:bCs/>
          <w:spacing w:val="111"/>
          <w:sz w:val="28"/>
          <w:szCs w:val="28"/>
        </w:rPr>
        <w:t> </w:t>
      </w:r>
      <w:r>
        <w:rPr>
          <w:rFonts w:ascii="宋体" w:hAnsi="宋体" w:cs="宋体" w:eastAsia="宋体" w:hint="default"/>
          <w:b/>
          <w:bCs/>
          <w:sz w:val="28"/>
          <w:szCs w:val="28"/>
        </w:rPr>
        <w:t>报告期内，中间件业务收入是公司营业收入的重要组成</w:t>
      </w:r>
      <w:r>
        <w:rPr>
          <w:rFonts w:ascii="宋体" w:hAnsi="宋体" w:cs="宋体" w:eastAsia="宋体" w:hint="default"/>
          <w:b/>
          <w:bCs/>
          <w:w w:val="99"/>
          <w:sz w:val="28"/>
          <w:szCs w:val="28"/>
        </w:rPr>
        <w:t> </w:t>
      </w:r>
      <w:r>
        <w:rPr>
          <w:rFonts w:ascii="宋体" w:hAnsi="宋体" w:cs="宋体" w:eastAsia="宋体" w:hint="default"/>
          <w:b/>
          <w:bCs/>
          <w:sz w:val="28"/>
          <w:szCs w:val="28"/>
        </w:rPr>
        <w:t>部分。国内中间件领域</w:t>
      </w:r>
      <w:r>
        <w:rPr>
          <w:rFonts w:ascii="宋体" w:hAnsi="宋体" w:cs="宋体" w:eastAsia="宋体" w:hint="default"/>
          <w:b/>
          <w:bCs/>
          <w:spacing w:val="-84"/>
          <w:sz w:val="28"/>
          <w:szCs w:val="28"/>
        </w:rPr>
        <w:t> </w:t>
      </w:r>
      <w:r>
        <w:rPr>
          <w:rFonts w:ascii="Times New Roman" w:hAnsi="Times New Roman" w:cs="Times New Roman" w:eastAsia="Times New Roman" w:hint="default"/>
          <w:b/>
          <w:bCs/>
          <w:sz w:val="28"/>
          <w:szCs w:val="28"/>
        </w:rPr>
        <w:t>IBM</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Oracle</w:t>
      </w:r>
      <w:r>
        <w:rPr>
          <w:rFonts w:ascii="Times New Roman" w:hAnsi="Times New Roman" w:cs="Times New Roman" w:eastAsia="Times New Roman" w:hint="default"/>
          <w:b/>
          <w:bCs/>
          <w:spacing w:val="-15"/>
          <w:sz w:val="28"/>
          <w:szCs w:val="28"/>
        </w:rPr>
        <w:t> </w:t>
      </w:r>
      <w:r>
        <w:rPr>
          <w:rFonts w:ascii="宋体" w:hAnsi="宋体" w:cs="宋体" w:eastAsia="宋体" w:hint="default"/>
          <w:b/>
          <w:bCs/>
          <w:sz w:val="28"/>
          <w:szCs w:val="28"/>
        </w:rPr>
        <w:t>两国外软件巨头所占市场份额最高，形成</w:t>
      </w:r>
      <w:r>
        <w:rPr>
          <w:rFonts w:ascii="宋体" w:hAnsi="宋体" w:cs="宋体" w:eastAsia="宋体" w:hint="default"/>
          <w:b/>
          <w:bCs/>
          <w:w w:val="99"/>
          <w:sz w:val="28"/>
          <w:szCs w:val="28"/>
        </w:rPr>
        <w:t> </w:t>
      </w:r>
      <w:r>
        <w:rPr>
          <w:rFonts w:ascii="宋体" w:hAnsi="宋体" w:cs="宋体" w:eastAsia="宋体" w:hint="default"/>
          <w:b/>
          <w:bCs/>
          <w:sz w:val="28"/>
          <w:szCs w:val="28"/>
        </w:rPr>
        <w:t>了中间件市场竞争的第一梯队。</w:t>
      </w:r>
      <w:r>
        <w:rPr>
          <w:rFonts w:ascii="Times New Roman" w:hAnsi="Times New Roman" w:cs="Times New Roman" w:eastAsia="Times New Roman" w:hint="default"/>
          <w:b/>
          <w:bCs/>
          <w:sz w:val="28"/>
          <w:szCs w:val="28"/>
        </w:rPr>
        <w:t>IBM</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Oracle</w:t>
      </w:r>
      <w:r>
        <w:rPr>
          <w:rFonts w:ascii="Times New Roman" w:hAnsi="Times New Roman" w:cs="Times New Roman" w:eastAsia="Times New Roman" w:hint="default"/>
          <w:b/>
          <w:bCs/>
          <w:spacing w:val="43"/>
          <w:sz w:val="28"/>
          <w:szCs w:val="28"/>
        </w:rPr>
        <w:t> </w:t>
      </w:r>
      <w:r>
        <w:rPr>
          <w:rFonts w:ascii="宋体" w:hAnsi="宋体" w:cs="宋体" w:eastAsia="宋体" w:hint="default"/>
          <w:b/>
          <w:bCs/>
          <w:sz w:val="28"/>
          <w:szCs w:val="28"/>
        </w:rPr>
        <w:t>的市场占有率较高的主要原因在</w:t>
      </w:r>
      <w:r>
        <w:rPr>
          <w:rFonts w:ascii="宋体" w:hAnsi="宋体" w:cs="宋体" w:eastAsia="宋体" w:hint="default"/>
          <w:b/>
          <w:bCs/>
          <w:w w:val="99"/>
          <w:sz w:val="28"/>
          <w:szCs w:val="28"/>
        </w:rPr>
        <w:t> </w:t>
      </w:r>
      <w:r>
        <w:rPr>
          <w:rFonts w:ascii="宋体" w:hAnsi="宋体" w:cs="宋体" w:eastAsia="宋体" w:hint="default"/>
          <w:b/>
          <w:bCs/>
          <w:spacing w:val="-3"/>
          <w:sz w:val="28"/>
          <w:szCs w:val="28"/>
        </w:rPr>
        <w:t>于其良好的品牌影响力、在</w:t>
      </w:r>
      <w:r>
        <w:rPr>
          <w:rFonts w:ascii="宋体" w:hAnsi="宋体" w:cs="宋体" w:eastAsia="宋体" w:hint="default"/>
          <w:b/>
          <w:bCs/>
          <w:spacing w:val="-89"/>
          <w:sz w:val="28"/>
          <w:szCs w:val="28"/>
        </w:rPr>
        <w:t>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21"/>
          <w:sz w:val="28"/>
          <w:szCs w:val="28"/>
        </w:rPr>
        <w:t> </w:t>
      </w:r>
      <w:r>
        <w:rPr>
          <w:rFonts w:ascii="宋体" w:hAnsi="宋体" w:cs="宋体" w:eastAsia="宋体" w:hint="default"/>
          <w:b/>
          <w:bCs/>
          <w:sz w:val="28"/>
          <w:szCs w:val="28"/>
        </w:rPr>
        <w:t>领域深厚的技术积累及其在数据库、服务器领域</w:t>
      </w:r>
      <w:r>
        <w:rPr>
          <w:rFonts w:ascii="宋体" w:hAnsi="宋体" w:cs="宋体" w:eastAsia="宋体" w:hint="default"/>
          <w:b/>
          <w:bCs/>
          <w:w w:val="99"/>
          <w:sz w:val="28"/>
          <w:szCs w:val="28"/>
        </w:rPr>
        <w:t> </w:t>
      </w:r>
      <w:r>
        <w:rPr>
          <w:rFonts w:ascii="宋体" w:hAnsi="宋体" w:cs="宋体" w:eastAsia="宋体" w:hint="default"/>
          <w:b/>
          <w:bCs/>
          <w:spacing w:val="2"/>
          <w:sz w:val="28"/>
          <w:szCs w:val="28"/>
        </w:rPr>
        <w:t>良好的配套支持。另外，公司通过并购进入的虚拟化软件市场，以国际知名厂</w:t>
      </w:r>
      <w:r>
        <w:rPr>
          <w:rFonts w:ascii="宋体" w:hAnsi="宋体" w:cs="宋体" w:eastAsia="宋体" w:hint="default"/>
          <w:b/>
          <w:bCs/>
          <w:w w:val="99"/>
          <w:sz w:val="28"/>
          <w:szCs w:val="28"/>
        </w:rPr>
        <w:t> </w:t>
      </w:r>
      <w:r>
        <w:rPr>
          <w:rFonts w:ascii="宋体" w:hAnsi="宋体" w:cs="宋体" w:eastAsia="宋体" w:hint="default"/>
          <w:b/>
          <w:bCs/>
          <w:sz w:val="28"/>
          <w:szCs w:val="28"/>
        </w:rPr>
        <w:t>商</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VMware</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市场份额最高，华为服务器虚拟化软件的增长势头明显，加剧了市</w:t>
      </w:r>
      <w:r>
        <w:rPr>
          <w:rFonts w:ascii="宋体" w:hAnsi="宋体" w:cs="宋体" w:eastAsia="宋体" w:hint="default"/>
          <w:b/>
          <w:bCs/>
          <w:w w:val="99"/>
          <w:sz w:val="28"/>
          <w:szCs w:val="28"/>
        </w:rPr>
        <w:t> </w:t>
      </w:r>
      <w:r>
        <w:rPr>
          <w:rFonts w:ascii="宋体" w:hAnsi="宋体" w:cs="宋体" w:eastAsia="宋体" w:hint="default"/>
          <w:b/>
          <w:bCs/>
          <w:sz w:val="28"/>
          <w:szCs w:val="28"/>
        </w:rPr>
        <w:t>场竞争。</w:t>
      </w:r>
      <w:r>
        <w:rPr>
          <w:rFonts w:ascii="宋体" w:hAnsi="宋体" w:cs="宋体" w:eastAsia="宋体" w:hint="default"/>
          <w:b/>
          <w:bCs/>
          <w:spacing w:val="-28"/>
          <w:sz w:val="28"/>
          <w:szCs w:val="28"/>
        </w:rPr>
        <w:t> </w:t>
      </w:r>
      <w:r>
        <w:rPr>
          <w:rFonts w:ascii="宋体" w:hAnsi="宋体" w:cs="宋体" w:eastAsia="宋体" w:hint="default"/>
          <w:b/>
          <w:bCs/>
          <w:sz w:val="28"/>
          <w:szCs w:val="28"/>
        </w:rPr>
        <w:t>与国际知名软件厂商</w:t>
      </w:r>
      <w:r>
        <w:rPr>
          <w:rFonts w:ascii="宋体" w:hAnsi="宋体" w:cs="宋体" w:eastAsia="宋体" w:hint="default"/>
          <w:b/>
          <w:bCs/>
          <w:spacing w:val="-75"/>
          <w:sz w:val="28"/>
          <w:szCs w:val="28"/>
        </w:rPr>
        <w:t> </w:t>
      </w:r>
      <w:r>
        <w:rPr>
          <w:rFonts w:ascii="Times New Roman" w:hAnsi="Times New Roman" w:cs="Times New Roman" w:eastAsia="Times New Roman" w:hint="default"/>
          <w:b/>
          <w:bCs/>
          <w:spacing w:val="-4"/>
          <w:sz w:val="28"/>
          <w:szCs w:val="28"/>
        </w:rPr>
        <w:t>IBM</w:t>
      </w:r>
      <w:r>
        <w:rPr>
          <w:rFonts w:ascii="宋体" w:hAnsi="宋体" w:cs="宋体" w:eastAsia="宋体" w:hint="default"/>
          <w:b/>
          <w:bCs/>
          <w:spacing w:val="-4"/>
          <w:sz w:val="28"/>
          <w:szCs w:val="28"/>
        </w:rPr>
        <w:t>、</w:t>
      </w:r>
      <w:r>
        <w:rPr>
          <w:rFonts w:ascii="Times New Roman" w:hAnsi="Times New Roman" w:cs="Times New Roman" w:eastAsia="Times New Roman" w:hint="default"/>
          <w:b/>
          <w:bCs/>
          <w:spacing w:val="-4"/>
          <w:sz w:val="28"/>
          <w:szCs w:val="28"/>
        </w:rPr>
        <w:t>Oracle</w:t>
      </w:r>
      <w:r>
        <w:rPr>
          <w:rFonts w:ascii="宋体" w:hAnsi="宋体" w:cs="宋体" w:eastAsia="宋体" w:hint="default"/>
          <w:b/>
          <w:bCs/>
          <w:spacing w:val="-4"/>
          <w:sz w:val="28"/>
          <w:szCs w:val="28"/>
        </w:rPr>
        <w:t>、</w:t>
      </w:r>
      <w:r>
        <w:rPr>
          <w:rFonts w:ascii="Times New Roman" w:hAnsi="Times New Roman" w:cs="Times New Roman" w:eastAsia="Times New Roman" w:hint="default"/>
          <w:b/>
          <w:bCs/>
          <w:spacing w:val="-4"/>
          <w:sz w:val="28"/>
          <w:szCs w:val="28"/>
        </w:rPr>
        <w:t>VMware</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相比，公司在技术研发</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实力、市场培育、产品销售渠道建设等方面仍存在较大差距；同时，随着其他</w:t>
      </w:r>
      <w:r>
        <w:rPr>
          <w:rFonts w:ascii="宋体" w:hAnsi="宋体" w:cs="宋体" w:eastAsia="宋体" w:hint="default"/>
          <w:b/>
          <w:bCs/>
          <w:w w:val="99"/>
          <w:sz w:val="28"/>
          <w:szCs w:val="28"/>
        </w:rPr>
        <w:t> </w:t>
      </w:r>
      <w:r>
        <w:rPr>
          <w:rFonts w:ascii="宋体" w:hAnsi="宋体" w:cs="宋体" w:eastAsia="宋体" w:hint="default"/>
          <w:b/>
          <w:bCs/>
          <w:spacing w:val="2"/>
          <w:sz w:val="28"/>
          <w:szCs w:val="28"/>
        </w:rPr>
        <w:t>国内基础软件生产企业的成长和壮大，公司还面临着来自国内竞争对手的市场</w:t>
      </w:r>
      <w:r>
        <w:rPr>
          <w:rFonts w:ascii="宋体" w:hAnsi="宋体" w:cs="宋体" w:eastAsia="宋体" w:hint="default"/>
          <w:b/>
          <w:bCs/>
          <w:w w:val="99"/>
          <w:sz w:val="28"/>
          <w:szCs w:val="28"/>
        </w:rPr>
        <w:t> </w:t>
      </w:r>
      <w:r>
        <w:rPr>
          <w:rFonts w:ascii="宋体" w:hAnsi="宋体" w:cs="宋体" w:eastAsia="宋体" w:hint="default"/>
          <w:b/>
          <w:bCs/>
          <w:sz w:val="28"/>
          <w:szCs w:val="28"/>
        </w:rPr>
        <w:t>竞争压力，因此公司面临市场竞争风险。</w:t>
      </w:r>
      <w:r>
        <w:rPr>
          <w:rFonts w:ascii="宋体" w:hAnsi="宋体" w:cs="宋体" w:eastAsia="宋体" w:hint="default"/>
          <w:sz w:val="28"/>
          <w:szCs w:val="28"/>
        </w:rPr>
      </w:r>
    </w:p>
    <w:p>
      <w:pPr>
        <w:spacing w:line="398" w:lineRule="auto" w:before="179"/>
        <w:ind w:left="152" w:right="153" w:firstLine="561"/>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2</w:t>
      </w:r>
      <w:r>
        <w:rPr>
          <w:rFonts w:ascii="宋体" w:hAnsi="宋体" w:cs="宋体" w:eastAsia="宋体" w:hint="default"/>
          <w:b/>
          <w:bCs/>
          <w:spacing w:val="2"/>
          <w:sz w:val="28"/>
          <w:szCs w:val="28"/>
        </w:rPr>
        <w:t>、核心技术人员流失风险 软件行业属于智力密集型行业，在人力资源管</w:t>
      </w:r>
      <w:r>
        <w:rPr>
          <w:rFonts w:ascii="宋体" w:hAnsi="宋体" w:cs="宋体" w:eastAsia="宋体" w:hint="default"/>
          <w:b/>
          <w:bCs/>
          <w:w w:val="99"/>
          <w:sz w:val="28"/>
          <w:szCs w:val="28"/>
        </w:rPr>
        <w:t> </w:t>
      </w:r>
      <w:r>
        <w:rPr>
          <w:rFonts w:ascii="宋体" w:hAnsi="宋体" w:cs="宋体" w:eastAsia="宋体" w:hint="default"/>
          <w:b/>
          <w:bCs/>
          <w:spacing w:val="2"/>
          <w:sz w:val="28"/>
          <w:szCs w:val="28"/>
        </w:rPr>
        <w:t>理方面面临人员流动大、知识结构更新快等问题。如果出现核心人员流失、人</w:t>
      </w:r>
      <w:r>
        <w:rPr>
          <w:rFonts w:ascii="宋体" w:hAnsi="宋体" w:cs="宋体" w:eastAsia="宋体" w:hint="default"/>
          <w:b/>
          <w:bCs/>
          <w:w w:val="99"/>
          <w:sz w:val="28"/>
          <w:szCs w:val="28"/>
        </w:rPr>
        <w:t> </w:t>
      </w:r>
      <w:r>
        <w:rPr>
          <w:rFonts w:ascii="宋体" w:hAnsi="宋体" w:cs="宋体" w:eastAsia="宋体" w:hint="default"/>
          <w:b/>
          <w:bCs/>
          <w:sz w:val="28"/>
          <w:szCs w:val="28"/>
        </w:rPr>
        <w:t>才结构失衡的情况，公司的经营将会受到较大的不利影响。</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footerReference w:type="default" r:id="rId8"/>
          <w:pgSz w:w="11910" w:h="16840"/>
          <w:pgMar w:footer="982" w:header="745" w:top="1060" w:bottom="118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5" w:lineRule="auto" w:before="14"/>
        <w:ind w:left="152" w:right="253" w:firstLine="561"/>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、技术研发风险</w:t>
      </w:r>
      <w:r>
        <w:rPr>
          <w:rFonts w:ascii="宋体" w:hAnsi="宋体" w:cs="宋体" w:eastAsia="宋体" w:hint="default"/>
          <w:b/>
          <w:bCs/>
          <w:spacing w:val="16"/>
          <w:sz w:val="28"/>
          <w:szCs w:val="28"/>
        </w:rPr>
        <w:t> </w:t>
      </w:r>
      <w:r>
        <w:rPr>
          <w:rFonts w:ascii="宋体" w:hAnsi="宋体" w:cs="宋体" w:eastAsia="宋体" w:hint="default"/>
          <w:b/>
          <w:bCs/>
          <w:spacing w:val="2"/>
          <w:sz w:val="28"/>
          <w:szCs w:val="28"/>
        </w:rPr>
        <w:t>基于软件技术的研发规律，新技术、新产品的研发在创</w:t>
      </w:r>
      <w:r>
        <w:rPr>
          <w:rFonts w:ascii="宋体" w:hAnsi="宋体" w:cs="宋体" w:eastAsia="宋体" w:hint="default"/>
          <w:b/>
          <w:bCs/>
          <w:w w:val="99"/>
          <w:sz w:val="28"/>
          <w:szCs w:val="28"/>
        </w:rPr>
        <w:t> </w:t>
      </w:r>
      <w:r>
        <w:rPr>
          <w:rFonts w:ascii="宋体" w:hAnsi="宋体" w:cs="宋体" w:eastAsia="宋体" w:hint="default"/>
          <w:b/>
          <w:bCs/>
          <w:spacing w:val="2"/>
          <w:sz w:val="28"/>
          <w:szCs w:val="28"/>
        </w:rPr>
        <w:t>新成果和开发周期上存在较大的不确定性。一方面，新技术、新产品的技术研</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发难度较大，研发周期较长，开发环节中的个别难题有可能影响最终产品的研</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发进度，使新产品的推出时间出现滞后；另一方面，即使新技术、新产品顺利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开发完成并推向市场，也有得不到市场和客户足够认可的风险，导致新技术、</w:t>
      </w:r>
      <w:r>
        <w:rPr>
          <w:rFonts w:ascii="宋体" w:hAnsi="宋体" w:cs="宋体" w:eastAsia="宋体" w:hint="default"/>
          <w:b/>
          <w:bCs/>
          <w:w w:val="99"/>
          <w:sz w:val="28"/>
          <w:szCs w:val="28"/>
        </w:rPr>
        <w:t> </w:t>
      </w:r>
      <w:r>
        <w:rPr>
          <w:rFonts w:ascii="宋体" w:hAnsi="宋体" w:cs="宋体" w:eastAsia="宋体" w:hint="default"/>
          <w:b/>
          <w:bCs/>
          <w:spacing w:val="2"/>
          <w:sz w:val="28"/>
          <w:szCs w:val="28"/>
        </w:rPr>
        <w:t>新产品推出后的经济效益与预期收益存在较大差距。如果公司在技术开发方向</w:t>
      </w:r>
      <w:r>
        <w:rPr>
          <w:rFonts w:ascii="宋体" w:hAnsi="宋体" w:cs="宋体" w:eastAsia="宋体" w:hint="default"/>
          <w:b/>
          <w:bCs/>
          <w:w w:val="99"/>
          <w:sz w:val="28"/>
          <w:szCs w:val="28"/>
        </w:rPr>
        <w:t> </w:t>
      </w:r>
      <w:r>
        <w:rPr>
          <w:rFonts w:ascii="宋体" w:hAnsi="宋体" w:cs="宋体" w:eastAsia="宋体" w:hint="default"/>
          <w:b/>
          <w:bCs/>
          <w:spacing w:val="2"/>
          <w:sz w:val="28"/>
          <w:szCs w:val="28"/>
        </w:rPr>
        <w:t>决策上出现失误，未能及时跟上行业技术更新换代的速度，未能正确把握市场</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动向并顺应市场需求变化，或未能及时将最新技术运用于新产品的升级和开发</w:t>
      </w:r>
      <w:r>
        <w:rPr>
          <w:rFonts w:ascii="宋体" w:hAnsi="宋体" w:cs="宋体" w:eastAsia="宋体" w:hint="default"/>
          <w:b/>
          <w:bCs/>
          <w:spacing w:val="2"/>
          <w:w w:val="99"/>
          <w:sz w:val="28"/>
          <w:szCs w:val="28"/>
        </w:rPr>
        <w:t> </w:t>
      </w:r>
      <w:r>
        <w:rPr>
          <w:rFonts w:ascii="宋体" w:hAnsi="宋体" w:cs="宋体" w:eastAsia="宋体" w:hint="default"/>
          <w:b/>
          <w:bCs/>
          <w:sz w:val="28"/>
          <w:szCs w:val="28"/>
        </w:rPr>
        <w:t>等，可能导致公司丧失技术和市场的现有地位。</w:t>
      </w:r>
      <w:r>
        <w:rPr>
          <w:rFonts w:ascii="宋体" w:hAnsi="宋体" w:cs="宋体" w:eastAsia="宋体" w:hint="default"/>
          <w:sz w:val="28"/>
          <w:szCs w:val="28"/>
        </w:rPr>
      </w:r>
    </w:p>
    <w:p>
      <w:pPr>
        <w:spacing w:line="403" w:lineRule="auto" w:before="165"/>
        <w:ind w:left="152" w:right="106" w:firstLine="561"/>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、重组整合风险</w:t>
      </w:r>
      <w:r>
        <w:rPr>
          <w:rFonts w:ascii="宋体" w:hAnsi="宋体" w:cs="宋体" w:eastAsia="宋体" w:hint="default"/>
          <w:b/>
          <w:bCs/>
          <w:spacing w:val="10"/>
          <w:sz w:val="28"/>
          <w:szCs w:val="28"/>
        </w:rPr>
        <w:t> </w:t>
      </w:r>
      <w:r>
        <w:rPr>
          <w:rFonts w:ascii="宋体" w:hAnsi="宋体" w:cs="宋体" w:eastAsia="宋体" w:hint="default"/>
          <w:b/>
          <w:bCs/>
          <w:spacing w:val="2"/>
          <w:sz w:val="28"/>
          <w:szCs w:val="28"/>
        </w:rPr>
        <w:t>公司和重组、并购的子公司处于软件和信息技术服务业</w:t>
      </w:r>
      <w:r>
        <w:rPr>
          <w:rFonts w:ascii="宋体" w:hAnsi="宋体" w:cs="宋体" w:eastAsia="宋体" w:hint="default"/>
          <w:b/>
          <w:bCs/>
          <w:w w:val="99"/>
          <w:sz w:val="28"/>
          <w:szCs w:val="28"/>
        </w:rPr>
        <w:t> </w:t>
      </w:r>
      <w:r>
        <w:rPr>
          <w:rFonts w:ascii="宋体" w:hAnsi="宋体" w:cs="宋体" w:eastAsia="宋体" w:hint="default"/>
          <w:b/>
          <w:bCs/>
          <w:spacing w:val="2"/>
          <w:sz w:val="28"/>
          <w:szCs w:val="28"/>
        </w:rPr>
        <w:t>内不同的细分行业，业务模式存在一定程度的差异。重组、并购完成后公司间</w:t>
      </w:r>
      <w:r>
        <w:rPr>
          <w:rFonts w:ascii="宋体" w:hAnsi="宋体" w:cs="宋体" w:eastAsia="宋体" w:hint="default"/>
          <w:b/>
          <w:bCs/>
          <w:w w:val="99"/>
          <w:sz w:val="28"/>
          <w:szCs w:val="28"/>
        </w:rPr>
        <w:t> </w:t>
      </w:r>
      <w:r>
        <w:rPr>
          <w:rFonts w:ascii="宋体" w:hAnsi="宋体" w:cs="宋体" w:eastAsia="宋体" w:hint="default"/>
          <w:b/>
          <w:bCs/>
          <w:spacing w:val="-2"/>
          <w:sz w:val="28"/>
          <w:szCs w:val="28"/>
        </w:rPr>
        <w:t>需要在业务体系、组织机构、管理制度、企业文化等方面进行整合，而在研发、</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2"/>
          <w:sz w:val="28"/>
          <w:szCs w:val="28"/>
        </w:rPr>
        <w:t>采购、销售和管理等方面的整合到位需要一定时间，因此，东方通与重组并购</w:t>
      </w:r>
      <w:r>
        <w:rPr>
          <w:rFonts w:ascii="宋体" w:hAnsi="宋体" w:cs="宋体" w:eastAsia="宋体" w:hint="default"/>
          <w:b/>
          <w:bCs/>
          <w:w w:val="99"/>
          <w:sz w:val="28"/>
          <w:szCs w:val="28"/>
        </w:rPr>
        <w:t> </w:t>
      </w:r>
      <w:r>
        <w:rPr>
          <w:rFonts w:ascii="宋体" w:hAnsi="宋体" w:cs="宋体" w:eastAsia="宋体" w:hint="default"/>
          <w:b/>
          <w:bCs/>
          <w:spacing w:val="2"/>
          <w:sz w:val="28"/>
          <w:szCs w:val="28"/>
        </w:rPr>
        <w:t>企业之间能否顺利实现整合具有不确定性，整合过程中可能会对各公司的正常</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业务发展造成一定影响。另外，也存在并购后的子公司业绩达不到预期的风险。</w:t>
      </w:r>
      <w:r>
        <w:rPr>
          <w:rFonts w:ascii="宋体" w:hAnsi="宋体" w:cs="宋体" w:eastAsia="宋体" w:hint="default"/>
          <w:spacing w:val="-2"/>
          <w:sz w:val="28"/>
          <w:szCs w:val="28"/>
        </w:rPr>
      </w:r>
    </w:p>
    <w:p>
      <w:pPr>
        <w:spacing w:line="400" w:lineRule="auto" w:before="165"/>
        <w:ind w:left="152" w:right="106" w:firstLine="561"/>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5</w:t>
      </w:r>
      <w:r>
        <w:rPr>
          <w:rFonts w:ascii="宋体" w:hAnsi="宋体" w:cs="宋体" w:eastAsia="宋体" w:hint="default"/>
          <w:b/>
          <w:bCs/>
          <w:spacing w:val="2"/>
          <w:sz w:val="28"/>
          <w:szCs w:val="28"/>
        </w:rPr>
        <w:t>、业务规模迅速扩大导致的管理风险 随着并购重组的不断深入，加之非</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公开发行股票募集资金的到位和募集资金投资项目的实施，公司的资产、业务、</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2"/>
          <w:sz w:val="28"/>
          <w:szCs w:val="28"/>
        </w:rPr>
        <w:t>机构和人员等将进一步扩张，待成功并购微智信业后，公司将拥有成都东方通、</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3"/>
          <w:sz w:val="28"/>
          <w:szCs w:val="28"/>
        </w:rPr>
        <w:t>上海东方通泰、东方通宇、无锡东方通、同德一心（已于</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2016</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年</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月完成工商</w:t>
      </w:r>
      <w:r>
        <w:rPr>
          <w:rFonts w:ascii="宋体" w:hAnsi="宋体" w:cs="宋体" w:eastAsia="宋体" w:hint="default"/>
          <w:b/>
          <w:bCs/>
          <w:spacing w:val="-138"/>
          <w:sz w:val="28"/>
          <w:szCs w:val="28"/>
        </w:rPr>
        <w:t> </w:t>
      </w:r>
      <w:r>
        <w:rPr>
          <w:rFonts w:ascii="宋体" w:hAnsi="宋体" w:cs="宋体" w:eastAsia="宋体" w:hint="default"/>
          <w:b/>
          <w:bCs/>
          <w:spacing w:val="-6"/>
          <w:w w:val="99"/>
          <w:sz w:val="28"/>
          <w:szCs w:val="28"/>
        </w:rPr>
        <w:t>注销登记）、惠捷朗、数字天堂和微智信业等八家全资子公司，业务涉及基础软</w:t>
      </w:r>
      <w:r>
        <w:rPr>
          <w:rFonts w:ascii="宋体" w:hAnsi="宋体" w:cs="宋体" w:eastAsia="宋体" w:hint="default"/>
          <w:b/>
          <w:bCs/>
          <w:spacing w:val="-125"/>
          <w:w w:val="99"/>
          <w:sz w:val="28"/>
          <w:szCs w:val="28"/>
        </w:rPr>
        <w:t> </w:t>
      </w:r>
      <w:r>
        <w:rPr>
          <w:rFonts w:ascii="宋体" w:hAnsi="宋体" w:cs="宋体" w:eastAsia="宋体" w:hint="default"/>
          <w:b/>
          <w:bCs/>
          <w:spacing w:val="-125"/>
          <w:w w:val="99"/>
          <w:sz w:val="28"/>
          <w:szCs w:val="28"/>
        </w:rPr>
      </w:r>
      <w:r>
        <w:rPr>
          <w:rFonts w:ascii="宋体" w:hAnsi="宋体" w:cs="宋体" w:eastAsia="宋体" w:hint="default"/>
          <w:b/>
          <w:bCs/>
          <w:spacing w:val="2"/>
          <w:sz w:val="28"/>
          <w:szCs w:val="28"/>
        </w:rPr>
        <w:t>件的中间件、虚拟化，移动信息化解决方案、网络优化软件及服务、政务大数</w:t>
      </w:r>
      <w:r>
        <w:rPr>
          <w:rFonts w:ascii="宋体" w:hAnsi="宋体" w:cs="宋体" w:eastAsia="宋体" w:hint="default"/>
          <w:b/>
          <w:bCs/>
          <w:w w:val="99"/>
          <w:sz w:val="28"/>
          <w:szCs w:val="28"/>
        </w:rPr>
        <w:t> </w:t>
      </w:r>
      <w:r>
        <w:rPr>
          <w:rFonts w:ascii="宋体" w:hAnsi="宋体" w:cs="宋体" w:eastAsia="宋体" w:hint="default"/>
          <w:b/>
          <w:bCs/>
          <w:spacing w:val="2"/>
          <w:sz w:val="28"/>
          <w:szCs w:val="28"/>
        </w:rPr>
        <w:t>据、大数据信息安全和军工业务，集团化发展趋势已经显现，公司将在制度建</w:t>
      </w:r>
      <w:r>
        <w:rPr>
          <w:rFonts w:ascii="宋体" w:hAnsi="宋体" w:cs="宋体" w:eastAsia="宋体" w:hint="default"/>
          <w:spacing w:val="2"/>
          <w:sz w:val="28"/>
          <w:szCs w:val="28"/>
        </w:rPr>
      </w:r>
    </w:p>
    <w:p>
      <w:pPr>
        <w:spacing w:after="0" w:line="400" w:lineRule="auto"/>
        <w:jc w:val="left"/>
        <w:rPr>
          <w:rFonts w:ascii="宋体" w:hAnsi="宋体" w:cs="宋体" w:eastAsia="宋体" w:hint="default"/>
          <w:sz w:val="28"/>
          <w:szCs w:val="28"/>
        </w:rPr>
        <w:sectPr>
          <w:pgSz w:w="11910" w:h="16840"/>
          <w:pgMar w:header="745" w:footer="982" w:top="1060" w:bottom="1180" w:left="980" w:right="8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4"/>
        <w:ind w:left="152" w:right="173" w:firstLine="0"/>
        <w:jc w:val="both"/>
        <w:rPr>
          <w:rFonts w:ascii="宋体" w:hAnsi="宋体" w:cs="宋体" w:eastAsia="宋体" w:hint="default"/>
          <w:sz w:val="28"/>
          <w:szCs w:val="28"/>
        </w:rPr>
      </w:pPr>
      <w:r>
        <w:rPr>
          <w:rFonts w:ascii="宋体" w:hAnsi="宋体" w:cs="宋体" w:eastAsia="宋体" w:hint="default"/>
          <w:b/>
          <w:bCs/>
          <w:spacing w:val="2"/>
          <w:sz w:val="28"/>
          <w:szCs w:val="28"/>
        </w:rPr>
        <w:t>设、组织设置、运营管理、资金管理和内部控制等方面面临更大的挑战，也给</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公司短期内建立和完善适应企业发展需要的管理体系、制度及约束机制带来风</w:t>
      </w:r>
      <w:r>
        <w:rPr>
          <w:rFonts w:ascii="宋体" w:hAnsi="宋体" w:cs="宋体" w:eastAsia="宋体" w:hint="default"/>
          <w:b/>
          <w:bCs/>
          <w:w w:val="99"/>
          <w:sz w:val="28"/>
          <w:szCs w:val="28"/>
        </w:rPr>
        <w:t> </w:t>
      </w:r>
      <w:r>
        <w:rPr>
          <w:rFonts w:ascii="宋体" w:hAnsi="宋体" w:cs="宋体" w:eastAsia="宋体" w:hint="default"/>
          <w:b/>
          <w:bCs/>
          <w:sz w:val="28"/>
          <w:szCs w:val="28"/>
        </w:rPr>
        <w:t>险。</w:t>
      </w:r>
      <w:r>
        <w:rPr>
          <w:rFonts w:ascii="宋体" w:hAnsi="宋体" w:cs="宋体" w:eastAsia="宋体" w:hint="default"/>
          <w:sz w:val="28"/>
          <w:szCs w:val="28"/>
        </w:rPr>
      </w:r>
    </w:p>
    <w:p>
      <w:pPr>
        <w:spacing w:line="403" w:lineRule="auto" w:before="162"/>
        <w:ind w:left="152" w:right="173" w:firstLine="561"/>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6</w:t>
      </w:r>
      <w:r>
        <w:rPr>
          <w:rFonts w:ascii="宋体" w:hAnsi="宋体" w:cs="宋体" w:eastAsia="宋体" w:hint="default"/>
          <w:b/>
          <w:bCs/>
          <w:spacing w:val="2"/>
          <w:sz w:val="28"/>
          <w:szCs w:val="28"/>
        </w:rPr>
        <w:t>、业务转型升级导致的经营风险 公司上市后，提出</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二次创业</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理念，致</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力于从专业的中间件厂商转型升级为新一代软件基础设施与创新应用解决方案</w:t>
      </w:r>
      <w:r>
        <w:rPr>
          <w:rFonts w:ascii="宋体" w:hAnsi="宋体" w:cs="宋体" w:eastAsia="宋体" w:hint="default"/>
          <w:b/>
          <w:bCs/>
          <w:w w:val="99"/>
          <w:sz w:val="28"/>
          <w:szCs w:val="28"/>
        </w:rPr>
        <w:t> </w:t>
      </w:r>
      <w:r>
        <w:rPr>
          <w:rFonts w:ascii="宋体" w:hAnsi="宋体" w:cs="宋体" w:eastAsia="宋体" w:hint="default"/>
          <w:b/>
          <w:bCs/>
          <w:spacing w:val="2"/>
          <w:sz w:val="28"/>
          <w:szCs w:val="28"/>
        </w:rPr>
        <w:t>提供商，为此公司紧跟国家政策导向，因地制宜地提出发展战略，在内生和外</w:t>
      </w:r>
      <w:r>
        <w:rPr>
          <w:rFonts w:ascii="宋体" w:hAnsi="宋体" w:cs="宋体" w:eastAsia="宋体" w:hint="default"/>
          <w:b/>
          <w:bCs/>
          <w:w w:val="99"/>
          <w:sz w:val="28"/>
          <w:szCs w:val="28"/>
        </w:rPr>
        <w:t> </w:t>
      </w:r>
      <w:r>
        <w:rPr>
          <w:rFonts w:ascii="宋体" w:hAnsi="宋体" w:cs="宋体" w:eastAsia="宋体" w:hint="default"/>
          <w:b/>
          <w:bCs/>
          <w:spacing w:val="2"/>
          <w:sz w:val="28"/>
          <w:szCs w:val="28"/>
        </w:rPr>
        <w:t>延的两个方面积极布局，同时通过创新机制实现管理革新。但转型升级是一个</w:t>
      </w:r>
      <w:r>
        <w:rPr>
          <w:rFonts w:ascii="宋体" w:hAnsi="宋体" w:cs="宋体" w:eastAsia="宋体" w:hint="default"/>
          <w:b/>
          <w:bCs/>
          <w:w w:val="99"/>
          <w:sz w:val="28"/>
          <w:szCs w:val="28"/>
        </w:rPr>
        <w:t> </w:t>
      </w:r>
      <w:r>
        <w:rPr>
          <w:rFonts w:ascii="宋体" w:hAnsi="宋体" w:cs="宋体" w:eastAsia="宋体" w:hint="default"/>
          <w:b/>
          <w:bCs/>
          <w:spacing w:val="2"/>
          <w:sz w:val="28"/>
          <w:szCs w:val="28"/>
        </w:rPr>
        <w:t>渐进而长期的过程，若公司未把握住发展机会，有效获得市场份额，可能导致</w:t>
      </w:r>
      <w:r>
        <w:rPr>
          <w:rFonts w:ascii="宋体" w:hAnsi="宋体" w:cs="宋体" w:eastAsia="宋体" w:hint="default"/>
          <w:b/>
          <w:bCs/>
          <w:w w:val="99"/>
          <w:sz w:val="28"/>
          <w:szCs w:val="28"/>
        </w:rPr>
        <w:t> </w:t>
      </w:r>
      <w:r>
        <w:rPr>
          <w:rFonts w:ascii="宋体" w:hAnsi="宋体" w:cs="宋体" w:eastAsia="宋体" w:hint="default"/>
          <w:b/>
          <w:bCs/>
          <w:sz w:val="28"/>
          <w:szCs w:val="28"/>
        </w:rPr>
        <w:t>出现一定的经营风险。</w:t>
      </w:r>
      <w:r>
        <w:rPr>
          <w:rFonts w:ascii="宋体" w:hAnsi="宋体" w:cs="宋体" w:eastAsia="宋体" w:hint="default"/>
          <w:sz w:val="28"/>
          <w:szCs w:val="28"/>
        </w:rPr>
      </w:r>
    </w:p>
    <w:p>
      <w:pPr>
        <w:spacing w:line="405" w:lineRule="auto" w:before="165"/>
        <w:ind w:left="152" w:right="115" w:firstLine="561"/>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7</w:t>
      </w:r>
      <w:r>
        <w:rPr>
          <w:rFonts w:ascii="宋体" w:hAnsi="宋体" w:cs="宋体" w:eastAsia="宋体" w:hint="default"/>
          <w:b/>
          <w:bCs/>
          <w:sz w:val="28"/>
          <w:szCs w:val="28"/>
        </w:rPr>
        <w:t>、业绩季节性波动风险</w:t>
      </w:r>
      <w:r>
        <w:rPr>
          <w:rFonts w:ascii="宋体" w:hAnsi="宋体" w:cs="宋体" w:eastAsia="宋体" w:hint="default"/>
          <w:b/>
          <w:bCs/>
          <w:spacing w:val="136"/>
          <w:sz w:val="28"/>
          <w:szCs w:val="28"/>
        </w:rPr>
        <w:t> </w:t>
      </w:r>
      <w:r>
        <w:rPr>
          <w:rFonts w:ascii="宋体" w:hAnsi="宋体" w:cs="宋体" w:eastAsia="宋体" w:hint="default"/>
          <w:b/>
          <w:bCs/>
          <w:sz w:val="28"/>
          <w:szCs w:val="28"/>
        </w:rPr>
        <w:t>因公司及子公司客户群体以政府、电信运营商、</w:t>
      </w:r>
      <w:r>
        <w:rPr>
          <w:rFonts w:ascii="宋体" w:hAnsi="宋体" w:cs="宋体" w:eastAsia="宋体" w:hint="default"/>
          <w:b/>
          <w:bCs/>
          <w:w w:val="99"/>
          <w:sz w:val="28"/>
          <w:szCs w:val="28"/>
        </w:rPr>
        <w:t> </w:t>
      </w:r>
      <w:r>
        <w:rPr>
          <w:rFonts w:ascii="宋体" w:hAnsi="宋体" w:cs="宋体" w:eastAsia="宋体" w:hint="default"/>
          <w:b/>
          <w:bCs/>
          <w:spacing w:val="2"/>
          <w:sz w:val="28"/>
          <w:szCs w:val="28"/>
        </w:rPr>
        <w:t>金融等领域客户为主，受其采用的预算管理制度和集中采购制度等影响，通常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在一季度制定本年度全年的信息技术采购计划和指标；在第二季度及第三季度</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上半段进行相关产品现场调研、邀请相关厂商进行产品测试以及对入围厂商进</w:t>
      </w:r>
      <w:r>
        <w:rPr>
          <w:rFonts w:ascii="宋体" w:hAnsi="宋体" w:cs="宋体" w:eastAsia="宋体" w:hint="default"/>
          <w:b/>
          <w:bCs/>
          <w:w w:val="99"/>
          <w:sz w:val="28"/>
          <w:szCs w:val="28"/>
        </w:rPr>
        <w:t> </w:t>
      </w:r>
      <w:r>
        <w:rPr>
          <w:rFonts w:ascii="宋体" w:hAnsi="宋体" w:cs="宋体" w:eastAsia="宋体" w:hint="default"/>
          <w:b/>
          <w:bCs/>
          <w:spacing w:val="2"/>
          <w:sz w:val="28"/>
          <w:szCs w:val="28"/>
        </w:rPr>
        <w:t>行招标、投标、评标和定标；第三季度下半段及第四季度才正式确定所需采购</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产品并与中标厂商签订采购合同。因此，公司存在明显的季节性销售特征。随</w:t>
      </w:r>
      <w:r>
        <w:rPr>
          <w:rFonts w:ascii="宋体" w:hAnsi="宋体" w:cs="宋体" w:eastAsia="宋体" w:hint="default"/>
          <w:b/>
          <w:bCs/>
          <w:w w:val="99"/>
          <w:sz w:val="28"/>
          <w:szCs w:val="28"/>
        </w:rPr>
        <w:t> </w:t>
      </w:r>
      <w:r>
        <w:rPr>
          <w:rFonts w:ascii="宋体" w:hAnsi="宋体" w:cs="宋体" w:eastAsia="宋体" w:hint="default"/>
          <w:b/>
          <w:bCs/>
          <w:spacing w:val="2"/>
          <w:sz w:val="28"/>
          <w:szCs w:val="28"/>
        </w:rPr>
        <w:t>着新产品、新业务的开拓，以及并购整合效应的逐渐显现，预期公司销售和业</w:t>
      </w:r>
      <w:r>
        <w:rPr>
          <w:rFonts w:ascii="宋体" w:hAnsi="宋体" w:cs="宋体" w:eastAsia="宋体" w:hint="default"/>
          <w:b/>
          <w:bCs/>
          <w:w w:val="99"/>
          <w:sz w:val="28"/>
          <w:szCs w:val="28"/>
        </w:rPr>
        <w:t> </w:t>
      </w:r>
      <w:r>
        <w:rPr>
          <w:rFonts w:ascii="宋体" w:hAnsi="宋体" w:cs="宋体" w:eastAsia="宋体" w:hint="default"/>
          <w:b/>
          <w:bCs/>
          <w:sz w:val="28"/>
          <w:szCs w:val="28"/>
        </w:rPr>
        <w:t>绩的季节性特征会有所改善，但总体趋势不会有大的变化。</w:t>
      </w:r>
      <w:r>
        <w:rPr>
          <w:rFonts w:ascii="宋体" w:hAnsi="宋体" w:cs="宋体" w:eastAsia="宋体" w:hint="default"/>
          <w:sz w:val="28"/>
          <w:szCs w:val="28"/>
        </w:rPr>
      </w:r>
    </w:p>
    <w:p>
      <w:pPr>
        <w:spacing w:before="165"/>
        <w:ind w:left="714" w:right="101"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6"/>
          <w:sz w:val="28"/>
          <w:szCs w:val="28"/>
        </w:rPr>
        <w:t> </w:t>
      </w:r>
      <w:r>
        <w:rPr>
          <w:rFonts w:ascii="Times New Roman" w:hAnsi="Times New Roman" w:cs="Times New Roman" w:eastAsia="Times New Roman" w:hint="default"/>
          <w:b/>
          <w:bCs/>
          <w:spacing w:val="-3"/>
          <w:sz w:val="28"/>
          <w:szCs w:val="28"/>
        </w:rPr>
        <w:t>115,220,300</w:t>
      </w:r>
      <w:r>
        <w:rPr>
          <w:rFonts w:ascii="Times New Roman" w:hAnsi="Times New Roman" w:cs="Times New Roman" w:eastAsia="Times New Roman" w:hint="default"/>
          <w:b/>
          <w:bCs/>
          <w:spacing w:val="-5"/>
          <w:sz w:val="28"/>
          <w:szCs w:val="28"/>
        </w:rPr>
        <w:t> </w:t>
      </w:r>
      <w:r>
        <w:rPr>
          <w:rFonts w:ascii="宋体" w:hAnsi="宋体" w:cs="宋体" w:eastAsia="宋体" w:hint="default"/>
          <w:b/>
          <w:bCs/>
          <w:spacing w:val="-4"/>
          <w:sz w:val="28"/>
          <w:szCs w:val="28"/>
        </w:rPr>
        <w:t>为基数，向</w:t>
      </w:r>
      <w:r>
        <w:rPr>
          <w:rFonts w:ascii="宋体" w:hAnsi="宋体" w:cs="宋体" w:eastAsia="宋体" w:hint="default"/>
          <w:spacing w:val="-4"/>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2</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5" w:footer="982" w:top="1060" w:bottom="1180" w:left="98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4"/>
        <w:ind w:left="2602" w:right="26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101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19"/>
              </w:rPr>
              <w:t> </w:t>
            </w:r>
            <w:r>
              <w:rPr/>
              <w:t>备查文件目录</w:t>
            </w:r>
            <w:r>
              <w:rPr>
                <w:rFonts w:ascii="Times New Roman" w:hAnsi="Times New Roman" w:cs="Times New Roman" w:eastAsia="Times New Roman" w:hint="default"/>
              </w:rPr>
              <w:tab/>
              <w:t>173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2" w:top="1060" w:bottom="1180" w:left="980" w:right="980"/>
        </w:sectPr>
      </w:pPr>
    </w:p>
    <w:p>
      <w:pPr>
        <w:spacing w:before="944"/>
        <w:ind w:left="2602" w:right="260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3"/>
        <w:gridCol w:w="622"/>
        <w:gridCol w:w="5424"/>
      </w:tblGrid>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公司、东方通、本公司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北京东方通科技股份有限公司章程</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71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保荐人、保荐机构、主承销商、独立财务顾 问、国信证券</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立信会计师、会计师</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中和评估、评估机构</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中和资产评估有限公司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张齐春、朱海东和朱曼</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上海东方通泰</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成都东方通</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成都东方通科技有限责任公司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东方通宇</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北京东方通宇技术有限公司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同德一心</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北京同德一心科技有限公司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惠捷朗</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北京数字天堂信息科技有限责任公司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北京微智信业科技有限公司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无锡东方通</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东方通科技无锡有限公司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东华软件</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北京核高基</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北京核高基软件有限公司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71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电信运营商</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提供固定电话、移动电话和互联网接入的通信服务公司，中国三大电</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信运营商分别是中国移动、中国联通和中国电信</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986"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基础软件</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both"/>
              <w:rPr>
                <w:rFonts w:ascii="宋体" w:hAnsi="宋体" w:cs="宋体" w:eastAsia="宋体" w:hint="default"/>
                <w:sz w:val="18"/>
                <w:szCs w:val="18"/>
              </w:rPr>
            </w:pPr>
            <w:r>
              <w:rPr>
                <w:rFonts w:ascii="宋体" w:hAnsi="宋体" w:cs="宋体" w:eastAsia="宋体" w:hint="default"/>
                <w:spacing w:val="-2"/>
                <w:sz w:val="18"/>
                <w:szCs w:val="18"/>
              </w:rPr>
              <w:t>计算机系统中最底层、与具体业务逻辑无关的一类软件，其主要作用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是为应用软件对系统资源、数据和网络资源的访问和管理提供支撑， </w:t>
            </w:r>
            <w:r>
              <w:rPr>
                <w:rFonts w:ascii="宋体" w:hAnsi="宋体" w:cs="宋体" w:eastAsia="宋体" w:hint="default"/>
                <w:spacing w:val="-2"/>
                <w:sz w:val="18"/>
                <w:szCs w:val="18"/>
              </w:rPr>
              <w:t>为应用软件的开发、部署和运行提供平台。计算机软件可以分为基础</w:t>
            </w:r>
          </w:p>
        </w:tc>
      </w:tr>
    </w:tbl>
    <w:p>
      <w:pPr>
        <w:spacing w:after="0" w:line="316"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56.400002pt;margin-top:71.998985pt;width:479.2pt;height:685.4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674"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pacing w:val="-1"/>
                            <w:sz w:val="18"/>
                            <w:szCs w:val="18"/>
                          </w:rPr>
                          <w:t>软件和应用软件两大类。基础软件包括操作系统、数据库系统、中间</w:t>
                        </w:r>
                        <w:r>
                          <w:rPr>
                            <w:rFonts w:ascii="宋体" w:hAnsi="宋体" w:cs="宋体" w:eastAsia="宋体" w:hint="default"/>
                            <w:sz w:val="18"/>
                            <w:szCs w:val="18"/>
                          </w:rPr>
                          <w:t> 件与虚拟化软件等。</w:t>
                        </w:r>
                      </w:p>
                    </w:tc>
                  </w:tr>
                  <w:tr>
                    <w:trPr>
                      <w:trHeight w:val="133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中间件、中间件软件</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一种应用于分布式系统的基础软件，位于应用与操作系统、数据库之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间，主要用于解决分布式环境下数据传输、数据访问、应用调度、系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统构建和系统集成、流程管理等问题，是分布式环境下支撑应用开发</w:t>
                        </w:r>
                        <w:r>
                          <w:rPr>
                            <w:rFonts w:ascii="宋体" w:hAnsi="宋体" w:cs="宋体" w:eastAsia="宋体" w:hint="default"/>
                            <w:sz w:val="18"/>
                            <w:szCs w:val="18"/>
                          </w:rPr>
                          <w:t> 运行和集成的平台。</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集成类中间件</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1"/>
                            <w:sz w:val="18"/>
                            <w:szCs w:val="18"/>
                          </w:rPr>
                          <w:t>主要用于异构系统（如不同的数据库系统、业务应用系统等）之间进</w:t>
                        </w:r>
                        <w:r>
                          <w:rPr>
                            <w:rFonts w:ascii="宋体" w:hAnsi="宋体" w:cs="宋体" w:eastAsia="宋体" w:hint="default"/>
                            <w:sz w:val="18"/>
                            <w:szCs w:val="18"/>
                          </w:rPr>
                          <w:t> </w:t>
                        </w:r>
                        <w:r>
                          <w:rPr>
                            <w:rFonts w:ascii="宋体" w:hAnsi="宋体" w:cs="宋体" w:eastAsia="宋体" w:hint="default"/>
                            <w:spacing w:val="-5"/>
                            <w:sz w:val="18"/>
                            <w:szCs w:val="18"/>
                          </w:rPr>
                          <w:t>行资源整合，以实现互连互通、数据共享、业务流程协调统一等功能</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并构建灵活可扩展的分布式企业应用。</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核高基、核高基项目</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国家对核心电子器件、高端通用芯片及基础软件的简称，是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6"/>
                            <w:sz w:val="18"/>
                            <w:szCs w:val="18"/>
                          </w:rPr>
                          <w:t>国务院发布的《国家中长期科学和技术发展规划纲要（</w:t>
                        </w:r>
                        <w:r>
                          <w:rPr>
                            <w:rFonts w:ascii="Times New Roman" w:hAnsi="Times New Roman" w:cs="Times New Roman" w:eastAsia="Times New Roman" w:hint="default"/>
                            <w:spacing w:val="-6"/>
                            <w:sz w:val="18"/>
                            <w:szCs w:val="18"/>
                          </w:rPr>
                          <w:t>2006-2020</w:t>
                        </w:r>
                        <w:r>
                          <w:rPr>
                            <w:rFonts w:ascii="宋体" w:hAnsi="宋体" w:cs="宋体" w:eastAsia="宋体" w:hint="default"/>
                            <w:spacing w:val="-6"/>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中所列的重大科技专项之一。</w:t>
                        </w:r>
                      </w:p>
                    </w:tc>
                  </w:tr>
                  <w:tr>
                    <w:trPr>
                      <w:trHeight w:val="196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SOA</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Service-Oriented Architecture </w:t>
                        </w:r>
                        <w:r>
                          <w:rPr>
                            <w:rFonts w:ascii="宋体" w:hAnsi="宋体" w:cs="宋体" w:eastAsia="宋体" w:hint="default"/>
                            <w:sz w:val="18"/>
                            <w:szCs w:val="18"/>
                          </w:rPr>
                          <w:t>的简称，即面向服务的架构，是一种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策略，它将企业应用中的各种功能重新整理为具有互操作性的标准服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务，可以迅速组合和重用这些服务，以满足业务需要。</w:t>
                        </w:r>
                        <w:r>
                          <w:rPr>
                            <w:rFonts w:ascii="Times New Roman" w:hAnsi="Times New Roman" w:cs="Times New Roman" w:eastAsia="Times New Roman" w:hint="default"/>
                            <w:spacing w:val="-4"/>
                            <w:sz w:val="18"/>
                            <w:szCs w:val="18"/>
                          </w:rPr>
                          <w:t>SOA</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提供了一</w:t>
                        </w:r>
                        <w:r>
                          <w:rPr>
                            <w:rFonts w:ascii="宋体" w:hAnsi="宋体" w:cs="宋体" w:eastAsia="宋体" w:hint="default"/>
                            <w:spacing w:val="-83"/>
                            <w:sz w:val="18"/>
                            <w:szCs w:val="18"/>
                          </w:rPr>
                          <w:t> </w:t>
                        </w:r>
                        <w:r>
                          <w:rPr>
                            <w:rFonts w:ascii="宋体" w:hAnsi="宋体" w:cs="宋体" w:eastAsia="宋体" w:hint="default"/>
                            <w:spacing w:val="-2"/>
                            <w:sz w:val="18"/>
                            <w:szCs w:val="18"/>
                          </w:rPr>
                          <w:t>种构建信息系统的标准和方法，并通过建立起合并、可重用的服务体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系来减少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业务冗余并加快项目开发的进程，使得开发部门效率更 高效。</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将大量用网络连接的计算资源统一管理和调度，构成一个计算资源池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向用户按需服务。提供资源的网络被称为</w:t>
                        </w:r>
                        <w:r>
                          <w:rPr>
                            <w:rFonts w:ascii="Times New Roman" w:hAnsi="Times New Roman" w:cs="Times New Roman" w:eastAsia="Times New Roman" w:hint="default"/>
                            <w:sz w:val="18"/>
                            <w:szCs w:val="18"/>
                          </w:rPr>
                          <w:t>"</w:t>
                        </w:r>
                        <w:r>
                          <w:rPr>
                            <w:rFonts w:ascii="宋体" w:hAnsi="宋体" w:cs="宋体" w:eastAsia="宋体" w:hint="default"/>
                            <w:sz w:val="18"/>
                            <w:szCs w:val="18"/>
                          </w:rPr>
                          <w:t>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PaaS</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2"/>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PaaS</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Platform</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1"/>
                            <w:w w:val="99"/>
                            <w:sz w:val="18"/>
                            <w:szCs w:val="18"/>
                          </w:rPr>
                          <w:t>as</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6"/>
                            <w:w w:val="99"/>
                            <w:sz w:val="18"/>
                            <w:szCs w:val="18"/>
                          </w:rPr>
                          <w:t>Service</w:t>
                        </w:r>
                        <w:r>
                          <w:rPr>
                            <w:rFonts w:ascii="宋体" w:hAnsi="宋体" w:cs="宋体" w:eastAsia="宋体" w:hint="default"/>
                            <w:spacing w:val="-6"/>
                            <w:w w:val="99"/>
                            <w:sz w:val="18"/>
                            <w:szCs w:val="18"/>
                          </w:rPr>
                          <w:t>），意思是平台即服务。</w:t>
                        </w:r>
                        <w:r>
                          <w:rPr>
                            <w:rFonts w:ascii="宋体" w:hAnsi="宋体" w:cs="宋体" w:eastAsia="宋体" w:hint="default"/>
                            <w:spacing w:val="11"/>
                            <w:w w:val="99"/>
                            <w:sz w:val="18"/>
                            <w:szCs w:val="18"/>
                          </w:rPr>
                          <w:t> </w:t>
                        </w:r>
                        <w:r>
                          <w:rPr>
                            <w:rFonts w:ascii="宋体" w:hAnsi="宋体" w:cs="宋体" w:eastAsia="宋体" w:hint="default"/>
                            <w:w w:val="99"/>
                            <w:sz w:val="18"/>
                            <w:szCs w:val="18"/>
                          </w:rPr>
                          <w:t>是在云计算中将</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包括中间件在内的运行和开发环境作为一种服务提供的商业模式。</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 as a Service </w:t>
                        </w:r>
                        <w:r>
                          <w:rPr>
                            <w:rFonts w:ascii="宋体" w:hAnsi="宋体" w:cs="宋体" w:eastAsia="宋体" w:hint="default"/>
                            <w:spacing w:val="-5"/>
                            <w:sz w:val="18"/>
                            <w:szCs w:val="18"/>
                          </w:rPr>
                          <w:t>的缩写，意思是软件即服务。是一种通过</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提供软件的模式，用户不用再购买软件，而改用向提供商租用基于</w:t>
                        </w:r>
                        <w:r>
                          <w:rPr>
                            <w:rFonts w:ascii="宋体" w:hAnsi="宋体" w:cs="宋体" w:eastAsia="宋体" w:hint="default"/>
                            <w:w w:val="99"/>
                            <w:sz w:val="18"/>
                            <w:szCs w:val="18"/>
                          </w:rPr>
                          <w:t>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z w:val="18"/>
                            <w:szCs w:val="18"/>
                          </w:rPr>
                          <w:t> </w:t>
                        </w:r>
                        <w:r>
                          <w:rPr>
                            <w:rFonts w:ascii="宋体" w:hAnsi="宋体" w:cs="宋体" w:eastAsia="宋体" w:hint="default"/>
                            <w:sz w:val="18"/>
                            <w:szCs w:val="18"/>
                          </w:rPr>
                          <w:t>的软件，来管理企业经营活动，且无需对软件进行维护</w:t>
                        </w:r>
                      </w:p>
                    </w:tc>
                  </w:tr>
                  <w:tr>
                    <w:trPr>
                      <w:trHeight w:val="165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虚拟化</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pacing w:val="-5"/>
                            <w:sz w:val="18"/>
                            <w:szCs w:val="18"/>
                          </w:rPr>
                          <w:t>是一种资源管理技术，是将计算机的各种实体资源，如服务器、网络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内存及存储等，予以抽象、转换后呈现出来，打破实体结构间的不可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切割的障碍，使用户可以比原本的配置更好的方式来应用这些资源。 </w:t>
                        </w:r>
                        <w:r>
                          <w:rPr>
                            <w:rFonts w:ascii="宋体" w:hAnsi="宋体" w:cs="宋体" w:eastAsia="宋体" w:hint="default"/>
                            <w:spacing w:val="-2"/>
                            <w:sz w:val="18"/>
                            <w:szCs w:val="18"/>
                          </w:rPr>
                          <w:t>这些资源的新虚拟部份是不受现有资源的架设方式，地域或物理配置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所限制。</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3G</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3rdGeneration</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缩写，第三代数字通信技术</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4G</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4rdGeneration</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缩写，第四代移动通信技术</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7"/>
                            <w:sz w:val="18"/>
                          </w:rPr>
                          <w:t>LTE</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Long</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4"/>
                            <w:sz w:val="18"/>
                            <w:szCs w:val="18"/>
                          </w:rPr>
                          <w:t>Term</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Evolution</w:t>
                        </w:r>
                        <w:r>
                          <w:rPr>
                            <w:rFonts w:ascii="宋体" w:hAnsi="宋体" w:cs="宋体" w:eastAsia="宋体" w:hint="default"/>
                            <w:sz w:val="18"/>
                            <w:szCs w:val="18"/>
                          </w:rPr>
                          <w:t>（长期演进）的英文缩写，是处于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之间 的一个过渡技术</w:t>
                        </w:r>
                      </w:p>
                    </w:tc>
                  </w:tr>
                  <w:tr>
                    <w:trPr>
                      <w:trHeight w:val="165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网优</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即网络优化，是通过对现有已运行的网络进行话务数据分析、现场测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sz w:val="18"/>
                            <w:szCs w:val="18"/>
                          </w:rPr>
                          <w:t>试数据采集、参数分析、硬件检查等手段，找出影响网络质量的原因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并且通过参数的修改、网络结构的调整、设备配置的调整和采取某些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技术手段（采用</w:t>
                        </w:r>
                        <w:r>
                          <w:rPr>
                            <w:rFonts w:ascii="宋体" w:hAnsi="宋体" w:cs="宋体" w:eastAsia="宋体" w:hint="default"/>
                            <w:spacing w:val="-37"/>
                            <w:sz w:val="18"/>
                            <w:szCs w:val="18"/>
                          </w:rPr>
                          <w:t> </w:t>
                        </w:r>
                        <w:r>
                          <w:rPr>
                            <w:rFonts w:ascii="Times New Roman" w:hAnsi="Times New Roman" w:cs="Times New Roman" w:eastAsia="Times New Roman" w:hint="default"/>
                            <w:spacing w:val="-1"/>
                            <w:w w:val="99"/>
                            <w:sz w:val="18"/>
                            <w:szCs w:val="18"/>
                          </w:rPr>
                          <w:t>MRP</w:t>
                        </w:r>
                        <w:r>
                          <w:rPr>
                            <w:rFonts w:ascii="Times New Roman" w:hAnsi="Times New Roman" w:cs="Times New Roman" w:eastAsia="Times New Roman" w:hint="default"/>
                            <w:spacing w:val="12"/>
                            <w:w w:val="99"/>
                            <w:sz w:val="18"/>
                            <w:szCs w:val="18"/>
                          </w:rPr>
                          <w:t> </w:t>
                        </w:r>
                        <w:r>
                          <w:rPr>
                            <w:rFonts w:ascii="宋体" w:hAnsi="宋体" w:cs="宋体" w:eastAsia="宋体" w:hint="default"/>
                            <w:spacing w:val="-7"/>
                            <w:sz w:val="18"/>
                            <w:szCs w:val="18"/>
                          </w:rPr>
                          <w:t>的规划办法等），确保系统高质量的运行，使现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有网络资源获得最佳效益</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路测</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又称</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D</w:t>
                        </w:r>
                        <w:r>
                          <w:rPr>
                            <w:rFonts w:ascii="Times New Roman" w:hAnsi="Times New Roman" w:cs="Times New Roman" w:eastAsia="Times New Roman" w:hint="default"/>
                            <w:spacing w:val="-2"/>
                            <w:w w:val="99"/>
                            <w:sz w:val="18"/>
                            <w:szCs w:val="18"/>
                          </w:rPr>
                          <w:t>T</w:t>
                        </w: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D</w:t>
                        </w:r>
                        <w:r>
                          <w:rPr>
                            <w:rFonts w:ascii="Times New Roman" w:hAnsi="Times New Roman" w:cs="Times New Roman" w:eastAsia="Times New Roman" w:hint="default"/>
                            <w:w w:val="99"/>
                            <w:sz w:val="18"/>
                            <w:szCs w:val="18"/>
                          </w:rPr>
                          <w:t>ri</w:t>
                        </w:r>
                        <w:r>
                          <w:rPr>
                            <w:rFonts w:ascii="Times New Roman" w:hAnsi="Times New Roman" w:cs="Times New Roman" w:eastAsia="Times New Roman" w:hint="default"/>
                            <w:spacing w:val="1"/>
                            <w:w w:val="99"/>
                            <w:sz w:val="18"/>
                            <w:szCs w:val="18"/>
                          </w:rPr>
                          <w:t>v</w:t>
                        </w:r>
                        <w:r>
                          <w:rPr>
                            <w:rFonts w:ascii="Times New Roman" w:hAnsi="Times New Roman" w:cs="Times New Roman" w:eastAsia="Times New Roman" w:hint="default"/>
                            <w:w w:val="99"/>
                            <w:sz w:val="18"/>
                            <w:szCs w:val="18"/>
                          </w:rPr>
                          <w:t>e</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14"/>
                            <w:w w:val="99"/>
                            <w:sz w:val="18"/>
                            <w:szCs w:val="18"/>
                          </w:rPr>
                          <w:t>T</w:t>
                        </w:r>
                        <w:r>
                          <w:rPr>
                            <w:rFonts w:ascii="Times New Roman" w:hAnsi="Times New Roman" w:cs="Times New Roman" w:eastAsia="Times New Roman" w:hint="default"/>
                            <w:spacing w:val="-1"/>
                            <w:w w:val="99"/>
                            <w:sz w:val="18"/>
                            <w:szCs w:val="18"/>
                          </w:rPr>
                          <w:t>es</w:t>
                        </w:r>
                        <w:r>
                          <w:rPr>
                            <w:rFonts w:ascii="Times New Roman" w:hAnsi="Times New Roman" w:cs="Times New Roman" w:eastAsia="Times New Roman" w:hint="default"/>
                            <w:sz w:val="18"/>
                            <w:szCs w:val="18"/>
                          </w:rPr>
                          <w:t>t</w:t>
                        </w: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D</w:t>
                        </w:r>
                        <w:r>
                          <w:rPr>
                            <w:rFonts w:ascii="Times New Roman" w:hAnsi="Times New Roman" w:cs="Times New Roman" w:eastAsia="Times New Roman" w:hint="default"/>
                            <w:spacing w:val="-2"/>
                            <w:w w:val="99"/>
                            <w:sz w:val="18"/>
                            <w:szCs w:val="18"/>
                          </w:rPr>
                          <w:t>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是</w:t>
                        </w:r>
                        <w:r>
                          <w:rPr>
                            <w:rFonts w:ascii="宋体" w:hAnsi="宋体" w:cs="宋体" w:eastAsia="宋体" w:hint="default"/>
                            <w:sz w:val="18"/>
                            <w:szCs w:val="18"/>
                          </w:rPr>
                          <w:t>无线网络优化的重要组成部分，是对</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BodyText"/>
        <w:spacing w:line="240" w:lineRule="auto" w:before="44"/>
        <w:ind w:left="0" w:right="15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44"/>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before="44"/>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44"/>
        <w:ind w:left="0" w:right="160"/>
        <w:jc w:val="right"/>
      </w:pPr>
      <w:r>
        <w:rPr/>
        <w:t>，</w:t>
      </w:r>
    </w:p>
    <w:p>
      <w:pPr>
        <w:spacing w:after="0" w:line="240" w:lineRule="auto"/>
        <w:jc w:val="right"/>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4"/>
        <w:gridCol w:w="620"/>
        <w:gridCol w:w="5424"/>
      </w:tblGrid>
      <w:tr>
        <w:trPr>
          <w:trHeight w:val="1922"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19"/>
              <w:jc w:val="both"/>
              <w:rPr>
                <w:rFonts w:ascii="宋体" w:hAnsi="宋体" w:cs="宋体" w:eastAsia="宋体" w:hint="default"/>
                <w:sz w:val="18"/>
                <w:szCs w:val="18"/>
              </w:rPr>
            </w:pPr>
            <w:r>
              <w:rPr>
                <w:rFonts w:ascii="宋体" w:hAnsi="宋体" w:cs="宋体" w:eastAsia="宋体" w:hint="default"/>
                <w:spacing w:val="-2"/>
                <w:sz w:val="18"/>
                <w:szCs w:val="18"/>
              </w:rPr>
              <w:t>无线网络的下行信号进行测试，主要用于获得以下数据：服务小区信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号强度、话音质量、相邻小区的信号强度指示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Ec </w:t>
            </w:r>
            <w:r>
              <w:rPr>
                <w:rFonts w:ascii="宋体" w:hAnsi="宋体" w:cs="宋体" w:eastAsia="宋体" w:hint="default"/>
                <w:sz w:val="18"/>
                <w:szCs w:val="18"/>
              </w:rPr>
              <w:t>以及信号质量指示 </w:t>
            </w:r>
            <w:r>
              <w:rPr>
                <w:rFonts w:ascii="Times New Roman" w:hAnsi="Times New Roman" w:cs="Times New Roman" w:eastAsia="Times New Roman" w:hint="default"/>
                <w:spacing w:val="-2"/>
                <w:sz w:val="18"/>
                <w:szCs w:val="18"/>
              </w:rPr>
              <w:t>Ec/Io</w:t>
            </w:r>
            <w:r>
              <w:rPr>
                <w:rFonts w:ascii="宋体" w:hAnsi="宋体" w:cs="宋体" w:eastAsia="宋体" w:hint="default"/>
                <w:spacing w:val="-2"/>
                <w:sz w:val="18"/>
                <w:szCs w:val="18"/>
              </w:rPr>
              <w:t>、切换及接入的信令过程、小区识码、区域识别码、业务建立成</w:t>
            </w:r>
            <w:r>
              <w:rPr>
                <w:rFonts w:ascii="宋体" w:hAnsi="宋体" w:cs="宋体" w:eastAsia="宋体" w:hint="default"/>
                <w:sz w:val="18"/>
                <w:szCs w:val="18"/>
              </w:rPr>
              <w:t> </w:t>
            </w:r>
            <w:r>
              <w:rPr>
                <w:rFonts w:ascii="宋体" w:hAnsi="宋体" w:cs="宋体" w:eastAsia="宋体" w:hint="default"/>
                <w:spacing w:val="-2"/>
                <w:sz w:val="18"/>
                <w:szCs w:val="18"/>
              </w:rPr>
              <w:t>功率、切换比例、上下行平均吞吐率、手机所处的地理位置信、呼叫</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管理、移动管理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业务建立时延等值。其作用主要在于网络质量的评估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和无线网络的优化</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信令</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在通信网络中控制协调实际应用信息传输的信号</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基站</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在无线电覆盖区内，通过移动通信交换中心，与移动电话终端之间进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行信息传递的无线电收发信电台</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1" w:right="0"/>
        <w:jc w:val="left"/>
        <w:rPr>
          <w:b w:val="0"/>
          <w:bCs w:val="0"/>
        </w:rPr>
      </w:pPr>
      <w:bookmarkStart w:name="_TOC_250009" w:id="3"/>
      <w:bookmarkStart w:name="第二节 公司简介和主要财务指标" w:id="4"/>
      <w:r>
        <w:rPr>
          <w:b w:val="0"/>
          <w:bCs w:val="0"/>
        </w:rPr>
      </w:r>
      <w:r>
        <w:rPr/>
        <w:t>第二节</w:t>
      </w:r>
      <w:r>
        <w:rPr>
          <w:spacing w:val="-6"/>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shape style="position:absolute;margin-left:138pt;margin-top:114.675621pt;width:396.85pt;height:19.7pt;mso-position-horizontal-relative:page;mso-position-vertical-relative:paragraph;z-index:-1035136" type="#_x0000_t202" filled="false" stroked="false">
            <v:textbox inset="0,0,0,0">
              <w:txbxContent>
                <w:p>
                  <w:pPr>
                    <w:pStyle w:val="BodyText"/>
                    <w:spacing w:line="240" w:lineRule="auto" w:before="49"/>
                    <w:ind w:left="0" w:right="0"/>
                    <w:jc w:val="left"/>
                  </w:pPr>
                  <w:r>
                    <w:rPr/>
                    <w:t>（如有）</w:t>
                  </w:r>
                </w:p>
              </w:txbxContent>
            </v:textbox>
            <w10:wrap type="none"/>
          </v:shape>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21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300379</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Beijing Tongtech Co.,</w:t>
            </w:r>
            <w:r>
              <w:rPr>
                <w:rFonts w:ascii="Times New Roman"/>
                <w:spacing w:val="-21"/>
                <w:sz w:val="18"/>
              </w:rPr>
              <w:t> </w:t>
            </w:r>
            <w:r>
              <w:rPr>
                <w:rFonts w:ascii="Times New Roman"/>
                <w:sz w:val="18"/>
              </w:rPr>
              <w:t>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4" w:type="dxa"/>
            <w:gridSpan w:val="3"/>
            <w:tcBorders>
              <w:top w:val="single" w:sz="4" w:space="0" w:color="000000"/>
              <w:left w:val="single" w:sz="13" w:space="0" w:color="FFFFFF"/>
              <w:bottom w:val="single" w:sz="4" w:space="0" w:color="000000"/>
              <w:right w:val="single" w:sz="12"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pacing w:val="-3"/>
                <w:sz w:val="18"/>
              </w:rPr>
              <w:t>Tongtech</w:t>
            </w:r>
            <w:r>
              <w:rPr>
                <w:rFonts w:ascii="Times New Roman"/>
                <w:sz w:val="18"/>
              </w:rPr>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张齐春</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北京市丰台区丰台路口</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号主楼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311</w:t>
            </w:r>
            <w:r>
              <w:rPr>
                <w:rFonts w:ascii="宋体" w:hAnsi="宋体" w:cs="宋体" w:eastAsia="宋体" w:hint="default"/>
                <w:sz w:val="18"/>
                <w:szCs w:val="18"/>
              </w:rPr>
              <w:t>（园区）</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100071</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北京市海淀区彩和坊路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100080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www.tongtech.com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tongtech@tongtech.com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1"/>
        <w:gridCol w:w="3545"/>
        <w:gridCol w:w="3473"/>
      </w:tblGrid>
      <w:tr>
        <w:trPr>
          <w:trHeight w:val="401"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5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4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韩静</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北京市海淀区彩和坊路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北京市海淀区彩和坊路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010-82652668</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010-82652668</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010-82652226</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010-82652226</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tongtech@tongtech.com</w:t>
              </w:r>
            </w:hyperlink>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tongtech@tongtech.com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公司董秘办公室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乐超军、</w:t>
            </w:r>
            <w:r>
              <w:rPr>
                <w:rFonts w:ascii="宋体" w:hAnsi="宋体" w:cs="宋体" w:eastAsia="宋体" w:hint="default"/>
                <w:spacing w:val="1"/>
                <w:sz w:val="18"/>
                <w:szCs w:val="18"/>
              </w:rPr>
              <w:t> </w:t>
            </w:r>
            <w:r>
              <w:rPr>
                <w:rFonts w:ascii="宋体" w:hAnsi="宋体" w:cs="宋体" w:eastAsia="宋体" w:hint="default"/>
                <w:sz w:val="18"/>
                <w:szCs w:val="18"/>
              </w:rPr>
              <w:t>刘文豪</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2834"/>
        <w:gridCol w:w="1702"/>
        <w:gridCol w:w="3048"/>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30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宋体" w:hAnsi="宋体" w:cs="宋体" w:eastAsia="宋体" w:hint="default"/>
                <w:sz w:val="18"/>
                <w:szCs w:val="18"/>
              </w:rPr>
              <w:t>北京市西城区金融街国信证券大厦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彭朝晖、周志林</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2798"/>
        <w:gridCol w:w="1738"/>
        <w:gridCol w:w="3048"/>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财务顾问办公地址</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30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北京市西城区金融街国信证券大厦</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李广辉、谭杰伦</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237,277,215.38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194,137,637.99</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180,212,251.65</w:t>
            </w:r>
            <w:r>
              <w:rPr>
                <w:rFonts w:ascii="Times New Roman"/>
                <w:sz w:val="18"/>
              </w:rPr>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70,686,419.86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57,116,020.86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45,475,926.05</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61,676,862.57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49,360,779.48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40,994,834.16</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65,575,087.94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58,682,131.70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15,901,299.03</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0.6135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0.5611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0.5053</w:t>
            </w:r>
            <w:r>
              <w:rPr>
                <w:rFonts w:ascii="Times New Roman"/>
                <w:sz w:val="18"/>
              </w:rPr>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0.6081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0.5611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0.5053</w:t>
            </w:r>
            <w:r>
              <w:rPr>
                <w:rFonts w:ascii="Times New Roman"/>
                <w:sz w:val="18"/>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25.37%</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922,888,931.47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970,758,285.86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296,083,259.45</w:t>
            </w:r>
            <w:r>
              <w:rPr>
                <w:rFonts w:ascii="Times New Roman"/>
                <w:sz w:val="18"/>
              </w:rPr>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840,977,975.50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781,298,884.36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201,989,297.07</w:t>
            </w:r>
            <w:r>
              <w:rPr>
                <w:rFonts w:ascii="Times New Roman"/>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35,731,625.64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1" w:right="0"/>
              <w:jc w:val="left"/>
              <w:rPr>
                <w:rFonts w:ascii="Times New Roman" w:hAnsi="Times New Roman" w:cs="Times New Roman" w:eastAsia="Times New Roman" w:hint="default"/>
                <w:sz w:val="18"/>
                <w:szCs w:val="18"/>
              </w:rPr>
            </w:pPr>
            <w:r>
              <w:rPr>
                <w:rFonts w:ascii="Times New Roman"/>
                <w:sz w:val="18"/>
              </w:rPr>
              <w:t>47,380,940.28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1" w:right="0"/>
              <w:jc w:val="left"/>
              <w:rPr>
                <w:rFonts w:ascii="Times New Roman" w:hAnsi="Times New Roman" w:cs="Times New Roman" w:eastAsia="Times New Roman" w:hint="default"/>
                <w:sz w:val="18"/>
                <w:szCs w:val="18"/>
              </w:rPr>
            </w:pPr>
            <w:r>
              <w:rPr>
                <w:rFonts w:ascii="Times New Roman"/>
                <w:sz w:val="18"/>
              </w:rPr>
              <w:t>47,904,317.07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106,260,332.39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0"/>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-5,896,832.04</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12,766,136.28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10,762,313.07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53,054,802.55</w:t>
            </w:r>
          </w:p>
        </w:tc>
      </w:tr>
      <w:tr>
        <w:trPr>
          <w:trHeight w:val="715"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-6,659,565.94</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12,476,969.95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10,226,982.61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45,630,749.69</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5,214,649.60</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115,029.45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12,210,216.25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48,035,192.64</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6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5"/>
        <w:gridCol w:w="1522"/>
        <w:gridCol w:w="1519"/>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-701,419.56</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-781,987.13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-33,530.27</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11,399,096.16</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9,309,908.48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4,734,593.02</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-103,146.42</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115,676.34</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100,888.40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1,584,972.89</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888,356.31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320,859.26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9,009,557.29</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7,755,241.38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4,481,091.89</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9"/>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71"/>
        <w:jc w:val="center"/>
        <w:rPr>
          <w:b w:val="0"/>
          <w:bCs w:val="0"/>
        </w:rPr>
      </w:pPr>
      <w:bookmarkStart w:name="_TOC_250008" w:id="15"/>
      <w:bookmarkStart w:name="第三节 公司业务概要" w:id="16"/>
      <w:r>
        <w:rPr>
          <w:b w:val="0"/>
          <w:bCs w:val="0"/>
        </w:rPr>
      </w:r>
      <w:r>
        <w:rPr/>
        <w:t>第三节</w:t>
      </w:r>
      <w:r>
        <w:rPr>
          <w:spacing w:val="-6"/>
        </w:rPr>
        <w:t> </w:t>
      </w:r>
      <w:r>
        <w:rPr/>
        <w:t>公司业务概要</w:t>
      </w:r>
      <w:bookmarkEnd w:id="1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0" w:firstLine="424"/>
        <w:jc w:val="left"/>
      </w:pPr>
      <w:r>
        <w:rPr/>
        <w:t>本公司创始业务是为企业级用户提供基础软件中的中间件产品及相关技术服务，于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月在深圳证券交易所创业板 上市。公司上市以来董事会提出</w:t>
      </w:r>
      <w:r>
        <w:rPr>
          <w:rFonts w:ascii="Times New Roman" w:hAnsi="Times New Roman" w:cs="Times New Roman" w:eastAsia="Times New Roman" w:hint="default"/>
        </w:rPr>
        <w:t>“</w:t>
      </w:r>
      <w:r>
        <w:rPr/>
        <w:t>二次创业</w:t>
      </w:r>
      <w:r>
        <w:rPr>
          <w:rFonts w:ascii="Times New Roman" w:hAnsi="Times New Roman" w:cs="Times New Roman" w:eastAsia="Times New Roman" w:hint="default"/>
        </w:rPr>
        <w:t>”</w:t>
      </w:r>
      <w:r>
        <w:rPr/>
        <w:t>理念，管理层积极进取、勇于开拓，一方面继续在传统中间件产品领域深挖市场 </w:t>
      </w:r>
      <w:r>
        <w:rPr>
          <w:spacing w:val="-4"/>
        </w:rPr>
        <w:t>需求，改善产品性能，增强用户体验，巩固中间件市场领先地位；另一方面，积极通过对外投资、收购兼并等资本市场手段，</w:t>
      </w:r>
      <w:r>
        <w:rPr>
          <w:spacing w:val="-44"/>
        </w:rPr>
        <w:t> </w:t>
      </w:r>
      <w:r>
        <w:rPr>
          <w:spacing w:val="-44"/>
        </w:rPr>
      </w:r>
      <w:r>
        <w:rPr>
          <w:spacing w:val="-2"/>
        </w:rPr>
        <w:t>大力拓展新业务，积极完善在云计算、大数据、移动互联等新技术、新业态、新模式的布局，重新定义软件基础设施，推进</w:t>
      </w:r>
      <w:r>
        <w:rPr>
          <w:spacing w:val="-73"/>
        </w:rPr>
        <w:t> </w:t>
      </w:r>
      <w:r>
        <w:rPr>
          <w:spacing w:val="-73"/>
        </w:rPr>
      </w:r>
      <w:r>
        <w:rPr>
          <w:spacing w:val="-2"/>
        </w:rPr>
        <w:t>公司由中间件产品厂商转型升级为新一代软件基础设施及创新应用整体解决方案提供商。利用资本平台展开外延并购为公司</w:t>
      </w:r>
      <w:r>
        <w:rPr>
          <w:spacing w:val="-64"/>
        </w:rPr>
        <w:t> </w:t>
      </w:r>
      <w:r>
        <w:rPr>
          <w:spacing w:val="-64"/>
        </w:rPr>
      </w:r>
      <w:r>
        <w:rPr/>
        <w:t>打开了全新的发展局面。</w:t>
      </w:r>
    </w:p>
    <w:p>
      <w:pPr>
        <w:pStyle w:val="BodyText"/>
        <w:spacing w:line="316" w:lineRule="auto" w:before="63"/>
        <w:ind w:right="210" w:firstLine="424"/>
        <w:jc w:val="left"/>
      </w:pPr>
      <w:r>
        <w:rPr/>
        <w:t>至本报告期末，公司已经开展的主要业务包括基础软件（中间件与虚拟化软件）、企业移动信息化、大数据网优、政 务大数据等，并拟通过非公开发行股票募集资金收购微智信业，快速进入大数据信息安全领域。</w:t>
      </w:r>
    </w:p>
    <w:p>
      <w:pPr>
        <w:pStyle w:val="BodyText"/>
        <w:spacing w:line="314" w:lineRule="auto" w:before="57"/>
        <w:ind w:right="0" w:firstLine="424"/>
        <w:jc w:val="left"/>
      </w:pPr>
      <w:r>
        <w:rPr/>
        <w:t>报告期内，公司致力于为客户提供适应云环境、智能安全的基础中间件、平台中间件、虚拟化软件等软件基础设施产 </w:t>
      </w:r>
      <w:r>
        <w:rPr>
          <w:spacing w:val="-2"/>
        </w:rPr>
        <w:t>品和解决方案，使安装部署和维护更加易用、快捷；进军政府大数据领域，作为内生式发展的重要举措，积极与政企客户开</w:t>
      </w:r>
      <w:r>
        <w:rPr>
          <w:spacing w:val="-67"/>
        </w:rPr>
        <w:t> </w:t>
      </w:r>
      <w:r>
        <w:rPr>
          <w:spacing w:val="-67"/>
        </w:rPr>
      </w:r>
      <w:r>
        <w:rPr>
          <w:spacing w:val="-4"/>
        </w:rPr>
        <w:t>展联合实验行动，致力于构建智慧城市核心大数据基础设施，整合政府各部门数据，建立城市统一的企业及居民等数字空间，</w:t>
      </w:r>
      <w:r>
        <w:rPr>
          <w:spacing w:val="-44"/>
        </w:rPr>
        <w:t> </w:t>
      </w:r>
      <w:r>
        <w:rPr>
          <w:spacing w:val="-44"/>
        </w:rPr>
      </w:r>
      <w:r>
        <w:rPr>
          <w:spacing w:val="-2"/>
        </w:rPr>
        <w:t>打通信息服务通道，从而提升政府服务，支撑城市大数据产业的发展。继续大力拓展网络优化测试软件市场，在三大电信运</w:t>
      </w:r>
      <w:r>
        <w:rPr>
          <w:spacing w:val="-65"/>
        </w:rPr>
        <w:t> </w:t>
      </w:r>
      <w:r>
        <w:rPr>
          <w:spacing w:val="-65"/>
        </w:rPr>
      </w:r>
      <w:r>
        <w:rPr/>
        <w:t>营商和贝尔、爱立信等高端通信设备厂商全面布局，持续优化产品性能和用户体验，已经成为公司重要的利润增长点；</w:t>
      </w:r>
      <w:r>
        <w:rPr>
          <w:rFonts w:ascii="Times New Roman" w:hAnsi="Times New Roman" w:cs="Times New Roman" w:eastAsia="Times New Roman" w:hint="default"/>
        </w:rPr>
        <w:t>6</w:t>
      </w:r>
      <w:r>
        <w:rPr/>
        <w:t>月 </w:t>
      </w:r>
      <w:r>
        <w:rPr>
          <w:spacing w:val="-4"/>
        </w:rPr>
        <w:t>底完成数字天堂并购，迅速进行后台管理整合，快速导入移动信息化产品和解决方案，在金融和能源两大垂直版块集中发力，</w:t>
      </w:r>
      <w:r>
        <w:rPr>
          <w:spacing w:val="-44"/>
        </w:rPr>
        <w:t> </w:t>
      </w:r>
      <w:r>
        <w:rPr>
          <w:spacing w:val="-44"/>
        </w:rPr>
      </w:r>
      <w:r>
        <w:rPr/>
        <w:t>新获国家核电、安华保险等优质客户；并拟通过非公开发行股票募集资金收购微智信业，切入大数据信息安全领域。</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BodyText"/>
        <w:spacing w:line="240" w:lineRule="auto" w:before="44"/>
        <w:ind w:left="0" w:right="200"/>
        <w:jc w:val="right"/>
      </w:pPr>
      <w:r>
        <w:rPr/>
        <w:pict>
          <v:shape style="position:absolute;margin-left:56.400002pt;margin-top:-201.848282pt;width:479.2pt;height:257.4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7159"/>
                  </w:tblGrid>
                  <w:tr>
                    <w:trPr>
                      <w:trHeight w:val="185" w:hRule="exact"/>
                    </w:trPr>
                    <w:tc>
                      <w:tcPr>
                        <w:tcW w:w="2410" w:type="dxa"/>
                        <w:tcBorders>
                          <w:top w:val="single" w:sz="4" w:space="0" w:color="000000"/>
                          <w:left w:val="single" w:sz="4" w:space="0" w:color="000000"/>
                          <w:bottom w:val="nil" w:sz="6" w:space="0" w:color="auto"/>
                          <w:right w:val="single" w:sz="4" w:space="0" w:color="000000"/>
                        </w:tcBorders>
                        <w:shd w:val="clear" w:color="auto" w:fill="D4D4D4"/>
                      </w:tcPr>
                      <w:p>
                        <w:pPr/>
                      </w:p>
                    </w:tc>
                    <w:tc>
                      <w:tcPr>
                        <w:tcW w:w="715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241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15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2410" w:type="dxa"/>
                        <w:tcBorders>
                          <w:top w:val="nil" w:sz="6" w:space="0" w:color="auto"/>
                          <w:left w:val="single" w:sz="4" w:space="0" w:color="000000"/>
                          <w:bottom w:val="single" w:sz="4" w:space="0" w:color="000000"/>
                          <w:right w:val="single" w:sz="4" w:space="0" w:color="000000"/>
                        </w:tcBorders>
                        <w:shd w:val="clear" w:color="auto" w:fill="D4D4D4"/>
                      </w:tcPr>
                      <w:p>
                        <w:pPr/>
                      </w:p>
                    </w:tc>
                    <w:tc>
                      <w:tcPr>
                        <w:tcW w:w="715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2410" w:type="dxa"/>
                        <w:tcBorders>
                          <w:top w:val="single" w:sz="4" w:space="0" w:color="000000"/>
                          <w:left w:val="single" w:sz="4" w:space="0" w:color="000000"/>
                          <w:bottom w:val="nil" w:sz="6" w:space="0" w:color="auto"/>
                          <w:right w:val="single" w:sz="4" w:space="0" w:color="000000"/>
                        </w:tcBorders>
                        <w:shd w:val="clear" w:color="auto" w:fill="D4D4D4"/>
                      </w:tcPr>
                      <w:p>
                        <w:pPr/>
                      </w:p>
                    </w:tc>
                    <w:tc>
                      <w:tcPr>
                        <w:tcW w:w="7159"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报告期末比期初减少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35.88%</w:t>
                        </w:r>
                        <w:r>
                          <w:rPr>
                            <w:rFonts w:ascii="宋体" w:hAnsi="宋体" w:cs="宋体" w:eastAsia="宋体" w:hint="default"/>
                            <w:sz w:val="18"/>
                            <w:szCs w:val="18"/>
                          </w:rPr>
                          <w:t>，主要因为报告期内固定资产正常计提折旧，另外报废清理了 部分老旧固定资产。</w:t>
                        </w:r>
                      </w:p>
                    </w:tc>
                  </w:tr>
                  <w:tr>
                    <w:trPr>
                      <w:trHeight w:val="391" w:hRule="exact"/>
                    </w:trPr>
                    <w:tc>
                      <w:tcPr>
                        <w:tcW w:w="241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159" w:type="dxa"/>
                        <w:vMerge/>
                        <w:tcBorders>
                          <w:left w:val="single" w:sz="4" w:space="0" w:color="000000"/>
                          <w:right w:val="single" w:sz="4" w:space="0" w:color="000000"/>
                        </w:tcBorders>
                      </w:tcPr>
                      <w:p>
                        <w:pPr/>
                      </w:p>
                    </w:tc>
                  </w:tr>
                  <w:tr>
                    <w:trPr>
                      <w:trHeight w:val="161" w:hRule="exact"/>
                    </w:trPr>
                    <w:tc>
                      <w:tcPr>
                        <w:tcW w:w="2410" w:type="dxa"/>
                        <w:tcBorders>
                          <w:top w:val="nil" w:sz="6" w:space="0" w:color="auto"/>
                          <w:left w:val="single" w:sz="4" w:space="0" w:color="000000"/>
                          <w:bottom w:val="single" w:sz="4" w:space="0" w:color="000000"/>
                          <w:right w:val="single" w:sz="4" w:space="0" w:color="000000"/>
                        </w:tcBorders>
                        <w:shd w:val="clear" w:color="auto" w:fill="D4D4D4"/>
                      </w:tcPr>
                      <w:p>
                        <w:pPr/>
                      </w:p>
                    </w:tc>
                    <w:tc>
                      <w:tcPr>
                        <w:tcW w:w="7159" w:type="dxa"/>
                        <w:vMerge/>
                        <w:tcBorders>
                          <w:left w:val="single" w:sz="4" w:space="0" w:color="000000"/>
                          <w:bottom w:val="single" w:sz="4" w:space="0" w:color="000000"/>
                          <w:right w:val="single" w:sz="4" w:space="0" w:color="000000"/>
                        </w:tcBorders>
                      </w:tcPr>
                      <w:p>
                        <w:pP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报告期末比期初减少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37.27%</w:t>
                        </w:r>
                        <w:r>
                          <w:rPr>
                            <w:rFonts w:ascii="宋体" w:hAnsi="宋体" w:cs="宋体" w:eastAsia="宋体" w:hint="default"/>
                            <w:sz w:val="18"/>
                            <w:szCs w:val="18"/>
                          </w:rPr>
                          <w:t>，主要原因为报告期内向惠捷朗原股东支付现金对价</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13,493.76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万元，向数字天堂原股东支付现金对价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2,737.00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万元，归还贷款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报告期末比期初减少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81.51%</w:t>
                        </w:r>
                        <w:r>
                          <w:rPr>
                            <w:rFonts w:ascii="宋体" w:hAnsi="宋体" w:cs="宋体" w:eastAsia="宋体" w:hint="default"/>
                            <w:sz w:val="18"/>
                            <w:szCs w:val="18"/>
                          </w:rPr>
                          <w:t>，主要原因为期初票据到期兑付。</w:t>
                        </w:r>
                      </w:p>
                    </w:tc>
                  </w:tr>
                  <w:tr>
                    <w:trPr>
                      <w:trHeight w:val="1027"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报告期末比期初增加</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244.45%</w:t>
                        </w:r>
                        <w:r>
                          <w:rPr>
                            <w:rFonts w:ascii="宋体" w:hAnsi="宋体" w:cs="宋体" w:eastAsia="宋体" w:hint="default"/>
                            <w:spacing w:val="-3"/>
                            <w:sz w:val="18"/>
                            <w:szCs w:val="18"/>
                          </w:rPr>
                          <w:t>，主要原因有两方面，一方面是因为本报告期合并报表新增数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字天堂因前期亏损确认的递延所得税资产；另一方面是因为坏账准备增加对应的递延所得 税资产增加。</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报告期末比期初减少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，原因为期初贷款已归还，报告期内无新增贷款。</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10"/>
                          <w:jc w:val="left"/>
                          <w:rPr>
                            <w:rFonts w:ascii="宋体" w:hAnsi="宋体" w:cs="宋体" w:eastAsia="宋体" w:hint="default"/>
                            <w:sz w:val="18"/>
                            <w:szCs w:val="18"/>
                          </w:rPr>
                        </w:pPr>
                        <w:r>
                          <w:rPr>
                            <w:rFonts w:ascii="宋体" w:hAnsi="宋体" w:cs="宋体" w:eastAsia="宋体" w:hint="default"/>
                            <w:sz w:val="18"/>
                            <w:szCs w:val="18"/>
                          </w:rPr>
                          <w:t>报告期末比期初增加</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65.68%</w:t>
                        </w:r>
                        <w:r>
                          <w:rPr>
                            <w:rFonts w:ascii="宋体" w:hAnsi="宋体" w:cs="宋体" w:eastAsia="宋体" w:hint="default"/>
                            <w:spacing w:val="-3"/>
                            <w:sz w:val="18"/>
                            <w:szCs w:val="18"/>
                          </w:rPr>
                          <w:t>，主要因为报告期内利润总额增加，以及平均所得税税率上升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导致应交所得税大幅增加；另外报告期内合并报表新增数字天堂应交税金。</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报告期末比期初减少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71.55%</w:t>
                        </w:r>
                        <w:r>
                          <w:rPr>
                            <w:rFonts w:ascii="宋体" w:hAnsi="宋体" w:cs="宋体" w:eastAsia="宋体" w:hint="default"/>
                            <w:sz w:val="18"/>
                            <w:szCs w:val="18"/>
                          </w:rPr>
                          <w:t>，报告期内，向惠捷朗原股东支付现金对价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13,493.76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after="0" w:line="240" w:lineRule="auto"/>
        <w:jc w:val="righ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left="432" w:right="2789"/>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32" w:right="2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432" w:right="2789"/>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left="432" w:right="430" w:firstLine="424"/>
        <w:jc w:val="both"/>
      </w:pPr>
      <w:r>
        <w:rPr/>
        <w:t>公司自成立以来一直是北京市科学技术委员会、北京市财政局、北京市国家税务局和北京市地方税务局联合认定的高 </w:t>
      </w:r>
      <w:r>
        <w:rPr>
          <w:spacing w:val="-2"/>
        </w:rPr>
        <w:t>新技术企业，中关村科技园区管理委员会认定的中关村高新技术企业，且</w:t>
      </w:r>
      <w:r>
        <w:rPr>
          <w:rFonts w:ascii="Times New Roman" w:hAnsi="Times New Roman" w:cs="Times New Roman" w:eastAsia="Times New Roman" w:hint="default"/>
          <w:spacing w:val="-2"/>
        </w:rPr>
        <w:t>2003―2014</w:t>
      </w:r>
      <w:r>
        <w:rPr>
          <w:spacing w:val="-2"/>
        </w:rPr>
        <w:t>年连续</w:t>
      </w:r>
      <w:r>
        <w:rPr>
          <w:rFonts w:ascii="Times New Roman" w:hAnsi="Times New Roman" w:cs="Times New Roman" w:eastAsia="Times New Roman" w:hint="default"/>
          <w:spacing w:val="-2"/>
        </w:rPr>
        <w:t>10</w:t>
      </w:r>
      <w:r>
        <w:rPr>
          <w:spacing w:val="-2"/>
        </w:rPr>
        <w:t>年被国家发改委、工信部、商</w:t>
      </w:r>
      <w:r>
        <w:rPr>
          <w:spacing w:val="-58"/>
        </w:rPr>
        <w:t> </w:t>
      </w:r>
      <w:r>
        <w:rPr>
          <w:spacing w:val="-58"/>
        </w:rPr>
      </w:r>
      <w:r>
        <w:rPr>
          <w:spacing w:val="-2"/>
        </w:rPr>
        <w:t>务部、国家税务总局联合认定为国家规划布局内重点软件企业。是</w:t>
      </w:r>
      <w:r>
        <w:rPr>
          <w:rFonts w:ascii="Times New Roman" w:hAnsi="Times New Roman" w:cs="Times New Roman" w:eastAsia="Times New Roman" w:hint="default"/>
          <w:spacing w:val="-2"/>
        </w:rPr>
        <w:t>“</w:t>
      </w:r>
      <w:r>
        <w:rPr>
          <w:spacing w:val="-2"/>
        </w:rPr>
        <w:t>核高基</w:t>
      </w:r>
      <w:r>
        <w:rPr>
          <w:rFonts w:ascii="Times New Roman" w:hAnsi="Times New Roman" w:cs="Times New Roman" w:eastAsia="Times New Roman" w:hint="default"/>
          <w:spacing w:val="-2"/>
        </w:rPr>
        <w:t>”</w:t>
      </w:r>
      <w:r>
        <w:rPr>
          <w:spacing w:val="-2"/>
        </w:rPr>
        <w:t>等国家重大科技计划项目的承担单位，</w:t>
      </w:r>
      <w:r>
        <w:rPr>
          <w:rFonts w:ascii="Times New Roman" w:hAnsi="Times New Roman" w:cs="Times New Roman" w:eastAsia="Times New Roman" w:hint="default"/>
          <w:spacing w:val="-2"/>
        </w:rPr>
        <w:t>2003</w:t>
      </w:r>
      <w:r>
        <w:rPr>
          <w:spacing w:val="-2"/>
        </w:rPr>
        <w:t>年荣</w:t>
      </w:r>
      <w:r>
        <w:rPr>
          <w:spacing w:val="-44"/>
        </w:rPr>
        <w:t> </w:t>
      </w:r>
      <w:r>
        <w:rPr>
          <w:spacing w:val="-2"/>
        </w:rPr>
        <w:t>获国务院颁发的</w:t>
      </w:r>
      <w:r>
        <w:rPr>
          <w:rFonts w:ascii="Times New Roman" w:hAnsi="Times New Roman" w:cs="Times New Roman" w:eastAsia="Times New Roman" w:hint="default"/>
          <w:spacing w:val="-2"/>
        </w:rPr>
        <w:t>“</w:t>
      </w:r>
      <w:r>
        <w:rPr>
          <w:spacing w:val="-2"/>
        </w:rPr>
        <w:t>国家科技进步二等奖</w:t>
      </w:r>
      <w:r>
        <w:rPr>
          <w:rFonts w:ascii="Times New Roman" w:hAnsi="Times New Roman" w:cs="Times New Roman" w:eastAsia="Times New Roman" w:hint="default"/>
          <w:spacing w:val="-2"/>
        </w:rPr>
        <w:t>”</w:t>
      </w:r>
      <w:r>
        <w:rPr>
          <w:spacing w:val="-2"/>
        </w:rPr>
        <w:t>。子公司上海东方通泰、惠捷朗、数字天堂均被认定为高新技术企业。子公司东方通</w:t>
      </w:r>
      <w:r>
        <w:rPr>
          <w:spacing w:val="-45"/>
        </w:rPr>
        <w:t> </w:t>
      </w:r>
      <w:r>
        <w:rPr>
          <w:spacing w:val="-45"/>
        </w:rPr>
      </w:r>
      <w:r>
        <w:rPr/>
        <w:t>宇于</w:t>
      </w:r>
      <w:r>
        <w:rPr>
          <w:rFonts w:ascii="Times New Roman" w:hAnsi="Times New Roman" w:cs="Times New Roman" w:eastAsia="Times New Roman" w:hint="default"/>
        </w:rPr>
        <w:t>2015</w:t>
      </w:r>
      <w:r>
        <w:rPr/>
        <w:t>年取得国防武器装备科研生产单位保密资格审查认证委员会颁发的《二级保密资格单位证书》。</w:t>
      </w:r>
    </w:p>
    <w:p>
      <w:pPr>
        <w:pStyle w:val="BodyText"/>
        <w:spacing w:line="316" w:lineRule="auto" w:before="50"/>
        <w:ind w:left="432" w:right="430" w:firstLine="424"/>
        <w:jc w:val="both"/>
      </w:pPr>
      <w:r>
        <w:rPr/>
        <w:t>创新是东方通的发展源泉，也是公司的核心竞争力。公司除了通过完善治理结构、优化内控制度规范运作、持续加强 </w:t>
      </w:r>
      <w:r>
        <w:rPr>
          <w:spacing w:val="-2"/>
        </w:rPr>
        <w:t>市场营销和品牌建设、拓宽产品线等举措，提升公司竞争力以外，主要通过持续的技术创新、商业模式及管理模式的创新不</w:t>
      </w:r>
      <w:r>
        <w:rPr>
          <w:spacing w:val="-65"/>
        </w:rPr>
        <w:t> </w:t>
      </w:r>
      <w:r>
        <w:rPr>
          <w:spacing w:val="-65"/>
        </w:rPr>
      </w:r>
      <w:r>
        <w:rPr/>
        <w:t>断发展前进，立志成为一家伟大的领军创新型软件企业。</w:t>
      </w:r>
    </w:p>
    <w:p>
      <w:pPr>
        <w:spacing w:line="360" w:lineRule="auto" w:before="57"/>
        <w:ind w:left="857" w:right="2789" w:firstLine="2"/>
        <w:jc w:val="left"/>
        <w:rPr>
          <w:rFonts w:ascii="宋体" w:hAnsi="宋体" w:cs="宋体" w:eastAsia="宋体" w:hint="default"/>
          <w:sz w:val="18"/>
          <w:szCs w:val="18"/>
        </w:rPr>
      </w:pPr>
      <w:r>
        <w:rPr>
          <w:rFonts w:ascii="宋体" w:hAnsi="宋体" w:cs="宋体" w:eastAsia="宋体" w:hint="default"/>
          <w:b/>
          <w:bCs/>
          <w:sz w:val="18"/>
          <w:szCs w:val="18"/>
        </w:rPr>
        <w:t>（一）技术创新优势</w:t>
      </w:r>
      <w:r>
        <w:rPr>
          <w:rFonts w:ascii="宋体" w:hAnsi="宋体" w:cs="宋体" w:eastAsia="宋体" w:hint="default"/>
          <w:b/>
          <w:bCs/>
          <w:w w:val="99"/>
          <w:sz w:val="18"/>
          <w:szCs w:val="18"/>
        </w:rPr>
        <w:t> </w:t>
      </w:r>
      <w:r>
        <w:rPr>
          <w:rFonts w:ascii="宋体" w:hAnsi="宋体" w:cs="宋体" w:eastAsia="宋体" w:hint="default"/>
          <w:sz w:val="18"/>
          <w:szCs w:val="18"/>
        </w:rPr>
        <w:t>公司一直高度重视产品研发和技术进步，并致力于不断的技术创新提升公司的竞争力。</w:t>
      </w:r>
    </w:p>
    <w:p>
      <w:pPr>
        <w:pStyle w:val="BodyText"/>
        <w:spacing w:line="240" w:lineRule="auto" w:before="27"/>
        <w:ind w:left="857" w:right="0"/>
        <w:jc w:val="left"/>
      </w:pPr>
      <w:r>
        <w:rPr/>
        <w:t>报告期内，公司新增新增软件著作权</w:t>
      </w:r>
      <w:r>
        <w:rPr>
          <w:rFonts w:ascii="Times New Roman" w:hAnsi="Times New Roman" w:cs="Times New Roman" w:eastAsia="Times New Roman" w:hint="default"/>
        </w:rPr>
        <w:t>25</w:t>
      </w:r>
      <w:r>
        <w:rPr/>
        <w:t>项。截止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日，公司及子公司拥有软件著作权情况如下表：</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63"/>
        <w:gridCol w:w="1478"/>
        <w:gridCol w:w="934"/>
        <w:gridCol w:w="4258"/>
        <w:gridCol w:w="780"/>
        <w:gridCol w:w="677"/>
        <w:gridCol w:w="842"/>
        <w:gridCol w:w="850"/>
      </w:tblGrid>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72"/>
              <w:jc w:val="right"/>
              <w:rPr>
                <w:rFonts w:ascii="宋体" w:hAnsi="宋体" w:cs="宋体" w:eastAsia="宋体" w:hint="default"/>
                <w:sz w:val="15"/>
                <w:szCs w:val="15"/>
              </w:rPr>
            </w:pPr>
            <w:r>
              <w:rPr>
                <w:rFonts w:ascii="宋体" w:hAnsi="宋体" w:cs="宋体" w:eastAsia="宋体" w:hint="default"/>
                <w:b/>
                <w:bCs/>
                <w:sz w:val="15"/>
                <w:szCs w:val="15"/>
              </w:rPr>
              <w:t>序号</w:t>
            </w:r>
            <w:r>
              <w:rPr>
                <w:rFonts w:ascii="宋体" w:hAnsi="宋体" w:cs="宋体" w:eastAsia="宋体" w:hint="default"/>
                <w:sz w:val="15"/>
                <w:szCs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center"/>
              <w:rPr>
                <w:rFonts w:ascii="宋体" w:hAnsi="宋体" w:cs="宋体" w:eastAsia="宋体" w:hint="default"/>
                <w:sz w:val="15"/>
                <w:szCs w:val="15"/>
              </w:rPr>
            </w:pPr>
            <w:r>
              <w:rPr>
                <w:rFonts w:ascii="宋体" w:hAnsi="宋体" w:cs="宋体" w:eastAsia="宋体" w:hint="default"/>
                <w:b/>
                <w:bCs/>
                <w:sz w:val="15"/>
                <w:szCs w:val="15"/>
              </w:rPr>
              <w:t>编号</w:t>
            </w:r>
            <w:r>
              <w:rPr>
                <w:rFonts w:ascii="宋体" w:hAnsi="宋体" w:cs="宋体" w:eastAsia="宋体" w:hint="default"/>
                <w:sz w:val="15"/>
                <w:szCs w:val="15"/>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37" w:right="0"/>
              <w:jc w:val="left"/>
              <w:rPr>
                <w:rFonts w:ascii="宋体" w:hAnsi="宋体" w:cs="宋体" w:eastAsia="宋体" w:hint="default"/>
                <w:sz w:val="15"/>
                <w:szCs w:val="15"/>
              </w:rPr>
            </w:pPr>
            <w:r>
              <w:rPr>
                <w:rFonts w:ascii="宋体" w:hAnsi="宋体" w:cs="宋体" w:eastAsia="宋体" w:hint="default"/>
                <w:b/>
                <w:bCs/>
                <w:sz w:val="15"/>
                <w:szCs w:val="15"/>
              </w:rPr>
              <w:t>登记号</w:t>
            </w:r>
            <w:r>
              <w:rPr>
                <w:rFonts w:ascii="宋体" w:hAnsi="宋体" w:cs="宋体" w:eastAsia="宋体" w:hint="default"/>
                <w:sz w:val="15"/>
                <w:szCs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center"/>
              <w:rPr>
                <w:rFonts w:ascii="宋体" w:hAnsi="宋体" w:cs="宋体" w:eastAsia="宋体" w:hint="default"/>
                <w:sz w:val="15"/>
                <w:szCs w:val="15"/>
              </w:rPr>
            </w:pPr>
            <w:r>
              <w:rPr>
                <w:rFonts w:ascii="宋体" w:hAnsi="宋体" w:cs="宋体" w:eastAsia="宋体" w:hint="default"/>
                <w:b/>
                <w:bCs/>
                <w:sz w:val="15"/>
                <w:szCs w:val="15"/>
              </w:rPr>
              <w:t>软件名称</w:t>
            </w:r>
            <w:r>
              <w:rPr>
                <w:rFonts w:ascii="宋体" w:hAnsi="宋体" w:cs="宋体" w:eastAsia="宋体" w:hint="default"/>
                <w:sz w:val="15"/>
                <w:szCs w:val="15"/>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3" w:right="0"/>
              <w:jc w:val="left"/>
              <w:rPr>
                <w:rFonts w:ascii="宋体" w:hAnsi="宋体" w:cs="宋体" w:eastAsia="宋体" w:hint="default"/>
                <w:sz w:val="15"/>
                <w:szCs w:val="15"/>
              </w:rPr>
            </w:pPr>
            <w:r>
              <w:rPr>
                <w:rFonts w:ascii="宋体" w:hAnsi="宋体" w:cs="宋体" w:eastAsia="宋体" w:hint="default"/>
                <w:b/>
                <w:bCs/>
                <w:sz w:val="15"/>
                <w:szCs w:val="15"/>
              </w:rPr>
              <w:t>著作权人</w:t>
            </w:r>
            <w:r>
              <w:rPr>
                <w:rFonts w:ascii="宋体" w:hAnsi="宋体" w:cs="宋体" w:eastAsia="宋体" w:hint="default"/>
                <w:sz w:val="15"/>
                <w:szCs w:val="15"/>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33" w:right="0"/>
              <w:jc w:val="left"/>
              <w:rPr>
                <w:rFonts w:ascii="宋体" w:hAnsi="宋体" w:cs="宋体" w:eastAsia="宋体" w:hint="default"/>
                <w:sz w:val="15"/>
                <w:szCs w:val="15"/>
              </w:rPr>
            </w:pPr>
            <w:r>
              <w:rPr>
                <w:rFonts w:ascii="宋体" w:hAnsi="宋体" w:cs="宋体" w:eastAsia="宋体" w:hint="default"/>
                <w:b/>
                <w:bCs/>
                <w:sz w:val="15"/>
                <w:szCs w:val="15"/>
              </w:rPr>
              <w:t>取得方式</w:t>
            </w:r>
            <w:r>
              <w:rPr>
                <w:rFonts w:ascii="宋体" w:hAnsi="宋体" w:cs="宋体" w:eastAsia="宋体" w:hint="default"/>
                <w:sz w:val="15"/>
                <w:szCs w:val="15"/>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15" w:right="0"/>
              <w:jc w:val="left"/>
              <w:rPr>
                <w:rFonts w:ascii="宋体" w:hAnsi="宋体" w:cs="宋体" w:eastAsia="宋体" w:hint="default"/>
                <w:sz w:val="15"/>
                <w:szCs w:val="15"/>
              </w:rPr>
            </w:pPr>
            <w:r>
              <w:rPr>
                <w:rFonts w:ascii="宋体" w:hAnsi="宋体" w:cs="宋体" w:eastAsia="宋体" w:hint="default"/>
                <w:b/>
                <w:bCs/>
                <w:sz w:val="15"/>
                <w:szCs w:val="15"/>
              </w:rPr>
              <w:t>权利范围</w:t>
            </w:r>
            <w:r>
              <w:rPr>
                <w:rFonts w:ascii="宋体" w:hAnsi="宋体" w:cs="宋体" w:eastAsia="宋体" w:hint="default"/>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20" w:right="0"/>
              <w:jc w:val="left"/>
              <w:rPr>
                <w:rFonts w:ascii="宋体" w:hAnsi="宋体" w:cs="宋体" w:eastAsia="宋体" w:hint="default"/>
                <w:sz w:val="15"/>
                <w:szCs w:val="15"/>
              </w:rPr>
            </w:pPr>
            <w:r>
              <w:rPr>
                <w:rFonts w:ascii="宋体" w:hAnsi="宋体" w:cs="宋体" w:eastAsia="宋体" w:hint="default"/>
                <w:b/>
                <w:bCs/>
                <w:sz w:val="15"/>
                <w:szCs w:val="15"/>
              </w:rPr>
              <w:t>首发日期</w:t>
            </w:r>
            <w:r>
              <w:rPr>
                <w:rFonts w:ascii="宋体" w:hAnsi="宋体" w:cs="宋体" w:eastAsia="宋体" w:hint="default"/>
                <w:sz w:val="15"/>
                <w:szCs w:val="15"/>
              </w:rPr>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86"/>
              <w:jc w:val="right"/>
              <w:rPr>
                <w:rFonts w:ascii="宋体" w:hAnsi="宋体" w:cs="宋体" w:eastAsia="宋体" w:hint="default"/>
                <w:sz w:val="15"/>
                <w:szCs w:val="15"/>
              </w:rPr>
            </w:pPr>
            <w:r>
              <w:rPr>
                <w:rFonts w:ascii="宋体"/>
                <w:w w:val="100"/>
                <w:sz w:val="15"/>
              </w:rPr>
              <w:t>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004206</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2002SR4206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TongWeb</w:t>
            </w:r>
            <w:r>
              <w:rPr>
                <w:rFonts w:ascii="宋体" w:hAnsi="宋体" w:cs="宋体" w:eastAsia="宋体" w:hint="default"/>
                <w:sz w:val="15"/>
                <w:szCs w:val="15"/>
              </w:rPr>
              <w:t>应用服务器软件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:TongWeb)</w:t>
            </w:r>
            <w:r>
              <w:rPr>
                <w:rFonts w:ascii="宋体" w:hAnsi="宋体" w:cs="宋体" w:eastAsia="宋体" w:hint="default"/>
                <w:spacing w:val="-16"/>
                <w:sz w:val="15"/>
                <w:szCs w:val="15"/>
              </w:rPr>
              <w:t> </w:t>
            </w:r>
            <w:r>
              <w:rPr>
                <w:rFonts w:ascii="宋体" w:hAnsi="宋体" w:cs="宋体" w:eastAsia="宋体" w:hint="default"/>
                <w:sz w:val="15"/>
                <w:szCs w:val="15"/>
              </w:rPr>
              <w:t>V3.3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2002/4/11</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86"/>
              <w:jc w:val="right"/>
              <w:rPr>
                <w:rFonts w:ascii="宋体" w:hAnsi="宋体" w:cs="宋体" w:eastAsia="宋体" w:hint="default"/>
                <w:sz w:val="15"/>
                <w:szCs w:val="15"/>
              </w:rPr>
            </w:pPr>
            <w:r>
              <w:rPr>
                <w:rFonts w:ascii="宋体"/>
                <w:w w:val="100"/>
                <w:sz w:val="15"/>
              </w:rPr>
              <w:t>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004207</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2002SR4207</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TongBroker</w:t>
            </w:r>
            <w:r>
              <w:rPr>
                <w:rFonts w:ascii="宋体" w:hAnsi="宋体" w:cs="宋体" w:eastAsia="宋体" w:hint="default"/>
                <w:sz w:val="15"/>
                <w:szCs w:val="15"/>
              </w:rPr>
              <w:t>对象中间件软件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:TongBroker)</w:t>
            </w:r>
            <w:r>
              <w:rPr>
                <w:rFonts w:ascii="宋体" w:hAnsi="宋体" w:cs="宋体" w:eastAsia="宋体" w:hint="default"/>
                <w:spacing w:val="-17"/>
                <w:sz w:val="15"/>
                <w:szCs w:val="15"/>
              </w:rPr>
              <w:t> </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2001/10/2</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86"/>
              <w:jc w:val="right"/>
              <w:rPr>
                <w:rFonts w:ascii="宋体" w:hAnsi="宋体" w:cs="宋体" w:eastAsia="宋体" w:hint="default"/>
                <w:sz w:val="15"/>
                <w:szCs w:val="15"/>
              </w:rPr>
            </w:pPr>
            <w:r>
              <w:rPr>
                <w:rFonts w:ascii="宋体"/>
                <w:w w:val="100"/>
                <w:sz w:val="15"/>
              </w:rPr>
              <w:t>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004208</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2002SR4208</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TongEASY</w:t>
            </w:r>
            <w:r>
              <w:rPr>
                <w:rFonts w:ascii="宋体" w:hAnsi="宋体" w:cs="宋体" w:eastAsia="宋体" w:hint="default"/>
                <w:sz w:val="15"/>
                <w:szCs w:val="15"/>
              </w:rPr>
              <w:t>交易中间件软件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:TongEASY)</w:t>
            </w:r>
            <w:r>
              <w:rPr>
                <w:rFonts w:ascii="宋体" w:hAnsi="宋体" w:cs="宋体" w:eastAsia="宋体" w:hint="default"/>
                <w:spacing w:val="-15"/>
                <w:sz w:val="15"/>
                <w:szCs w:val="15"/>
              </w:rPr>
              <w:t> </w:t>
            </w:r>
            <w:r>
              <w:rPr>
                <w:rFonts w:ascii="宋体" w:hAnsi="宋体" w:cs="宋体" w:eastAsia="宋体" w:hint="default"/>
                <w:sz w:val="15"/>
                <w:szCs w:val="15"/>
              </w:rPr>
              <w:t>V5.1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2002/6/18</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86"/>
              <w:jc w:val="right"/>
              <w:rPr>
                <w:rFonts w:ascii="宋体" w:hAnsi="宋体" w:cs="宋体" w:eastAsia="宋体" w:hint="default"/>
                <w:sz w:val="15"/>
                <w:szCs w:val="15"/>
              </w:rPr>
            </w:pPr>
            <w:r>
              <w:rPr>
                <w:rFonts w:ascii="宋体"/>
                <w:w w:val="100"/>
                <w:sz w:val="15"/>
              </w:rPr>
              <w:t>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004209</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2002SR4209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TongLINK/Q</w:t>
            </w:r>
            <w:r>
              <w:rPr>
                <w:rFonts w:ascii="宋体" w:hAnsi="宋体" w:cs="宋体" w:eastAsia="宋体" w:hint="default"/>
                <w:sz w:val="15"/>
                <w:szCs w:val="15"/>
              </w:rPr>
              <w:t>消息中间件软件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:TongLINK/Q)</w:t>
            </w:r>
            <w:r>
              <w:rPr>
                <w:rFonts w:ascii="宋体" w:hAnsi="宋体" w:cs="宋体" w:eastAsia="宋体" w:hint="default"/>
                <w:spacing w:val="-17"/>
                <w:sz w:val="15"/>
                <w:szCs w:val="15"/>
              </w:rPr>
              <w:t> </w:t>
            </w:r>
            <w:r>
              <w:rPr>
                <w:rFonts w:ascii="宋体" w:hAnsi="宋体" w:cs="宋体" w:eastAsia="宋体" w:hint="default"/>
                <w:sz w:val="15"/>
                <w:szCs w:val="15"/>
              </w:rPr>
              <w:t>V5.0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2002/7/20</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6"/>
              <w:jc w:val="right"/>
              <w:rPr>
                <w:rFonts w:ascii="宋体" w:hAnsi="宋体" w:cs="宋体" w:eastAsia="宋体" w:hint="default"/>
                <w:sz w:val="15"/>
                <w:szCs w:val="15"/>
              </w:rPr>
            </w:pPr>
            <w:r>
              <w:rPr>
                <w:rFonts w:ascii="宋体"/>
                <w:w w:val="100"/>
                <w:sz w:val="15"/>
              </w:rPr>
              <w:t>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013060</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2003SR7969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东方通应用集成中间件软件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:TongIntegrator)</w:t>
            </w:r>
            <w:r>
              <w:rPr>
                <w:rFonts w:ascii="宋体" w:hAnsi="宋体" w:cs="宋体" w:eastAsia="宋体" w:hint="default"/>
                <w:spacing w:val="-15"/>
                <w:sz w:val="15"/>
                <w:szCs w:val="15"/>
              </w:rPr>
              <w:t> </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2003/5/8</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86"/>
              <w:jc w:val="right"/>
              <w:rPr>
                <w:rFonts w:ascii="宋体" w:hAnsi="宋体" w:cs="宋体" w:eastAsia="宋体" w:hint="default"/>
                <w:sz w:val="15"/>
                <w:szCs w:val="15"/>
              </w:rPr>
            </w:pPr>
            <w:r>
              <w:rPr>
                <w:rFonts w:ascii="宋体"/>
                <w:w w:val="100"/>
                <w:sz w:val="15"/>
              </w:rPr>
              <w:t>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BJ1066</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2004SRBJ0720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东方通通用数据传输平台软件</w:t>
            </w:r>
            <w:r>
              <w:rPr>
                <w:rFonts w:ascii="宋体" w:hAnsi="宋体" w:cs="宋体" w:eastAsia="宋体" w:hint="default"/>
                <w:sz w:val="15"/>
                <w:szCs w:val="15"/>
              </w:rPr>
              <w:t>V1.0</w:t>
            </w:r>
            <w:r>
              <w:rPr>
                <w:rFonts w:ascii="宋体" w:hAnsi="宋体" w:cs="宋体" w:eastAsia="宋体" w:hint="default"/>
                <w:sz w:val="15"/>
                <w:szCs w:val="15"/>
              </w:rPr>
              <w:t>（简称：</w:t>
            </w:r>
            <w:r>
              <w:rPr>
                <w:rFonts w:ascii="宋体" w:hAnsi="宋体" w:cs="宋体" w:eastAsia="宋体" w:hint="default"/>
                <w:sz w:val="15"/>
                <w:szCs w:val="15"/>
              </w:rPr>
              <w:t>GTP</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2004/6/15</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6"/>
              <w:jc w:val="right"/>
              <w:rPr>
                <w:rFonts w:ascii="宋体" w:hAnsi="宋体" w:cs="宋体" w:eastAsia="宋体" w:hint="default"/>
                <w:sz w:val="15"/>
                <w:szCs w:val="15"/>
              </w:rPr>
            </w:pPr>
            <w:r>
              <w:rPr>
                <w:rFonts w:ascii="宋体"/>
                <w:w w:val="100"/>
                <w:sz w:val="15"/>
              </w:rPr>
              <w:t>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BJ2037</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2005SRBJ0340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宋体" w:hAnsi="宋体" w:cs="宋体" w:eastAsia="宋体" w:hint="default"/>
                <w:sz w:val="15"/>
                <w:szCs w:val="15"/>
              </w:rPr>
              <w:t>TongWeb</w:t>
            </w:r>
            <w:r>
              <w:rPr>
                <w:rFonts w:ascii="宋体" w:hAnsi="宋体" w:cs="宋体" w:eastAsia="宋体" w:hint="default"/>
                <w:sz w:val="15"/>
                <w:szCs w:val="15"/>
              </w:rPr>
              <w:t>应用服务器软件</w:t>
            </w:r>
            <w:r>
              <w:rPr>
                <w:rFonts w:ascii="宋体" w:hAnsi="宋体" w:cs="宋体" w:eastAsia="宋体" w:hint="default"/>
                <w:sz w:val="15"/>
                <w:szCs w:val="15"/>
              </w:rPr>
              <w:t>V4.0(</w:t>
            </w:r>
            <w:r>
              <w:rPr>
                <w:rFonts w:ascii="宋体" w:hAnsi="宋体" w:cs="宋体" w:eastAsia="宋体" w:hint="default"/>
                <w:sz w:val="15"/>
                <w:szCs w:val="15"/>
              </w:rPr>
              <w:t>简称</w:t>
            </w:r>
            <w:r>
              <w:rPr>
                <w:rFonts w:ascii="宋体" w:hAnsi="宋体" w:cs="宋体" w:eastAsia="宋体" w:hint="default"/>
                <w:sz w:val="15"/>
                <w:szCs w:val="15"/>
              </w:rPr>
              <w:t>:TongWeb)</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2005/1/4</w:t>
            </w:r>
          </w:p>
        </w:tc>
      </w:tr>
      <w:tr>
        <w:trPr>
          <w:trHeight w:val="41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86"/>
              <w:jc w:val="right"/>
              <w:rPr>
                <w:rFonts w:ascii="宋体" w:hAnsi="宋体" w:cs="宋体" w:eastAsia="宋体" w:hint="default"/>
                <w:sz w:val="15"/>
                <w:szCs w:val="15"/>
              </w:rPr>
            </w:pPr>
            <w:r>
              <w:rPr>
                <w:rFonts w:ascii="宋体"/>
                <w:w w:val="100"/>
                <w:sz w:val="15"/>
              </w:rPr>
              <w:t>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BJ3150</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2005SRBJ1452</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7" w:right="1010"/>
              <w:jc w:val="left"/>
              <w:rPr>
                <w:rFonts w:ascii="宋体" w:hAnsi="宋体" w:cs="宋体" w:eastAsia="宋体" w:hint="default"/>
                <w:sz w:val="15"/>
                <w:szCs w:val="15"/>
              </w:rPr>
            </w:pPr>
            <w:r>
              <w:rPr>
                <w:rFonts w:ascii="宋体" w:hAnsi="宋体" w:cs="宋体" w:eastAsia="宋体" w:hint="default"/>
                <w:spacing w:val="-2"/>
                <w:sz w:val="15"/>
                <w:szCs w:val="15"/>
              </w:rPr>
              <w:t>东方通</w:t>
            </w:r>
            <w:r>
              <w:rPr>
                <w:rFonts w:ascii="宋体" w:hAnsi="宋体" w:cs="宋体" w:eastAsia="宋体" w:hint="default"/>
                <w:spacing w:val="-2"/>
                <w:sz w:val="15"/>
                <w:szCs w:val="15"/>
              </w:rPr>
              <w:t>TongIntegrator</w:t>
            </w:r>
            <w:r>
              <w:rPr>
                <w:rFonts w:ascii="宋体" w:hAnsi="宋体" w:cs="宋体" w:eastAsia="宋体" w:hint="default"/>
                <w:spacing w:val="-2"/>
                <w:sz w:val="15"/>
                <w:szCs w:val="15"/>
              </w:rPr>
              <w:t>集成组件</w:t>
            </w:r>
            <w:r>
              <w:rPr>
                <w:rFonts w:ascii="宋体" w:hAnsi="宋体" w:cs="宋体" w:eastAsia="宋体" w:hint="default"/>
                <w:spacing w:val="-2"/>
                <w:sz w:val="15"/>
                <w:szCs w:val="15"/>
              </w:rPr>
              <w:t>(</w:t>
            </w:r>
            <w:r>
              <w:rPr>
                <w:rFonts w:ascii="宋体" w:hAnsi="宋体" w:cs="宋体" w:eastAsia="宋体" w:hint="default"/>
                <w:spacing w:val="-2"/>
                <w:sz w:val="15"/>
                <w:szCs w:val="15"/>
              </w:rPr>
              <w:t>库</w:t>
            </w:r>
            <w:r>
              <w:rPr>
                <w:rFonts w:ascii="宋体" w:hAnsi="宋体" w:cs="宋体" w:eastAsia="宋体" w:hint="default"/>
                <w:spacing w:val="-2"/>
                <w:sz w:val="15"/>
                <w:szCs w:val="15"/>
              </w:rPr>
              <w:t>)</w:t>
            </w:r>
            <w:r>
              <w:rPr>
                <w:rFonts w:ascii="宋体" w:hAnsi="宋体" w:cs="宋体" w:eastAsia="宋体" w:hint="default"/>
                <w:spacing w:val="-2"/>
                <w:sz w:val="15"/>
                <w:szCs w:val="15"/>
              </w:rPr>
              <w:t>软件</w:t>
            </w:r>
            <w:r>
              <w:rPr>
                <w:rFonts w:ascii="宋体" w:hAnsi="宋体" w:cs="宋体" w:eastAsia="宋体" w:hint="default"/>
                <w:spacing w:val="-2"/>
                <w:sz w:val="15"/>
                <w:szCs w:val="15"/>
              </w:rPr>
              <w:t>V1.0(</w:t>
            </w:r>
            <w:r>
              <w:rPr>
                <w:rFonts w:ascii="宋体" w:hAnsi="宋体" w:cs="宋体" w:eastAsia="宋体" w:hint="default"/>
                <w:spacing w:val="-2"/>
                <w:sz w:val="15"/>
                <w:szCs w:val="15"/>
              </w:rPr>
              <w:t>简</w:t>
            </w:r>
            <w:r>
              <w:rPr>
                <w:rFonts w:ascii="宋体" w:hAnsi="宋体" w:cs="宋体" w:eastAsia="宋体" w:hint="default"/>
                <w:spacing w:val="-25"/>
                <w:sz w:val="15"/>
                <w:szCs w:val="15"/>
              </w:rPr>
              <w:t> </w:t>
            </w:r>
            <w:r>
              <w:rPr>
                <w:rFonts w:ascii="宋体" w:hAnsi="宋体" w:cs="宋体" w:eastAsia="宋体" w:hint="default"/>
                <w:sz w:val="15"/>
                <w:szCs w:val="15"/>
              </w:rPr>
              <w:t>称</w:t>
            </w:r>
            <w:r>
              <w:rPr>
                <w:rFonts w:ascii="宋体" w:hAnsi="宋体" w:cs="宋体" w:eastAsia="宋体" w:hint="default"/>
                <w:sz w:val="15"/>
                <w:szCs w:val="15"/>
              </w:rPr>
              <w:t>:TongIntegrator</w:t>
            </w:r>
            <w:r>
              <w:rPr>
                <w:rFonts w:ascii="宋体" w:hAnsi="宋体" w:cs="宋体" w:eastAsia="宋体" w:hint="default"/>
                <w:sz w:val="15"/>
                <w:szCs w:val="15"/>
              </w:rPr>
              <w:t>集成组件</w:t>
            </w:r>
            <w:r>
              <w:rPr>
                <w:rFonts w:ascii="宋体" w:hAnsi="宋体" w:cs="宋体" w:eastAsia="宋体" w:hint="default"/>
                <w:sz w:val="15"/>
                <w:szCs w:val="15"/>
              </w:rPr>
              <w:t>(</w:t>
            </w:r>
            <w:r>
              <w:rPr>
                <w:rFonts w:ascii="宋体" w:hAnsi="宋体" w:cs="宋体" w:eastAsia="宋体" w:hint="default"/>
                <w:sz w:val="15"/>
                <w:szCs w:val="15"/>
              </w:rPr>
              <w:t>库</w:t>
            </w:r>
            <w:r>
              <w:rPr>
                <w:rFonts w:ascii="宋体" w:hAnsi="宋体" w:cs="宋体" w:eastAsia="宋体" w:hint="default"/>
                <w:sz w:val="15"/>
                <w:szCs w:val="15"/>
              </w:rPr>
              <w:t>)</w:t>
            </w:r>
            <w:r>
              <w:rPr>
                <w:rFonts w:ascii="宋体" w:hAnsi="宋体" w:cs="宋体" w:eastAsia="宋体" w:hint="default"/>
                <w:sz w:val="15"/>
                <w:szCs w:val="15"/>
              </w:rPr>
              <w:t>软件</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2005/7/15</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6"/>
              <w:jc w:val="right"/>
              <w:rPr>
                <w:rFonts w:ascii="宋体" w:hAnsi="宋体" w:cs="宋体" w:eastAsia="宋体" w:hint="default"/>
                <w:sz w:val="15"/>
                <w:szCs w:val="15"/>
              </w:rPr>
            </w:pPr>
            <w:r>
              <w:rPr>
                <w:rFonts w:ascii="宋体"/>
                <w:w w:val="100"/>
                <w:sz w:val="15"/>
              </w:rPr>
              <w:t>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051498</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2006SR03832</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东方通应用集成中间件软件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:TongIntegrator)</w:t>
            </w:r>
            <w:r>
              <w:rPr>
                <w:rFonts w:ascii="宋体" w:hAnsi="宋体" w:cs="宋体" w:eastAsia="宋体" w:hint="default"/>
                <w:spacing w:val="-15"/>
                <w:sz w:val="15"/>
                <w:szCs w:val="15"/>
              </w:rPr>
              <w:t> </w:t>
            </w:r>
            <w:r>
              <w:rPr>
                <w:rFonts w:ascii="宋体" w:hAnsi="宋体" w:cs="宋体" w:eastAsia="宋体" w:hint="default"/>
                <w:sz w:val="15"/>
                <w:szCs w:val="15"/>
              </w:rPr>
              <w:t>V3.0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2006/3/5</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10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BJ4168</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2006SRBJ0360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宋体" w:hAnsi="宋体" w:cs="宋体" w:eastAsia="宋体" w:hint="default"/>
                <w:sz w:val="15"/>
                <w:szCs w:val="15"/>
              </w:rPr>
              <w:t>TongWeb</w:t>
            </w:r>
            <w:r>
              <w:rPr>
                <w:rFonts w:ascii="宋体" w:hAnsi="宋体" w:cs="宋体" w:eastAsia="宋体" w:hint="default"/>
                <w:sz w:val="15"/>
                <w:szCs w:val="15"/>
              </w:rPr>
              <w:t>应用服务器软件</w:t>
            </w:r>
            <w:r>
              <w:rPr>
                <w:rFonts w:ascii="宋体" w:hAnsi="宋体" w:cs="宋体" w:eastAsia="宋体" w:hint="default"/>
                <w:sz w:val="15"/>
                <w:szCs w:val="15"/>
              </w:rPr>
              <w:t>V4.6(</w:t>
            </w:r>
            <w:r>
              <w:rPr>
                <w:rFonts w:ascii="宋体" w:hAnsi="宋体" w:cs="宋体" w:eastAsia="宋体" w:hint="default"/>
                <w:sz w:val="15"/>
                <w:szCs w:val="15"/>
              </w:rPr>
              <w:t>简称</w:t>
            </w:r>
            <w:r>
              <w:rPr>
                <w:rFonts w:ascii="宋体" w:hAnsi="宋体" w:cs="宋体" w:eastAsia="宋体" w:hint="default"/>
                <w:sz w:val="15"/>
                <w:szCs w:val="15"/>
              </w:rPr>
              <w:t>:TongWeb)</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2006/1/26</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11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BJ6958</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2006SRBJ3152</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电子政务统一应用平台软件</w:t>
            </w:r>
            <w:r>
              <w:rPr>
                <w:rFonts w:ascii="宋体" w:hAnsi="宋体" w:cs="宋体" w:eastAsia="宋体" w:hint="default"/>
                <w:sz w:val="15"/>
                <w:szCs w:val="15"/>
              </w:rPr>
              <w:t>V1.0(</w:t>
            </w:r>
            <w:r>
              <w:rPr>
                <w:rFonts w:ascii="宋体" w:hAnsi="宋体" w:cs="宋体" w:eastAsia="宋体" w:hint="default"/>
                <w:sz w:val="15"/>
                <w:szCs w:val="15"/>
              </w:rPr>
              <w:t>简称</w:t>
            </w:r>
            <w:r>
              <w:rPr>
                <w:rFonts w:ascii="宋体" w:hAnsi="宋体" w:cs="宋体" w:eastAsia="宋体" w:hint="default"/>
                <w:sz w:val="15"/>
                <w:szCs w:val="15"/>
              </w:rPr>
              <w:t>:</w:t>
            </w:r>
            <w:r>
              <w:rPr>
                <w:rFonts w:ascii="宋体" w:hAnsi="宋体" w:cs="宋体" w:eastAsia="宋体" w:hint="default"/>
                <w:sz w:val="15"/>
                <w:szCs w:val="15"/>
              </w:rPr>
              <w:t>电子政务统一应用平台</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2006/9/28</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12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BJ9434</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2007SRBJ2462</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东方通业务流程管理套件中间件软件</w:t>
            </w:r>
            <w:r>
              <w:rPr>
                <w:rFonts w:ascii="宋体" w:hAnsi="宋体" w:cs="宋体" w:eastAsia="宋体" w:hint="default"/>
                <w:sz w:val="15"/>
                <w:szCs w:val="15"/>
              </w:rPr>
              <w:t>V1.0(</w:t>
            </w:r>
            <w:r>
              <w:rPr>
                <w:rFonts w:ascii="宋体" w:hAnsi="宋体" w:cs="宋体" w:eastAsia="宋体" w:hint="default"/>
                <w:sz w:val="15"/>
                <w:szCs w:val="15"/>
              </w:rPr>
              <w:t>简称</w:t>
            </w:r>
            <w:r>
              <w:rPr>
                <w:rFonts w:ascii="宋体" w:hAnsi="宋体" w:cs="宋体" w:eastAsia="宋体" w:hint="default"/>
                <w:sz w:val="15"/>
                <w:szCs w:val="15"/>
              </w:rPr>
              <w:t>:TongBPM)</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2004/12/25</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13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BJ9923</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2007SRBJ2951</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东方通应用集成中间件软件</w:t>
            </w:r>
            <w:r>
              <w:rPr>
                <w:rFonts w:ascii="宋体" w:hAnsi="宋体" w:cs="宋体" w:eastAsia="宋体" w:hint="default"/>
                <w:sz w:val="15"/>
                <w:szCs w:val="15"/>
              </w:rPr>
              <w:t>V3.5(</w:t>
            </w:r>
            <w:r>
              <w:rPr>
                <w:rFonts w:ascii="宋体" w:hAnsi="宋体" w:cs="宋体" w:eastAsia="宋体" w:hint="default"/>
                <w:sz w:val="15"/>
                <w:szCs w:val="15"/>
              </w:rPr>
              <w:t>简称</w:t>
            </w:r>
            <w:r>
              <w:rPr>
                <w:rFonts w:ascii="宋体" w:hAnsi="宋体" w:cs="宋体" w:eastAsia="宋体" w:hint="default"/>
                <w:sz w:val="15"/>
                <w:szCs w:val="15"/>
              </w:rPr>
              <w:t>:TongIntegrator)</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2007/6/1</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6"/>
              <w:jc w:val="right"/>
              <w:rPr>
                <w:rFonts w:ascii="宋体" w:hAnsi="宋体" w:cs="宋体" w:eastAsia="宋体" w:hint="default"/>
                <w:sz w:val="15"/>
                <w:szCs w:val="15"/>
              </w:rPr>
            </w:pPr>
            <w:r>
              <w:rPr>
                <w:rFonts w:ascii="宋体"/>
                <w:sz w:val="15"/>
              </w:rPr>
              <w:t>14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BJ23427</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2009SRBJ6421</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东方通消息中间件软件</w:t>
            </w:r>
            <w:r>
              <w:rPr>
                <w:rFonts w:ascii="宋体" w:hAnsi="宋体" w:cs="宋体" w:eastAsia="宋体" w:hint="default"/>
                <w:sz w:val="15"/>
                <w:szCs w:val="15"/>
              </w:rPr>
              <w:t>V6.3[</w:t>
            </w:r>
            <w:r>
              <w:rPr>
                <w:rFonts w:ascii="宋体" w:hAnsi="宋体" w:cs="宋体" w:eastAsia="宋体" w:hint="default"/>
                <w:sz w:val="15"/>
                <w:szCs w:val="15"/>
              </w:rPr>
              <w:t>简称：</w:t>
            </w:r>
            <w:r>
              <w:rPr>
                <w:rFonts w:ascii="宋体" w:hAnsi="宋体" w:cs="宋体" w:eastAsia="宋体" w:hint="default"/>
                <w:sz w:val="15"/>
                <w:szCs w:val="15"/>
              </w:rPr>
              <w:t>TongLINK/Q]</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2005/4/1</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15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BJ24085</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2009SRBJ7079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东方通消息中间件软件</w:t>
            </w:r>
            <w:r>
              <w:rPr>
                <w:rFonts w:ascii="宋体" w:hAnsi="宋体" w:cs="宋体" w:eastAsia="宋体" w:hint="default"/>
                <w:sz w:val="15"/>
                <w:szCs w:val="15"/>
              </w:rPr>
              <w:t>V7.1(</w:t>
            </w:r>
            <w:r>
              <w:rPr>
                <w:rFonts w:ascii="宋体" w:hAnsi="宋体" w:cs="宋体" w:eastAsia="宋体" w:hint="default"/>
                <w:sz w:val="15"/>
                <w:szCs w:val="15"/>
              </w:rPr>
              <w:t>简称</w:t>
            </w:r>
            <w:r>
              <w:rPr>
                <w:rFonts w:ascii="宋体" w:hAnsi="宋体" w:cs="宋体" w:eastAsia="宋体" w:hint="default"/>
                <w:sz w:val="15"/>
                <w:szCs w:val="15"/>
              </w:rPr>
              <w:t>:TongLINK/Q)</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2009/9/30</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6"/>
              <w:jc w:val="right"/>
              <w:rPr>
                <w:rFonts w:ascii="宋体" w:hAnsi="宋体" w:cs="宋体" w:eastAsia="宋体" w:hint="default"/>
                <w:sz w:val="15"/>
                <w:szCs w:val="15"/>
              </w:rPr>
            </w:pPr>
            <w:r>
              <w:rPr>
                <w:rFonts w:ascii="宋体"/>
                <w:sz w:val="15"/>
              </w:rPr>
              <w:t>16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BJ24222</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2009SRBJ7216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东方通应用集成中间件软件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:TongIntegrator)</w:t>
            </w:r>
            <w:r>
              <w:rPr>
                <w:rFonts w:ascii="宋体" w:hAnsi="宋体" w:cs="宋体" w:eastAsia="宋体" w:hint="default"/>
                <w:spacing w:val="-15"/>
                <w:sz w:val="15"/>
                <w:szCs w:val="15"/>
              </w:rPr>
              <w:t> </w:t>
            </w:r>
            <w:r>
              <w:rPr>
                <w:rFonts w:ascii="宋体" w:hAnsi="宋体" w:cs="宋体" w:eastAsia="宋体" w:hint="default"/>
                <w:sz w:val="15"/>
                <w:szCs w:val="15"/>
              </w:rPr>
              <w:t>V3.6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2009/4/30</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17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BJ25184</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2009SRBJ8178</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东方通应用服务器软件</w:t>
            </w:r>
            <w:r>
              <w:rPr>
                <w:rFonts w:ascii="宋体" w:hAnsi="宋体" w:cs="宋体" w:eastAsia="宋体" w:hint="default"/>
                <w:spacing w:val="-8"/>
                <w:sz w:val="15"/>
                <w:szCs w:val="15"/>
              </w:rPr>
              <w:t> </w:t>
            </w:r>
            <w:r>
              <w:rPr>
                <w:rFonts w:ascii="宋体" w:hAnsi="宋体" w:cs="宋体" w:eastAsia="宋体" w:hint="default"/>
                <w:sz w:val="15"/>
                <w:szCs w:val="15"/>
              </w:rPr>
              <w:t>V5.0</w:t>
            </w:r>
            <w:r>
              <w:rPr>
                <w:rFonts w:ascii="宋体" w:hAnsi="宋体" w:cs="宋体" w:eastAsia="宋体" w:hint="default"/>
                <w:sz w:val="15"/>
                <w:szCs w:val="15"/>
              </w:rPr>
              <w:t>（简称：</w:t>
            </w:r>
            <w:r>
              <w:rPr>
                <w:rFonts w:ascii="宋体" w:hAnsi="宋体" w:cs="宋体" w:eastAsia="宋体" w:hint="default"/>
                <w:sz w:val="15"/>
                <w:szCs w:val="15"/>
              </w:rPr>
              <w:t>TongWeb</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2009/11/30</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6"/>
              <w:jc w:val="right"/>
              <w:rPr>
                <w:rFonts w:ascii="宋体" w:hAnsi="宋体" w:cs="宋体" w:eastAsia="宋体" w:hint="default"/>
                <w:sz w:val="15"/>
                <w:szCs w:val="15"/>
              </w:rPr>
            </w:pPr>
            <w:r>
              <w:rPr>
                <w:rFonts w:ascii="宋体"/>
                <w:sz w:val="15"/>
              </w:rPr>
              <w:t>18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BJ27009</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2010SRBJ1626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东方通外网文件传输平台中间件软件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TongWTP)V3.0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2010/2/5</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19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BJ27344</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2010SRBJ1961</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东方通通用文件传输平台软件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TongGTP)</w:t>
            </w:r>
            <w:r>
              <w:rPr>
                <w:rFonts w:ascii="宋体" w:hAnsi="宋体" w:cs="宋体" w:eastAsia="宋体" w:hint="default"/>
                <w:spacing w:val="-11"/>
                <w:sz w:val="15"/>
                <w:szCs w:val="15"/>
              </w:rPr>
              <w:t> </w:t>
            </w:r>
            <w:r>
              <w:rPr>
                <w:rFonts w:ascii="宋体" w:hAnsi="宋体" w:cs="宋体" w:eastAsia="宋体" w:hint="default"/>
                <w:sz w:val="15"/>
                <w:szCs w:val="15"/>
              </w:rPr>
              <w:t>V5.1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2010/3/18</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20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BJ28327</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2010SRBJ2944</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东方通消息中间件软件</w:t>
            </w:r>
            <w:r>
              <w:rPr>
                <w:rFonts w:ascii="宋体" w:hAnsi="宋体" w:cs="宋体" w:eastAsia="宋体" w:hint="default"/>
                <w:sz w:val="15"/>
                <w:szCs w:val="15"/>
              </w:rPr>
              <w:t>V7.2(</w:t>
            </w:r>
            <w:r>
              <w:rPr>
                <w:rFonts w:ascii="宋体" w:hAnsi="宋体" w:cs="宋体" w:eastAsia="宋体" w:hint="default"/>
                <w:sz w:val="15"/>
                <w:szCs w:val="15"/>
              </w:rPr>
              <w:t>简称</w:t>
            </w:r>
            <w:r>
              <w:rPr>
                <w:rFonts w:ascii="宋体" w:hAnsi="宋体" w:cs="宋体" w:eastAsia="宋体" w:hint="default"/>
                <w:sz w:val="15"/>
                <w:szCs w:val="15"/>
              </w:rPr>
              <w:t>:TongLINK/Q)</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2010/5/14</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21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BJ30221</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2010SRBJ4838</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东方通通用文件传输平台软件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TongGTP)</w:t>
            </w:r>
            <w:r>
              <w:rPr>
                <w:rFonts w:ascii="宋体" w:hAnsi="宋体" w:cs="宋体" w:eastAsia="宋体" w:hint="default"/>
                <w:spacing w:val="-11"/>
                <w:sz w:val="15"/>
                <w:szCs w:val="15"/>
              </w:rPr>
              <w:t> </w:t>
            </w:r>
            <w:r>
              <w:rPr>
                <w:rFonts w:ascii="宋体" w:hAnsi="宋体" w:cs="宋体" w:eastAsia="宋体" w:hint="default"/>
                <w:sz w:val="15"/>
                <w:szCs w:val="15"/>
              </w:rPr>
              <w:t>V5.2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2010/8/2</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22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BJ31187</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2010SRBJ5804</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东方通应用集成中间件软件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:TongIntegrator)</w:t>
            </w:r>
            <w:r>
              <w:rPr>
                <w:rFonts w:ascii="宋体" w:hAnsi="宋体" w:cs="宋体" w:eastAsia="宋体" w:hint="default"/>
                <w:spacing w:val="-15"/>
                <w:sz w:val="15"/>
                <w:szCs w:val="15"/>
              </w:rPr>
              <w:t> </w:t>
            </w:r>
            <w:r>
              <w:rPr>
                <w:rFonts w:ascii="宋体" w:hAnsi="宋体" w:cs="宋体" w:eastAsia="宋体" w:hint="default"/>
                <w:sz w:val="15"/>
                <w:szCs w:val="15"/>
              </w:rPr>
              <w:t>V4.0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2010/9/21</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6"/>
              <w:jc w:val="right"/>
              <w:rPr>
                <w:rFonts w:ascii="宋体" w:hAnsi="宋体" w:cs="宋体" w:eastAsia="宋体" w:hint="default"/>
                <w:sz w:val="15"/>
                <w:szCs w:val="15"/>
              </w:rPr>
            </w:pPr>
            <w:r>
              <w:rPr>
                <w:rFonts w:ascii="宋体"/>
                <w:sz w:val="15"/>
              </w:rPr>
              <w:t>23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BJ32013</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2010SRBJ6630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东方通统一中间件管理平台软件（简称：</w:t>
            </w:r>
            <w:r>
              <w:rPr>
                <w:rFonts w:ascii="宋体" w:hAnsi="宋体" w:cs="宋体" w:eastAsia="宋体" w:hint="default"/>
                <w:sz w:val="15"/>
                <w:szCs w:val="15"/>
              </w:rPr>
              <w:t>TongIMP</w:t>
            </w:r>
            <w:r>
              <w:rPr>
                <w:rFonts w:ascii="宋体" w:hAnsi="宋体" w:cs="宋体" w:eastAsia="宋体" w:hint="default"/>
                <w:sz w:val="15"/>
                <w:szCs w:val="15"/>
              </w:rPr>
              <w:t>）</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2010/8/3</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24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BJ32012</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2010SRBJ6629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东方通交易中间件软件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:TongEASY)</w:t>
            </w:r>
            <w:r>
              <w:rPr>
                <w:rFonts w:ascii="宋体" w:hAnsi="宋体" w:cs="宋体" w:eastAsia="宋体" w:hint="default"/>
                <w:spacing w:val="-13"/>
                <w:sz w:val="15"/>
                <w:szCs w:val="15"/>
              </w:rPr>
              <w:t> </w:t>
            </w:r>
            <w:r>
              <w:rPr>
                <w:rFonts w:ascii="宋体" w:hAnsi="宋体" w:cs="宋体" w:eastAsia="宋体" w:hint="default"/>
                <w:sz w:val="15"/>
                <w:szCs w:val="15"/>
              </w:rPr>
              <w:t>V5.3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2010/10/28</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6"/>
              <w:jc w:val="right"/>
              <w:rPr>
                <w:rFonts w:ascii="宋体" w:hAnsi="宋体" w:cs="宋体" w:eastAsia="宋体" w:hint="default"/>
                <w:sz w:val="15"/>
                <w:szCs w:val="15"/>
              </w:rPr>
            </w:pPr>
            <w:r>
              <w:rPr>
                <w:rFonts w:ascii="宋体"/>
                <w:sz w:val="15"/>
              </w:rPr>
              <w:t>25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0293608</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2011SR029934</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TongLINK/Q</w:t>
            </w:r>
            <w:r>
              <w:rPr>
                <w:rFonts w:ascii="宋体" w:hAnsi="宋体" w:cs="宋体" w:eastAsia="宋体" w:hint="default"/>
                <w:sz w:val="15"/>
                <w:szCs w:val="15"/>
              </w:rPr>
              <w:t>消息中间件软件（简称：</w:t>
            </w:r>
            <w:r>
              <w:rPr>
                <w:rFonts w:ascii="宋体" w:hAnsi="宋体" w:cs="宋体" w:eastAsia="宋体" w:hint="default"/>
                <w:sz w:val="15"/>
                <w:szCs w:val="15"/>
              </w:rPr>
              <w:t>TongLINK/Q</w:t>
            </w:r>
            <w:r>
              <w:rPr>
                <w:rFonts w:ascii="宋体" w:hAnsi="宋体" w:cs="宋体" w:eastAsia="宋体" w:hint="default"/>
                <w:sz w:val="15"/>
                <w:szCs w:val="15"/>
              </w:rPr>
              <w:t>）</w:t>
            </w:r>
            <w:r>
              <w:rPr>
                <w:rFonts w:ascii="宋体" w:hAnsi="宋体" w:cs="宋体" w:eastAsia="宋体" w:hint="default"/>
                <w:sz w:val="15"/>
                <w:szCs w:val="15"/>
              </w:rPr>
              <w:t>v7.0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受让</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2011/5/19</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26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BJ33911</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2011SRBJ1790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东方通消息中间件软件（简称：</w:t>
            </w:r>
            <w:r>
              <w:rPr>
                <w:rFonts w:ascii="宋体" w:hAnsi="宋体" w:cs="宋体" w:eastAsia="宋体" w:hint="default"/>
                <w:sz w:val="15"/>
                <w:szCs w:val="15"/>
              </w:rPr>
              <w:t>TongLINK/Q</w:t>
            </w:r>
            <w:r>
              <w:rPr>
                <w:rFonts w:ascii="宋体" w:hAnsi="宋体" w:cs="宋体" w:eastAsia="宋体" w:hint="default"/>
                <w:sz w:val="15"/>
                <w:szCs w:val="15"/>
              </w:rPr>
              <w:t>）</w:t>
            </w:r>
            <w:r>
              <w:rPr>
                <w:rFonts w:ascii="宋体" w:hAnsi="宋体" w:cs="宋体" w:eastAsia="宋体" w:hint="default"/>
                <w:sz w:val="15"/>
                <w:szCs w:val="15"/>
              </w:rPr>
              <w:t>v8.0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2011/3/28</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6"/>
              <w:jc w:val="right"/>
              <w:rPr>
                <w:rFonts w:ascii="宋体" w:hAnsi="宋体" w:cs="宋体" w:eastAsia="宋体" w:hint="default"/>
                <w:sz w:val="15"/>
                <w:szCs w:val="15"/>
              </w:rPr>
            </w:pPr>
            <w:r>
              <w:rPr>
                <w:rFonts w:ascii="宋体"/>
                <w:sz w:val="15"/>
              </w:rPr>
              <w:t>27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BJ33912</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2011SRBJ1791</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东方通通用文件传输平台软件（简称：</w:t>
            </w:r>
            <w:r>
              <w:rPr>
                <w:rFonts w:ascii="宋体" w:hAnsi="宋体" w:cs="宋体" w:eastAsia="宋体" w:hint="default"/>
                <w:sz w:val="15"/>
                <w:szCs w:val="15"/>
              </w:rPr>
              <w:t>TongGTP</w:t>
            </w:r>
            <w:r>
              <w:rPr>
                <w:rFonts w:ascii="宋体" w:hAnsi="宋体" w:cs="宋体" w:eastAsia="宋体" w:hint="default"/>
                <w:sz w:val="15"/>
                <w:szCs w:val="15"/>
              </w:rPr>
              <w:t>）</w:t>
            </w:r>
            <w:r>
              <w:rPr>
                <w:rFonts w:ascii="宋体" w:hAnsi="宋体" w:cs="宋体" w:eastAsia="宋体" w:hint="default"/>
                <w:spacing w:val="-13"/>
                <w:sz w:val="15"/>
                <w:szCs w:val="15"/>
              </w:rPr>
              <w:t> </w:t>
            </w:r>
            <w:r>
              <w:rPr>
                <w:rFonts w:ascii="宋体" w:hAnsi="宋体" w:cs="宋体" w:eastAsia="宋体" w:hint="default"/>
                <w:sz w:val="15"/>
                <w:szCs w:val="15"/>
              </w:rPr>
              <w:t>v6.0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2011/3/24</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28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BJ33224</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2011SRBJ1103</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pacing w:val="-2"/>
                <w:sz w:val="15"/>
                <w:szCs w:val="15"/>
              </w:rPr>
              <w:t>东方通集成开发工具软件（简称：</w:t>
            </w:r>
            <w:r>
              <w:rPr>
                <w:rFonts w:ascii="宋体" w:hAnsi="宋体" w:cs="宋体" w:eastAsia="宋体" w:hint="default"/>
                <w:spacing w:val="-2"/>
                <w:sz w:val="15"/>
                <w:szCs w:val="15"/>
              </w:rPr>
              <w:t>TongIntegratedStdio</w:t>
            </w:r>
            <w:r>
              <w:rPr>
                <w:rFonts w:ascii="宋体" w:hAnsi="宋体" w:cs="宋体" w:eastAsia="宋体" w:hint="default"/>
                <w:spacing w:val="-2"/>
                <w:sz w:val="15"/>
                <w:szCs w:val="15"/>
              </w:rPr>
              <w:t>）</w:t>
            </w:r>
            <w:r>
              <w:rPr>
                <w:rFonts w:ascii="宋体" w:hAnsi="宋体" w:cs="宋体" w:eastAsia="宋体" w:hint="default"/>
                <w:spacing w:val="58"/>
                <w:sz w:val="15"/>
                <w:szCs w:val="15"/>
              </w:rPr>
              <w:t> </w:t>
            </w:r>
            <w:r>
              <w:rPr>
                <w:rFonts w:ascii="宋体" w:hAnsi="宋体" w:cs="宋体" w:eastAsia="宋体" w:hint="default"/>
                <w:spacing w:val="-2"/>
                <w:sz w:val="15"/>
                <w:szCs w:val="15"/>
              </w:rPr>
              <w:t>v1.0</w:t>
            </w:r>
            <w:r>
              <w:rPr>
                <w:rFonts w:ascii="宋体" w:hAnsi="宋体" w:cs="宋体" w:eastAsia="宋体" w:hint="default"/>
                <w:sz w:val="15"/>
                <w:szCs w:val="15"/>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2010/10/31</w:t>
            </w:r>
          </w:p>
        </w:tc>
      </w:tr>
      <w:tr>
        <w:trPr>
          <w:trHeight w:val="41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46"/>
              <w:jc w:val="right"/>
              <w:rPr>
                <w:rFonts w:ascii="宋体" w:hAnsi="宋体" w:cs="宋体" w:eastAsia="宋体" w:hint="default"/>
                <w:sz w:val="15"/>
                <w:szCs w:val="15"/>
              </w:rPr>
            </w:pPr>
            <w:r>
              <w:rPr>
                <w:rFonts w:ascii="宋体"/>
                <w:sz w:val="15"/>
              </w:rPr>
              <w:t>29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0198655</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sz w:val="15"/>
              </w:rPr>
              <w:t>2010SR010382</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7" w:right="36"/>
              <w:jc w:val="left"/>
              <w:rPr>
                <w:rFonts w:ascii="宋体" w:hAnsi="宋体" w:cs="宋体" w:eastAsia="宋体" w:hint="default"/>
                <w:sz w:val="15"/>
                <w:szCs w:val="15"/>
              </w:rPr>
            </w:pPr>
            <w:r>
              <w:rPr>
                <w:rFonts w:ascii="宋体" w:hAnsi="宋体" w:cs="宋体" w:eastAsia="宋体" w:hint="default"/>
                <w:spacing w:val="-2"/>
                <w:sz w:val="15"/>
                <w:szCs w:val="15"/>
              </w:rPr>
              <w:t>村镇中小企业科技服务平台信息系统（简称：中小企业科技服务</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平台）</w:t>
            </w:r>
            <w:r>
              <w:rPr>
                <w:rFonts w:ascii="宋体" w:hAnsi="宋体" w:cs="宋体" w:eastAsia="宋体" w:hint="default"/>
                <w:spacing w:val="-2"/>
                <w:sz w:val="15"/>
                <w:szCs w:val="15"/>
              </w:rPr>
              <w:t> </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sz w:val="15"/>
              </w:rPr>
              <w:t>2010/1/19</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30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BJ38389</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2012SRBJ1238</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pacing w:val="-2"/>
                <w:sz w:val="15"/>
                <w:szCs w:val="15"/>
              </w:rPr>
              <w:t>东方通实时传输中间件软件（简称：</w:t>
            </w:r>
            <w:r>
              <w:rPr>
                <w:rFonts w:ascii="宋体" w:hAnsi="宋体" w:cs="宋体" w:eastAsia="宋体" w:hint="default"/>
                <w:spacing w:val="-2"/>
                <w:sz w:val="15"/>
                <w:szCs w:val="15"/>
              </w:rPr>
              <w:t>TongLINK</w:t>
            </w:r>
            <w:r>
              <w:rPr>
                <w:rFonts w:ascii="宋体" w:hAnsi="宋体" w:cs="宋体" w:eastAsia="宋体" w:hint="default"/>
                <w:spacing w:val="57"/>
                <w:sz w:val="15"/>
                <w:szCs w:val="15"/>
              </w:rPr>
              <w:t> </w:t>
            </w:r>
            <w:r>
              <w:rPr>
                <w:rFonts w:ascii="宋体" w:hAnsi="宋体" w:cs="宋体" w:eastAsia="宋体" w:hint="default"/>
                <w:spacing w:val="-2"/>
                <w:sz w:val="15"/>
                <w:szCs w:val="15"/>
              </w:rPr>
              <w:t>Real-Time</w:t>
            </w:r>
            <w:r>
              <w:rPr>
                <w:rFonts w:ascii="宋体" w:hAnsi="宋体" w:cs="宋体" w:eastAsia="宋体" w:hint="default"/>
                <w:spacing w:val="-2"/>
                <w:sz w:val="15"/>
                <w:szCs w:val="15"/>
              </w:rPr>
              <w:t>）</w:t>
            </w:r>
            <w:r>
              <w:rPr>
                <w:rFonts w:ascii="宋体" w:hAnsi="宋体" w:cs="宋体" w:eastAsia="宋体" w:hint="default"/>
                <w:spacing w:val="-2"/>
                <w:sz w:val="15"/>
                <w:szCs w:val="15"/>
              </w:rPr>
              <w:t>V8.0</w:t>
            </w:r>
            <w:r>
              <w:rPr>
                <w:rFonts w:ascii="宋体" w:hAnsi="宋体" w:cs="宋体" w:eastAsia="宋体" w:hint="default"/>
                <w:sz w:val="15"/>
                <w:szCs w:val="15"/>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2012/6/1</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31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BJ38680</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2013SRBJ0027</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宋体" w:hAnsi="宋体" w:cs="宋体" w:eastAsia="宋体" w:hint="default"/>
                <w:sz w:val="15"/>
                <w:szCs w:val="15"/>
              </w:rPr>
              <w:t>ETL</w:t>
            </w:r>
            <w:r>
              <w:rPr>
                <w:rFonts w:ascii="宋体" w:hAnsi="宋体" w:cs="宋体" w:eastAsia="宋体" w:hint="default"/>
                <w:sz w:val="15"/>
                <w:szCs w:val="15"/>
              </w:rPr>
              <w:t>工具软件（简称：</w:t>
            </w:r>
            <w:r>
              <w:rPr>
                <w:rFonts w:ascii="宋体" w:hAnsi="宋体" w:cs="宋体" w:eastAsia="宋体" w:hint="default"/>
                <w:sz w:val="15"/>
                <w:szCs w:val="15"/>
              </w:rPr>
              <w:t>TI-ETL</w:t>
            </w:r>
            <w:r>
              <w:rPr>
                <w:rFonts w:ascii="宋体" w:hAnsi="宋体" w:cs="宋体" w:eastAsia="宋体" w:hint="default"/>
                <w:sz w:val="15"/>
                <w:szCs w:val="15"/>
              </w:rPr>
              <w:t>）</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2013/9/3</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6"/>
              <w:jc w:val="right"/>
              <w:rPr>
                <w:rFonts w:ascii="宋体" w:hAnsi="宋体" w:cs="宋体" w:eastAsia="宋体" w:hint="default"/>
                <w:sz w:val="15"/>
                <w:szCs w:val="15"/>
              </w:rPr>
            </w:pPr>
            <w:r>
              <w:rPr>
                <w:rFonts w:ascii="宋体"/>
                <w:sz w:val="15"/>
              </w:rPr>
              <w:t>32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BJ38689</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2013SRBJ0026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东方通数据交换平台软件（简称：</w:t>
            </w:r>
            <w:r>
              <w:rPr>
                <w:rFonts w:ascii="宋体" w:hAnsi="宋体" w:cs="宋体" w:eastAsia="宋体" w:hint="default"/>
                <w:sz w:val="15"/>
                <w:szCs w:val="15"/>
              </w:rPr>
              <w:t>TI-DXP</w:t>
            </w:r>
            <w:r>
              <w:rPr>
                <w:rFonts w:ascii="宋体" w:hAnsi="宋体" w:cs="宋体" w:eastAsia="宋体" w:hint="default"/>
                <w:sz w:val="15"/>
                <w:szCs w:val="15"/>
              </w:rPr>
              <w:t>）</w:t>
            </w:r>
            <w:r>
              <w:rPr>
                <w:rFonts w:ascii="宋体" w:hAnsi="宋体" w:cs="宋体" w:eastAsia="宋体" w:hint="default"/>
                <w:sz w:val="15"/>
                <w:szCs w:val="15"/>
              </w:rPr>
              <w:t>V2.0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2013/9/7</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33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BJ38726</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2013SRBJ0010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东方通外网文件传输平台中间件软件（简称：</w:t>
            </w:r>
            <w:r>
              <w:rPr>
                <w:rFonts w:ascii="宋体" w:hAnsi="宋体" w:cs="宋体" w:eastAsia="宋体" w:hint="default"/>
                <w:sz w:val="15"/>
                <w:szCs w:val="15"/>
              </w:rPr>
              <w:t>TongWTP</w:t>
            </w:r>
            <w:r>
              <w:rPr>
                <w:rFonts w:ascii="宋体" w:hAnsi="宋体" w:cs="宋体" w:eastAsia="宋体" w:hint="default"/>
                <w:sz w:val="15"/>
                <w:szCs w:val="15"/>
              </w:rPr>
              <w:t>）</w:t>
            </w:r>
            <w:r>
              <w:rPr>
                <w:rFonts w:ascii="宋体" w:hAnsi="宋体" w:cs="宋体" w:eastAsia="宋体" w:hint="default"/>
                <w:sz w:val="15"/>
                <w:szCs w:val="15"/>
              </w:rPr>
              <w:t>V4.0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2013/10/1</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6"/>
              <w:jc w:val="right"/>
              <w:rPr>
                <w:rFonts w:ascii="宋体" w:hAnsi="宋体" w:cs="宋体" w:eastAsia="宋体" w:hint="default"/>
                <w:sz w:val="15"/>
                <w:szCs w:val="15"/>
              </w:rPr>
            </w:pPr>
            <w:r>
              <w:rPr>
                <w:rFonts w:ascii="宋体"/>
                <w:sz w:val="15"/>
              </w:rPr>
              <w:t>34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BJ38688</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2013SRBJ0004</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东方通数据交换工具软件（简称：</w:t>
            </w:r>
            <w:r>
              <w:rPr>
                <w:rFonts w:ascii="宋体" w:hAnsi="宋体" w:cs="宋体" w:eastAsia="宋体" w:hint="default"/>
                <w:sz w:val="15"/>
                <w:szCs w:val="15"/>
              </w:rPr>
              <w:t>TI-DX</w:t>
            </w:r>
            <w:r>
              <w:rPr>
                <w:rFonts w:ascii="宋体" w:hAnsi="宋体" w:cs="宋体" w:eastAsia="宋体" w:hint="default"/>
                <w:sz w:val="15"/>
                <w:szCs w:val="15"/>
              </w:rPr>
              <w:t>）</w:t>
            </w:r>
            <w:r>
              <w:rPr>
                <w:rFonts w:ascii="宋体" w:hAnsi="宋体" w:cs="宋体" w:eastAsia="宋体" w:hint="default"/>
                <w:sz w:val="15"/>
                <w:szCs w:val="15"/>
              </w:rPr>
              <w:t>V2.0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2013/9/7</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6"/>
              <w:jc w:val="right"/>
              <w:rPr>
                <w:rFonts w:ascii="宋体" w:hAnsi="宋体" w:cs="宋体" w:eastAsia="宋体" w:hint="default"/>
                <w:sz w:val="15"/>
                <w:szCs w:val="15"/>
              </w:rPr>
            </w:pPr>
            <w:r>
              <w:rPr>
                <w:rFonts w:ascii="宋体"/>
                <w:sz w:val="15"/>
              </w:rPr>
              <w:t>35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0538478</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2013SRO32716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东方通应用集成</w:t>
            </w:r>
            <w:r>
              <w:rPr>
                <w:rFonts w:ascii="宋体" w:hAnsi="宋体" w:cs="宋体" w:eastAsia="宋体" w:hint="default"/>
                <w:sz w:val="15"/>
                <w:szCs w:val="15"/>
              </w:rPr>
              <w:t>SOA</w:t>
            </w:r>
            <w:r>
              <w:rPr>
                <w:rFonts w:ascii="宋体" w:hAnsi="宋体" w:cs="宋体" w:eastAsia="宋体" w:hint="default"/>
                <w:sz w:val="15"/>
                <w:szCs w:val="15"/>
              </w:rPr>
              <w:t>装配组建软件（简称：</w:t>
            </w:r>
            <w:r>
              <w:rPr>
                <w:rFonts w:ascii="宋体" w:hAnsi="宋体" w:cs="宋体" w:eastAsia="宋体" w:hint="default"/>
                <w:sz w:val="15"/>
                <w:szCs w:val="15"/>
              </w:rPr>
              <w:t>TI-SOAAC</w:t>
            </w:r>
            <w:r>
              <w:rPr>
                <w:rFonts w:ascii="宋体" w:hAnsi="宋体" w:cs="宋体" w:eastAsia="宋体" w:hint="default"/>
                <w:sz w:val="15"/>
                <w:szCs w:val="15"/>
              </w:rPr>
              <w:t>）</w:t>
            </w:r>
            <w:r>
              <w:rPr>
                <w:rFonts w:ascii="宋体" w:hAnsi="宋体" w:cs="宋体" w:eastAsia="宋体" w:hint="default"/>
                <w:sz w:val="15"/>
                <w:szCs w:val="15"/>
              </w:rPr>
              <w:t>V5.0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2013/1/31</w:t>
            </w:r>
          </w:p>
        </w:tc>
      </w:tr>
    </w:tbl>
    <w:p>
      <w:pPr>
        <w:spacing w:after="0" w:line="182" w:lineRule="exact"/>
        <w:jc w:val="left"/>
        <w:rPr>
          <w:rFonts w:ascii="宋体" w:hAnsi="宋体" w:cs="宋体" w:eastAsia="宋体" w:hint="default"/>
          <w:sz w:val="15"/>
          <w:szCs w:val="15"/>
        </w:rPr>
        <w:sectPr>
          <w:pgSz w:w="11910" w:h="16840"/>
          <w:pgMar w:header="745" w:footer="982" w:top="1060" w:bottom="118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63"/>
        <w:gridCol w:w="1478"/>
        <w:gridCol w:w="934"/>
        <w:gridCol w:w="4258"/>
        <w:gridCol w:w="780"/>
        <w:gridCol w:w="677"/>
        <w:gridCol w:w="842"/>
        <w:gridCol w:w="850"/>
      </w:tblGrid>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36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BJ38974</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2013SRBJ0297</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东方通企业服务总线软件（简称：</w:t>
            </w:r>
            <w:r>
              <w:rPr>
                <w:rFonts w:ascii="宋体" w:hAnsi="宋体" w:cs="宋体" w:eastAsia="宋体" w:hint="default"/>
                <w:sz w:val="15"/>
                <w:szCs w:val="15"/>
              </w:rPr>
              <w:t>TI-ESB</w:t>
            </w:r>
            <w:r>
              <w:rPr>
                <w:rFonts w:ascii="宋体" w:hAnsi="宋体" w:cs="宋体" w:eastAsia="宋体" w:hint="default"/>
                <w:sz w:val="15"/>
                <w:szCs w:val="15"/>
              </w:rPr>
              <w:t>）</w:t>
            </w:r>
            <w:r>
              <w:rPr>
                <w:rFonts w:ascii="宋体" w:hAnsi="宋体" w:cs="宋体" w:eastAsia="宋体" w:hint="default"/>
                <w:sz w:val="15"/>
                <w:szCs w:val="15"/>
              </w:rPr>
              <w:t>V5.0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2013/1/7</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37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BJ39746</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2014SRBJ0189</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宋体" w:hAnsi="宋体" w:cs="宋体" w:eastAsia="宋体" w:hint="default"/>
                <w:sz w:val="15"/>
                <w:szCs w:val="15"/>
              </w:rPr>
              <w:t>ETL</w:t>
            </w:r>
            <w:r>
              <w:rPr>
                <w:rFonts w:ascii="宋体" w:hAnsi="宋体" w:cs="宋体" w:eastAsia="宋体" w:hint="default"/>
                <w:sz w:val="15"/>
                <w:szCs w:val="15"/>
              </w:rPr>
              <w:t>工具软件（简称：</w:t>
            </w:r>
            <w:r>
              <w:rPr>
                <w:rFonts w:ascii="宋体" w:hAnsi="宋体" w:cs="宋体" w:eastAsia="宋体" w:hint="default"/>
                <w:sz w:val="15"/>
                <w:szCs w:val="15"/>
              </w:rPr>
              <w:t>TI-ETL</w:t>
            </w:r>
            <w:r>
              <w:rPr>
                <w:rFonts w:ascii="宋体" w:hAnsi="宋体" w:cs="宋体" w:eastAsia="宋体" w:hint="default"/>
                <w:spacing w:val="-7"/>
                <w:sz w:val="15"/>
                <w:szCs w:val="15"/>
              </w:rPr>
              <w:t> </w:t>
            </w:r>
            <w:r>
              <w:rPr>
                <w:rFonts w:ascii="宋体" w:hAnsi="宋体" w:cs="宋体" w:eastAsia="宋体" w:hint="default"/>
                <w:sz w:val="15"/>
                <w:szCs w:val="15"/>
              </w:rPr>
              <w:t>V2.0</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2013/12/1</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38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BJ39756</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2014SRBJ0199</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东方通应用服务器软件（简称：</w:t>
            </w:r>
            <w:r>
              <w:rPr>
                <w:rFonts w:ascii="宋体" w:hAnsi="宋体" w:cs="宋体" w:eastAsia="宋体" w:hint="default"/>
                <w:sz w:val="15"/>
                <w:szCs w:val="15"/>
              </w:rPr>
              <w:t>Tongweb</w:t>
            </w:r>
            <w:r>
              <w:rPr>
                <w:rFonts w:ascii="宋体" w:hAnsi="宋体" w:cs="宋体" w:eastAsia="宋体" w:hint="default"/>
                <w:spacing w:val="-7"/>
                <w:sz w:val="15"/>
                <w:szCs w:val="15"/>
              </w:rPr>
              <w:t> </w:t>
            </w:r>
            <w:r>
              <w:rPr>
                <w:rFonts w:ascii="宋体" w:hAnsi="宋体" w:cs="宋体" w:eastAsia="宋体" w:hint="default"/>
                <w:sz w:val="15"/>
                <w:szCs w:val="15"/>
              </w:rPr>
              <w:t>V6.0</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2013/12/20</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39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BJ39931</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2014SRBJ0374</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宋体" w:hAnsi="宋体" w:cs="宋体" w:eastAsia="宋体" w:hint="default"/>
                <w:sz w:val="15"/>
                <w:szCs w:val="15"/>
              </w:rPr>
              <w:t>JMS</w:t>
            </w:r>
            <w:r>
              <w:rPr>
                <w:rFonts w:ascii="宋体" w:hAnsi="宋体" w:cs="宋体" w:eastAsia="宋体" w:hint="default"/>
                <w:sz w:val="15"/>
                <w:szCs w:val="15"/>
              </w:rPr>
              <w:t>消息传输中间件软件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TL-JMS]V1.0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2014/3/14</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40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BJ39933</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7" w:right="0"/>
              <w:jc w:val="left"/>
              <w:rPr>
                <w:rFonts w:ascii="宋体" w:hAnsi="宋体" w:cs="宋体" w:eastAsia="宋体" w:hint="default"/>
                <w:sz w:val="15"/>
                <w:szCs w:val="15"/>
              </w:rPr>
            </w:pPr>
            <w:r>
              <w:rPr>
                <w:rFonts w:ascii="宋体"/>
                <w:sz w:val="15"/>
              </w:rPr>
              <w:t>2014</w:t>
            </w:r>
          </w:p>
          <w:p>
            <w:pPr>
              <w:pStyle w:val="TableParagraph"/>
              <w:spacing w:line="195" w:lineRule="exact"/>
              <w:ind w:left="7" w:right="0"/>
              <w:jc w:val="left"/>
              <w:rPr>
                <w:rFonts w:ascii="宋体" w:hAnsi="宋体" w:cs="宋体" w:eastAsia="宋体" w:hint="default"/>
                <w:sz w:val="15"/>
                <w:szCs w:val="15"/>
              </w:rPr>
            </w:pPr>
            <w:r>
              <w:rPr>
                <w:rFonts w:ascii="宋体"/>
                <w:sz w:val="15"/>
              </w:rPr>
              <w:t>SRBJ0376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东方通统一中间件管理平台软件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TongIMP]V2.0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2014/3/31</w:t>
            </w:r>
          </w:p>
        </w:tc>
      </w:tr>
      <w:tr>
        <w:trPr>
          <w:trHeight w:val="41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41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BJ39943</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7" w:right="0"/>
              <w:jc w:val="left"/>
              <w:rPr>
                <w:rFonts w:ascii="宋体" w:hAnsi="宋体" w:cs="宋体" w:eastAsia="宋体" w:hint="default"/>
                <w:sz w:val="15"/>
                <w:szCs w:val="15"/>
              </w:rPr>
            </w:pPr>
            <w:r>
              <w:rPr>
                <w:rFonts w:ascii="宋体"/>
                <w:sz w:val="15"/>
              </w:rPr>
              <w:t>2014</w:t>
            </w:r>
          </w:p>
          <w:p>
            <w:pPr>
              <w:pStyle w:val="TableParagraph"/>
              <w:spacing w:line="195" w:lineRule="exact"/>
              <w:ind w:left="7" w:right="0"/>
              <w:jc w:val="left"/>
              <w:rPr>
                <w:rFonts w:ascii="宋体" w:hAnsi="宋体" w:cs="宋体" w:eastAsia="宋体" w:hint="default"/>
                <w:sz w:val="15"/>
                <w:szCs w:val="15"/>
              </w:rPr>
            </w:pPr>
            <w:r>
              <w:rPr>
                <w:rFonts w:ascii="宋体"/>
                <w:sz w:val="15"/>
              </w:rPr>
              <w:t>SRBJ0386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东方通交易中间件软件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TongEASY]V6.0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2012/12/14</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42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8"/>
              <w:ind w:left="7" w:right="34"/>
              <w:jc w:val="left"/>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BJ0784862</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4"/>
              <w:jc w:val="right"/>
              <w:rPr>
                <w:rFonts w:ascii="宋体" w:hAnsi="宋体" w:cs="宋体" w:eastAsia="宋体" w:hint="default"/>
                <w:sz w:val="15"/>
                <w:szCs w:val="15"/>
              </w:rPr>
            </w:pPr>
            <w:r>
              <w:rPr>
                <w:rFonts w:ascii="宋体"/>
                <w:spacing w:val="-2"/>
                <w:sz w:val="15"/>
              </w:rPr>
              <w:t>2014SR115618</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东方通数据交换平台软件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TI-DXP]V2.5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2014/1/1</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43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7" w:right="34"/>
              <w:jc w:val="left"/>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BJ0784873</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7" w:right="0"/>
              <w:jc w:val="left"/>
              <w:rPr>
                <w:rFonts w:ascii="宋体" w:hAnsi="宋体" w:cs="宋体" w:eastAsia="宋体" w:hint="default"/>
                <w:sz w:val="15"/>
                <w:szCs w:val="15"/>
              </w:rPr>
            </w:pPr>
            <w:r>
              <w:rPr>
                <w:rFonts w:ascii="宋体"/>
                <w:sz w:val="15"/>
              </w:rPr>
              <w:t>2014</w:t>
            </w:r>
          </w:p>
          <w:p>
            <w:pPr>
              <w:pStyle w:val="TableParagraph"/>
              <w:spacing w:line="195" w:lineRule="exact"/>
              <w:ind w:left="7" w:right="0"/>
              <w:jc w:val="left"/>
              <w:rPr>
                <w:rFonts w:ascii="宋体" w:hAnsi="宋体" w:cs="宋体" w:eastAsia="宋体" w:hint="default"/>
                <w:sz w:val="15"/>
                <w:szCs w:val="15"/>
              </w:rPr>
            </w:pPr>
            <w:r>
              <w:rPr>
                <w:rFonts w:ascii="宋体"/>
                <w:sz w:val="15"/>
              </w:rPr>
              <w:t>SR115629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东方通数据库管理系统</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TongDB]V5.0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2014/7/1</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44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0791278</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2014SR122035</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东方通应用服务器软件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TongWeb]V5.5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2014/7/16</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 w:right="0"/>
              <w:jc w:val="center"/>
              <w:rPr>
                <w:rFonts w:ascii="宋体" w:hAnsi="宋体" w:cs="宋体" w:eastAsia="宋体" w:hint="default"/>
                <w:sz w:val="15"/>
                <w:szCs w:val="15"/>
              </w:rPr>
            </w:pPr>
            <w:r>
              <w:rPr>
                <w:rFonts w:ascii="宋体"/>
                <w:sz w:val="15"/>
              </w:rPr>
              <w:t>45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0791412</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
              <w:jc w:val="right"/>
              <w:rPr>
                <w:rFonts w:ascii="宋体" w:hAnsi="宋体" w:cs="宋体" w:eastAsia="宋体" w:hint="default"/>
                <w:sz w:val="15"/>
                <w:szCs w:val="15"/>
              </w:rPr>
            </w:pPr>
            <w:r>
              <w:rPr>
                <w:rFonts w:ascii="宋体"/>
                <w:spacing w:val="-2"/>
                <w:sz w:val="15"/>
              </w:rPr>
              <w:t>2014SR122169</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东方通应用服务器软件简称：</w:t>
            </w:r>
            <w:r>
              <w:rPr>
                <w:rFonts w:ascii="宋体" w:hAnsi="宋体" w:cs="宋体" w:eastAsia="宋体" w:hint="default"/>
                <w:sz w:val="15"/>
                <w:szCs w:val="15"/>
              </w:rPr>
              <w:t>TongWeb]V5.6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2014/7/16</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46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0813164</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2014SR143924</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东方通虚拟化平台</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w:t>
            </w:r>
            <w:r>
              <w:rPr>
                <w:rFonts w:ascii="宋体" w:hAnsi="宋体" w:cs="宋体" w:eastAsia="宋体" w:hint="default"/>
                <w:spacing w:val="-13"/>
                <w:sz w:val="15"/>
                <w:szCs w:val="15"/>
              </w:rPr>
              <w:t> </w:t>
            </w:r>
            <w:r>
              <w:rPr>
                <w:rFonts w:ascii="宋体" w:hAnsi="宋体" w:cs="宋体" w:eastAsia="宋体" w:hint="default"/>
                <w:sz w:val="15"/>
                <w:szCs w:val="15"/>
              </w:rPr>
              <w:t>OCloud]V4.5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2014/8/15</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 w:right="0"/>
              <w:jc w:val="center"/>
              <w:rPr>
                <w:rFonts w:ascii="宋体" w:hAnsi="宋体" w:cs="宋体" w:eastAsia="宋体" w:hint="default"/>
                <w:sz w:val="15"/>
                <w:szCs w:val="15"/>
              </w:rPr>
            </w:pPr>
            <w:r>
              <w:rPr>
                <w:rFonts w:ascii="宋体"/>
                <w:sz w:val="15"/>
              </w:rPr>
              <w:t>47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0813166</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
              <w:jc w:val="right"/>
              <w:rPr>
                <w:rFonts w:ascii="宋体" w:hAnsi="宋体" w:cs="宋体" w:eastAsia="宋体" w:hint="default"/>
                <w:sz w:val="15"/>
                <w:szCs w:val="15"/>
              </w:rPr>
            </w:pPr>
            <w:r>
              <w:rPr>
                <w:rFonts w:ascii="宋体"/>
                <w:spacing w:val="-2"/>
                <w:sz w:val="15"/>
              </w:rPr>
              <w:t>2014SR143926</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东方通负载均衡软件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TongLB]V2.0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2014/9/1</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48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0819267</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2014SR150028</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东方通云管理平台</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TongApplaud]V2.0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2014/6/30</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 w:right="0"/>
              <w:jc w:val="center"/>
              <w:rPr>
                <w:rFonts w:ascii="宋体" w:hAnsi="宋体" w:cs="宋体" w:eastAsia="宋体" w:hint="default"/>
                <w:sz w:val="15"/>
                <w:szCs w:val="15"/>
              </w:rPr>
            </w:pPr>
            <w:r>
              <w:rPr>
                <w:rFonts w:ascii="宋体"/>
                <w:sz w:val="15"/>
              </w:rPr>
              <w:t>49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0875310</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
              <w:jc w:val="right"/>
              <w:rPr>
                <w:rFonts w:ascii="宋体" w:hAnsi="宋体" w:cs="宋体" w:eastAsia="宋体" w:hint="default"/>
                <w:sz w:val="15"/>
                <w:szCs w:val="15"/>
              </w:rPr>
            </w:pPr>
            <w:r>
              <w:rPr>
                <w:rFonts w:ascii="宋体"/>
                <w:spacing w:val="-2"/>
                <w:sz w:val="15"/>
              </w:rPr>
              <w:t>2014SR206078</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东方通云管理平台</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TongApplaud]V2.5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2014/11/28</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50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0922572</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2015SR035494</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宋体" w:hAnsi="宋体" w:cs="宋体" w:eastAsia="宋体" w:hint="default"/>
                <w:sz w:val="15"/>
                <w:szCs w:val="15"/>
              </w:rPr>
              <w:t>TongLINK/Q</w:t>
            </w:r>
            <w:r>
              <w:rPr>
                <w:rFonts w:ascii="宋体" w:hAnsi="宋体" w:cs="宋体" w:eastAsia="宋体" w:hint="default"/>
                <w:sz w:val="15"/>
                <w:szCs w:val="15"/>
              </w:rPr>
              <w:t>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TLQ]V8.5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2013/12/6</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51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BJ41066</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2015SRBJ0508</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东方通数据交换适配器工具软件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TI-DX</w:t>
            </w:r>
            <w:r>
              <w:rPr>
                <w:rFonts w:ascii="宋体" w:hAnsi="宋体" w:cs="宋体" w:eastAsia="宋体" w:hint="default"/>
                <w:spacing w:val="-13"/>
                <w:sz w:val="15"/>
                <w:szCs w:val="15"/>
              </w:rPr>
              <w:t> </w:t>
            </w:r>
            <w:r>
              <w:rPr>
                <w:rFonts w:ascii="宋体" w:hAnsi="宋体" w:cs="宋体" w:eastAsia="宋体" w:hint="default"/>
                <w:sz w:val="15"/>
                <w:szCs w:val="15"/>
              </w:rPr>
              <w:t>Adapter]V2.0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2015/8/26</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52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宋体" w:hAnsi="宋体" w:cs="宋体" w:eastAsia="宋体" w:hint="default"/>
                <w:sz w:val="15"/>
                <w:szCs w:val="15"/>
              </w:rPr>
              <w:t>1047683</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2015SR160597</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宋体" w:hAnsi="宋体" w:cs="宋体" w:eastAsia="宋体" w:hint="default"/>
                <w:sz w:val="15"/>
                <w:szCs w:val="15"/>
              </w:rPr>
              <w:t>ETL</w:t>
            </w:r>
            <w:r>
              <w:rPr>
                <w:rFonts w:ascii="宋体" w:hAnsi="宋体" w:cs="宋体" w:eastAsia="宋体" w:hint="default"/>
                <w:sz w:val="15"/>
                <w:szCs w:val="15"/>
              </w:rPr>
              <w:t>适配器工具软件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:TI-ETL Adapter]</w:t>
            </w:r>
            <w:r>
              <w:rPr>
                <w:rFonts w:ascii="宋体" w:hAnsi="宋体" w:cs="宋体" w:eastAsia="宋体" w:hint="default"/>
                <w:spacing w:val="-19"/>
                <w:sz w:val="15"/>
                <w:szCs w:val="15"/>
              </w:rPr>
              <w:t> </w:t>
            </w:r>
            <w:r>
              <w:rPr>
                <w:rFonts w:ascii="宋体" w:hAnsi="宋体" w:cs="宋体" w:eastAsia="宋体" w:hint="default"/>
                <w:sz w:val="15"/>
                <w:szCs w:val="15"/>
              </w:rPr>
              <w:t>V2.0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2015/8/19</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53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宋体" w:hAnsi="宋体" w:cs="宋体" w:eastAsia="宋体" w:hint="default"/>
                <w:sz w:val="15"/>
                <w:szCs w:val="15"/>
              </w:rPr>
              <w:t>BJ41115</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2015SRBJ0557</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东方通分布式内存网格软件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TongCache]V1.0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2015/8/26</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 w:right="0"/>
              <w:jc w:val="center"/>
              <w:rPr>
                <w:rFonts w:ascii="宋体" w:hAnsi="宋体" w:cs="宋体" w:eastAsia="宋体" w:hint="default"/>
                <w:sz w:val="15"/>
                <w:szCs w:val="15"/>
              </w:rPr>
            </w:pPr>
            <w:r>
              <w:rPr>
                <w:rFonts w:ascii="宋体"/>
                <w:sz w:val="15"/>
              </w:rPr>
              <w:t>54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宋体" w:hAnsi="宋体" w:cs="宋体" w:eastAsia="宋体" w:hint="default"/>
                <w:sz w:val="15"/>
                <w:szCs w:val="15"/>
              </w:rPr>
              <w:t>BJ41114</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
              <w:jc w:val="right"/>
              <w:rPr>
                <w:rFonts w:ascii="宋体" w:hAnsi="宋体" w:cs="宋体" w:eastAsia="宋体" w:hint="default"/>
                <w:sz w:val="15"/>
                <w:szCs w:val="15"/>
              </w:rPr>
            </w:pPr>
            <w:r>
              <w:rPr>
                <w:rFonts w:ascii="宋体"/>
                <w:spacing w:val="-2"/>
                <w:sz w:val="15"/>
              </w:rPr>
              <w:t>2015SRBJ0556</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东方通变化数据捕获工具软件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TongCDC]V2.0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2015/8/26</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55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宋体" w:hAnsi="宋体" w:cs="宋体" w:eastAsia="宋体" w:hint="default"/>
                <w:sz w:val="15"/>
                <w:szCs w:val="15"/>
              </w:rPr>
              <w:t>1041569</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2015SR154483</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东方通云管理平台</w:t>
            </w:r>
            <w:r>
              <w:rPr>
                <w:rFonts w:ascii="宋体" w:hAnsi="宋体" w:cs="宋体" w:eastAsia="宋体" w:hint="default"/>
                <w:sz w:val="15"/>
                <w:szCs w:val="15"/>
              </w:rPr>
              <w:t>[TongoCloud</w:t>
            </w:r>
            <w:r>
              <w:rPr>
                <w:rFonts w:ascii="宋体" w:hAnsi="宋体" w:cs="宋体" w:eastAsia="宋体" w:hint="default"/>
                <w:spacing w:val="-18"/>
                <w:sz w:val="15"/>
                <w:szCs w:val="15"/>
              </w:rPr>
              <w:t> </w:t>
            </w:r>
            <w:r>
              <w:rPr>
                <w:rFonts w:ascii="宋体" w:hAnsi="宋体" w:cs="宋体" w:eastAsia="宋体" w:hint="default"/>
                <w:sz w:val="15"/>
                <w:szCs w:val="15"/>
              </w:rPr>
              <w:t>Platform]V5.0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2015/8/11</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 w:right="0"/>
              <w:jc w:val="center"/>
              <w:rPr>
                <w:rFonts w:ascii="宋体" w:hAnsi="宋体" w:cs="宋体" w:eastAsia="宋体" w:hint="default"/>
                <w:sz w:val="15"/>
                <w:szCs w:val="15"/>
              </w:rPr>
            </w:pPr>
            <w:r>
              <w:rPr>
                <w:rFonts w:ascii="宋体"/>
                <w:sz w:val="15"/>
              </w:rPr>
              <w:t>56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宋体" w:hAnsi="宋体" w:cs="宋体" w:eastAsia="宋体" w:hint="default"/>
                <w:sz w:val="15"/>
                <w:szCs w:val="15"/>
              </w:rPr>
              <w:t>1041574</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
              <w:jc w:val="right"/>
              <w:rPr>
                <w:rFonts w:ascii="宋体" w:hAnsi="宋体" w:cs="宋体" w:eastAsia="宋体" w:hint="default"/>
                <w:sz w:val="15"/>
                <w:szCs w:val="15"/>
              </w:rPr>
            </w:pPr>
            <w:r>
              <w:rPr>
                <w:rFonts w:ascii="宋体"/>
                <w:spacing w:val="-2"/>
                <w:sz w:val="15"/>
              </w:rPr>
              <w:t>2015SR154488</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东方通虚拟化平台</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TongoCloud]V5.0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2015/8/11</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57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宋体" w:hAnsi="宋体" w:cs="宋体" w:eastAsia="宋体" w:hint="default"/>
                <w:sz w:val="15"/>
                <w:szCs w:val="15"/>
              </w:rPr>
              <w:t>1080165</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2015SR193079</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东方通数据交换管理平台软件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TongDXP]V3.0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2015/9/20</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 w:right="0"/>
              <w:jc w:val="center"/>
              <w:rPr>
                <w:rFonts w:ascii="宋体" w:hAnsi="宋体" w:cs="宋体" w:eastAsia="宋体" w:hint="default"/>
                <w:sz w:val="15"/>
                <w:szCs w:val="15"/>
              </w:rPr>
            </w:pPr>
            <w:r>
              <w:rPr>
                <w:rFonts w:ascii="宋体"/>
                <w:sz w:val="15"/>
              </w:rPr>
              <w:t>58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宋体" w:hAnsi="宋体" w:cs="宋体" w:eastAsia="宋体" w:hint="default"/>
                <w:sz w:val="15"/>
                <w:szCs w:val="15"/>
              </w:rPr>
              <w:t>1079832</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
              <w:jc w:val="right"/>
              <w:rPr>
                <w:rFonts w:ascii="宋体" w:hAnsi="宋体" w:cs="宋体" w:eastAsia="宋体" w:hint="default"/>
                <w:sz w:val="15"/>
                <w:szCs w:val="15"/>
              </w:rPr>
            </w:pPr>
            <w:r>
              <w:rPr>
                <w:rFonts w:ascii="宋体"/>
                <w:spacing w:val="-2"/>
                <w:sz w:val="15"/>
              </w:rPr>
              <w:t>2015SR192746</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东方通数据交换运行节点软件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TongDXP_Node]V3.0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2015/9/20</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59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宋体" w:hAnsi="宋体" w:cs="宋体" w:eastAsia="宋体" w:hint="default"/>
                <w:sz w:val="15"/>
                <w:szCs w:val="15"/>
              </w:rPr>
              <w:t>1098102</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2015SR211016</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东方通数据同步平台</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TongDSP]V2.0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2015/9/15</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60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宋体" w:hAnsi="宋体" w:cs="宋体" w:eastAsia="宋体" w:hint="default"/>
                <w:sz w:val="15"/>
                <w:szCs w:val="15"/>
              </w:rPr>
              <w:t>1157391</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2015SR270305</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东方通云数据总线软件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TongCDB]V2.0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2015/11/15</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61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软件登字第</w:t>
            </w:r>
            <w:r>
              <w:rPr>
                <w:rFonts w:ascii="宋体" w:hAnsi="宋体" w:cs="宋体" w:eastAsia="宋体" w:hint="default"/>
                <w:sz w:val="15"/>
                <w:szCs w:val="15"/>
              </w:rPr>
              <w:t>1064737</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2015SR177651</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数字天堂无限中间件</w:t>
            </w:r>
            <w:r>
              <w:rPr>
                <w:rFonts w:ascii="宋体" w:hAnsi="宋体" w:cs="宋体" w:eastAsia="宋体" w:hint="default"/>
                <w:sz w:val="15"/>
                <w:szCs w:val="15"/>
              </w:rPr>
              <w:t>MKey5G</w:t>
            </w:r>
            <w:r>
              <w:rPr>
                <w:rFonts w:ascii="宋体" w:hAnsi="宋体" w:cs="宋体" w:eastAsia="宋体" w:hint="default"/>
                <w:sz w:val="15"/>
                <w:szCs w:val="15"/>
              </w:rPr>
              <w:t>系统软件</w:t>
            </w:r>
            <w:r>
              <w:rPr>
                <w:rFonts w:ascii="宋体" w:hAnsi="宋体" w:cs="宋体" w:eastAsia="宋体" w:hint="default"/>
                <w:sz w:val="15"/>
                <w:szCs w:val="15"/>
              </w:rPr>
              <w:t>V1.0.0</w:t>
            </w:r>
            <w:r>
              <w:rPr>
                <w:rFonts w:ascii="宋体" w:hAnsi="宋体" w:cs="宋体" w:eastAsia="宋体" w:hint="default"/>
                <w:sz w:val="15"/>
                <w:szCs w:val="15"/>
              </w:rPr>
              <w:t>（简称：</w:t>
            </w:r>
            <w:r>
              <w:rPr>
                <w:rFonts w:ascii="宋体" w:hAnsi="宋体" w:cs="宋体" w:eastAsia="宋体" w:hint="default"/>
                <w:sz w:val="15"/>
                <w:szCs w:val="15"/>
              </w:rPr>
              <w:t>MKey5G</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2014/12/31</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62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0565260</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2013SR059498</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数字天堂移动智能客户端软件</w:t>
            </w:r>
            <w:r>
              <w:rPr>
                <w:rFonts w:ascii="宋体" w:hAnsi="宋体" w:cs="宋体" w:eastAsia="宋体" w:hint="default"/>
                <w:sz w:val="15"/>
                <w:szCs w:val="15"/>
              </w:rPr>
              <w:t>V3.5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2012/12/2</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 w:right="0"/>
              <w:jc w:val="center"/>
              <w:rPr>
                <w:rFonts w:ascii="宋体" w:hAnsi="宋体" w:cs="宋体" w:eastAsia="宋体" w:hint="default"/>
                <w:sz w:val="15"/>
                <w:szCs w:val="15"/>
              </w:rPr>
            </w:pPr>
            <w:r>
              <w:rPr>
                <w:rFonts w:ascii="宋体"/>
                <w:sz w:val="15"/>
              </w:rPr>
              <w:t>63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0565548</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
              <w:jc w:val="right"/>
              <w:rPr>
                <w:rFonts w:ascii="宋体" w:hAnsi="宋体" w:cs="宋体" w:eastAsia="宋体" w:hint="default"/>
                <w:sz w:val="15"/>
                <w:szCs w:val="15"/>
              </w:rPr>
            </w:pPr>
            <w:r>
              <w:rPr>
                <w:rFonts w:ascii="宋体"/>
                <w:spacing w:val="-2"/>
                <w:sz w:val="15"/>
              </w:rPr>
              <w:t>2013SR059786</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基于</w:t>
            </w:r>
            <w:r>
              <w:rPr>
                <w:rFonts w:ascii="宋体" w:hAnsi="宋体" w:cs="宋体" w:eastAsia="宋体" w:hint="default"/>
                <w:sz w:val="15"/>
                <w:szCs w:val="15"/>
              </w:rPr>
              <w:t>SAAS</w:t>
            </w:r>
            <w:r>
              <w:rPr>
                <w:rFonts w:ascii="宋体" w:hAnsi="宋体" w:cs="宋体" w:eastAsia="宋体" w:hint="default"/>
                <w:sz w:val="15"/>
                <w:szCs w:val="15"/>
              </w:rPr>
              <w:t>模式的无线云平台</w:t>
            </w:r>
            <w:r>
              <w:rPr>
                <w:rFonts w:ascii="宋体" w:hAnsi="宋体" w:cs="宋体" w:eastAsia="宋体" w:hint="default"/>
                <w:sz w:val="15"/>
                <w:szCs w:val="15"/>
              </w:rPr>
              <w:t>V1.0</w:t>
            </w:r>
            <w:r>
              <w:rPr>
                <w:rFonts w:ascii="宋体" w:hAnsi="宋体" w:cs="宋体" w:eastAsia="宋体" w:hint="default"/>
                <w:sz w:val="15"/>
                <w:szCs w:val="15"/>
              </w:rPr>
              <w:t>（简称：</w:t>
            </w:r>
            <w:r>
              <w:rPr>
                <w:rFonts w:ascii="宋体" w:hAnsi="宋体" w:cs="宋体" w:eastAsia="宋体" w:hint="default"/>
                <w:sz w:val="15"/>
                <w:szCs w:val="15"/>
              </w:rPr>
              <w:t>XCloud</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2013/2/20</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64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0565254</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2013SR059492</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数字天堂移动信息化接入平台软件</w:t>
            </w:r>
            <w:r>
              <w:rPr>
                <w:rFonts w:ascii="宋体" w:hAnsi="宋体" w:cs="宋体" w:eastAsia="宋体" w:hint="default"/>
                <w:sz w:val="15"/>
                <w:szCs w:val="15"/>
              </w:rPr>
              <w:t>V1.1(</w:t>
            </w:r>
            <w:r>
              <w:rPr>
                <w:rFonts w:ascii="宋体" w:hAnsi="宋体" w:cs="宋体" w:eastAsia="宋体" w:hint="default"/>
                <w:sz w:val="15"/>
                <w:szCs w:val="15"/>
              </w:rPr>
              <w:t>简称：接入平台）</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2012/6/26</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 w:right="0"/>
              <w:jc w:val="center"/>
              <w:rPr>
                <w:rFonts w:ascii="宋体" w:hAnsi="宋体" w:cs="宋体" w:eastAsia="宋体" w:hint="default"/>
                <w:sz w:val="15"/>
                <w:szCs w:val="15"/>
              </w:rPr>
            </w:pPr>
            <w:r>
              <w:rPr>
                <w:rFonts w:ascii="宋体"/>
                <w:sz w:val="15"/>
              </w:rPr>
              <w:t>65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0501315</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
              <w:jc w:val="right"/>
              <w:rPr>
                <w:rFonts w:ascii="宋体" w:hAnsi="宋体" w:cs="宋体" w:eastAsia="宋体" w:hint="default"/>
                <w:sz w:val="15"/>
                <w:szCs w:val="15"/>
              </w:rPr>
            </w:pPr>
            <w:r>
              <w:rPr>
                <w:rFonts w:ascii="宋体"/>
                <w:spacing w:val="-2"/>
                <w:sz w:val="15"/>
              </w:rPr>
              <w:t>2012SR133279</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w:t>
            </w:r>
            <w:r>
              <w:rPr>
                <w:rFonts w:ascii="宋体" w:hAnsi="宋体" w:cs="宋体" w:eastAsia="宋体" w:hint="default"/>
                <w:sz w:val="15"/>
                <w:szCs w:val="15"/>
              </w:rPr>
              <w:t>WAP\WIDGET</w:t>
            </w:r>
            <w:r>
              <w:rPr>
                <w:rFonts w:ascii="宋体" w:hAnsi="宋体" w:cs="宋体" w:eastAsia="宋体" w:hint="default"/>
                <w:sz w:val="15"/>
                <w:szCs w:val="15"/>
              </w:rPr>
              <w:t>转换平台软件</w:t>
            </w:r>
            <w:r>
              <w:rPr>
                <w:rFonts w:ascii="宋体" w:hAnsi="宋体" w:cs="宋体" w:eastAsia="宋体" w:hint="default"/>
                <w:sz w:val="15"/>
                <w:szCs w:val="15"/>
              </w:rPr>
              <w:t>V1.0(</w:t>
            </w:r>
            <w:r>
              <w:rPr>
                <w:rFonts w:ascii="宋体" w:hAnsi="宋体" w:cs="宋体" w:eastAsia="宋体" w:hint="default"/>
                <w:sz w:val="15"/>
                <w:szCs w:val="15"/>
              </w:rPr>
              <w:t>简称：</w:t>
            </w:r>
            <w:r>
              <w:rPr>
                <w:rFonts w:ascii="宋体" w:hAnsi="宋体" w:cs="宋体" w:eastAsia="宋体" w:hint="default"/>
                <w:sz w:val="15"/>
                <w:szCs w:val="15"/>
              </w:rPr>
              <w:t>Wap2Widget</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2012/11/20</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66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0501838</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2012SR133802</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数字天堂无线城市</w:t>
            </w:r>
            <w:r>
              <w:rPr>
                <w:rFonts w:ascii="宋体" w:hAnsi="宋体" w:cs="宋体" w:eastAsia="宋体" w:hint="default"/>
                <w:sz w:val="15"/>
                <w:szCs w:val="15"/>
              </w:rPr>
              <w:t>Widget</w:t>
            </w:r>
            <w:r>
              <w:rPr>
                <w:rFonts w:ascii="宋体" w:hAnsi="宋体" w:cs="宋体" w:eastAsia="宋体" w:hint="default"/>
                <w:sz w:val="15"/>
                <w:szCs w:val="15"/>
              </w:rPr>
              <w:t>软件</w:t>
            </w:r>
            <w:r>
              <w:rPr>
                <w:rFonts w:ascii="宋体" w:hAnsi="宋体" w:cs="宋体" w:eastAsia="宋体" w:hint="default"/>
                <w:sz w:val="15"/>
                <w:szCs w:val="15"/>
              </w:rPr>
              <w:t>V1.0</w:t>
            </w:r>
            <w:r>
              <w:rPr>
                <w:rFonts w:ascii="宋体" w:hAnsi="宋体" w:cs="宋体" w:eastAsia="宋体" w:hint="default"/>
                <w:sz w:val="15"/>
                <w:szCs w:val="15"/>
              </w:rPr>
              <w:t>（简称：</w:t>
            </w:r>
            <w:r>
              <w:rPr>
                <w:rFonts w:ascii="宋体" w:hAnsi="宋体" w:cs="宋体" w:eastAsia="宋体" w:hint="default"/>
                <w:sz w:val="15"/>
                <w:szCs w:val="15"/>
              </w:rPr>
              <w:t>WidgetApps</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2012/10/1</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 w:right="0"/>
              <w:jc w:val="center"/>
              <w:rPr>
                <w:rFonts w:ascii="宋体" w:hAnsi="宋体" w:cs="宋体" w:eastAsia="宋体" w:hint="default"/>
                <w:sz w:val="15"/>
                <w:szCs w:val="15"/>
              </w:rPr>
            </w:pPr>
            <w:r>
              <w:rPr>
                <w:rFonts w:ascii="宋体"/>
                <w:sz w:val="15"/>
              </w:rPr>
              <w:t>67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0501222</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
              <w:jc w:val="right"/>
              <w:rPr>
                <w:rFonts w:ascii="宋体" w:hAnsi="宋体" w:cs="宋体" w:eastAsia="宋体" w:hint="default"/>
                <w:sz w:val="15"/>
                <w:szCs w:val="15"/>
              </w:rPr>
            </w:pPr>
            <w:r>
              <w:rPr>
                <w:rFonts w:ascii="宋体"/>
                <w:spacing w:val="-2"/>
                <w:sz w:val="15"/>
              </w:rPr>
              <w:t>2012SR133186</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数字天堂旅游易软件</w:t>
            </w:r>
            <w:r>
              <w:rPr>
                <w:rFonts w:ascii="宋体" w:hAnsi="宋体" w:cs="宋体" w:eastAsia="宋体" w:hint="default"/>
                <w:sz w:val="15"/>
                <w:szCs w:val="15"/>
              </w:rPr>
              <w:t>V1.0(</w:t>
            </w:r>
            <w:r>
              <w:rPr>
                <w:rFonts w:ascii="宋体" w:hAnsi="宋体" w:cs="宋体" w:eastAsia="宋体" w:hint="default"/>
                <w:sz w:val="15"/>
                <w:szCs w:val="15"/>
              </w:rPr>
              <w:t>简称：</w:t>
            </w:r>
            <w:r>
              <w:rPr>
                <w:rFonts w:ascii="宋体" w:hAnsi="宋体" w:cs="宋体" w:eastAsia="宋体" w:hint="default"/>
                <w:sz w:val="15"/>
                <w:szCs w:val="15"/>
              </w:rPr>
              <w:t>DHEAVENTRIP</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2012/11/12</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68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0448036</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2012SR080000</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数字天堂移动办公系统软件</w:t>
            </w:r>
            <w:r>
              <w:rPr>
                <w:rFonts w:ascii="宋体" w:hAnsi="宋体" w:cs="宋体" w:eastAsia="宋体" w:hint="default"/>
                <w:sz w:val="15"/>
                <w:szCs w:val="15"/>
              </w:rPr>
              <w:t>V6.0</w:t>
            </w:r>
            <w:r>
              <w:rPr>
                <w:rFonts w:ascii="宋体" w:hAnsi="宋体" w:cs="宋体" w:eastAsia="宋体" w:hint="default"/>
                <w:sz w:val="15"/>
                <w:szCs w:val="15"/>
              </w:rPr>
              <w:t>（简称：</w:t>
            </w:r>
            <w:r>
              <w:rPr>
                <w:rFonts w:ascii="宋体" w:hAnsi="宋体" w:cs="宋体" w:eastAsia="宋体" w:hint="default"/>
                <w:sz w:val="15"/>
                <w:szCs w:val="15"/>
              </w:rPr>
              <w:t>MIP</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2012/6/15</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69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0363949</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2011SR100275</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数字天堂无线中间件集成开发环境软件（简称：</w:t>
            </w:r>
            <w:r>
              <w:rPr>
                <w:rFonts w:ascii="宋体" w:hAnsi="宋体" w:cs="宋体" w:eastAsia="宋体" w:hint="default"/>
                <w:sz w:val="15"/>
                <w:szCs w:val="15"/>
              </w:rPr>
              <w:t>Mkey</w:t>
            </w:r>
            <w:r>
              <w:rPr>
                <w:rFonts w:ascii="宋体" w:hAnsi="宋体" w:cs="宋体" w:eastAsia="宋体" w:hint="default"/>
                <w:spacing w:val="-9"/>
                <w:sz w:val="15"/>
                <w:szCs w:val="15"/>
              </w:rPr>
              <w:t> </w:t>
            </w:r>
            <w:r>
              <w:rPr>
                <w:rFonts w:ascii="宋体" w:hAnsi="宋体" w:cs="宋体" w:eastAsia="宋体" w:hint="default"/>
                <w:sz w:val="15"/>
                <w:szCs w:val="15"/>
              </w:rPr>
              <w:t>Studio</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2011/4/20</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70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0363930</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2011SR100256</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数字天堂云平台升级系统</w:t>
            </w:r>
            <w:r>
              <w:rPr>
                <w:rFonts w:ascii="宋体" w:hAnsi="宋体" w:cs="宋体" w:eastAsia="宋体" w:hint="default"/>
                <w:sz w:val="15"/>
                <w:szCs w:val="15"/>
              </w:rPr>
              <w:t>V1.0</w:t>
            </w:r>
            <w:r>
              <w:rPr>
                <w:rFonts w:ascii="宋体" w:hAnsi="宋体" w:cs="宋体" w:eastAsia="宋体" w:hint="default"/>
                <w:sz w:val="15"/>
                <w:szCs w:val="15"/>
              </w:rPr>
              <w:t>（简称：</w:t>
            </w:r>
            <w:r>
              <w:rPr>
                <w:rFonts w:ascii="宋体" w:hAnsi="宋体" w:cs="宋体" w:eastAsia="宋体" w:hint="default"/>
                <w:sz w:val="15"/>
                <w:szCs w:val="15"/>
              </w:rPr>
              <w:t>SUSC</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2011/11/5</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71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0266205</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2011SR002531</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数字天堂应用商店软件</w:t>
            </w:r>
            <w:r>
              <w:rPr>
                <w:rFonts w:ascii="宋体" w:hAnsi="宋体" w:cs="宋体" w:eastAsia="宋体" w:hint="default"/>
                <w:sz w:val="15"/>
                <w:szCs w:val="15"/>
              </w:rPr>
              <w:t>V1.0</w:t>
            </w:r>
            <w:r>
              <w:rPr>
                <w:rFonts w:ascii="宋体" w:hAnsi="宋体" w:cs="宋体" w:eastAsia="宋体" w:hint="default"/>
                <w:sz w:val="15"/>
                <w:szCs w:val="15"/>
              </w:rPr>
              <w:t>（简称：</w:t>
            </w:r>
            <w:r>
              <w:rPr>
                <w:rFonts w:ascii="宋体" w:hAnsi="宋体" w:cs="宋体" w:eastAsia="宋体" w:hint="default"/>
                <w:sz w:val="15"/>
                <w:szCs w:val="15"/>
              </w:rPr>
              <w:t>CLOUDSTORE</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2010/7/12</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 w:right="0"/>
              <w:jc w:val="center"/>
              <w:rPr>
                <w:rFonts w:ascii="宋体" w:hAnsi="宋体" w:cs="宋体" w:eastAsia="宋体" w:hint="default"/>
                <w:sz w:val="15"/>
                <w:szCs w:val="15"/>
              </w:rPr>
            </w:pPr>
            <w:r>
              <w:rPr>
                <w:rFonts w:ascii="宋体"/>
                <w:sz w:val="15"/>
              </w:rPr>
              <w:t>72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0266160</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
              <w:jc w:val="right"/>
              <w:rPr>
                <w:rFonts w:ascii="宋体" w:hAnsi="宋体" w:cs="宋体" w:eastAsia="宋体" w:hint="default"/>
                <w:sz w:val="15"/>
                <w:szCs w:val="15"/>
              </w:rPr>
            </w:pPr>
            <w:r>
              <w:rPr>
                <w:rFonts w:ascii="宋体"/>
                <w:spacing w:val="-2"/>
                <w:sz w:val="15"/>
              </w:rPr>
              <w:t>2011SR002486</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数字天堂无线网关短信计次版软件</w:t>
            </w:r>
            <w:r>
              <w:rPr>
                <w:rFonts w:ascii="宋体" w:hAnsi="宋体" w:cs="宋体" w:eastAsia="宋体" w:hint="default"/>
                <w:sz w:val="15"/>
                <w:szCs w:val="15"/>
              </w:rPr>
              <w:t>V1.0</w:t>
            </w:r>
            <w:r>
              <w:rPr>
                <w:rFonts w:ascii="宋体" w:hAnsi="宋体" w:cs="宋体" w:eastAsia="宋体" w:hint="default"/>
                <w:sz w:val="15"/>
                <w:szCs w:val="15"/>
              </w:rPr>
              <w:t>（简称：</w:t>
            </w:r>
            <w:r>
              <w:rPr>
                <w:rFonts w:ascii="宋体" w:hAnsi="宋体" w:cs="宋体" w:eastAsia="宋体" w:hint="default"/>
                <w:sz w:val="15"/>
                <w:szCs w:val="15"/>
              </w:rPr>
              <w:t>WG-SMS</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2010/5/14</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73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0266236</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2011SR002562</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数字天堂企业无线网关软件</w:t>
            </w:r>
            <w:r>
              <w:rPr>
                <w:rFonts w:ascii="宋体" w:hAnsi="宋体" w:cs="宋体" w:eastAsia="宋体" w:hint="default"/>
                <w:sz w:val="15"/>
                <w:szCs w:val="15"/>
              </w:rPr>
              <w:t>V2.0</w:t>
            </w:r>
            <w:r>
              <w:rPr>
                <w:rFonts w:ascii="宋体" w:hAnsi="宋体" w:cs="宋体" w:eastAsia="宋体" w:hint="default"/>
                <w:sz w:val="15"/>
                <w:szCs w:val="15"/>
              </w:rPr>
              <w:t>（简称：</w:t>
            </w:r>
            <w:r>
              <w:rPr>
                <w:rFonts w:ascii="宋体" w:hAnsi="宋体" w:cs="宋体" w:eastAsia="宋体" w:hint="default"/>
                <w:sz w:val="15"/>
                <w:szCs w:val="15"/>
              </w:rPr>
              <w:t>WG</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2010/5/14</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 w:right="0"/>
              <w:jc w:val="center"/>
              <w:rPr>
                <w:rFonts w:ascii="宋体" w:hAnsi="宋体" w:cs="宋体" w:eastAsia="宋体" w:hint="default"/>
                <w:sz w:val="15"/>
                <w:szCs w:val="15"/>
              </w:rPr>
            </w:pPr>
            <w:r>
              <w:rPr>
                <w:rFonts w:ascii="宋体"/>
                <w:sz w:val="15"/>
              </w:rPr>
              <w:t>74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0266131</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
              <w:jc w:val="right"/>
              <w:rPr>
                <w:rFonts w:ascii="宋体" w:hAnsi="宋体" w:cs="宋体" w:eastAsia="宋体" w:hint="default"/>
                <w:sz w:val="15"/>
                <w:szCs w:val="15"/>
              </w:rPr>
            </w:pPr>
            <w:r>
              <w:rPr>
                <w:rFonts w:ascii="宋体"/>
                <w:spacing w:val="-2"/>
                <w:sz w:val="15"/>
              </w:rPr>
              <w:t>2011SR002457</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数字天堂无线网关定位计次版软件</w:t>
            </w:r>
            <w:r>
              <w:rPr>
                <w:rFonts w:ascii="宋体" w:hAnsi="宋体" w:cs="宋体" w:eastAsia="宋体" w:hint="default"/>
                <w:sz w:val="15"/>
                <w:szCs w:val="15"/>
              </w:rPr>
              <w:t>V1.0(</w:t>
            </w:r>
            <w:r>
              <w:rPr>
                <w:rFonts w:ascii="宋体" w:hAnsi="宋体" w:cs="宋体" w:eastAsia="宋体" w:hint="default"/>
                <w:sz w:val="15"/>
                <w:szCs w:val="15"/>
              </w:rPr>
              <w:t>简称：</w:t>
            </w:r>
            <w:r>
              <w:rPr>
                <w:rFonts w:ascii="宋体" w:hAnsi="宋体" w:cs="宋体" w:eastAsia="宋体" w:hint="default"/>
                <w:sz w:val="15"/>
                <w:szCs w:val="15"/>
              </w:rPr>
              <w:t>WG-LBS0</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2010/5/14</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75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0266109</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2011SR002435</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数字天堂无线中间件云平台系统</w:t>
            </w:r>
            <w:r>
              <w:rPr>
                <w:rFonts w:ascii="宋体" w:hAnsi="宋体" w:cs="宋体" w:eastAsia="宋体" w:hint="default"/>
                <w:sz w:val="15"/>
                <w:szCs w:val="15"/>
              </w:rPr>
              <w:t>V1.0</w:t>
            </w:r>
            <w:r>
              <w:rPr>
                <w:rFonts w:ascii="宋体" w:hAnsi="宋体" w:cs="宋体" w:eastAsia="宋体" w:hint="default"/>
                <w:sz w:val="15"/>
                <w:szCs w:val="15"/>
              </w:rPr>
              <w:t>（简称：管理平台）</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2010/7/22</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76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0266237</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4"/>
              <w:jc w:val="right"/>
              <w:rPr>
                <w:rFonts w:ascii="宋体" w:hAnsi="宋体" w:cs="宋体" w:eastAsia="宋体" w:hint="default"/>
                <w:sz w:val="15"/>
                <w:szCs w:val="15"/>
              </w:rPr>
            </w:pPr>
            <w:r>
              <w:rPr>
                <w:rFonts w:ascii="宋体"/>
                <w:spacing w:val="-2"/>
                <w:sz w:val="15"/>
              </w:rPr>
              <w:t>2011SR002563</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数字天堂无线网关云平台系统</w:t>
            </w:r>
            <w:r>
              <w:rPr>
                <w:rFonts w:ascii="宋体" w:hAnsi="宋体" w:cs="宋体" w:eastAsia="宋体" w:hint="default"/>
                <w:sz w:val="15"/>
                <w:szCs w:val="15"/>
              </w:rPr>
              <w:t>V1.0(</w:t>
            </w:r>
            <w:r>
              <w:rPr>
                <w:rFonts w:ascii="宋体" w:hAnsi="宋体" w:cs="宋体" w:eastAsia="宋体" w:hint="default"/>
                <w:sz w:val="15"/>
                <w:szCs w:val="15"/>
              </w:rPr>
              <w:t>简称：</w:t>
            </w:r>
          </w:p>
          <w:p>
            <w:pPr>
              <w:pStyle w:val="TableParagraph"/>
              <w:spacing w:line="195" w:lineRule="exact"/>
              <w:ind w:left="7" w:right="0"/>
              <w:jc w:val="left"/>
              <w:rPr>
                <w:rFonts w:ascii="宋体" w:hAnsi="宋体" w:cs="宋体" w:eastAsia="宋体" w:hint="default"/>
                <w:sz w:val="15"/>
                <w:szCs w:val="15"/>
              </w:rPr>
            </w:pPr>
            <w:r>
              <w:rPr>
                <w:rFonts w:ascii="宋体" w:hAnsi="宋体" w:cs="宋体" w:eastAsia="宋体" w:hint="default"/>
                <w:sz w:val="15"/>
                <w:szCs w:val="15"/>
              </w:rPr>
              <w:t>CLOUDWIRELESSGATEWAY</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2010/5/14</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77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0266352</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2011SR002678</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数字天堂无线网关彩信计次版软件</w:t>
            </w:r>
            <w:r>
              <w:rPr>
                <w:rFonts w:ascii="宋体" w:hAnsi="宋体" w:cs="宋体" w:eastAsia="宋体" w:hint="default"/>
                <w:sz w:val="15"/>
                <w:szCs w:val="15"/>
              </w:rPr>
              <w:t>V1.0</w:t>
            </w:r>
            <w:r>
              <w:rPr>
                <w:rFonts w:ascii="宋体" w:hAnsi="宋体" w:cs="宋体" w:eastAsia="宋体" w:hint="default"/>
                <w:sz w:val="15"/>
                <w:szCs w:val="15"/>
              </w:rPr>
              <w:t>（简称：</w:t>
            </w:r>
            <w:r>
              <w:rPr>
                <w:rFonts w:ascii="宋体" w:hAnsi="宋体" w:cs="宋体" w:eastAsia="宋体" w:hint="default"/>
                <w:sz w:val="15"/>
                <w:szCs w:val="15"/>
              </w:rPr>
              <w:t>WG-MMS</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2010/5/14</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78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0266533</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2011SR002859</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数字天堂手机邮箱云平台系统</w:t>
            </w:r>
            <w:r>
              <w:rPr>
                <w:rFonts w:ascii="宋体" w:hAnsi="宋体" w:cs="宋体" w:eastAsia="宋体" w:hint="default"/>
                <w:sz w:val="15"/>
                <w:szCs w:val="15"/>
              </w:rPr>
              <w:t>V1.0</w:t>
            </w:r>
            <w:r>
              <w:rPr>
                <w:rFonts w:ascii="宋体" w:hAnsi="宋体" w:cs="宋体" w:eastAsia="宋体" w:hint="default"/>
                <w:sz w:val="15"/>
                <w:szCs w:val="15"/>
              </w:rPr>
              <w:t>（简称：</w:t>
            </w:r>
            <w:r>
              <w:rPr>
                <w:rFonts w:ascii="宋体" w:hAnsi="宋体" w:cs="宋体" w:eastAsia="宋体" w:hint="default"/>
                <w:sz w:val="15"/>
                <w:szCs w:val="15"/>
              </w:rPr>
              <w:t>CLOUDPE</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2010/5/20</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79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0266518</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2011SR002844</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数字天堂无线中间件孵化平台软件</w:t>
            </w:r>
            <w:r>
              <w:rPr>
                <w:rFonts w:ascii="宋体" w:hAnsi="宋体" w:cs="宋体" w:eastAsia="宋体" w:hint="default"/>
                <w:sz w:val="15"/>
                <w:szCs w:val="15"/>
              </w:rPr>
              <w:t>V1.0</w:t>
            </w:r>
            <w:r>
              <w:rPr>
                <w:rFonts w:ascii="宋体" w:hAnsi="宋体" w:cs="宋体" w:eastAsia="宋体" w:hint="default"/>
                <w:sz w:val="15"/>
                <w:szCs w:val="15"/>
              </w:rPr>
              <w:t>（简称：孵化平台）</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2010/6/28</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sz w:val="15"/>
              </w:rPr>
              <w:t>80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0256363</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2010SR068090</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数字天堂无线中间件云平台系统</w:t>
            </w:r>
            <w:r>
              <w:rPr>
                <w:rFonts w:ascii="宋体" w:hAnsi="宋体" w:cs="宋体" w:eastAsia="宋体" w:hint="default"/>
                <w:sz w:val="15"/>
                <w:szCs w:val="15"/>
              </w:rPr>
              <w:t>V1.0</w:t>
            </w:r>
            <w:r>
              <w:rPr>
                <w:rFonts w:ascii="宋体" w:hAnsi="宋体" w:cs="宋体" w:eastAsia="宋体" w:hint="default"/>
                <w:sz w:val="15"/>
                <w:szCs w:val="15"/>
              </w:rPr>
              <w:t>（简称：</w:t>
            </w:r>
            <w:r>
              <w:rPr>
                <w:rFonts w:ascii="宋体" w:hAnsi="宋体" w:cs="宋体" w:eastAsia="宋体" w:hint="default"/>
                <w:sz w:val="15"/>
                <w:szCs w:val="15"/>
              </w:rPr>
              <w:t>MCLOUD</w:t>
            </w:r>
            <w:r>
              <w:rPr>
                <w:rFonts w:ascii="宋体" w:hAnsi="宋体" w:cs="宋体" w:eastAsia="宋体" w:hint="default"/>
                <w:sz w:val="15"/>
                <w:szCs w:val="15"/>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2010/5/19</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 w:right="0"/>
              <w:jc w:val="center"/>
              <w:rPr>
                <w:rFonts w:ascii="宋体" w:hAnsi="宋体" w:cs="宋体" w:eastAsia="宋体" w:hint="default"/>
                <w:sz w:val="15"/>
                <w:szCs w:val="15"/>
              </w:rPr>
            </w:pPr>
            <w:r>
              <w:rPr>
                <w:rFonts w:ascii="宋体"/>
                <w:sz w:val="15"/>
              </w:rPr>
              <w:t>81</w:t>
            </w:r>
          </w:p>
        </w:tc>
        <w:tc>
          <w:tcPr>
            <w:tcW w:w="1478"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
              <w:jc w:val="right"/>
              <w:rPr>
                <w:rFonts w:ascii="宋体" w:hAnsi="宋体" w:cs="宋体" w:eastAsia="宋体" w:hint="default"/>
                <w:sz w:val="15"/>
                <w:szCs w:val="15"/>
              </w:rPr>
            </w:pPr>
            <w:r>
              <w:rPr>
                <w:rFonts w:ascii="宋体"/>
                <w:spacing w:val="-2"/>
                <w:sz w:val="15"/>
              </w:rPr>
              <w:t>2015SR051232</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东方通虚拟化平台</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TongOCloud]</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成都东方通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2014/12/25</w:t>
            </w:r>
          </w:p>
        </w:tc>
      </w:tr>
      <w:tr>
        <w:trPr>
          <w:trHeight w:val="41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82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0253292</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4"/>
              <w:jc w:val="right"/>
              <w:rPr>
                <w:rFonts w:ascii="宋体" w:hAnsi="宋体" w:cs="宋体" w:eastAsia="宋体" w:hint="default"/>
                <w:sz w:val="15"/>
                <w:szCs w:val="15"/>
              </w:rPr>
            </w:pPr>
            <w:r>
              <w:rPr>
                <w:rFonts w:ascii="宋体"/>
                <w:spacing w:val="-2"/>
                <w:sz w:val="15"/>
              </w:rPr>
              <w:t>2010SR065019</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东方通应用集成中间件软件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TongIntegrator]V3.7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2010/8/9</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83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0312626</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4"/>
              <w:jc w:val="right"/>
              <w:rPr>
                <w:rFonts w:ascii="宋体" w:hAnsi="宋体" w:cs="宋体" w:eastAsia="宋体" w:hint="default"/>
                <w:sz w:val="15"/>
                <w:szCs w:val="15"/>
              </w:rPr>
            </w:pPr>
            <w:r>
              <w:rPr>
                <w:rFonts w:ascii="宋体"/>
                <w:spacing w:val="-2"/>
                <w:sz w:val="15"/>
              </w:rPr>
              <w:t>2011SR048952</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东方通应用集成中间件软件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TongIntegrator]V4.0.1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8"/>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2011/3/10</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84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0315543</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4"/>
              <w:jc w:val="right"/>
              <w:rPr>
                <w:rFonts w:ascii="宋体" w:hAnsi="宋体" w:cs="宋体" w:eastAsia="宋体" w:hint="default"/>
                <w:sz w:val="15"/>
                <w:szCs w:val="15"/>
              </w:rPr>
            </w:pPr>
            <w:r>
              <w:rPr>
                <w:rFonts w:ascii="宋体"/>
                <w:spacing w:val="-2"/>
                <w:sz w:val="15"/>
              </w:rPr>
              <w:t>2011SR051869</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东方通消息中间件软件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TongLINK/Q]V7.2.1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2011/4/29</w:t>
            </w:r>
          </w:p>
        </w:tc>
      </w:tr>
      <w:tr>
        <w:trPr>
          <w:trHeight w:val="41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宋体" w:hAnsi="宋体" w:cs="宋体" w:eastAsia="宋体" w:hint="default"/>
                <w:sz w:val="15"/>
                <w:szCs w:val="15"/>
              </w:rPr>
            </w:pPr>
            <w:r>
              <w:rPr>
                <w:rFonts w:ascii="宋体"/>
                <w:sz w:val="15"/>
              </w:rPr>
              <w:t>85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0318390</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4"/>
              <w:jc w:val="right"/>
              <w:rPr>
                <w:rFonts w:ascii="宋体" w:hAnsi="宋体" w:cs="宋体" w:eastAsia="宋体" w:hint="default"/>
                <w:sz w:val="15"/>
                <w:szCs w:val="15"/>
              </w:rPr>
            </w:pPr>
            <w:r>
              <w:rPr>
                <w:rFonts w:ascii="宋体"/>
                <w:spacing w:val="-2"/>
                <w:sz w:val="15"/>
              </w:rPr>
              <w:t>2011SR054716</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7" w:right="413"/>
              <w:jc w:val="left"/>
              <w:rPr>
                <w:rFonts w:ascii="宋体" w:hAnsi="宋体" w:cs="宋体" w:eastAsia="宋体" w:hint="default"/>
                <w:sz w:val="15"/>
                <w:szCs w:val="15"/>
              </w:rPr>
            </w:pPr>
            <w:r>
              <w:rPr>
                <w:rFonts w:ascii="宋体" w:hAnsi="宋体" w:cs="宋体" w:eastAsia="宋体" w:hint="default"/>
                <w:spacing w:val="-2"/>
                <w:sz w:val="15"/>
                <w:szCs w:val="15"/>
              </w:rPr>
              <w:t>东方通应用集成中间件适配器软件</w:t>
            </w:r>
            <w:r>
              <w:rPr>
                <w:rFonts w:ascii="宋体" w:hAnsi="宋体" w:cs="宋体" w:eastAsia="宋体" w:hint="default"/>
                <w:spacing w:val="-2"/>
                <w:sz w:val="15"/>
                <w:szCs w:val="15"/>
              </w:rPr>
              <w:t>[</w:t>
            </w:r>
            <w:r>
              <w:rPr>
                <w:rFonts w:ascii="宋体" w:hAnsi="宋体" w:cs="宋体" w:eastAsia="宋体" w:hint="default"/>
                <w:spacing w:val="-2"/>
                <w:sz w:val="15"/>
                <w:szCs w:val="15"/>
              </w:rPr>
              <w:t>简称：</w:t>
            </w:r>
            <w:r>
              <w:rPr>
                <w:rFonts w:ascii="宋体" w:hAnsi="宋体" w:cs="宋体" w:eastAsia="宋体" w:hint="default"/>
                <w:spacing w:val="-2"/>
                <w:sz w:val="15"/>
                <w:szCs w:val="15"/>
              </w:rPr>
              <w:t>TongIntegrator</w:t>
            </w:r>
            <w:r>
              <w:rPr>
                <w:rFonts w:ascii="宋体" w:hAnsi="宋体" w:cs="宋体" w:eastAsia="宋体" w:hint="default"/>
                <w:spacing w:val="-24"/>
                <w:sz w:val="15"/>
                <w:szCs w:val="15"/>
              </w:rPr>
              <w:t> </w:t>
            </w:r>
            <w:r>
              <w:rPr>
                <w:rFonts w:ascii="宋体" w:hAnsi="宋体" w:cs="宋体" w:eastAsia="宋体" w:hint="default"/>
                <w:spacing w:val="-24"/>
                <w:sz w:val="15"/>
                <w:szCs w:val="15"/>
              </w:rPr>
            </w:r>
            <w:r>
              <w:rPr>
                <w:rFonts w:ascii="宋体" w:hAnsi="宋体" w:cs="宋体" w:eastAsia="宋体" w:hint="default"/>
                <w:sz w:val="15"/>
                <w:szCs w:val="15"/>
              </w:rPr>
              <w:t>Adapter]V4.0.1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sz w:val="15"/>
              </w:rPr>
              <w:t>2011/4/29</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86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0301563</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4"/>
              <w:jc w:val="right"/>
              <w:rPr>
                <w:rFonts w:ascii="宋体" w:hAnsi="宋体" w:cs="宋体" w:eastAsia="宋体" w:hint="default"/>
                <w:sz w:val="15"/>
                <w:szCs w:val="15"/>
              </w:rPr>
            </w:pPr>
            <w:r>
              <w:rPr>
                <w:rFonts w:ascii="宋体"/>
                <w:spacing w:val="-2"/>
                <w:sz w:val="15"/>
              </w:rPr>
              <w:t>2011SR037889</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东方通应用服务器软件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TongWeb]V5.0.1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8"/>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2010/12/20</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87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宋体" w:hAnsi="宋体" w:cs="宋体" w:eastAsia="宋体" w:hint="default"/>
                <w:sz w:val="15"/>
                <w:szCs w:val="15"/>
              </w:rPr>
              <w:t>0298652</w:t>
            </w:r>
            <w:r>
              <w:rPr>
                <w:rFonts w:ascii="宋体" w:hAnsi="宋体" w:cs="宋体" w:eastAsia="宋体" w:hint="default"/>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4"/>
              <w:jc w:val="right"/>
              <w:rPr>
                <w:rFonts w:ascii="宋体" w:hAnsi="宋体" w:cs="宋体" w:eastAsia="宋体" w:hint="default"/>
                <w:sz w:val="15"/>
                <w:szCs w:val="15"/>
              </w:rPr>
            </w:pPr>
            <w:r>
              <w:rPr>
                <w:rFonts w:ascii="宋体"/>
                <w:spacing w:val="-2"/>
                <w:sz w:val="15"/>
              </w:rPr>
              <w:t>2011SR034978</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pacing w:val="-2"/>
                <w:sz w:val="15"/>
                <w:szCs w:val="15"/>
              </w:rPr>
              <w:t>东方通云应用服务器软件</w:t>
            </w:r>
            <w:r>
              <w:rPr>
                <w:rFonts w:ascii="宋体" w:hAnsi="宋体" w:cs="宋体" w:eastAsia="宋体" w:hint="default"/>
                <w:spacing w:val="-2"/>
                <w:sz w:val="15"/>
                <w:szCs w:val="15"/>
              </w:rPr>
              <w:t>[</w:t>
            </w:r>
            <w:r>
              <w:rPr>
                <w:rFonts w:ascii="宋体" w:hAnsi="宋体" w:cs="宋体" w:eastAsia="宋体" w:hint="default"/>
                <w:spacing w:val="-2"/>
                <w:sz w:val="15"/>
                <w:szCs w:val="15"/>
              </w:rPr>
              <w:t>简称：</w:t>
            </w:r>
            <w:r>
              <w:rPr>
                <w:rFonts w:ascii="宋体" w:hAnsi="宋体" w:cs="宋体" w:eastAsia="宋体" w:hint="default"/>
                <w:spacing w:val="-2"/>
                <w:sz w:val="15"/>
                <w:szCs w:val="15"/>
              </w:rPr>
              <w:t>TongApplaud</w:t>
            </w:r>
            <w:r>
              <w:rPr>
                <w:rFonts w:ascii="宋体" w:hAnsi="宋体" w:cs="宋体" w:eastAsia="宋体" w:hint="default"/>
                <w:spacing w:val="59"/>
                <w:sz w:val="15"/>
                <w:szCs w:val="15"/>
              </w:rPr>
              <w:t> </w:t>
            </w:r>
            <w:r>
              <w:rPr>
                <w:rFonts w:ascii="宋体" w:hAnsi="宋体" w:cs="宋体" w:eastAsia="宋体" w:hint="default"/>
                <w:spacing w:val="-2"/>
                <w:sz w:val="15"/>
                <w:szCs w:val="15"/>
              </w:rPr>
              <w:t>AppServer]V1.0</w:t>
            </w:r>
            <w:r>
              <w:rPr>
                <w:rFonts w:ascii="宋体" w:hAnsi="宋体" w:cs="宋体" w:eastAsia="宋体" w:hint="default"/>
                <w:sz w:val="15"/>
                <w:szCs w:val="15"/>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2011/3/10</w:t>
            </w:r>
          </w:p>
        </w:tc>
      </w:tr>
    </w:tbl>
    <w:p>
      <w:pPr>
        <w:spacing w:after="0" w:line="240" w:lineRule="auto"/>
        <w:jc w:val="left"/>
        <w:rPr>
          <w:rFonts w:ascii="宋体" w:hAnsi="宋体" w:cs="宋体" w:eastAsia="宋体" w:hint="default"/>
          <w:sz w:val="15"/>
          <w:szCs w:val="15"/>
        </w:rPr>
        <w:sectPr>
          <w:pgSz w:w="11910" w:h="16840"/>
          <w:pgMar w:header="745" w:footer="982" w:top="1060" w:bottom="118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63"/>
        <w:gridCol w:w="1478"/>
        <w:gridCol w:w="934"/>
        <w:gridCol w:w="4258"/>
        <w:gridCol w:w="780"/>
        <w:gridCol w:w="677"/>
        <w:gridCol w:w="842"/>
        <w:gridCol w:w="850"/>
      </w:tblGrid>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88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0325850</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2011SR062176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东方通通用文件传输平台软件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TongGTP]V5.2.1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2011/5/10</w:t>
            </w:r>
          </w:p>
        </w:tc>
      </w:tr>
      <w:tr>
        <w:trPr>
          <w:trHeight w:val="41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宋体" w:hAnsi="宋体" w:cs="宋体" w:eastAsia="宋体" w:hint="default"/>
                <w:sz w:val="15"/>
                <w:szCs w:val="15"/>
              </w:rPr>
            </w:pPr>
            <w:r>
              <w:rPr>
                <w:rFonts w:ascii="宋体"/>
                <w:sz w:val="15"/>
              </w:rPr>
              <w:t>89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0375046</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sz w:val="15"/>
              </w:rPr>
              <w:t>2012SR007010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hAnsi="宋体" w:cs="宋体" w:eastAsia="宋体" w:hint="default"/>
                <w:sz w:val="15"/>
                <w:szCs w:val="15"/>
              </w:rPr>
              <w:t>东方通消息中间件软件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TongLINK/Q]V8.0.1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sz w:val="15"/>
              </w:rPr>
              <w:t>2011/9/1</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90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0366004</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2011SR102330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东方通通用文件传输平台软件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TongGTP]V6.0.1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8"/>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2011/9/1</w:t>
            </w:r>
          </w:p>
        </w:tc>
      </w:tr>
      <w:tr>
        <w:trPr>
          <w:trHeight w:val="41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91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0545389</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2013SR039627</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pacing w:val="-2"/>
                <w:sz w:val="15"/>
                <w:szCs w:val="15"/>
              </w:rPr>
              <w:t>东方通云应用服务器软件</w:t>
            </w:r>
            <w:r>
              <w:rPr>
                <w:rFonts w:ascii="宋体" w:hAnsi="宋体" w:cs="宋体" w:eastAsia="宋体" w:hint="default"/>
                <w:spacing w:val="-2"/>
                <w:sz w:val="15"/>
                <w:szCs w:val="15"/>
              </w:rPr>
              <w:t>[</w:t>
            </w:r>
            <w:r>
              <w:rPr>
                <w:rFonts w:ascii="宋体" w:hAnsi="宋体" w:cs="宋体" w:eastAsia="宋体" w:hint="default"/>
                <w:spacing w:val="-2"/>
                <w:sz w:val="15"/>
                <w:szCs w:val="15"/>
              </w:rPr>
              <w:t>简称：</w:t>
            </w:r>
            <w:r>
              <w:rPr>
                <w:rFonts w:ascii="宋体" w:hAnsi="宋体" w:cs="宋体" w:eastAsia="宋体" w:hint="default"/>
                <w:spacing w:val="-2"/>
                <w:sz w:val="15"/>
                <w:szCs w:val="15"/>
              </w:rPr>
              <w:t>TongApplaud</w:t>
            </w:r>
            <w:r>
              <w:rPr>
                <w:rFonts w:ascii="宋体" w:hAnsi="宋体" w:cs="宋体" w:eastAsia="宋体" w:hint="default"/>
                <w:spacing w:val="59"/>
                <w:sz w:val="15"/>
                <w:szCs w:val="15"/>
              </w:rPr>
              <w:t> </w:t>
            </w:r>
            <w:r>
              <w:rPr>
                <w:rFonts w:ascii="宋体" w:hAnsi="宋体" w:cs="宋体" w:eastAsia="宋体" w:hint="default"/>
                <w:spacing w:val="-2"/>
                <w:sz w:val="15"/>
                <w:szCs w:val="15"/>
              </w:rPr>
              <w:t>AppServer]V2.0</w:t>
            </w:r>
            <w:r>
              <w:rPr>
                <w:rFonts w:ascii="宋体" w:hAnsi="宋体" w:cs="宋体" w:eastAsia="宋体" w:hint="default"/>
                <w:sz w:val="15"/>
                <w:szCs w:val="15"/>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2012/11/23</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92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0637367</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2013SR131605</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东方通接入服务器软件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TongWTP</w:t>
            </w:r>
            <w:r>
              <w:rPr>
                <w:rFonts w:ascii="宋体" w:hAnsi="宋体" w:cs="宋体" w:eastAsia="宋体" w:hint="default"/>
                <w:spacing w:val="-20"/>
                <w:sz w:val="15"/>
                <w:szCs w:val="15"/>
              </w:rPr>
              <w:t> </w:t>
            </w:r>
            <w:r>
              <w:rPr>
                <w:rFonts w:ascii="宋体" w:hAnsi="宋体" w:cs="宋体" w:eastAsia="宋体" w:hint="default"/>
                <w:sz w:val="15"/>
                <w:szCs w:val="15"/>
              </w:rPr>
              <w:t>ConnServer]V4.0.1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8"/>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2013/3/8</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93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0637829</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2013SR132067</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东方通文件服务器软件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TongWTP</w:t>
            </w:r>
            <w:r>
              <w:rPr>
                <w:rFonts w:ascii="宋体" w:hAnsi="宋体" w:cs="宋体" w:eastAsia="宋体" w:hint="default"/>
                <w:spacing w:val="-20"/>
                <w:sz w:val="15"/>
                <w:szCs w:val="15"/>
              </w:rPr>
              <w:t> </w:t>
            </w:r>
            <w:r>
              <w:rPr>
                <w:rFonts w:ascii="宋体" w:hAnsi="宋体" w:cs="宋体" w:eastAsia="宋体" w:hint="default"/>
                <w:sz w:val="15"/>
                <w:szCs w:val="15"/>
              </w:rPr>
              <w:t>FileServer]V4.0.1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2013/3/8</w:t>
            </w:r>
          </w:p>
        </w:tc>
      </w:tr>
      <w:tr>
        <w:trPr>
          <w:trHeight w:val="41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94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0637336</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2013SR131574</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pacing w:val="-2"/>
                <w:sz w:val="15"/>
                <w:szCs w:val="15"/>
              </w:rPr>
              <w:t>东方通传输管理中心软件</w:t>
            </w:r>
            <w:r>
              <w:rPr>
                <w:rFonts w:ascii="宋体" w:hAnsi="宋体" w:cs="宋体" w:eastAsia="宋体" w:hint="default"/>
                <w:spacing w:val="-2"/>
                <w:sz w:val="15"/>
                <w:szCs w:val="15"/>
              </w:rPr>
              <w:t>[</w:t>
            </w:r>
            <w:r>
              <w:rPr>
                <w:rFonts w:ascii="宋体" w:hAnsi="宋体" w:cs="宋体" w:eastAsia="宋体" w:hint="default"/>
                <w:spacing w:val="-2"/>
                <w:sz w:val="15"/>
                <w:szCs w:val="15"/>
              </w:rPr>
              <w:t>简称：</w:t>
            </w:r>
            <w:r>
              <w:rPr>
                <w:rFonts w:ascii="宋体" w:hAnsi="宋体" w:cs="宋体" w:eastAsia="宋体" w:hint="default"/>
                <w:spacing w:val="-2"/>
                <w:sz w:val="15"/>
                <w:szCs w:val="15"/>
              </w:rPr>
              <w:t>TongWTP</w:t>
            </w:r>
            <w:r>
              <w:rPr>
                <w:rFonts w:ascii="宋体" w:hAnsi="宋体" w:cs="宋体" w:eastAsia="宋体" w:hint="default"/>
                <w:spacing w:val="60"/>
                <w:sz w:val="15"/>
                <w:szCs w:val="15"/>
              </w:rPr>
              <w:t> </w:t>
            </w:r>
            <w:r>
              <w:rPr>
                <w:rFonts w:ascii="宋体" w:hAnsi="宋体" w:cs="宋体" w:eastAsia="宋体" w:hint="default"/>
                <w:spacing w:val="-2"/>
                <w:sz w:val="15"/>
                <w:szCs w:val="15"/>
              </w:rPr>
              <w:t>TransManager]V4.0.1</w:t>
            </w:r>
            <w:r>
              <w:rPr>
                <w:rFonts w:ascii="宋体" w:hAnsi="宋体" w:cs="宋体" w:eastAsia="宋体" w:hint="default"/>
                <w:sz w:val="15"/>
                <w:szCs w:val="15"/>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2013/3/8</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95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0666763</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2013SR161001</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宋体" w:hAnsi="宋体" w:cs="宋体" w:eastAsia="宋体" w:hint="default"/>
                <w:sz w:val="15"/>
                <w:szCs w:val="15"/>
              </w:rPr>
              <w:t>ETL</w:t>
            </w:r>
            <w:r>
              <w:rPr>
                <w:rFonts w:ascii="宋体" w:hAnsi="宋体" w:cs="宋体" w:eastAsia="宋体" w:hint="default"/>
                <w:sz w:val="15"/>
                <w:szCs w:val="15"/>
              </w:rPr>
              <w:t>工具软件 </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TI-ETL]</w:t>
            </w:r>
            <w:r>
              <w:rPr>
                <w:rFonts w:ascii="宋体" w:hAnsi="宋体" w:cs="宋体" w:eastAsia="宋体" w:hint="default"/>
                <w:spacing w:val="-14"/>
                <w:sz w:val="15"/>
                <w:szCs w:val="15"/>
              </w:rPr>
              <w:t> </w:t>
            </w:r>
            <w:r>
              <w:rPr>
                <w:rFonts w:ascii="宋体" w:hAnsi="宋体" w:cs="宋体" w:eastAsia="宋体" w:hint="default"/>
                <w:sz w:val="15"/>
                <w:szCs w:val="15"/>
              </w:rPr>
              <w:t>V1.0.1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8"/>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2013/8/5</w:t>
            </w:r>
          </w:p>
        </w:tc>
      </w:tr>
      <w:tr>
        <w:trPr>
          <w:trHeight w:val="41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96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0804144</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2014SR134903</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东方通数据交换平台软件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TI-DXP]V2.0.1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2014/2/28</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97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0795030</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2014SR125787</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东方通数据交换工具软件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TI-DX]V2.0.1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8"/>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2014/2/28</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98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0762623</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2014SR093379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东方通企业服务总线软件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TI-ESB]</w:t>
            </w:r>
            <w:r>
              <w:rPr>
                <w:rFonts w:ascii="宋体" w:hAnsi="宋体" w:cs="宋体" w:eastAsia="宋体" w:hint="default"/>
                <w:spacing w:val="-13"/>
                <w:sz w:val="15"/>
                <w:szCs w:val="15"/>
              </w:rPr>
              <w:t> </w:t>
            </w:r>
            <w:r>
              <w:rPr>
                <w:rFonts w:ascii="宋体" w:hAnsi="宋体" w:cs="宋体" w:eastAsia="宋体" w:hint="default"/>
                <w:sz w:val="15"/>
                <w:szCs w:val="15"/>
              </w:rPr>
              <w:t>V5.0.1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2014/2/24</w:t>
            </w:r>
          </w:p>
        </w:tc>
      </w:tr>
      <w:tr>
        <w:trPr>
          <w:trHeight w:val="41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99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0236369</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2010SR048096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东方通交易中间件软件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TongEASY]V5.2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受让</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2006/12/18</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5"/>
                <w:szCs w:val="15"/>
              </w:rPr>
            </w:pPr>
            <w:r>
              <w:rPr>
                <w:rFonts w:ascii="宋体"/>
                <w:sz w:val="15"/>
              </w:rPr>
              <w:t>100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0223689</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2010SR035416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东方通应用服务器软件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TongWeb]V4.8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8"/>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受让</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2009/4/8</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5"/>
                <w:szCs w:val="15"/>
              </w:rPr>
            </w:pPr>
            <w:r>
              <w:rPr>
                <w:rFonts w:ascii="宋体"/>
                <w:sz w:val="15"/>
              </w:rPr>
              <w:t>101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0223695</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2010SR035422</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东方通通用数据传输平台中间件软件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GTP]V4.5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受让</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2007/1/15</w:t>
            </w:r>
          </w:p>
        </w:tc>
      </w:tr>
      <w:tr>
        <w:trPr>
          <w:trHeight w:val="41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5"/>
                <w:szCs w:val="15"/>
              </w:rPr>
            </w:pPr>
            <w:r>
              <w:rPr>
                <w:rFonts w:ascii="宋体"/>
                <w:sz w:val="15"/>
              </w:rPr>
              <w:t>102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1091592</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sz w:val="15"/>
              </w:rPr>
              <w:t>2015SR204506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hAnsi="宋体" w:cs="宋体" w:eastAsia="宋体" w:hint="default"/>
                <w:sz w:val="15"/>
                <w:szCs w:val="15"/>
              </w:rPr>
              <w:t>东方通应用服务器软件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TongWeb]V6.0.1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5"/>
                <w:szCs w:val="15"/>
              </w:rPr>
            </w:pPr>
            <w:r>
              <w:rPr>
                <w:rFonts w:ascii="宋体"/>
                <w:sz w:val="15"/>
              </w:rPr>
              <w:t>103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1106139</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2015SR219053</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宋体" w:hAnsi="宋体" w:cs="宋体" w:eastAsia="宋体" w:hint="default"/>
                <w:sz w:val="15"/>
                <w:szCs w:val="15"/>
              </w:rPr>
              <w:t>ETL</w:t>
            </w:r>
            <w:r>
              <w:rPr>
                <w:rFonts w:ascii="宋体" w:hAnsi="宋体" w:cs="宋体" w:eastAsia="宋体" w:hint="default"/>
                <w:sz w:val="15"/>
                <w:szCs w:val="15"/>
              </w:rPr>
              <w:t>工具软件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TI-ETL]V2.0.1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5"/>
                <w:szCs w:val="15"/>
              </w:rPr>
            </w:pPr>
            <w:r>
              <w:rPr>
                <w:rFonts w:ascii="宋体"/>
                <w:sz w:val="15"/>
              </w:rPr>
              <w:t>104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1104402</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2015SR217316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东方通统一中间件管理平台软件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TongIMP]V2.0.1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5"/>
                <w:szCs w:val="15"/>
              </w:rPr>
            </w:pPr>
            <w:r>
              <w:rPr>
                <w:rFonts w:ascii="宋体"/>
                <w:sz w:val="15"/>
              </w:rPr>
              <w:t>105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1177158</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2015SR290072</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东方通数据交换运行节点软件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TongDXP_Node]V3.0.1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8"/>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继承</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2015/10/15</w:t>
            </w:r>
          </w:p>
        </w:tc>
      </w:tr>
      <w:tr>
        <w:trPr>
          <w:trHeight w:val="420"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5"/>
                <w:szCs w:val="15"/>
              </w:rPr>
            </w:pPr>
            <w:r>
              <w:rPr>
                <w:rFonts w:ascii="宋体"/>
                <w:sz w:val="15"/>
              </w:rPr>
              <w:t>106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1176110</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2015SR289024</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东方通云管理平台</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TongApplaud]V2.5.1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hAnsi="宋体" w:cs="宋体" w:eastAsia="宋体" w:hint="default"/>
                <w:sz w:val="15"/>
                <w:szCs w:val="15"/>
              </w:rPr>
              <w:t>继承</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15"/>
                <w:szCs w:val="15"/>
              </w:rPr>
            </w:pPr>
            <w:r>
              <w:rPr>
                <w:rFonts w:ascii="宋体"/>
                <w:sz w:val="15"/>
              </w:rPr>
              <w:t>2015/3/2</w:t>
            </w:r>
          </w:p>
        </w:tc>
      </w:tr>
      <w:tr>
        <w:trPr>
          <w:trHeight w:val="41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5"/>
                <w:szCs w:val="15"/>
              </w:rPr>
            </w:pPr>
            <w:r>
              <w:rPr>
                <w:rFonts w:ascii="宋体"/>
                <w:sz w:val="15"/>
              </w:rPr>
              <w:t>107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1177895</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sz w:val="15"/>
              </w:rPr>
              <w:t>2015SR290809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hAnsi="宋体" w:cs="宋体" w:eastAsia="宋体" w:hint="default"/>
                <w:sz w:val="15"/>
                <w:szCs w:val="15"/>
              </w:rPr>
              <w:t>东方通数据交换管理平台软件</w:t>
            </w:r>
            <w:r>
              <w:rPr>
                <w:rFonts w:ascii="宋体" w:hAnsi="宋体" w:cs="宋体" w:eastAsia="宋体" w:hint="default"/>
                <w:sz w:val="15"/>
                <w:szCs w:val="15"/>
              </w:rPr>
              <w:t>[</w:t>
            </w:r>
            <w:r>
              <w:rPr>
                <w:rFonts w:ascii="宋体" w:hAnsi="宋体" w:cs="宋体" w:eastAsia="宋体" w:hint="default"/>
                <w:sz w:val="15"/>
                <w:szCs w:val="15"/>
              </w:rPr>
              <w:t>简称：</w:t>
            </w:r>
            <w:r>
              <w:rPr>
                <w:rFonts w:ascii="宋体" w:hAnsi="宋体" w:cs="宋体" w:eastAsia="宋体" w:hint="default"/>
                <w:sz w:val="15"/>
                <w:szCs w:val="15"/>
              </w:rPr>
              <w:t>TongDXP]V3.0.1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
              <w:ind w:left="4" w:right="10"/>
              <w:jc w:val="left"/>
              <w:rPr>
                <w:rFonts w:ascii="宋体" w:hAnsi="宋体" w:cs="宋体" w:eastAsia="宋体" w:hint="default"/>
                <w:sz w:val="15"/>
                <w:szCs w:val="15"/>
              </w:rPr>
            </w:pPr>
            <w:r>
              <w:rPr>
                <w:rFonts w:ascii="宋体" w:hAnsi="宋体" w:cs="宋体" w:eastAsia="宋体" w:hint="default"/>
                <w:sz w:val="15"/>
                <w:szCs w:val="15"/>
              </w:rPr>
              <w:t>上海东方通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hAnsi="宋体" w:cs="宋体" w:eastAsia="宋体" w:hint="default"/>
                <w:sz w:val="15"/>
                <w:szCs w:val="15"/>
              </w:rPr>
              <w:t>受让</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宋体" w:hAnsi="宋体" w:cs="宋体" w:eastAsia="宋体" w:hint="default"/>
                <w:sz w:val="15"/>
                <w:szCs w:val="15"/>
              </w:rPr>
            </w:pPr>
            <w:r>
              <w:rPr>
                <w:rFonts w:ascii="宋体"/>
                <w:sz w:val="15"/>
              </w:rPr>
              <w:t>2015/10/15</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5"/>
                <w:szCs w:val="15"/>
              </w:rPr>
            </w:pPr>
            <w:r>
              <w:rPr>
                <w:rFonts w:ascii="宋体"/>
                <w:sz w:val="15"/>
              </w:rPr>
              <w:t>108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019290</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2004SR00889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CDS GPRS</w:t>
            </w:r>
            <w:r>
              <w:rPr>
                <w:rFonts w:ascii="宋体" w:hAnsi="宋体" w:cs="宋体" w:eastAsia="宋体" w:hint="default"/>
                <w:spacing w:val="-12"/>
                <w:sz w:val="15"/>
                <w:szCs w:val="15"/>
              </w:rPr>
              <w:t> </w:t>
            </w:r>
            <w:r>
              <w:rPr>
                <w:rFonts w:ascii="宋体" w:hAnsi="宋体" w:cs="宋体" w:eastAsia="宋体" w:hint="default"/>
                <w:sz w:val="15"/>
                <w:szCs w:val="15"/>
              </w:rPr>
              <w:t>eXpert</w:t>
            </w:r>
            <w:r>
              <w:rPr>
                <w:rFonts w:ascii="宋体" w:hAnsi="宋体" w:cs="宋体" w:eastAsia="宋体" w:hint="default"/>
                <w:sz w:val="15"/>
                <w:szCs w:val="15"/>
              </w:rPr>
              <w:t>网优路测软件</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2003/12/1</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109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052614</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2006SR04948</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CDS GPRS</w:t>
            </w:r>
            <w:r>
              <w:rPr>
                <w:rFonts w:ascii="宋体" w:hAnsi="宋体" w:cs="宋体" w:eastAsia="宋体" w:hint="default"/>
                <w:spacing w:val="-12"/>
                <w:sz w:val="15"/>
                <w:szCs w:val="15"/>
              </w:rPr>
              <w:t> </w:t>
            </w:r>
            <w:r>
              <w:rPr>
                <w:rFonts w:ascii="宋体" w:hAnsi="宋体" w:cs="宋体" w:eastAsia="宋体" w:hint="default"/>
                <w:sz w:val="15"/>
                <w:szCs w:val="15"/>
              </w:rPr>
              <w:t>eXpert</w:t>
            </w:r>
            <w:r>
              <w:rPr>
                <w:rFonts w:ascii="宋体" w:hAnsi="宋体" w:cs="宋体" w:eastAsia="宋体" w:hint="default"/>
                <w:sz w:val="15"/>
                <w:szCs w:val="15"/>
              </w:rPr>
              <w:t>网优路测软件</w:t>
            </w:r>
            <w:r>
              <w:rPr>
                <w:rFonts w:ascii="宋体" w:hAnsi="宋体" w:cs="宋体" w:eastAsia="宋体" w:hint="default"/>
                <w:sz w:val="15"/>
                <w:szCs w:val="15"/>
              </w:rPr>
              <w:t>V3.0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2005/4/5</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5"/>
                <w:szCs w:val="15"/>
              </w:rPr>
            </w:pPr>
            <w:r>
              <w:rPr>
                <w:rFonts w:ascii="宋体"/>
                <w:sz w:val="15"/>
              </w:rPr>
              <w:t>110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055825</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2006SR08159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数据业务自动拨测及分析系统软件</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2006/3/20</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111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056462</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2006SR08796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数据业务自动拨测及分析系统软件</w:t>
            </w:r>
            <w:r>
              <w:rPr>
                <w:rFonts w:ascii="宋体" w:hAnsi="宋体" w:cs="宋体" w:eastAsia="宋体" w:hint="default"/>
                <w:sz w:val="15"/>
                <w:szCs w:val="15"/>
              </w:rPr>
              <w:t>V2.0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2006/5/10</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5"/>
                <w:szCs w:val="15"/>
              </w:rPr>
            </w:pPr>
            <w:r>
              <w:rPr>
                <w:rFonts w:ascii="宋体"/>
                <w:sz w:val="15"/>
              </w:rPr>
              <w:t>112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061875</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2006SR14209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CDS</w:t>
            </w:r>
            <w:r>
              <w:rPr>
                <w:rFonts w:ascii="宋体" w:hAnsi="宋体" w:cs="宋体" w:eastAsia="宋体" w:hint="default"/>
                <w:sz w:val="15"/>
                <w:szCs w:val="15"/>
              </w:rPr>
              <w:t>网优路测系统</w:t>
            </w:r>
            <w:r>
              <w:rPr>
                <w:rFonts w:ascii="宋体" w:hAnsi="宋体" w:cs="宋体" w:eastAsia="宋体" w:hint="default"/>
                <w:sz w:val="15"/>
                <w:szCs w:val="15"/>
              </w:rPr>
              <w:t>V4.0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2006/9/8</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113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097218</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2008SR10039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CDS</w:t>
            </w:r>
            <w:r>
              <w:rPr>
                <w:rFonts w:ascii="宋体" w:hAnsi="宋体" w:cs="宋体" w:eastAsia="宋体" w:hint="default"/>
                <w:sz w:val="15"/>
                <w:szCs w:val="15"/>
              </w:rPr>
              <w:t>网优路测系统</w:t>
            </w:r>
            <w:r>
              <w:rPr>
                <w:rFonts w:ascii="宋体" w:hAnsi="宋体" w:cs="宋体" w:eastAsia="宋体" w:hint="default"/>
                <w:sz w:val="15"/>
                <w:szCs w:val="15"/>
              </w:rPr>
              <w:t>V5.0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2008/3/19</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114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105415</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2008SR18236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飞信业务测试系统</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2008/6/9</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115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105416</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2008SR18237</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Gb Gn</w:t>
            </w:r>
            <w:r>
              <w:rPr>
                <w:rFonts w:ascii="宋体" w:hAnsi="宋体" w:cs="宋体" w:eastAsia="宋体" w:hint="default"/>
                <w:spacing w:val="-8"/>
                <w:sz w:val="15"/>
                <w:szCs w:val="15"/>
              </w:rPr>
              <w:t> </w:t>
            </w:r>
            <w:r>
              <w:rPr>
                <w:rFonts w:ascii="宋体" w:hAnsi="宋体" w:cs="宋体" w:eastAsia="宋体" w:hint="default"/>
                <w:sz w:val="15"/>
                <w:szCs w:val="15"/>
              </w:rPr>
              <w:t>Gi</w:t>
            </w:r>
            <w:r>
              <w:rPr>
                <w:rFonts w:ascii="宋体" w:hAnsi="宋体" w:cs="宋体" w:eastAsia="宋体" w:hint="default"/>
                <w:sz w:val="15"/>
                <w:szCs w:val="15"/>
              </w:rPr>
              <w:t>分析系统</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2008/6/1</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116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110823</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2008SR23644</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MOS</w:t>
            </w:r>
            <w:r>
              <w:rPr>
                <w:rFonts w:ascii="宋体" w:hAnsi="宋体" w:cs="宋体" w:eastAsia="宋体" w:hint="default"/>
                <w:sz w:val="15"/>
                <w:szCs w:val="15"/>
              </w:rPr>
              <w:t>测试系统</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2008/6/20</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5"/>
                <w:szCs w:val="15"/>
              </w:rPr>
            </w:pPr>
            <w:r>
              <w:rPr>
                <w:rFonts w:ascii="宋体"/>
                <w:sz w:val="15"/>
              </w:rPr>
              <w:t>117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98"/>
              <w:jc w:val="center"/>
              <w:rPr>
                <w:rFonts w:ascii="宋体" w:hAnsi="宋体" w:cs="宋体" w:eastAsia="宋体" w:hint="default"/>
                <w:sz w:val="15"/>
                <w:szCs w:val="15"/>
              </w:rPr>
            </w:pPr>
            <w:r>
              <w:rPr>
                <w:rFonts w:ascii="宋体" w:hAnsi="宋体" w:cs="宋体" w:eastAsia="宋体" w:hint="default"/>
                <w:spacing w:val="-1"/>
                <w:sz w:val="15"/>
                <w:szCs w:val="15"/>
              </w:rPr>
              <w:t>软著登字第</w:t>
            </w:r>
            <w:r>
              <w:rPr>
                <w:rFonts w:ascii="宋体" w:hAnsi="宋体" w:cs="宋体" w:eastAsia="宋体" w:hint="default"/>
                <w:spacing w:val="-1"/>
                <w:sz w:val="15"/>
                <w:szCs w:val="15"/>
              </w:rPr>
              <w:t>110764</w:t>
            </w:r>
            <w:r>
              <w:rPr>
                <w:rFonts w:ascii="宋体" w:hAnsi="宋体" w:cs="宋体" w:eastAsia="宋体" w:hint="default"/>
                <w:spacing w:val="-1"/>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2008SR23585</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自动路测系统</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2008/7/3</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118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0155501</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2009SR028502</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CDS</w:t>
            </w:r>
            <w:r>
              <w:rPr>
                <w:rFonts w:ascii="宋体" w:hAnsi="宋体" w:cs="宋体" w:eastAsia="宋体" w:hint="default"/>
                <w:sz w:val="15"/>
                <w:szCs w:val="15"/>
              </w:rPr>
              <w:t>网优路测系统</w:t>
            </w:r>
            <w:r>
              <w:rPr>
                <w:rFonts w:ascii="宋体" w:hAnsi="宋体" w:cs="宋体" w:eastAsia="宋体" w:hint="default"/>
                <w:sz w:val="15"/>
                <w:szCs w:val="15"/>
              </w:rPr>
              <w:t>V6.0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5"/>
                <w:szCs w:val="15"/>
              </w:rPr>
            </w:pPr>
            <w:r>
              <w:rPr>
                <w:rFonts w:ascii="宋体"/>
                <w:sz w:val="15"/>
              </w:rPr>
              <w:t>119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0163668</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2009SR036669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WSA</w:t>
            </w:r>
            <w:r>
              <w:rPr>
                <w:rFonts w:ascii="宋体" w:hAnsi="宋体" w:cs="宋体" w:eastAsia="宋体" w:hint="default"/>
                <w:sz w:val="15"/>
                <w:szCs w:val="15"/>
              </w:rPr>
              <w:t>无线网优系统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120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0167061</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2009SR040062</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CDT</w:t>
            </w:r>
            <w:r>
              <w:rPr>
                <w:rFonts w:ascii="宋体" w:hAnsi="宋体" w:cs="宋体" w:eastAsia="宋体" w:hint="default"/>
                <w:sz w:val="15"/>
                <w:szCs w:val="15"/>
              </w:rPr>
              <w:t>路测软件</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5"/>
                <w:szCs w:val="15"/>
              </w:rPr>
            </w:pPr>
            <w:r>
              <w:rPr>
                <w:rFonts w:ascii="宋体"/>
                <w:sz w:val="15"/>
              </w:rPr>
              <w:t>121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0214643</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2010SR026370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CDS/WLAN</w:t>
            </w:r>
            <w:r>
              <w:rPr>
                <w:rFonts w:ascii="宋体" w:hAnsi="宋体" w:cs="宋体" w:eastAsia="宋体" w:hint="default"/>
                <w:sz w:val="15"/>
                <w:szCs w:val="15"/>
              </w:rPr>
              <w:t>网络评估优化测试软件</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122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0324634</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2011SR060960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CDS</w:t>
            </w:r>
            <w:r>
              <w:rPr>
                <w:rFonts w:ascii="宋体" w:hAnsi="宋体" w:cs="宋体" w:eastAsia="宋体" w:hint="default"/>
                <w:sz w:val="15"/>
                <w:szCs w:val="15"/>
              </w:rPr>
              <w:t>网优路测系统</w:t>
            </w:r>
            <w:r>
              <w:rPr>
                <w:rFonts w:ascii="宋体" w:hAnsi="宋体" w:cs="宋体" w:eastAsia="宋体" w:hint="default"/>
                <w:sz w:val="15"/>
                <w:szCs w:val="15"/>
              </w:rPr>
              <w:t>V7.0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123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0427970</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2012SR059934</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CDS</w:t>
            </w:r>
            <w:r>
              <w:rPr>
                <w:rFonts w:ascii="宋体" w:hAnsi="宋体" w:cs="宋体" w:eastAsia="宋体" w:hint="default"/>
                <w:spacing w:val="-7"/>
                <w:sz w:val="15"/>
                <w:szCs w:val="15"/>
              </w:rPr>
              <w:t> </w:t>
            </w:r>
            <w:r>
              <w:rPr>
                <w:rFonts w:ascii="宋体" w:hAnsi="宋体" w:cs="宋体" w:eastAsia="宋体" w:hint="default"/>
                <w:sz w:val="15"/>
                <w:szCs w:val="15"/>
              </w:rPr>
              <w:t>LTE</w:t>
            </w:r>
            <w:r>
              <w:rPr>
                <w:rFonts w:ascii="宋体" w:hAnsi="宋体" w:cs="宋体" w:eastAsia="宋体" w:hint="default"/>
                <w:sz w:val="15"/>
                <w:szCs w:val="15"/>
              </w:rPr>
              <w:t>测试系统</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124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0718294</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2014SR049050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CDS</w:t>
            </w:r>
            <w:r>
              <w:rPr>
                <w:rFonts w:ascii="宋体" w:hAnsi="宋体" w:cs="宋体" w:eastAsia="宋体" w:hint="default"/>
                <w:sz w:val="15"/>
                <w:szCs w:val="15"/>
              </w:rPr>
              <w:t>网优路测系统</w:t>
            </w:r>
            <w:r>
              <w:rPr>
                <w:rFonts w:ascii="宋体" w:hAnsi="宋体" w:cs="宋体" w:eastAsia="宋体" w:hint="default"/>
                <w:sz w:val="15"/>
                <w:szCs w:val="15"/>
              </w:rPr>
              <w:t>V7.1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125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0718297</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2014SR049053</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CDS</w:t>
            </w:r>
            <w:r>
              <w:rPr>
                <w:rFonts w:ascii="宋体" w:hAnsi="宋体" w:cs="宋体" w:eastAsia="宋体" w:hint="default"/>
                <w:spacing w:val="-7"/>
                <w:sz w:val="15"/>
                <w:szCs w:val="15"/>
              </w:rPr>
              <w:t> </w:t>
            </w:r>
            <w:r>
              <w:rPr>
                <w:rFonts w:ascii="宋体" w:hAnsi="宋体" w:cs="宋体" w:eastAsia="宋体" w:hint="default"/>
                <w:sz w:val="15"/>
                <w:szCs w:val="15"/>
              </w:rPr>
              <w:t>LTE</w:t>
            </w:r>
            <w:r>
              <w:rPr>
                <w:rFonts w:ascii="宋体" w:hAnsi="宋体" w:cs="宋体" w:eastAsia="宋体" w:hint="default"/>
                <w:sz w:val="15"/>
                <w:szCs w:val="15"/>
              </w:rPr>
              <w:t>测试系统</w:t>
            </w:r>
            <w:r>
              <w:rPr>
                <w:rFonts w:ascii="宋体" w:hAnsi="宋体" w:cs="宋体" w:eastAsia="宋体" w:hint="default"/>
                <w:sz w:val="15"/>
                <w:szCs w:val="15"/>
              </w:rPr>
              <w:t>V1.1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5"/>
                <w:szCs w:val="15"/>
              </w:rPr>
            </w:pPr>
            <w:r>
              <w:rPr>
                <w:rFonts w:ascii="宋体"/>
                <w:sz w:val="15"/>
              </w:rPr>
              <w:t>126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0718301</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2014SR049057</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CDT</w:t>
            </w:r>
            <w:r>
              <w:rPr>
                <w:rFonts w:ascii="宋体" w:hAnsi="宋体" w:cs="宋体" w:eastAsia="宋体" w:hint="default"/>
                <w:sz w:val="15"/>
                <w:szCs w:val="15"/>
              </w:rPr>
              <w:t>路测软件</w:t>
            </w:r>
            <w:r>
              <w:rPr>
                <w:rFonts w:ascii="宋体" w:hAnsi="宋体" w:cs="宋体" w:eastAsia="宋体" w:hint="default"/>
                <w:sz w:val="15"/>
                <w:szCs w:val="15"/>
              </w:rPr>
              <w:t>V1.1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127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0718233</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2014SR048989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CDS/WLAN</w:t>
            </w:r>
            <w:r>
              <w:rPr>
                <w:rFonts w:ascii="宋体" w:hAnsi="宋体" w:cs="宋体" w:eastAsia="宋体" w:hint="default"/>
                <w:sz w:val="15"/>
                <w:szCs w:val="15"/>
              </w:rPr>
              <w:t>网络评估优化测试软件</w:t>
            </w:r>
            <w:r>
              <w:rPr>
                <w:rFonts w:ascii="宋体" w:hAnsi="宋体" w:cs="宋体" w:eastAsia="宋体" w:hint="default"/>
                <w:sz w:val="15"/>
                <w:szCs w:val="15"/>
              </w:rPr>
              <w:t>V1.1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5"/>
                <w:szCs w:val="15"/>
              </w:rPr>
            </w:pPr>
            <w:r>
              <w:rPr>
                <w:rFonts w:ascii="宋体"/>
                <w:sz w:val="15"/>
              </w:rPr>
              <w:t>128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0833697</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2014SR164460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CDS</w:t>
            </w:r>
            <w:r>
              <w:rPr>
                <w:rFonts w:ascii="宋体" w:hAnsi="宋体" w:cs="宋体" w:eastAsia="宋体" w:hint="default"/>
                <w:spacing w:val="-9"/>
                <w:sz w:val="15"/>
                <w:szCs w:val="15"/>
              </w:rPr>
              <w:t> </w:t>
            </w:r>
            <w:r>
              <w:rPr>
                <w:rFonts w:ascii="宋体" w:hAnsi="宋体" w:cs="宋体" w:eastAsia="宋体" w:hint="default"/>
                <w:sz w:val="15"/>
                <w:szCs w:val="15"/>
              </w:rPr>
              <w:t>IOS</w:t>
            </w:r>
            <w:r>
              <w:rPr>
                <w:rFonts w:ascii="宋体" w:hAnsi="宋体" w:cs="宋体" w:eastAsia="宋体" w:hint="default"/>
                <w:sz w:val="15"/>
                <w:szCs w:val="15"/>
              </w:rPr>
              <w:t>手持式测试软件</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129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0833658</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2014SR164421</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CDS</w:t>
            </w:r>
            <w:r>
              <w:rPr>
                <w:rFonts w:ascii="宋体" w:hAnsi="宋体" w:cs="宋体" w:eastAsia="宋体" w:hint="default"/>
                <w:spacing w:val="-12"/>
                <w:sz w:val="15"/>
                <w:szCs w:val="15"/>
              </w:rPr>
              <w:t> </w:t>
            </w:r>
            <w:r>
              <w:rPr>
                <w:rFonts w:ascii="宋体" w:hAnsi="宋体" w:cs="宋体" w:eastAsia="宋体" w:hint="default"/>
                <w:sz w:val="15"/>
                <w:szCs w:val="15"/>
              </w:rPr>
              <w:t>Android</w:t>
            </w:r>
            <w:r>
              <w:rPr>
                <w:rFonts w:ascii="宋体" w:hAnsi="宋体" w:cs="宋体" w:eastAsia="宋体" w:hint="default"/>
                <w:sz w:val="15"/>
                <w:szCs w:val="15"/>
              </w:rPr>
              <w:t>手持式测试软件</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5"/>
                <w:szCs w:val="15"/>
              </w:rPr>
            </w:pPr>
            <w:r>
              <w:rPr>
                <w:rFonts w:ascii="宋体"/>
                <w:sz w:val="15"/>
              </w:rPr>
              <w:t>130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0833700</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sz w:val="15"/>
              </w:rPr>
              <w:t>2014SR164463</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CDS</w:t>
            </w:r>
            <w:r>
              <w:rPr>
                <w:rFonts w:ascii="宋体" w:hAnsi="宋体" w:cs="宋体" w:eastAsia="宋体" w:hint="default"/>
                <w:sz w:val="15"/>
                <w:szCs w:val="15"/>
              </w:rPr>
              <w:t>网优路测系统</w:t>
            </w:r>
            <w:r>
              <w:rPr>
                <w:rFonts w:ascii="宋体" w:hAnsi="宋体" w:cs="宋体" w:eastAsia="宋体" w:hint="default"/>
                <w:sz w:val="15"/>
                <w:szCs w:val="15"/>
              </w:rPr>
              <w:t>V8.0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131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0877280</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sz w:val="15"/>
              </w:rPr>
              <w:t>2014SR208049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CDS</w:t>
            </w:r>
            <w:r>
              <w:rPr>
                <w:rFonts w:ascii="宋体" w:hAnsi="宋体" w:cs="宋体" w:eastAsia="宋体" w:hint="default"/>
                <w:sz w:val="15"/>
                <w:szCs w:val="15"/>
              </w:rPr>
              <w:t>网优路测系统</w:t>
            </w:r>
            <w:r>
              <w:rPr>
                <w:rFonts w:ascii="宋体" w:hAnsi="宋体" w:cs="宋体" w:eastAsia="宋体" w:hint="default"/>
                <w:sz w:val="15"/>
                <w:szCs w:val="15"/>
              </w:rPr>
              <w:t>V7.1.1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bl>
    <w:p>
      <w:pPr>
        <w:spacing w:after="0" w:line="182" w:lineRule="exact"/>
        <w:jc w:val="left"/>
        <w:rPr>
          <w:rFonts w:ascii="宋体" w:hAnsi="宋体" w:cs="宋体" w:eastAsia="宋体" w:hint="default"/>
          <w:sz w:val="15"/>
          <w:szCs w:val="15"/>
        </w:rPr>
        <w:sectPr>
          <w:pgSz w:w="11910" w:h="16840"/>
          <w:pgMar w:header="745" w:footer="982" w:top="1060" w:bottom="118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63"/>
        <w:gridCol w:w="1478"/>
        <w:gridCol w:w="934"/>
        <w:gridCol w:w="4258"/>
        <w:gridCol w:w="780"/>
        <w:gridCol w:w="677"/>
        <w:gridCol w:w="842"/>
        <w:gridCol w:w="850"/>
      </w:tblGrid>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132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0877276</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2014SR208045</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CDS Plus Android</w:t>
            </w:r>
            <w:r>
              <w:rPr>
                <w:rFonts w:ascii="宋体" w:hAnsi="宋体" w:cs="宋体" w:eastAsia="宋体" w:hint="default"/>
                <w:spacing w:val="-14"/>
                <w:sz w:val="15"/>
                <w:szCs w:val="15"/>
              </w:rPr>
              <w:t> </w:t>
            </w:r>
            <w:r>
              <w:rPr>
                <w:rFonts w:ascii="宋体" w:hAnsi="宋体" w:cs="宋体" w:eastAsia="宋体" w:hint="default"/>
                <w:sz w:val="15"/>
                <w:szCs w:val="15"/>
              </w:rPr>
              <w:t>测试软件</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133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0878778</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2014SR209546</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CDS Plus IOS</w:t>
            </w:r>
            <w:r>
              <w:rPr>
                <w:rFonts w:ascii="宋体" w:hAnsi="宋体" w:cs="宋体" w:eastAsia="宋体" w:hint="default"/>
                <w:spacing w:val="-11"/>
                <w:sz w:val="15"/>
                <w:szCs w:val="15"/>
              </w:rPr>
              <w:t> </w:t>
            </w:r>
            <w:r>
              <w:rPr>
                <w:rFonts w:ascii="宋体" w:hAnsi="宋体" w:cs="宋体" w:eastAsia="宋体" w:hint="default"/>
                <w:sz w:val="15"/>
                <w:szCs w:val="15"/>
              </w:rPr>
              <w:t>测试软件</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134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0886806</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2014SR217577</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CDS</w:t>
            </w:r>
            <w:r>
              <w:rPr>
                <w:rFonts w:ascii="宋体" w:hAnsi="宋体" w:cs="宋体" w:eastAsia="宋体" w:hint="default"/>
                <w:sz w:val="15"/>
                <w:szCs w:val="15"/>
              </w:rPr>
              <w:t>网优路测系统</w:t>
            </w:r>
            <w:r>
              <w:rPr>
                <w:rFonts w:ascii="宋体" w:hAnsi="宋体" w:cs="宋体" w:eastAsia="宋体" w:hint="default"/>
                <w:sz w:val="15"/>
                <w:szCs w:val="15"/>
              </w:rPr>
              <w:t>V7.1.2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135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1056094</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2015SR169008</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扫频仪数据分析软件</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5"/>
                <w:szCs w:val="15"/>
              </w:rPr>
            </w:pPr>
            <w:r>
              <w:rPr>
                <w:rFonts w:ascii="宋体"/>
                <w:sz w:val="15"/>
              </w:rPr>
              <w:t>136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1103080</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
              <w:jc w:val="right"/>
              <w:rPr>
                <w:rFonts w:ascii="宋体" w:hAnsi="宋体" w:cs="宋体" w:eastAsia="宋体" w:hint="default"/>
                <w:sz w:val="15"/>
                <w:szCs w:val="15"/>
              </w:rPr>
            </w:pPr>
            <w:r>
              <w:rPr>
                <w:rFonts w:ascii="宋体"/>
                <w:spacing w:val="-2"/>
                <w:sz w:val="15"/>
              </w:rPr>
              <w:t>2015SR215994</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Volte</w:t>
            </w:r>
            <w:r>
              <w:rPr>
                <w:rFonts w:ascii="宋体" w:hAnsi="宋体" w:cs="宋体" w:eastAsia="宋体" w:hint="default"/>
                <w:sz w:val="15"/>
                <w:szCs w:val="15"/>
              </w:rPr>
              <w:t>测试软件</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137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1104236</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2015SR217150</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TD-LTE</w:t>
            </w:r>
            <w:r>
              <w:rPr>
                <w:rFonts w:ascii="宋体" w:hAnsi="宋体" w:cs="宋体" w:eastAsia="宋体" w:hint="default"/>
                <w:sz w:val="15"/>
                <w:szCs w:val="15"/>
              </w:rPr>
              <w:t>终端自动化路测系统</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5"/>
                <w:szCs w:val="15"/>
              </w:rPr>
            </w:pPr>
            <w:r>
              <w:rPr>
                <w:rFonts w:ascii="宋体"/>
                <w:sz w:val="15"/>
              </w:rPr>
              <w:t>138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1104651</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
              <w:jc w:val="right"/>
              <w:rPr>
                <w:rFonts w:ascii="宋体" w:hAnsi="宋体" w:cs="宋体" w:eastAsia="宋体" w:hint="default"/>
                <w:sz w:val="15"/>
                <w:szCs w:val="15"/>
              </w:rPr>
            </w:pPr>
            <w:r>
              <w:rPr>
                <w:rFonts w:ascii="宋体"/>
                <w:spacing w:val="-2"/>
                <w:sz w:val="15"/>
              </w:rPr>
              <w:t>2015SR217565</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CA</w:t>
            </w:r>
            <w:r>
              <w:rPr>
                <w:rFonts w:ascii="宋体" w:hAnsi="宋体" w:cs="宋体" w:eastAsia="宋体" w:hint="default"/>
                <w:sz w:val="15"/>
                <w:szCs w:val="15"/>
              </w:rPr>
              <w:t>测试软件</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sz w:val="15"/>
              </w:rPr>
              <w:t>139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1133772</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4"/>
              <w:jc w:val="right"/>
              <w:rPr>
                <w:rFonts w:ascii="宋体" w:hAnsi="宋体" w:cs="宋体" w:eastAsia="宋体" w:hint="default"/>
                <w:sz w:val="15"/>
                <w:szCs w:val="15"/>
              </w:rPr>
            </w:pPr>
            <w:r>
              <w:rPr>
                <w:rFonts w:ascii="宋体"/>
                <w:spacing w:val="-2"/>
                <w:sz w:val="15"/>
              </w:rPr>
              <w:t>2015SR246686</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LTE</w:t>
            </w:r>
            <w:r>
              <w:rPr>
                <w:rFonts w:ascii="宋体" w:hAnsi="宋体" w:cs="宋体" w:eastAsia="宋体" w:hint="default"/>
                <w:sz w:val="15"/>
                <w:szCs w:val="15"/>
              </w:rPr>
              <w:t>基站自动单验系统</w:t>
            </w:r>
            <w:r>
              <w:rPr>
                <w:rFonts w:ascii="宋体" w:hAnsi="宋体" w:cs="宋体" w:eastAsia="宋体" w:hint="default"/>
                <w:sz w:val="15"/>
                <w:szCs w:val="15"/>
              </w:rPr>
              <w:t>(IOS</w:t>
            </w:r>
            <w:r>
              <w:rPr>
                <w:rFonts w:ascii="宋体" w:hAnsi="宋体" w:cs="宋体" w:eastAsia="宋体" w:hint="default"/>
                <w:sz w:val="15"/>
                <w:szCs w:val="15"/>
              </w:rPr>
              <w:t>版</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226"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5"/>
                <w:szCs w:val="15"/>
              </w:rPr>
            </w:pPr>
            <w:r>
              <w:rPr>
                <w:rFonts w:ascii="宋体"/>
                <w:sz w:val="15"/>
              </w:rPr>
              <w:t>140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center"/>
              <w:rPr>
                <w:rFonts w:ascii="宋体" w:hAnsi="宋体" w:cs="宋体" w:eastAsia="宋体" w:hint="default"/>
                <w:sz w:val="15"/>
                <w:szCs w:val="15"/>
              </w:rPr>
            </w:pPr>
            <w:r>
              <w:rPr>
                <w:rFonts w:ascii="宋体" w:hAnsi="宋体" w:cs="宋体" w:eastAsia="宋体" w:hint="default"/>
                <w:spacing w:val="-2"/>
                <w:sz w:val="15"/>
                <w:szCs w:val="15"/>
              </w:rPr>
              <w:t>软著登字第</w:t>
            </w:r>
            <w:r>
              <w:rPr>
                <w:rFonts w:ascii="宋体" w:hAnsi="宋体" w:cs="宋体" w:eastAsia="宋体" w:hint="default"/>
                <w:spacing w:val="-2"/>
                <w:sz w:val="15"/>
                <w:szCs w:val="15"/>
              </w:rPr>
              <w:t>1139222</w:t>
            </w:r>
            <w:r>
              <w:rPr>
                <w:rFonts w:ascii="宋体" w:hAnsi="宋体" w:cs="宋体" w:eastAsia="宋体" w:hint="default"/>
                <w:spacing w:val="-2"/>
                <w:sz w:val="15"/>
                <w:szCs w:val="15"/>
              </w:rPr>
              <w:t>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4"/>
              <w:jc w:val="right"/>
              <w:rPr>
                <w:rFonts w:ascii="宋体" w:hAnsi="宋体" w:cs="宋体" w:eastAsia="宋体" w:hint="default"/>
                <w:sz w:val="15"/>
                <w:szCs w:val="15"/>
              </w:rPr>
            </w:pPr>
            <w:r>
              <w:rPr>
                <w:rFonts w:ascii="宋体"/>
                <w:spacing w:val="-2"/>
                <w:sz w:val="15"/>
              </w:rPr>
              <w:t>2015SR252136</w:t>
            </w:r>
            <w:r>
              <w:rPr>
                <w:rFonts w:ascii="宋体"/>
                <w:sz w:val="15"/>
              </w:rPr>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LTE</w:t>
            </w:r>
            <w:r>
              <w:rPr>
                <w:rFonts w:ascii="宋体" w:hAnsi="宋体" w:cs="宋体" w:eastAsia="宋体" w:hint="default"/>
                <w:sz w:val="15"/>
                <w:szCs w:val="15"/>
              </w:rPr>
              <w:t>基站自动单验系统</w:t>
            </w:r>
            <w:r>
              <w:rPr>
                <w:rFonts w:ascii="宋体" w:hAnsi="宋体" w:cs="宋体" w:eastAsia="宋体" w:hint="default"/>
                <w:sz w:val="15"/>
                <w:szCs w:val="15"/>
              </w:rPr>
              <w:t>(Android</w:t>
            </w:r>
            <w:r>
              <w:rPr>
                <w:rFonts w:ascii="宋体" w:hAnsi="宋体" w:cs="宋体" w:eastAsia="宋体" w:hint="default"/>
                <w:sz w:val="15"/>
                <w:szCs w:val="15"/>
              </w:rPr>
              <w:t>版</w:t>
            </w:r>
            <w:r>
              <w:rPr>
                <w:rFonts w:ascii="宋体" w:hAnsi="宋体" w:cs="宋体" w:eastAsia="宋体" w:hint="default"/>
                <w:sz w:val="15"/>
                <w:szCs w:val="15"/>
              </w:rPr>
              <w:t>)V10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 w:right="0"/>
              <w:jc w:val="left"/>
              <w:rPr>
                <w:rFonts w:ascii="宋体" w:hAnsi="宋体" w:cs="宋体" w:eastAsia="宋体" w:hint="default"/>
                <w:sz w:val="15"/>
                <w:szCs w:val="15"/>
              </w:rPr>
            </w:pPr>
            <w:r>
              <w:rPr>
                <w:rFonts w:ascii="宋体" w:hAnsi="宋体" w:cs="宋体" w:eastAsia="宋体" w:hint="default"/>
                <w:sz w:val="15"/>
                <w:szCs w:val="15"/>
              </w:rPr>
              <w:t>全部权利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left"/>
              <w:rPr>
                <w:rFonts w:ascii="宋体" w:hAnsi="宋体" w:cs="宋体" w:eastAsia="宋体" w:hint="default"/>
                <w:sz w:val="15"/>
                <w:szCs w:val="15"/>
              </w:rPr>
            </w:pPr>
            <w:r>
              <w:rPr>
                <w:rFonts w:ascii="宋体" w:hAnsi="宋体" w:cs="宋体" w:eastAsia="宋体" w:hint="default"/>
                <w:sz w:val="15"/>
                <w:szCs w:val="15"/>
              </w:rPr>
              <w:t>未发表</w:t>
            </w:r>
          </w:p>
        </w:tc>
      </w:tr>
    </w:tbl>
    <w:p>
      <w:pPr>
        <w:spacing w:line="240" w:lineRule="auto" w:before="6"/>
        <w:rPr>
          <w:rFonts w:ascii="Times New Roman" w:hAnsi="Times New Roman" w:cs="Times New Roman" w:eastAsia="Times New Roman" w:hint="default"/>
          <w:sz w:val="27"/>
          <w:szCs w:val="27"/>
        </w:rPr>
      </w:pPr>
    </w:p>
    <w:p>
      <w:pPr>
        <w:pStyle w:val="BodyText"/>
        <w:spacing w:line="300" w:lineRule="auto" w:before="44"/>
        <w:ind w:left="432" w:right="0" w:firstLine="424"/>
        <w:jc w:val="left"/>
      </w:pPr>
      <w:r>
        <w:rPr>
          <w:spacing w:val="-2"/>
        </w:rPr>
        <w:t>报告期内，公司新取得</w:t>
      </w:r>
      <w:r>
        <w:rPr>
          <w:rFonts w:ascii="Times New Roman" w:hAnsi="Times New Roman" w:cs="Times New Roman" w:eastAsia="Times New Roman" w:hint="default"/>
          <w:spacing w:val="-2"/>
        </w:rPr>
        <w:t>3</w:t>
      </w:r>
      <w:r>
        <w:rPr>
          <w:spacing w:val="-2"/>
        </w:rPr>
        <w:t>项发明专利。截止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日，公司及子公司有</w:t>
      </w:r>
      <w:r>
        <w:rPr>
          <w:rFonts w:ascii="Times New Roman" w:hAnsi="Times New Roman" w:cs="Times New Roman" w:eastAsia="Times New Roman" w:hint="default"/>
          <w:spacing w:val="-2"/>
        </w:rPr>
        <w:t>1</w:t>
      </w:r>
      <w:r>
        <w:rPr>
          <w:spacing w:val="-2"/>
        </w:rPr>
        <w:t>项发明专利已收到办理登记手续通知书，</w:t>
      </w:r>
      <w:r>
        <w:rPr/>
        <w:t> </w:t>
      </w:r>
      <w:r>
        <w:rPr>
          <w:rFonts w:ascii="Times New Roman" w:hAnsi="Times New Roman" w:cs="Times New Roman" w:eastAsia="Times New Roman" w:hint="default"/>
          <w:spacing w:val="-2"/>
        </w:rPr>
        <w:t>1</w:t>
      </w:r>
      <w:r>
        <w:rPr>
          <w:spacing w:val="-2"/>
        </w:rPr>
        <w:t>项发明专利申请获得初步审查合格通知书，</w:t>
      </w:r>
      <w:r>
        <w:rPr>
          <w:rFonts w:ascii="Times New Roman" w:hAnsi="Times New Roman" w:cs="Times New Roman" w:eastAsia="Times New Roman" w:hint="default"/>
          <w:spacing w:val="-2"/>
        </w:rPr>
        <w:t>7</w:t>
      </w:r>
      <w:r>
        <w:rPr>
          <w:spacing w:val="-2"/>
        </w:rPr>
        <w:t>项发明专利申请获得公布及进入实质审查通知书。公司目前已取得的发明专利</w:t>
      </w:r>
      <w:r>
        <w:rPr>
          <w:spacing w:val="-63"/>
        </w:rPr>
        <w:t> </w:t>
      </w:r>
      <w:r>
        <w:rPr>
          <w:spacing w:val="-63"/>
        </w:rPr>
      </w:r>
      <w:r>
        <w:rPr/>
        <w:t>情况如下表：</w:t>
      </w:r>
    </w:p>
    <w:p>
      <w:pPr>
        <w:spacing w:line="240" w:lineRule="auto" w:before="9"/>
        <w:rPr>
          <w:rFonts w:ascii="宋体" w:hAnsi="宋体" w:cs="宋体" w:eastAsia="宋体" w:hint="default"/>
          <w:sz w:val="4"/>
          <w:szCs w:val="4"/>
        </w:rPr>
      </w:pPr>
    </w:p>
    <w:tbl>
      <w:tblPr>
        <w:tblW w:w="0" w:type="auto"/>
        <w:jc w:val="left"/>
        <w:tblInd w:w="415" w:type="dxa"/>
        <w:tblLayout w:type="fixed"/>
        <w:tblCellMar>
          <w:top w:w="0" w:type="dxa"/>
          <w:left w:w="0" w:type="dxa"/>
          <w:bottom w:w="0" w:type="dxa"/>
          <w:right w:w="0" w:type="dxa"/>
        </w:tblCellMar>
        <w:tblLook w:val="01E0"/>
      </w:tblPr>
      <w:tblGrid>
        <w:gridCol w:w="401"/>
        <w:gridCol w:w="3161"/>
        <w:gridCol w:w="845"/>
        <w:gridCol w:w="1102"/>
        <w:gridCol w:w="1234"/>
        <w:gridCol w:w="1128"/>
        <w:gridCol w:w="1126"/>
        <w:gridCol w:w="662"/>
      </w:tblGrid>
      <w:tr>
        <w:trPr>
          <w:trHeight w:val="504" w:hRule="exact"/>
        </w:trPr>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55" w:right="0"/>
              <w:jc w:val="left"/>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专利申请日</w:t>
            </w:r>
            <w:r>
              <w:rPr>
                <w:rFonts w:ascii="宋体" w:hAnsi="宋体" w:cs="宋体" w:eastAsia="宋体" w:hint="default"/>
                <w:sz w:val="18"/>
                <w:szCs w:val="18"/>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
              <w:ind w:left="141" w:right="50" w:hanging="89"/>
              <w:jc w:val="left"/>
              <w:rPr>
                <w:rFonts w:ascii="宋体" w:hAnsi="宋体" w:cs="宋体" w:eastAsia="宋体" w:hint="default"/>
                <w:sz w:val="18"/>
                <w:szCs w:val="18"/>
              </w:rPr>
            </w:pPr>
            <w:r>
              <w:rPr>
                <w:rFonts w:ascii="宋体" w:hAnsi="宋体" w:cs="宋体" w:eastAsia="宋体" w:hint="default"/>
                <w:b/>
                <w:bCs/>
                <w:sz w:val="18"/>
                <w:szCs w:val="18"/>
              </w:rPr>
              <w:t>专利权</w:t>
            </w:r>
            <w:r>
              <w:rPr>
                <w:rFonts w:ascii="宋体" w:hAnsi="宋体" w:cs="宋体" w:eastAsia="宋体" w:hint="default"/>
                <w:b/>
                <w:bCs/>
                <w:w w:val="99"/>
                <w:sz w:val="18"/>
                <w:szCs w:val="18"/>
              </w:rPr>
              <w:t> </w:t>
            </w:r>
            <w:r>
              <w:rPr>
                <w:rFonts w:ascii="宋体" w:hAnsi="宋体" w:cs="宋体" w:eastAsia="宋体" w:hint="default"/>
                <w:b/>
                <w:bCs/>
                <w:sz w:val="18"/>
                <w:szCs w:val="18"/>
              </w:rPr>
              <w:t>期限</w:t>
            </w:r>
            <w:r>
              <w:rPr>
                <w:rFonts w:ascii="宋体" w:hAnsi="宋体" w:cs="宋体" w:eastAsia="宋体" w:hint="default"/>
                <w:sz w:val="18"/>
                <w:szCs w:val="18"/>
              </w:rPr>
            </w:r>
          </w:p>
        </w:tc>
      </w:tr>
      <w:tr>
        <w:trPr>
          <w:trHeight w:val="502" w:hRule="exact"/>
        </w:trPr>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1</w:t>
            </w:r>
          </w:p>
        </w:tc>
        <w:tc>
          <w:tcPr>
            <w:tcW w:w="3161"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 w:right="0"/>
              <w:jc w:val="center"/>
              <w:rPr>
                <w:rFonts w:ascii="宋体" w:hAnsi="宋体" w:cs="宋体" w:eastAsia="宋体" w:hint="default"/>
                <w:sz w:val="18"/>
                <w:szCs w:val="18"/>
              </w:rPr>
            </w:pPr>
            <w:r>
              <w:rPr>
                <w:rFonts w:ascii="宋体" w:hAnsi="宋体" w:cs="宋体" w:eastAsia="宋体" w:hint="default"/>
                <w:sz w:val="18"/>
                <w:szCs w:val="18"/>
              </w:rPr>
              <w:t>保证交易一致性的方法</w:t>
            </w:r>
          </w:p>
          <w:p>
            <w:pPr>
              <w:pStyle w:val="TableParagraph"/>
              <w:spacing w:line="248"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Tong</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EASY</w:t>
            </w:r>
            <w:r>
              <w:rPr>
                <w:rFonts w:ascii="宋体" w:hAnsi="宋体" w:cs="宋体" w:eastAsia="宋体" w:hint="default"/>
                <w:sz w:val="18"/>
                <w:szCs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98101433X</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1998-4-28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134" w:right="0"/>
              <w:jc w:val="left"/>
              <w:rPr>
                <w:rFonts w:ascii="Times New Roman" w:hAnsi="Times New Roman" w:cs="Times New Roman" w:eastAsia="Times New Roman" w:hint="default"/>
                <w:sz w:val="18"/>
                <w:szCs w:val="18"/>
              </w:rPr>
            </w:pPr>
            <w:r>
              <w:rPr>
                <w:rFonts w:ascii="Times New Roman"/>
                <w:sz w:val="18"/>
              </w:rPr>
              <w:t>2002-10-23</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502" w:hRule="exact"/>
        </w:trPr>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w:t>
            </w:r>
          </w:p>
        </w:tc>
        <w:tc>
          <w:tcPr>
            <w:tcW w:w="3161"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 w:right="0"/>
              <w:jc w:val="center"/>
              <w:rPr>
                <w:rFonts w:ascii="宋体" w:hAnsi="宋体" w:cs="宋体" w:eastAsia="宋体" w:hint="default"/>
                <w:sz w:val="18"/>
                <w:szCs w:val="18"/>
              </w:rPr>
            </w:pPr>
            <w:r>
              <w:rPr>
                <w:rFonts w:ascii="宋体" w:hAnsi="宋体" w:cs="宋体" w:eastAsia="宋体" w:hint="default"/>
                <w:sz w:val="18"/>
                <w:szCs w:val="18"/>
              </w:rPr>
              <w:t>一种消息的读写方法和装置</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TongLINK/Q</w:t>
            </w:r>
            <w:r>
              <w:rPr>
                <w:rFonts w:ascii="宋体" w:hAnsi="宋体" w:cs="宋体" w:eastAsia="宋体" w:hint="default"/>
                <w:sz w:val="18"/>
                <w:szCs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31"/>
              <w:ind w:left="2" w:right="0"/>
              <w:jc w:val="center"/>
              <w:rPr>
                <w:rFonts w:ascii="Times New Roman" w:hAnsi="Times New Roman" w:cs="Times New Roman" w:eastAsia="Times New Roman" w:hint="default"/>
                <w:sz w:val="18"/>
                <w:szCs w:val="18"/>
              </w:rPr>
            </w:pPr>
            <w:r>
              <w:rPr>
                <w:rFonts w:ascii="Times New Roman"/>
                <w:sz w:val="18"/>
              </w:rPr>
              <w:t>20071</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0304415.8</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sz w:val="18"/>
              </w:rPr>
              <w:t>2007-12-27</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134" w:right="0"/>
              <w:jc w:val="left"/>
              <w:rPr>
                <w:rFonts w:ascii="Times New Roman" w:hAnsi="Times New Roman" w:cs="Times New Roman" w:eastAsia="Times New Roman" w:hint="default"/>
                <w:sz w:val="18"/>
                <w:szCs w:val="18"/>
              </w:rPr>
            </w:pPr>
            <w:r>
              <w:rPr>
                <w:rFonts w:ascii="Times New Roman"/>
                <w:sz w:val="18"/>
              </w:rPr>
              <w:t>2011-10-26</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502" w:hRule="exact"/>
        </w:trPr>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3</w:t>
            </w:r>
          </w:p>
        </w:tc>
        <w:tc>
          <w:tcPr>
            <w:tcW w:w="316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
              <w:ind w:left="695" w:right="38" w:hanging="651"/>
              <w:jc w:val="left"/>
              <w:rPr>
                <w:rFonts w:ascii="Times New Roman" w:hAnsi="Times New Roman" w:cs="Times New Roman" w:eastAsia="Times New Roman" w:hint="default"/>
                <w:sz w:val="18"/>
                <w:szCs w:val="18"/>
              </w:rPr>
            </w:pPr>
            <w:r>
              <w:rPr>
                <w:rFonts w:ascii="宋体" w:hAnsi="宋体" w:cs="宋体" w:eastAsia="宋体" w:hint="default"/>
                <w:sz w:val="18"/>
                <w:szCs w:val="18"/>
              </w:rPr>
              <w:t>一种企业服务总线的消息转换方法、服 务器及其系统</w:t>
            </w:r>
            <w:r>
              <w:rPr>
                <w:rFonts w:ascii="Times New Roman" w:hAnsi="Times New Roman" w:cs="Times New Roman" w:eastAsia="Times New Roman" w:hint="default"/>
                <w:sz w:val="18"/>
                <w:szCs w:val="18"/>
              </w:rPr>
              <w:t>(TI-ESB)</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Times New Roman" w:hAnsi="Times New Roman" w:cs="Times New Roman" w:eastAsia="Times New Roman" w:hint="default"/>
                <w:sz w:val="18"/>
                <w:szCs w:val="18"/>
              </w:rPr>
            </w:pPr>
            <w:r>
              <w:rPr>
                <w:rFonts w:ascii="Times New Roman"/>
                <w:sz w:val="18"/>
              </w:rPr>
              <w:t>20081</w:t>
            </w:r>
          </w:p>
          <w:p>
            <w:pPr>
              <w:pStyle w:val="TableParagraph"/>
              <w:spacing w:line="240" w:lineRule="auto" w:before="2"/>
              <w:ind w:right="1"/>
              <w:jc w:val="center"/>
              <w:rPr>
                <w:rFonts w:ascii="Times New Roman" w:hAnsi="Times New Roman" w:cs="Times New Roman" w:eastAsia="Times New Roman" w:hint="default"/>
                <w:sz w:val="18"/>
                <w:szCs w:val="18"/>
              </w:rPr>
            </w:pPr>
            <w:r>
              <w:rPr>
                <w:rFonts w:ascii="Times New Roman"/>
                <w:sz w:val="18"/>
              </w:rPr>
              <w:t>0119861.6</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sz w:val="18"/>
              </w:rPr>
              <w:t>2008-09-12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179" w:right="0"/>
              <w:jc w:val="left"/>
              <w:rPr>
                <w:rFonts w:ascii="Times New Roman" w:hAnsi="Times New Roman" w:cs="Times New Roman" w:eastAsia="Times New Roman" w:hint="default"/>
                <w:sz w:val="18"/>
                <w:szCs w:val="18"/>
              </w:rPr>
            </w:pPr>
            <w:r>
              <w:rPr>
                <w:rFonts w:ascii="Times New Roman"/>
                <w:sz w:val="18"/>
              </w:rPr>
              <w:t>2012-1-11</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502" w:hRule="exact"/>
        </w:trPr>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4</w:t>
            </w:r>
          </w:p>
        </w:tc>
        <w:tc>
          <w:tcPr>
            <w:tcW w:w="316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
              <w:ind w:left="640" w:right="38" w:hanging="596"/>
              <w:jc w:val="left"/>
              <w:rPr>
                <w:rFonts w:ascii="Times New Roman" w:hAnsi="Times New Roman" w:cs="Times New Roman" w:eastAsia="Times New Roman" w:hint="default"/>
                <w:sz w:val="18"/>
                <w:szCs w:val="18"/>
              </w:rPr>
            </w:pPr>
            <w:r>
              <w:rPr>
                <w:rFonts w:ascii="宋体" w:hAnsi="宋体" w:cs="宋体" w:eastAsia="宋体" w:hint="default"/>
                <w:sz w:val="18"/>
                <w:szCs w:val="18"/>
              </w:rPr>
              <w:t>一种基于分布式、异构数据库统一视图 的查询优化方法</w:t>
            </w:r>
            <w:r>
              <w:rPr>
                <w:rFonts w:ascii="Times New Roman" w:hAnsi="Times New Roman" w:cs="Times New Roman" w:eastAsia="Times New Roman" w:hint="default"/>
                <w:sz w:val="18"/>
                <w:szCs w:val="18"/>
              </w:rPr>
              <w:t>(TI-DX)</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Times New Roman" w:hAnsi="Times New Roman" w:cs="Times New Roman" w:eastAsia="Times New Roman" w:hint="default"/>
                <w:sz w:val="18"/>
                <w:szCs w:val="18"/>
              </w:rPr>
            </w:pPr>
            <w:r>
              <w:rPr>
                <w:rFonts w:ascii="Times New Roman"/>
                <w:sz w:val="18"/>
              </w:rPr>
              <w:t>20101</w:t>
            </w:r>
          </w:p>
          <w:p>
            <w:pPr>
              <w:pStyle w:val="TableParagraph"/>
              <w:spacing w:line="240" w:lineRule="auto" w:before="2"/>
              <w:ind w:right="1"/>
              <w:jc w:val="center"/>
              <w:rPr>
                <w:rFonts w:ascii="Times New Roman" w:hAnsi="Times New Roman" w:cs="Times New Roman" w:eastAsia="Times New Roman" w:hint="default"/>
                <w:sz w:val="18"/>
                <w:szCs w:val="18"/>
              </w:rPr>
            </w:pPr>
            <w:r>
              <w:rPr>
                <w:rFonts w:ascii="Times New Roman"/>
                <w:sz w:val="18"/>
              </w:rPr>
              <w:t>0112856.X</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2010-2-22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79" w:right="0"/>
              <w:jc w:val="left"/>
              <w:rPr>
                <w:rFonts w:ascii="Times New Roman" w:hAnsi="Times New Roman" w:cs="Times New Roman" w:eastAsia="Times New Roman" w:hint="default"/>
                <w:sz w:val="18"/>
                <w:szCs w:val="18"/>
              </w:rPr>
            </w:pPr>
            <w:r>
              <w:rPr>
                <w:rFonts w:ascii="Times New Roman"/>
                <w:sz w:val="18"/>
              </w:rPr>
              <w:t>2013-4-24</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502" w:hRule="exact"/>
        </w:trPr>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5</w:t>
            </w:r>
          </w:p>
        </w:tc>
        <w:tc>
          <w:tcPr>
            <w:tcW w:w="31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基于约束校验的内存格式化方法</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(TongLINK/Q)</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84" w:right="65" w:hanging="116"/>
              <w:jc w:val="left"/>
              <w:rPr>
                <w:rFonts w:ascii="宋体" w:hAnsi="宋体" w:cs="宋体" w:eastAsia="宋体"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w:t>
            </w:r>
            <w:r>
              <w:rPr>
                <w:rFonts w:ascii="宋体" w:hAnsi="宋体" w:cs="宋体" w:eastAsia="宋体" w:hint="default"/>
                <w:sz w:val="18"/>
                <w:szCs w:val="18"/>
              </w:rPr>
              <w:t>上海 东方通泰</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93" w:right="0"/>
              <w:jc w:val="center"/>
              <w:rPr>
                <w:rFonts w:ascii="Times New Roman" w:hAnsi="Times New Roman" w:cs="Times New Roman" w:eastAsia="Times New Roman" w:hint="default"/>
                <w:sz w:val="18"/>
                <w:szCs w:val="18"/>
              </w:rPr>
            </w:pPr>
            <w:r>
              <w:rPr>
                <w:rFonts w:ascii="Times New Roman"/>
                <w:sz w:val="18"/>
              </w:rPr>
              <w:t>20111</w:t>
            </w:r>
          </w:p>
          <w:p>
            <w:pPr>
              <w:pStyle w:val="TableParagraph"/>
              <w:spacing w:line="240" w:lineRule="auto" w:before="2"/>
              <w:ind w:right="1"/>
              <w:jc w:val="center"/>
              <w:rPr>
                <w:rFonts w:ascii="Times New Roman" w:hAnsi="Times New Roman" w:cs="Times New Roman" w:eastAsia="Times New Roman" w:hint="default"/>
                <w:sz w:val="18"/>
                <w:szCs w:val="18"/>
              </w:rPr>
            </w:pPr>
            <w:r>
              <w:rPr>
                <w:rFonts w:ascii="Times New Roman"/>
                <w:sz w:val="18"/>
              </w:rPr>
              <w:t>0195005.0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2011-7-12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134" w:right="0"/>
              <w:jc w:val="left"/>
              <w:rPr>
                <w:rFonts w:ascii="Times New Roman" w:hAnsi="Times New Roman" w:cs="Times New Roman" w:eastAsia="Times New Roman" w:hint="default"/>
                <w:sz w:val="18"/>
                <w:szCs w:val="18"/>
              </w:rPr>
            </w:pPr>
            <w:r>
              <w:rPr>
                <w:rFonts w:ascii="Times New Roman"/>
                <w:sz w:val="18"/>
              </w:rPr>
              <w:t>2014-12-17</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502" w:hRule="exact"/>
        </w:trPr>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6</w:t>
            </w:r>
          </w:p>
        </w:tc>
        <w:tc>
          <w:tcPr>
            <w:tcW w:w="3161"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ind w:left="1154" w:right="17" w:hanging="1133"/>
              <w:jc w:val="left"/>
              <w:rPr>
                <w:rFonts w:ascii="Times New Roman" w:hAnsi="Times New Roman" w:cs="Times New Roman" w:eastAsia="Times New Roman" w:hint="default"/>
                <w:sz w:val="18"/>
                <w:szCs w:val="18"/>
              </w:rPr>
            </w:pPr>
            <w:r>
              <w:rPr>
                <w:rFonts w:ascii="宋体" w:hAnsi="宋体" w:cs="宋体" w:eastAsia="宋体" w:hint="default"/>
                <w:sz w:val="18"/>
                <w:szCs w:val="18"/>
              </w:rPr>
              <w:t>自动配置</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EE</w:t>
            </w:r>
            <w:r>
              <w:rPr>
                <w:rFonts w:ascii="宋体" w:hAnsi="宋体" w:cs="宋体" w:eastAsia="宋体" w:hint="default"/>
                <w:sz w:val="18"/>
                <w:szCs w:val="18"/>
              </w:rPr>
              <w:t>应用集群的装置和方法 </w:t>
            </w:r>
            <w:r>
              <w:rPr>
                <w:rFonts w:ascii="Times New Roman" w:hAnsi="Times New Roman" w:cs="Times New Roman" w:eastAsia="Times New Roman" w:hint="default"/>
                <w:sz w:val="18"/>
                <w:szCs w:val="18"/>
              </w:rPr>
              <w:t>(TongWeb)</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
              <w:ind w:left="184" w:right="65" w:hanging="116"/>
              <w:jc w:val="left"/>
              <w:rPr>
                <w:rFonts w:ascii="宋体" w:hAnsi="宋体" w:cs="宋体" w:eastAsia="宋体"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w:t>
            </w:r>
            <w:r>
              <w:rPr>
                <w:rFonts w:ascii="宋体" w:hAnsi="宋体" w:cs="宋体" w:eastAsia="宋体" w:hint="default"/>
                <w:sz w:val="18"/>
                <w:szCs w:val="18"/>
              </w:rPr>
              <w:t>上海 东方通泰</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201110078200.5</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2011-3-30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79" w:right="0"/>
              <w:jc w:val="left"/>
              <w:rPr>
                <w:rFonts w:ascii="Times New Roman" w:hAnsi="Times New Roman" w:cs="Times New Roman" w:eastAsia="Times New Roman" w:hint="default"/>
                <w:sz w:val="18"/>
                <w:szCs w:val="18"/>
              </w:rPr>
            </w:pPr>
            <w:r>
              <w:rPr>
                <w:rFonts w:ascii="Times New Roman"/>
                <w:sz w:val="18"/>
              </w:rPr>
              <w:t>2015-4-19</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269" w:hRule="exact"/>
        </w:trPr>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Times New Roman" w:hAnsi="Times New Roman" w:cs="Times New Roman" w:eastAsia="Times New Roman" w:hint="default"/>
                <w:sz w:val="18"/>
                <w:szCs w:val="18"/>
              </w:rPr>
            </w:pPr>
            <w:r>
              <w:rPr>
                <w:rFonts w:ascii="Times New Roman"/>
                <w:sz w:val="18"/>
              </w:rPr>
              <w:t>7</w:t>
            </w:r>
          </w:p>
        </w:tc>
        <w:tc>
          <w:tcPr>
            <w:tcW w:w="316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文件传输系统及文件传输方法</w:t>
            </w:r>
            <w:r>
              <w:rPr>
                <w:rFonts w:ascii="Times New Roman" w:hAnsi="Times New Roman" w:cs="Times New Roman" w:eastAsia="Times New Roman" w:hint="default"/>
                <w:sz w:val="18"/>
                <w:szCs w:val="18"/>
              </w:rPr>
              <w:t>(GTP)</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5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Times New Roman" w:hAnsi="Times New Roman" w:cs="Times New Roman" w:eastAsia="Times New Roman" w:hint="default"/>
                <w:sz w:val="18"/>
                <w:szCs w:val="18"/>
              </w:rPr>
            </w:pPr>
            <w:r>
              <w:rPr>
                <w:rFonts w:ascii="Times New Roman"/>
                <w:sz w:val="18"/>
              </w:rPr>
              <w:t>201110175087.2</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Times New Roman" w:hAnsi="Times New Roman" w:cs="Times New Roman" w:eastAsia="Times New Roman" w:hint="default"/>
                <w:sz w:val="18"/>
                <w:szCs w:val="18"/>
              </w:rPr>
            </w:pPr>
            <w:r>
              <w:rPr>
                <w:rFonts w:ascii="Times New Roman"/>
                <w:sz w:val="18"/>
              </w:rPr>
              <w:t>2011-6-27</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80" w:right="0"/>
              <w:jc w:val="left"/>
              <w:rPr>
                <w:rFonts w:ascii="Times New Roman" w:hAnsi="Times New Roman" w:cs="Times New Roman" w:eastAsia="Times New Roman" w:hint="default"/>
                <w:sz w:val="18"/>
                <w:szCs w:val="18"/>
              </w:rPr>
            </w:pPr>
            <w:r>
              <w:rPr>
                <w:rFonts w:ascii="Times New Roman"/>
                <w:sz w:val="18"/>
              </w:rPr>
              <w:t>2015-4-29</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504" w:hRule="exact"/>
        </w:trPr>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8</w:t>
            </w:r>
          </w:p>
        </w:tc>
        <w:tc>
          <w:tcPr>
            <w:tcW w:w="3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服务并发访问控制方法及装置（</w:t>
            </w:r>
            <w:r>
              <w:rPr>
                <w:rFonts w:ascii="Times New Roman" w:hAnsi="Times New Roman" w:cs="Times New Roman" w:eastAsia="Times New Roman" w:hint="default"/>
                <w:sz w:val="18"/>
                <w:szCs w:val="18"/>
              </w:rPr>
              <w:t>TI</w:t>
            </w:r>
            <w:r>
              <w:rPr>
                <w:rFonts w:ascii="宋体" w:hAnsi="宋体" w:cs="宋体" w:eastAsia="宋体" w:hint="default"/>
                <w:sz w:val="18"/>
                <w:szCs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
              <w:ind w:left="184" w:right="65" w:hanging="116"/>
              <w:jc w:val="left"/>
              <w:rPr>
                <w:rFonts w:ascii="宋体" w:hAnsi="宋体" w:cs="宋体" w:eastAsia="宋体"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w:t>
            </w:r>
            <w:r>
              <w:rPr>
                <w:rFonts w:ascii="宋体" w:hAnsi="宋体" w:cs="宋体" w:eastAsia="宋体" w:hint="default"/>
                <w:sz w:val="18"/>
                <w:szCs w:val="18"/>
              </w:rPr>
              <w:t>上海 东方通泰</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201210506416.1</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2012-11-30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79" w:right="0"/>
              <w:jc w:val="left"/>
              <w:rPr>
                <w:rFonts w:ascii="Times New Roman" w:hAnsi="Times New Roman" w:cs="Times New Roman" w:eastAsia="Times New Roman" w:hint="default"/>
                <w:sz w:val="18"/>
                <w:szCs w:val="18"/>
              </w:rPr>
            </w:pPr>
            <w:r>
              <w:rPr>
                <w:rFonts w:ascii="Times New Roman"/>
                <w:sz w:val="18"/>
              </w:rPr>
              <w:t>2015-6-10</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bl>
    <w:p>
      <w:pPr>
        <w:spacing w:line="240" w:lineRule="auto" w:before="2"/>
        <w:rPr>
          <w:rFonts w:ascii="宋体" w:hAnsi="宋体" w:cs="宋体" w:eastAsia="宋体" w:hint="default"/>
          <w:sz w:val="24"/>
          <w:szCs w:val="24"/>
        </w:rPr>
      </w:pPr>
    </w:p>
    <w:p>
      <w:pPr>
        <w:pStyle w:val="BodyText"/>
        <w:spacing w:line="240" w:lineRule="auto" w:before="44"/>
        <w:ind w:left="857" w:right="2789"/>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日，公司拥有商标情况如下表：</w:t>
      </w:r>
    </w:p>
    <w:p>
      <w:pPr>
        <w:spacing w:line="240" w:lineRule="auto" w:before="1"/>
        <w:rPr>
          <w:rFonts w:ascii="宋体" w:hAnsi="宋体" w:cs="宋体" w:eastAsia="宋体" w:hint="default"/>
          <w:sz w:val="7"/>
          <w:szCs w:val="7"/>
        </w:rPr>
      </w:pPr>
    </w:p>
    <w:tbl>
      <w:tblPr>
        <w:tblW w:w="0" w:type="auto"/>
        <w:jc w:val="left"/>
        <w:tblInd w:w="415" w:type="dxa"/>
        <w:tblLayout w:type="fixed"/>
        <w:tblCellMar>
          <w:top w:w="0" w:type="dxa"/>
          <w:left w:w="0" w:type="dxa"/>
          <w:bottom w:w="0" w:type="dxa"/>
          <w:right w:w="0" w:type="dxa"/>
        </w:tblCellMar>
        <w:tblLook w:val="01E0"/>
      </w:tblPr>
      <w:tblGrid>
        <w:gridCol w:w="622"/>
        <w:gridCol w:w="3074"/>
        <w:gridCol w:w="1296"/>
        <w:gridCol w:w="1538"/>
        <w:gridCol w:w="1961"/>
        <w:gridCol w:w="1166"/>
      </w:tblGrid>
      <w:tr>
        <w:trPr>
          <w:trHeight w:val="502" w:hRule="exact"/>
        </w:trPr>
        <w:tc>
          <w:tcPr>
            <w:tcW w:w="622" w:type="dxa"/>
            <w:tcBorders>
              <w:top w:val="single" w:sz="6" w:space="0" w:color="818181"/>
              <w:left w:val="single" w:sz="6" w:space="0" w:color="818181"/>
              <w:bottom w:val="single" w:sz="6" w:space="0" w:color="818181"/>
              <w:right w:val="single" w:sz="6" w:space="0" w:color="818181"/>
            </w:tcBorders>
            <w:shd w:val="clear" w:color="auto" w:fill="DADADA"/>
          </w:tcPr>
          <w:p>
            <w:pPr>
              <w:pStyle w:val="TableParagraph"/>
              <w:spacing w:line="240" w:lineRule="auto" w:before="97"/>
              <w:ind w:left="120"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074" w:type="dxa"/>
            <w:tcBorders>
              <w:top w:val="single" w:sz="6" w:space="0" w:color="818181"/>
              <w:left w:val="single" w:sz="6" w:space="0" w:color="818181"/>
              <w:bottom w:val="single" w:sz="6" w:space="0" w:color="818181"/>
              <w:right w:val="single" w:sz="6" w:space="0" w:color="818181"/>
            </w:tcBorders>
            <w:shd w:val="clear" w:color="auto" w:fill="DADADA"/>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商标式样</w:t>
            </w:r>
            <w:r>
              <w:rPr>
                <w:rFonts w:ascii="宋体" w:hAnsi="宋体" w:cs="宋体" w:eastAsia="宋体" w:hint="default"/>
                <w:sz w:val="18"/>
                <w:szCs w:val="18"/>
              </w:rPr>
            </w:r>
          </w:p>
        </w:tc>
        <w:tc>
          <w:tcPr>
            <w:tcW w:w="1296" w:type="dxa"/>
            <w:tcBorders>
              <w:top w:val="single" w:sz="6" w:space="0" w:color="818181"/>
              <w:left w:val="single" w:sz="6" w:space="0" w:color="818181"/>
              <w:bottom w:val="single" w:sz="6" w:space="0" w:color="818181"/>
              <w:right w:val="single" w:sz="6" w:space="0" w:color="818181"/>
            </w:tcBorders>
            <w:shd w:val="clear" w:color="auto" w:fill="DADADA"/>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b/>
                <w:bCs/>
                <w:sz w:val="18"/>
                <w:szCs w:val="18"/>
              </w:rPr>
              <w:t>核定服务项目</w:t>
            </w:r>
            <w:r>
              <w:rPr>
                <w:rFonts w:ascii="宋体" w:hAnsi="宋体" w:cs="宋体" w:eastAsia="宋体" w:hint="default"/>
                <w:sz w:val="18"/>
                <w:szCs w:val="18"/>
              </w:rPr>
            </w:r>
          </w:p>
        </w:tc>
        <w:tc>
          <w:tcPr>
            <w:tcW w:w="1538" w:type="dxa"/>
            <w:tcBorders>
              <w:top w:val="single" w:sz="6" w:space="0" w:color="818181"/>
              <w:left w:val="single" w:sz="6" w:space="0" w:color="818181"/>
              <w:bottom w:val="single" w:sz="6" w:space="0" w:color="818181"/>
              <w:right w:val="single" w:sz="6" w:space="0" w:color="818181"/>
            </w:tcBorders>
            <w:shd w:val="clear" w:color="auto" w:fill="DADADA"/>
          </w:tcPr>
          <w:p>
            <w:pPr>
              <w:pStyle w:val="TableParagraph"/>
              <w:spacing w:line="236" w:lineRule="exact"/>
              <w:ind w:left="492" w:right="487" w:firstLine="88"/>
              <w:jc w:val="left"/>
              <w:rPr>
                <w:rFonts w:ascii="宋体" w:hAnsi="宋体" w:cs="宋体" w:eastAsia="宋体" w:hint="default"/>
                <w:sz w:val="18"/>
                <w:szCs w:val="18"/>
              </w:rPr>
            </w:pPr>
            <w:r>
              <w:rPr>
                <w:rFonts w:ascii="宋体" w:hAnsi="宋体" w:cs="宋体" w:eastAsia="宋体" w:hint="default"/>
                <w:b/>
                <w:bCs/>
                <w:sz w:val="18"/>
                <w:szCs w:val="18"/>
              </w:rPr>
              <w:t>商标</w:t>
            </w:r>
            <w:r>
              <w:rPr>
                <w:rFonts w:ascii="宋体" w:hAnsi="宋体" w:cs="宋体" w:eastAsia="宋体" w:hint="default"/>
                <w:b/>
                <w:bCs/>
                <w:spacing w:val="2"/>
                <w:w w:val="99"/>
                <w:sz w:val="18"/>
                <w:szCs w:val="18"/>
              </w:rPr>
              <w:t> </w:t>
            </w:r>
            <w:r>
              <w:rPr>
                <w:rFonts w:ascii="宋体" w:hAnsi="宋体" w:cs="宋体" w:eastAsia="宋体" w:hint="default"/>
                <w:b/>
                <w:bCs/>
                <w:sz w:val="18"/>
                <w:szCs w:val="18"/>
              </w:rPr>
              <w:t>注册号</w:t>
            </w:r>
            <w:r>
              <w:rPr>
                <w:rFonts w:ascii="宋体" w:hAnsi="宋体" w:cs="宋体" w:eastAsia="宋体" w:hint="default"/>
                <w:sz w:val="18"/>
                <w:szCs w:val="18"/>
              </w:rPr>
            </w:r>
          </w:p>
        </w:tc>
        <w:tc>
          <w:tcPr>
            <w:tcW w:w="1961" w:type="dxa"/>
            <w:tcBorders>
              <w:top w:val="single" w:sz="6" w:space="0" w:color="818181"/>
              <w:left w:val="single" w:sz="6" w:space="0" w:color="818181"/>
              <w:bottom w:val="single" w:sz="6" w:space="0" w:color="818181"/>
              <w:right w:val="single" w:sz="6" w:space="0" w:color="818181"/>
            </w:tcBorders>
            <w:shd w:val="clear" w:color="auto" w:fill="DADADA"/>
          </w:tcPr>
          <w:p>
            <w:pPr>
              <w:pStyle w:val="TableParagraph"/>
              <w:spacing w:line="240" w:lineRule="auto" w:before="97"/>
              <w:ind w:left="611" w:right="0"/>
              <w:jc w:val="left"/>
              <w:rPr>
                <w:rFonts w:ascii="宋体" w:hAnsi="宋体" w:cs="宋体" w:eastAsia="宋体" w:hint="default"/>
                <w:sz w:val="18"/>
                <w:szCs w:val="18"/>
              </w:rPr>
            </w:pPr>
            <w:r>
              <w:rPr>
                <w:rFonts w:ascii="宋体" w:hAnsi="宋体" w:cs="宋体" w:eastAsia="宋体" w:hint="default"/>
                <w:b/>
                <w:bCs/>
                <w:sz w:val="18"/>
                <w:szCs w:val="18"/>
              </w:rPr>
              <w:t>有效期限</w:t>
            </w:r>
            <w:r>
              <w:rPr>
                <w:rFonts w:ascii="宋体" w:hAnsi="宋体" w:cs="宋体" w:eastAsia="宋体" w:hint="default"/>
                <w:sz w:val="18"/>
                <w:szCs w:val="18"/>
              </w:rPr>
            </w:r>
          </w:p>
        </w:tc>
        <w:tc>
          <w:tcPr>
            <w:tcW w:w="1166" w:type="dxa"/>
            <w:tcBorders>
              <w:top w:val="single" w:sz="6" w:space="0" w:color="818181"/>
              <w:left w:val="single" w:sz="6" w:space="0" w:color="818181"/>
              <w:bottom w:val="single" w:sz="6" w:space="0" w:color="818181"/>
              <w:right w:val="single" w:sz="6" w:space="0" w:color="818181"/>
            </w:tcBorders>
            <w:shd w:val="clear" w:color="auto" w:fill="DADADA"/>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注册人</w:t>
            </w:r>
            <w:r>
              <w:rPr>
                <w:rFonts w:ascii="宋体" w:hAnsi="宋体" w:cs="宋体" w:eastAsia="宋体" w:hint="default"/>
                <w:sz w:val="18"/>
                <w:szCs w:val="18"/>
              </w:rPr>
            </w:r>
          </w:p>
        </w:tc>
      </w:tr>
      <w:tr>
        <w:trPr>
          <w:trHeight w:val="50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49"/>
              <w:jc w:val="right"/>
              <w:rPr>
                <w:rFonts w:ascii="宋体" w:hAnsi="宋体" w:cs="宋体" w:eastAsia="宋体" w:hint="default"/>
                <w:sz w:val="18"/>
                <w:szCs w:val="18"/>
              </w:rPr>
            </w:pPr>
            <w:r>
              <w:rPr>
                <w:rFonts w:ascii="宋体"/>
                <w:sz w:val="18"/>
              </w:rPr>
              <w:t>1</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5"/>
              <w:ind w:right="0"/>
              <w:jc w:val="left"/>
              <w:rPr>
                <w:rFonts w:ascii="宋体" w:hAnsi="宋体" w:cs="宋体" w:eastAsia="宋体" w:hint="default"/>
                <w:sz w:val="4"/>
                <w:szCs w:val="4"/>
              </w:rPr>
            </w:pPr>
          </w:p>
          <w:p>
            <w:pPr>
              <w:pStyle w:val="TableParagraph"/>
              <w:spacing w:line="375" w:lineRule="exact"/>
              <w:ind w:left="1027"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38811" cy="2381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638811" cy="238125"/>
                          </a:xfrm>
                          <a:prstGeom prst="rect">
                            <a:avLst/>
                          </a:prstGeom>
                        </pic:spPr>
                      </pic:pic>
                    </a:graphicData>
                  </a:graphic>
                </wp:inline>
              </w:drawing>
            </w:r>
            <w:r>
              <w:rPr>
                <w:rFonts w:ascii="宋体" w:hAnsi="宋体" w:cs="宋体" w:eastAsia="宋体" w:hint="default"/>
                <w:position w:val="-7"/>
                <w:sz w:val="20"/>
                <w:szCs w:val="20"/>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4204286</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5" w:lineRule="exact"/>
              <w:ind w:left="25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日至</w:t>
            </w: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49"/>
              <w:jc w:val="right"/>
              <w:rPr>
                <w:rFonts w:ascii="宋体" w:hAnsi="宋体" w:cs="宋体" w:eastAsia="宋体" w:hint="default"/>
                <w:sz w:val="18"/>
                <w:szCs w:val="18"/>
              </w:rPr>
            </w:pPr>
            <w:r>
              <w:rPr>
                <w:rFonts w:ascii="宋体"/>
                <w:sz w:val="18"/>
              </w:rPr>
              <w:t>2</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465" w:lineRule="exact"/>
              <w:ind w:left="1296"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295401" cy="2952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295401" cy="295275"/>
                          </a:xfrm>
                          <a:prstGeom prst="rect">
                            <a:avLst/>
                          </a:prstGeom>
                        </pic:spPr>
                      </pic:pic>
                    </a:graphicData>
                  </a:graphic>
                </wp:inline>
              </w:drawing>
            </w:r>
            <w:r>
              <w:rPr>
                <w:rFonts w:ascii="宋体" w:hAnsi="宋体" w:cs="宋体" w:eastAsia="宋体" w:hint="default"/>
                <w:position w:val="-8"/>
                <w:sz w:val="20"/>
                <w:szCs w:val="20"/>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1298700</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5" w:lineRule="exact"/>
              <w:ind w:left="297" w:right="0"/>
              <w:jc w:val="left"/>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日至</w:t>
            </w: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49"/>
              <w:jc w:val="right"/>
              <w:rPr>
                <w:rFonts w:ascii="宋体" w:hAnsi="宋体" w:cs="宋体" w:eastAsia="宋体" w:hint="default"/>
                <w:sz w:val="18"/>
                <w:szCs w:val="18"/>
              </w:rPr>
            </w:pPr>
            <w:r>
              <w:rPr>
                <w:rFonts w:ascii="宋体"/>
                <w:sz w:val="18"/>
              </w:rPr>
              <w:t>3</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10" w:lineRule="exact"/>
              <w:ind w:left="833" w:right="0"/>
              <w:jc w:val="left"/>
              <w:rPr>
                <w:rFonts w:ascii="宋体" w:hAnsi="宋体" w:cs="宋体" w:eastAsia="宋体" w:hint="default"/>
                <w:sz w:val="20"/>
                <w:szCs w:val="20"/>
              </w:rPr>
            </w:pPr>
            <w:r>
              <w:rPr>
                <w:rFonts w:ascii="宋体" w:hAnsi="宋体" w:cs="宋体" w:eastAsia="宋体" w:hint="default"/>
                <w:position w:val="-3"/>
                <w:sz w:val="20"/>
                <w:szCs w:val="20"/>
              </w:rPr>
              <w:drawing>
                <wp:inline distT="0" distB="0" distL="0" distR="0">
                  <wp:extent cx="880996" cy="1333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880996" cy="133350"/>
                          </a:xfrm>
                          <a:prstGeom prst="rect">
                            <a:avLst/>
                          </a:prstGeom>
                        </pic:spPr>
                      </pic:pic>
                    </a:graphicData>
                  </a:graphic>
                </wp:inline>
              </w:drawing>
            </w:r>
            <w:r>
              <w:rPr>
                <w:rFonts w:ascii="宋体" w:hAnsi="宋体" w:cs="宋体" w:eastAsia="宋体" w:hint="default"/>
                <w:position w:val="-3"/>
                <w:sz w:val="20"/>
                <w:szCs w:val="20"/>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4204285</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6" w:lineRule="exact"/>
              <w:ind w:left="25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日至</w:t>
            </w:r>
          </w:p>
          <w:p>
            <w:pPr>
              <w:pStyle w:val="TableParagraph"/>
              <w:spacing w:line="234" w:lineRule="exact"/>
              <w:ind w:left="34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49"/>
              <w:jc w:val="right"/>
              <w:rPr>
                <w:rFonts w:ascii="宋体" w:hAnsi="宋体" w:cs="宋体" w:eastAsia="宋体" w:hint="default"/>
                <w:sz w:val="18"/>
                <w:szCs w:val="18"/>
              </w:rPr>
            </w:pPr>
            <w:r>
              <w:rPr>
                <w:rFonts w:ascii="宋体"/>
                <w:sz w:val="18"/>
              </w:rPr>
              <w:t>4</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10" w:lineRule="exact"/>
              <w:ind w:left="833" w:right="0"/>
              <w:jc w:val="left"/>
              <w:rPr>
                <w:rFonts w:ascii="宋体" w:hAnsi="宋体" w:cs="宋体" w:eastAsia="宋体" w:hint="default"/>
                <w:sz w:val="20"/>
                <w:szCs w:val="20"/>
              </w:rPr>
            </w:pPr>
            <w:r>
              <w:rPr>
                <w:rFonts w:ascii="宋体" w:hAnsi="宋体" w:cs="宋体" w:eastAsia="宋体" w:hint="default"/>
                <w:position w:val="-3"/>
                <w:sz w:val="20"/>
                <w:szCs w:val="20"/>
              </w:rPr>
              <w:drawing>
                <wp:inline distT="0" distB="0" distL="0" distR="0">
                  <wp:extent cx="880996" cy="1333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4" cstate="print"/>
                          <a:stretch>
                            <a:fillRect/>
                          </a:stretch>
                        </pic:blipFill>
                        <pic:spPr>
                          <a:xfrm>
                            <a:off x="0" y="0"/>
                            <a:ext cx="880996" cy="133350"/>
                          </a:xfrm>
                          <a:prstGeom prst="rect">
                            <a:avLst/>
                          </a:prstGeom>
                        </pic:spPr>
                      </pic:pic>
                    </a:graphicData>
                  </a:graphic>
                </wp:inline>
              </w:drawing>
            </w:r>
            <w:r>
              <w:rPr>
                <w:rFonts w:ascii="宋体" w:hAnsi="宋体" w:cs="宋体" w:eastAsia="宋体" w:hint="default"/>
                <w:position w:val="-3"/>
                <w:sz w:val="20"/>
                <w:szCs w:val="20"/>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35</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4204278</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6" w:lineRule="exact"/>
              <w:ind w:left="25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日至</w:t>
            </w:r>
          </w:p>
          <w:p>
            <w:pPr>
              <w:pStyle w:val="TableParagraph"/>
              <w:spacing w:line="234" w:lineRule="exact"/>
              <w:ind w:left="34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4"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49"/>
              <w:jc w:val="right"/>
              <w:rPr>
                <w:rFonts w:ascii="宋体" w:hAnsi="宋体" w:cs="宋体" w:eastAsia="宋体" w:hint="default"/>
                <w:sz w:val="18"/>
                <w:szCs w:val="18"/>
              </w:rPr>
            </w:pPr>
            <w:r>
              <w:rPr>
                <w:rFonts w:ascii="宋体"/>
                <w:sz w:val="18"/>
              </w:rPr>
              <w:t>5</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10" w:lineRule="exact"/>
              <w:ind w:left="833" w:right="0"/>
              <w:jc w:val="left"/>
              <w:rPr>
                <w:rFonts w:ascii="宋体" w:hAnsi="宋体" w:cs="宋体" w:eastAsia="宋体" w:hint="default"/>
                <w:sz w:val="20"/>
                <w:szCs w:val="20"/>
              </w:rPr>
            </w:pPr>
            <w:r>
              <w:rPr>
                <w:rFonts w:ascii="宋体" w:hAnsi="宋体" w:cs="宋体" w:eastAsia="宋体" w:hint="default"/>
                <w:position w:val="-3"/>
                <w:sz w:val="20"/>
                <w:szCs w:val="20"/>
              </w:rPr>
              <w:drawing>
                <wp:inline distT="0" distB="0" distL="0" distR="0">
                  <wp:extent cx="880996" cy="133350"/>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4" cstate="print"/>
                          <a:stretch>
                            <a:fillRect/>
                          </a:stretch>
                        </pic:blipFill>
                        <pic:spPr>
                          <a:xfrm>
                            <a:off x="0" y="0"/>
                            <a:ext cx="880996" cy="133350"/>
                          </a:xfrm>
                          <a:prstGeom prst="rect">
                            <a:avLst/>
                          </a:prstGeom>
                        </pic:spPr>
                      </pic:pic>
                    </a:graphicData>
                  </a:graphic>
                </wp:inline>
              </w:drawing>
            </w:r>
            <w:r>
              <w:rPr>
                <w:rFonts w:ascii="宋体" w:hAnsi="宋体" w:cs="宋体" w:eastAsia="宋体" w:hint="default"/>
                <w:position w:val="-3"/>
                <w:sz w:val="20"/>
                <w:szCs w:val="20"/>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42</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1277389</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6" w:lineRule="exact"/>
              <w:ind w:left="297" w:right="0"/>
              <w:jc w:val="left"/>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日至</w:t>
            </w:r>
          </w:p>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49"/>
              <w:jc w:val="right"/>
              <w:rPr>
                <w:rFonts w:ascii="宋体" w:hAnsi="宋体" w:cs="宋体" w:eastAsia="宋体" w:hint="default"/>
                <w:sz w:val="18"/>
                <w:szCs w:val="18"/>
              </w:rPr>
            </w:pPr>
            <w:r>
              <w:rPr>
                <w:rFonts w:ascii="宋体"/>
                <w:sz w:val="18"/>
              </w:rPr>
              <w:t>6</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193" w:lineRule="exact"/>
              <w:ind w:left="1274" w:right="0"/>
              <w:jc w:val="left"/>
              <w:rPr>
                <w:rFonts w:ascii="宋体" w:hAnsi="宋体" w:cs="宋体" w:eastAsia="宋体" w:hint="default"/>
                <w:sz w:val="19"/>
                <w:szCs w:val="19"/>
              </w:rPr>
            </w:pPr>
            <w:r>
              <w:rPr>
                <w:rFonts w:ascii="宋体" w:hAnsi="宋体" w:cs="宋体" w:eastAsia="宋体" w:hint="default"/>
                <w:position w:val="-3"/>
                <w:sz w:val="19"/>
                <w:szCs w:val="19"/>
              </w:rPr>
              <w:drawing>
                <wp:inline distT="0" distB="0" distL="0" distR="0">
                  <wp:extent cx="323531" cy="122586"/>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15" cstate="print"/>
                          <a:stretch>
                            <a:fillRect/>
                          </a:stretch>
                        </pic:blipFill>
                        <pic:spPr>
                          <a:xfrm>
                            <a:off x="0" y="0"/>
                            <a:ext cx="323531" cy="122586"/>
                          </a:xfrm>
                          <a:prstGeom prst="rect">
                            <a:avLst/>
                          </a:prstGeom>
                        </pic:spPr>
                      </pic:pic>
                    </a:graphicData>
                  </a:graphic>
                </wp:inline>
              </w:drawing>
            </w:r>
            <w:r>
              <w:rPr>
                <w:rFonts w:ascii="宋体" w:hAnsi="宋体" w:cs="宋体" w:eastAsia="宋体" w:hint="default"/>
                <w:position w:val="-3"/>
                <w:sz w:val="19"/>
                <w:szCs w:val="19"/>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1298713</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4" w:lineRule="exact"/>
              <w:ind w:left="297" w:right="0"/>
              <w:jc w:val="left"/>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日至</w:t>
            </w:r>
          </w:p>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49"/>
              <w:jc w:val="right"/>
              <w:rPr>
                <w:rFonts w:ascii="宋体" w:hAnsi="宋体" w:cs="宋体" w:eastAsia="宋体" w:hint="default"/>
                <w:sz w:val="18"/>
                <w:szCs w:val="18"/>
              </w:rPr>
            </w:pPr>
            <w:r>
              <w:rPr>
                <w:rFonts w:ascii="宋体"/>
                <w:sz w:val="18"/>
              </w:rPr>
              <w:t>7</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180" w:lineRule="exact"/>
              <w:ind w:left="833" w:right="0"/>
              <w:jc w:val="left"/>
              <w:rPr>
                <w:rFonts w:ascii="宋体" w:hAnsi="宋体" w:cs="宋体" w:eastAsia="宋体" w:hint="default"/>
                <w:sz w:val="18"/>
                <w:szCs w:val="18"/>
              </w:rPr>
            </w:pPr>
            <w:r>
              <w:rPr>
                <w:rFonts w:ascii="宋体" w:hAnsi="宋体" w:cs="宋体" w:eastAsia="宋体" w:hint="default"/>
                <w:position w:val="-3"/>
                <w:sz w:val="18"/>
                <w:szCs w:val="18"/>
              </w:rPr>
              <w:drawing>
                <wp:inline distT="0" distB="0" distL="0" distR="0">
                  <wp:extent cx="885201" cy="114300"/>
                  <wp:effectExtent l="0" t="0" r="0" b="0"/>
                  <wp:docPr id="15" name="image6.png" descr="?"/>
                  <wp:cNvGraphicFramePr>
                    <a:graphicFrameLocks noChangeAspect="1"/>
                  </wp:cNvGraphicFramePr>
                  <a:graphic>
                    <a:graphicData uri="http://schemas.openxmlformats.org/drawingml/2006/picture">
                      <pic:pic>
                        <pic:nvPicPr>
                          <pic:cNvPr id="16" name="image6.png"/>
                          <pic:cNvPicPr/>
                        </pic:nvPicPr>
                        <pic:blipFill>
                          <a:blip r:embed="rId16" cstate="print"/>
                          <a:stretch>
                            <a:fillRect/>
                          </a:stretch>
                        </pic:blipFill>
                        <pic:spPr>
                          <a:xfrm>
                            <a:off x="0" y="0"/>
                            <a:ext cx="885201" cy="114300"/>
                          </a:xfrm>
                          <a:prstGeom prst="rect">
                            <a:avLst/>
                          </a:prstGeom>
                        </pic:spPr>
                      </pic:pic>
                    </a:graphicData>
                  </a:graphic>
                </wp:inline>
              </w:drawing>
            </w:r>
            <w:r>
              <w:rPr>
                <w:rFonts w:ascii="宋体" w:hAnsi="宋体" w:cs="宋体" w:eastAsia="宋体" w:hint="default"/>
                <w:position w:val="-3"/>
                <w:sz w:val="18"/>
                <w:szCs w:val="18"/>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42</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1272264</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4" w:lineRule="exact"/>
              <w:ind w:left="343" w:right="0"/>
              <w:jc w:val="left"/>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日至</w:t>
            </w:r>
          </w:p>
          <w:p>
            <w:pPr>
              <w:pStyle w:val="TableParagraph"/>
              <w:spacing w:line="234" w:lineRule="exact"/>
              <w:ind w:left="43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49"/>
              <w:jc w:val="right"/>
              <w:rPr>
                <w:rFonts w:ascii="宋体" w:hAnsi="宋体" w:cs="宋体" w:eastAsia="宋体" w:hint="default"/>
                <w:sz w:val="18"/>
                <w:szCs w:val="18"/>
              </w:rPr>
            </w:pPr>
            <w:r>
              <w:rPr>
                <w:rFonts w:ascii="宋体"/>
                <w:sz w:val="18"/>
              </w:rPr>
              <w:t>8</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180" w:lineRule="exact"/>
              <w:ind w:left="833" w:right="0"/>
              <w:jc w:val="left"/>
              <w:rPr>
                <w:rFonts w:ascii="宋体" w:hAnsi="宋体" w:cs="宋体" w:eastAsia="宋体" w:hint="default"/>
                <w:sz w:val="18"/>
                <w:szCs w:val="18"/>
              </w:rPr>
            </w:pPr>
            <w:r>
              <w:rPr>
                <w:rFonts w:ascii="宋体" w:hAnsi="宋体" w:cs="宋体" w:eastAsia="宋体" w:hint="default"/>
                <w:position w:val="-3"/>
                <w:sz w:val="18"/>
                <w:szCs w:val="18"/>
              </w:rPr>
              <w:drawing>
                <wp:inline distT="0" distB="0" distL="0" distR="0">
                  <wp:extent cx="885201" cy="114300"/>
                  <wp:effectExtent l="0" t="0" r="0" b="0"/>
                  <wp:docPr id="17" name="image6.png" descr="?"/>
                  <wp:cNvGraphicFramePr>
                    <a:graphicFrameLocks noChangeAspect="1"/>
                  </wp:cNvGraphicFramePr>
                  <a:graphic>
                    <a:graphicData uri="http://schemas.openxmlformats.org/drawingml/2006/picture">
                      <pic:pic>
                        <pic:nvPicPr>
                          <pic:cNvPr id="18" name="image6.png"/>
                          <pic:cNvPicPr/>
                        </pic:nvPicPr>
                        <pic:blipFill>
                          <a:blip r:embed="rId16" cstate="print"/>
                          <a:stretch>
                            <a:fillRect/>
                          </a:stretch>
                        </pic:blipFill>
                        <pic:spPr>
                          <a:xfrm>
                            <a:off x="0" y="0"/>
                            <a:ext cx="885201" cy="114300"/>
                          </a:xfrm>
                          <a:prstGeom prst="rect">
                            <a:avLst/>
                          </a:prstGeom>
                        </pic:spPr>
                      </pic:pic>
                    </a:graphicData>
                  </a:graphic>
                </wp:inline>
              </w:drawing>
            </w:r>
            <w:r>
              <w:rPr>
                <w:rFonts w:ascii="宋体" w:hAnsi="宋体" w:cs="宋体" w:eastAsia="宋体" w:hint="default"/>
                <w:position w:val="-3"/>
                <w:sz w:val="18"/>
                <w:szCs w:val="18"/>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1298714</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4" w:lineRule="exact"/>
              <w:ind w:left="297" w:right="0"/>
              <w:jc w:val="left"/>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日至</w:t>
            </w:r>
          </w:p>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49"/>
              <w:jc w:val="right"/>
              <w:rPr>
                <w:rFonts w:ascii="宋体" w:hAnsi="宋体" w:cs="宋体" w:eastAsia="宋体" w:hint="default"/>
                <w:sz w:val="18"/>
                <w:szCs w:val="18"/>
              </w:rPr>
            </w:pPr>
            <w:r>
              <w:rPr>
                <w:rFonts w:ascii="宋体"/>
                <w:sz w:val="18"/>
              </w:rPr>
              <w:t>9</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195" w:lineRule="exact"/>
              <w:ind w:left="854" w:right="0"/>
              <w:jc w:val="left"/>
              <w:rPr>
                <w:rFonts w:ascii="宋体" w:hAnsi="宋体" w:cs="宋体" w:eastAsia="宋体" w:hint="default"/>
                <w:sz w:val="19"/>
                <w:szCs w:val="19"/>
              </w:rPr>
            </w:pPr>
            <w:r>
              <w:rPr>
                <w:rFonts w:ascii="宋体" w:hAnsi="宋体" w:cs="宋体" w:eastAsia="宋体" w:hint="default"/>
                <w:position w:val="-3"/>
                <w:sz w:val="19"/>
                <w:szCs w:val="19"/>
              </w:rPr>
              <w:drawing>
                <wp:inline distT="0" distB="0" distL="0" distR="0">
                  <wp:extent cx="858530" cy="123825"/>
                  <wp:effectExtent l="0" t="0" r="0" b="0"/>
                  <wp:docPr id="19" name="image7.png" descr="?"/>
                  <wp:cNvGraphicFramePr>
                    <a:graphicFrameLocks noChangeAspect="1"/>
                  </wp:cNvGraphicFramePr>
                  <a:graphic>
                    <a:graphicData uri="http://schemas.openxmlformats.org/drawingml/2006/picture">
                      <pic:pic>
                        <pic:nvPicPr>
                          <pic:cNvPr id="20" name="image7.png"/>
                          <pic:cNvPicPr/>
                        </pic:nvPicPr>
                        <pic:blipFill>
                          <a:blip r:embed="rId17" cstate="print"/>
                          <a:stretch>
                            <a:fillRect/>
                          </a:stretch>
                        </pic:blipFill>
                        <pic:spPr>
                          <a:xfrm>
                            <a:off x="0" y="0"/>
                            <a:ext cx="858530" cy="123825"/>
                          </a:xfrm>
                          <a:prstGeom prst="rect">
                            <a:avLst/>
                          </a:prstGeom>
                        </pic:spPr>
                      </pic:pic>
                    </a:graphicData>
                  </a:graphic>
                </wp:inline>
              </w:drawing>
            </w:r>
            <w:r>
              <w:rPr>
                <w:rFonts w:ascii="宋体" w:hAnsi="宋体" w:cs="宋体" w:eastAsia="宋体" w:hint="default"/>
                <w:position w:val="-3"/>
                <w:sz w:val="19"/>
                <w:szCs w:val="19"/>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4204281</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5" w:lineRule="exact"/>
              <w:ind w:left="25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日至</w:t>
            </w: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10</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193" w:lineRule="exact"/>
              <w:ind w:left="734" w:right="0"/>
              <w:jc w:val="left"/>
              <w:rPr>
                <w:rFonts w:ascii="宋体" w:hAnsi="宋体" w:cs="宋体" w:eastAsia="宋体" w:hint="default"/>
                <w:sz w:val="19"/>
                <w:szCs w:val="19"/>
              </w:rPr>
            </w:pPr>
            <w:r>
              <w:rPr>
                <w:rFonts w:ascii="宋体" w:hAnsi="宋体" w:cs="宋体" w:eastAsia="宋体" w:hint="default"/>
                <w:position w:val="-3"/>
                <w:sz w:val="19"/>
                <w:szCs w:val="19"/>
              </w:rPr>
              <w:drawing>
                <wp:inline distT="0" distB="0" distL="0" distR="0">
                  <wp:extent cx="1006093" cy="122586"/>
                  <wp:effectExtent l="0" t="0" r="0" b="0"/>
                  <wp:docPr id="21" name="image8.png" descr="?"/>
                  <wp:cNvGraphicFramePr>
                    <a:graphicFrameLocks noChangeAspect="1"/>
                  </wp:cNvGraphicFramePr>
                  <a:graphic>
                    <a:graphicData uri="http://schemas.openxmlformats.org/drawingml/2006/picture">
                      <pic:pic>
                        <pic:nvPicPr>
                          <pic:cNvPr id="22" name="image8.png"/>
                          <pic:cNvPicPr/>
                        </pic:nvPicPr>
                        <pic:blipFill>
                          <a:blip r:embed="rId18" cstate="print"/>
                          <a:stretch>
                            <a:fillRect/>
                          </a:stretch>
                        </pic:blipFill>
                        <pic:spPr>
                          <a:xfrm>
                            <a:off x="0" y="0"/>
                            <a:ext cx="1006093" cy="122586"/>
                          </a:xfrm>
                          <a:prstGeom prst="rect">
                            <a:avLst/>
                          </a:prstGeom>
                        </pic:spPr>
                      </pic:pic>
                    </a:graphicData>
                  </a:graphic>
                </wp:inline>
              </w:drawing>
            </w:r>
            <w:r>
              <w:rPr>
                <w:rFonts w:ascii="宋体" w:hAnsi="宋体" w:cs="宋体" w:eastAsia="宋体" w:hint="default"/>
                <w:position w:val="-3"/>
                <w:sz w:val="19"/>
                <w:szCs w:val="19"/>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3775834</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5" w:lineRule="exact"/>
              <w:ind w:left="297"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日至</w:t>
            </w: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bl>
    <w:p>
      <w:pPr>
        <w:spacing w:after="0" w:line="240" w:lineRule="auto"/>
        <w:jc w:val="center"/>
        <w:rPr>
          <w:rFonts w:ascii="宋体" w:hAnsi="宋体" w:cs="宋体" w:eastAsia="宋体" w:hint="default"/>
          <w:sz w:val="18"/>
          <w:szCs w:val="18"/>
        </w:rPr>
        <w:sectPr>
          <w:pgSz w:w="11910" w:h="16840"/>
          <w:pgMar w:header="745" w:footer="982" w:top="1060" w:bottom="1180" w:left="700" w:right="70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622"/>
        <w:gridCol w:w="3074"/>
        <w:gridCol w:w="1296"/>
        <w:gridCol w:w="1538"/>
        <w:gridCol w:w="1961"/>
        <w:gridCol w:w="1166"/>
      </w:tblGrid>
      <w:tr>
        <w:trPr>
          <w:trHeight w:val="50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11</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7"/>
              <w:ind w:right="0"/>
              <w:jc w:val="left"/>
              <w:rPr>
                <w:rFonts w:ascii="宋体" w:hAnsi="宋体" w:cs="宋体" w:eastAsia="宋体" w:hint="default"/>
                <w:sz w:val="2"/>
                <w:szCs w:val="2"/>
              </w:rPr>
            </w:pPr>
          </w:p>
          <w:p>
            <w:pPr>
              <w:pStyle w:val="TableParagraph"/>
              <w:spacing w:line="422" w:lineRule="exact"/>
              <w:ind w:left="85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57426" cy="268224"/>
                  <wp:effectExtent l="0" t="0" r="0" b="0"/>
                  <wp:docPr id="23" name="image9.jpeg" descr="?"/>
                  <wp:cNvGraphicFramePr>
                    <a:graphicFrameLocks noChangeAspect="1"/>
                  </wp:cNvGraphicFramePr>
                  <a:graphic>
                    <a:graphicData uri="http://schemas.openxmlformats.org/drawingml/2006/picture">
                      <pic:pic>
                        <pic:nvPicPr>
                          <pic:cNvPr id="24" name="image9.jpeg"/>
                          <pic:cNvPicPr/>
                        </pic:nvPicPr>
                        <pic:blipFill>
                          <a:blip r:embed="rId19" cstate="print"/>
                          <a:stretch>
                            <a:fillRect/>
                          </a:stretch>
                        </pic:blipFill>
                        <pic:spPr>
                          <a:xfrm>
                            <a:off x="0" y="0"/>
                            <a:ext cx="857426" cy="268224"/>
                          </a:xfrm>
                          <a:prstGeom prst="rect">
                            <a:avLst/>
                          </a:prstGeom>
                        </pic:spPr>
                      </pic:pic>
                    </a:graphicData>
                  </a:graphic>
                </wp:inline>
              </w:drawing>
            </w:r>
            <w:r>
              <w:rPr>
                <w:rFonts w:ascii="宋体" w:hAnsi="宋体" w:cs="宋体" w:eastAsia="宋体" w:hint="default"/>
                <w:position w:val="-7"/>
                <w:sz w:val="20"/>
                <w:szCs w:val="20"/>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4204284</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5" w:lineRule="exact"/>
              <w:ind w:left="25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日至</w:t>
            </w: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12</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180" w:lineRule="exact"/>
              <w:ind w:left="840" w:right="0"/>
              <w:jc w:val="left"/>
              <w:rPr>
                <w:rFonts w:ascii="宋体" w:hAnsi="宋体" w:cs="宋体" w:eastAsia="宋体" w:hint="default"/>
                <w:sz w:val="18"/>
                <w:szCs w:val="18"/>
              </w:rPr>
            </w:pPr>
            <w:r>
              <w:rPr>
                <w:rFonts w:ascii="宋体" w:hAnsi="宋体" w:cs="宋体" w:eastAsia="宋体" w:hint="default"/>
                <w:position w:val="-3"/>
                <w:sz w:val="18"/>
                <w:szCs w:val="18"/>
              </w:rPr>
              <w:drawing>
                <wp:inline distT="0" distB="0" distL="0" distR="0">
                  <wp:extent cx="876300" cy="114300"/>
                  <wp:effectExtent l="0" t="0" r="0" b="0"/>
                  <wp:docPr id="25" name="image10.png" descr="?"/>
                  <wp:cNvGraphicFramePr>
                    <a:graphicFrameLocks noChangeAspect="1"/>
                  </wp:cNvGraphicFramePr>
                  <a:graphic>
                    <a:graphicData uri="http://schemas.openxmlformats.org/drawingml/2006/picture">
                      <pic:pic>
                        <pic:nvPicPr>
                          <pic:cNvPr id="26" name="image10.png"/>
                          <pic:cNvPicPr/>
                        </pic:nvPicPr>
                        <pic:blipFill>
                          <a:blip r:embed="rId20" cstate="print"/>
                          <a:stretch>
                            <a:fillRect/>
                          </a:stretch>
                        </pic:blipFill>
                        <pic:spPr>
                          <a:xfrm>
                            <a:off x="0" y="0"/>
                            <a:ext cx="876300" cy="114300"/>
                          </a:xfrm>
                          <a:prstGeom prst="rect">
                            <a:avLst/>
                          </a:prstGeom>
                        </pic:spPr>
                      </pic:pic>
                    </a:graphicData>
                  </a:graphic>
                </wp:inline>
              </w:drawing>
            </w:r>
            <w:r>
              <w:rPr>
                <w:rFonts w:ascii="宋体" w:hAnsi="宋体" w:cs="宋体" w:eastAsia="宋体" w:hint="default"/>
                <w:position w:val="-3"/>
                <w:sz w:val="18"/>
                <w:szCs w:val="18"/>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4204280</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6" w:lineRule="exact"/>
              <w:ind w:left="25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日至</w:t>
            </w:r>
          </w:p>
          <w:p>
            <w:pPr>
              <w:pStyle w:val="TableParagraph"/>
              <w:spacing w:line="234" w:lineRule="exact"/>
              <w:ind w:left="34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13</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359" w:lineRule="exact"/>
              <w:ind w:left="725"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019794" cy="228028"/>
                  <wp:effectExtent l="0" t="0" r="0" b="0"/>
                  <wp:docPr id="27" name="image11.jpeg" descr="?"/>
                  <wp:cNvGraphicFramePr>
                    <a:graphicFrameLocks noChangeAspect="1"/>
                  </wp:cNvGraphicFramePr>
                  <a:graphic>
                    <a:graphicData uri="http://schemas.openxmlformats.org/drawingml/2006/picture">
                      <pic:pic>
                        <pic:nvPicPr>
                          <pic:cNvPr id="28" name="image11.jpeg"/>
                          <pic:cNvPicPr/>
                        </pic:nvPicPr>
                        <pic:blipFill>
                          <a:blip r:embed="rId21" cstate="print"/>
                          <a:stretch>
                            <a:fillRect/>
                          </a:stretch>
                        </pic:blipFill>
                        <pic:spPr>
                          <a:xfrm>
                            <a:off x="0" y="0"/>
                            <a:ext cx="1019794" cy="228028"/>
                          </a:xfrm>
                          <a:prstGeom prst="rect">
                            <a:avLst/>
                          </a:prstGeom>
                        </pic:spPr>
                      </pic:pic>
                    </a:graphicData>
                  </a:graphic>
                </wp:inline>
              </w:drawing>
            </w:r>
            <w:r>
              <w:rPr>
                <w:rFonts w:ascii="宋体" w:hAnsi="宋体" w:cs="宋体" w:eastAsia="宋体" w:hint="default"/>
                <w:position w:val="-6"/>
                <w:sz w:val="20"/>
                <w:szCs w:val="20"/>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4204282</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6" w:lineRule="exact"/>
              <w:ind w:left="25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日至</w:t>
            </w:r>
          </w:p>
          <w:p>
            <w:pPr>
              <w:pStyle w:val="TableParagraph"/>
              <w:spacing w:line="234" w:lineRule="exact"/>
              <w:ind w:left="34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14</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180" w:lineRule="exact"/>
              <w:ind w:left="773" w:right="0"/>
              <w:jc w:val="left"/>
              <w:rPr>
                <w:rFonts w:ascii="宋体" w:hAnsi="宋体" w:cs="宋体" w:eastAsia="宋体" w:hint="default"/>
                <w:sz w:val="18"/>
                <w:szCs w:val="18"/>
              </w:rPr>
            </w:pPr>
            <w:r>
              <w:rPr>
                <w:rFonts w:ascii="宋体" w:hAnsi="宋体" w:cs="宋体" w:eastAsia="宋体" w:hint="default"/>
                <w:position w:val="-3"/>
                <w:sz w:val="18"/>
                <w:szCs w:val="18"/>
              </w:rPr>
              <w:drawing>
                <wp:inline distT="0" distB="0" distL="0" distR="0">
                  <wp:extent cx="961392" cy="114300"/>
                  <wp:effectExtent l="0" t="0" r="0" b="0"/>
                  <wp:docPr id="29" name="image12.png" descr="?"/>
                  <wp:cNvGraphicFramePr>
                    <a:graphicFrameLocks noChangeAspect="1"/>
                  </wp:cNvGraphicFramePr>
                  <a:graphic>
                    <a:graphicData uri="http://schemas.openxmlformats.org/drawingml/2006/picture">
                      <pic:pic>
                        <pic:nvPicPr>
                          <pic:cNvPr id="30" name="image12.png"/>
                          <pic:cNvPicPr/>
                        </pic:nvPicPr>
                        <pic:blipFill>
                          <a:blip r:embed="rId22" cstate="print"/>
                          <a:stretch>
                            <a:fillRect/>
                          </a:stretch>
                        </pic:blipFill>
                        <pic:spPr>
                          <a:xfrm>
                            <a:off x="0" y="0"/>
                            <a:ext cx="961392" cy="114300"/>
                          </a:xfrm>
                          <a:prstGeom prst="rect">
                            <a:avLst/>
                          </a:prstGeom>
                        </pic:spPr>
                      </pic:pic>
                    </a:graphicData>
                  </a:graphic>
                </wp:inline>
              </w:drawing>
            </w:r>
            <w:r>
              <w:rPr>
                <w:rFonts w:ascii="宋体" w:hAnsi="宋体" w:cs="宋体" w:eastAsia="宋体" w:hint="default"/>
                <w:position w:val="-3"/>
                <w:sz w:val="18"/>
                <w:szCs w:val="18"/>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4204283</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6" w:lineRule="exact"/>
              <w:ind w:left="25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日至</w:t>
            </w:r>
          </w:p>
          <w:p>
            <w:pPr>
              <w:pStyle w:val="TableParagraph"/>
              <w:spacing w:line="234" w:lineRule="exact"/>
              <w:ind w:left="34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59"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15</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528" w:lineRule="exact"/>
              <w:ind w:left="1296"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298749" cy="335279"/>
                  <wp:effectExtent l="0" t="0" r="0" b="0"/>
                  <wp:docPr id="31" name="image13.jpeg" descr="?"/>
                  <wp:cNvGraphicFramePr>
                    <a:graphicFrameLocks noChangeAspect="1"/>
                  </wp:cNvGraphicFramePr>
                  <a:graphic>
                    <a:graphicData uri="http://schemas.openxmlformats.org/drawingml/2006/picture">
                      <pic:pic>
                        <pic:nvPicPr>
                          <pic:cNvPr id="32" name="image13.jpeg"/>
                          <pic:cNvPicPr/>
                        </pic:nvPicPr>
                        <pic:blipFill>
                          <a:blip r:embed="rId23" cstate="print"/>
                          <a:stretch>
                            <a:fillRect/>
                          </a:stretch>
                        </pic:blipFill>
                        <pic:spPr>
                          <a:xfrm>
                            <a:off x="0" y="0"/>
                            <a:ext cx="298749" cy="335279"/>
                          </a:xfrm>
                          <a:prstGeom prst="rect">
                            <a:avLst/>
                          </a:prstGeom>
                        </pic:spPr>
                      </pic:pic>
                    </a:graphicData>
                  </a:graphic>
                </wp:inline>
              </w:drawing>
            </w:r>
            <w:r>
              <w:rPr>
                <w:rFonts w:ascii="宋体" w:hAnsi="宋体" w:cs="宋体" w:eastAsia="宋体" w:hint="default"/>
                <w:position w:val="-10"/>
                <w:sz w:val="20"/>
                <w:szCs w:val="20"/>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25"/>
              <w:ind w:left="2" w:right="0"/>
              <w:jc w:val="center"/>
              <w:rPr>
                <w:rFonts w:ascii="宋体" w:hAnsi="宋体" w:cs="宋体" w:eastAsia="宋体" w:hint="default"/>
                <w:sz w:val="18"/>
                <w:szCs w:val="18"/>
              </w:rPr>
            </w:pPr>
            <w:r>
              <w:rPr>
                <w:rFonts w:ascii="宋体"/>
                <w:sz w:val="18"/>
              </w:rPr>
              <w:t>6143543</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34" w:lineRule="exact" w:before="10"/>
              <w:ind w:left="29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日至</w:t>
            </w:r>
          </w:p>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16</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7"/>
              <w:ind w:right="0"/>
              <w:jc w:val="left"/>
              <w:rPr>
                <w:rFonts w:ascii="宋体" w:hAnsi="宋体" w:cs="宋体" w:eastAsia="宋体" w:hint="default"/>
                <w:sz w:val="6"/>
                <w:szCs w:val="6"/>
              </w:rPr>
            </w:pPr>
          </w:p>
          <w:p>
            <w:pPr>
              <w:pStyle w:val="TableParagraph"/>
              <w:spacing w:line="315" w:lineRule="exact"/>
              <w:ind w:left="727"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1019811" cy="200025"/>
                  <wp:effectExtent l="0" t="0" r="0" b="0"/>
                  <wp:docPr id="33" name="image14.jpeg" descr="?"/>
                  <wp:cNvGraphicFramePr>
                    <a:graphicFrameLocks noChangeAspect="1"/>
                  </wp:cNvGraphicFramePr>
                  <a:graphic>
                    <a:graphicData uri="http://schemas.openxmlformats.org/drawingml/2006/picture">
                      <pic:pic>
                        <pic:nvPicPr>
                          <pic:cNvPr id="34" name="image14.jpeg"/>
                          <pic:cNvPicPr/>
                        </pic:nvPicPr>
                        <pic:blipFill>
                          <a:blip r:embed="rId24" cstate="print"/>
                          <a:stretch>
                            <a:fillRect/>
                          </a:stretch>
                        </pic:blipFill>
                        <pic:spPr>
                          <a:xfrm>
                            <a:off x="0" y="0"/>
                            <a:ext cx="1019811" cy="200025"/>
                          </a:xfrm>
                          <a:prstGeom prst="rect">
                            <a:avLst/>
                          </a:prstGeom>
                        </pic:spPr>
                      </pic:pic>
                    </a:graphicData>
                  </a:graphic>
                </wp:inline>
              </w:drawing>
            </w:r>
            <w:r>
              <w:rPr>
                <w:rFonts w:ascii="宋体" w:hAnsi="宋体" w:cs="宋体" w:eastAsia="宋体" w:hint="default"/>
                <w:position w:val="-5"/>
                <w:sz w:val="20"/>
                <w:szCs w:val="20"/>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center"/>
              <w:rPr>
                <w:rFonts w:ascii="宋体" w:hAnsi="宋体" w:cs="宋体" w:eastAsia="宋体" w:hint="default"/>
                <w:sz w:val="18"/>
                <w:szCs w:val="18"/>
              </w:rPr>
            </w:pPr>
            <w:r>
              <w:rPr>
                <w:rFonts w:ascii="宋体"/>
                <w:sz w:val="18"/>
              </w:rPr>
              <w:t>9240531</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6" w:lineRule="exact"/>
              <w:ind w:left="297"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日至</w:t>
            </w:r>
          </w:p>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4"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9"/>
              <w:ind w:left="2" w:right="0"/>
              <w:jc w:val="left"/>
              <w:rPr>
                <w:rFonts w:ascii="宋体" w:hAnsi="宋体" w:cs="宋体" w:eastAsia="宋体" w:hint="default"/>
                <w:sz w:val="18"/>
                <w:szCs w:val="18"/>
              </w:rPr>
            </w:pPr>
            <w:r>
              <w:rPr>
                <w:rFonts w:ascii="宋体"/>
                <w:sz w:val="18"/>
              </w:rPr>
              <w:t>17</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6"/>
              <w:ind w:right="0"/>
              <w:jc w:val="left"/>
              <w:rPr>
                <w:rFonts w:ascii="宋体" w:hAnsi="宋体" w:cs="宋体" w:eastAsia="宋体" w:hint="default"/>
                <w:sz w:val="3"/>
                <w:szCs w:val="3"/>
              </w:rPr>
            </w:pPr>
          </w:p>
          <w:p>
            <w:pPr>
              <w:pStyle w:val="TableParagraph"/>
              <w:spacing w:line="399" w:lineRule="exact"/>
              <w:ind w:left="2"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861080" cy="253841"/>
                  <wp:effectExtent l="0" t="0" r="0" b="0"/>
                  <wp:docPr id="35" name="image15.jpeg" descr="?"/>
                  <wp:cNvGraphicFramePr>
                    <a:graphicFrameLocks noChangeAspect="1"/>
                  </wp:cNvGraphicFramePr>
                  <a:graphic>
                    <a:graphicData uri="http://schemas.openxmlformats.org/drawingml/2006/picture">
                      <pic:pic>
                        <pic:nvPicPr>
                          <pic:cNvPr id="36" name="image15.jpeg"/>
                          <pic:cNvPicPr/>
                        </pic:nvPicPr>
                        <pic:blipFill>
                          <a:blip r:embed="rId25" cstate="print"/>
                          <a:stretch>
                            <a:fillRect/>
                          </a:stretch>
                        </pic:blipFill>
                        <pic:spPr>
                          <a:xfrm>
                            <a:off x="0" y="0"/>
                            <a:ext cx="1861080" cy="253841"/>
                          </a:xfrm>
                          <a:prstGeom prst="rect">
                            <a:avLst/>
                          </a:prstGeom>
                        </pic:spPr>
                      </pic:pic>
                    </a:graphicData>
                  </a:graphic>
                </wp:inline>
              </w:drawing>
            </w:r>
            <w:r>
              <w:rPr>
                <w:rFonts w:ascii="宋体" w:hAnsi="宋体" w:cs="宋体" w:eastAsia="宋体" w:hint="default"/>
                <w:position w:val="-7"/>
                <w:sz w:val="20"/>
                <w:szCs w:val="20"/>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9"/>
              <w:ind w:left="3" w:right="0"/>
              <w:jc w:val="center"/>
              <w:rPr>
                <w:rFonts w:ascii="宋体" w:hAnsi="宋体" w:cs="宋体" w:eastAsia="宋体" w:hint="default"/>
                <w:sz w:val="18"/>
                <w:szCs w:val="18"/>
              </w:rPr>
            </w:pPr>
            <w:r>
              <w:rPr>
                <w:rFonts w:ascii="宋体"/>
                <w:sz w:val="18"/>
              </w:rPr>
              <w:t>11539512</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6" w:lineRule="exact"/>
              <w:ind w:left="34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日至</w:t>
            </w:r>
          </w:p>
          <w:p>
            <w:pPr>
              <w:pStyle w:val="TableParagraph"/>
              <w:spacing w:line="234" w:lineRule="exact"/>
              <w:ind w:left="431"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left"/>
              <w:rPr>
                <w:rFonts w:ascii="宋体" w:hAnsi="宋体" w:cs="宋体" w:eastAsia="宋体" w:hint="default"/>
                <w:sz w:val="18"/>
                <w:szCs w:val="18"/>
              </w:rPr>
            </w:pPr>
            <w:r>
              <w:rPr>
                <w:rFonts w:ascii="宋体"/>
                <w:sz w:val="18"/>
              </w:rPr>
              <w:t>18</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468" w:lineRule="exact"/>
              <w:ind w:left="727"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1024071" cy="297560"/>
                  <wp:effectExtent l="0" t="0" r="0" b="0"/>
                  <wp:docPr id="37" name="image16.jpeg" descr="?"/>
                  <wp:cNvGraphicFramePr>
                    <a:graphicFrameLocks noChangeAspect="1"/>
                  </wp:cNvGraphicFramePr>
                  <a:graphic>
                    <a:graphicData uri="http://schemas.openxmlformats.org/drawingml/2006/picture">
                      <pic:pic>
                        <pic:nvPicPr>
                          <pic:cNvPr id="38" name="image16.jpeg"/>
                          <pic:cNvPicPr/>
                        </pic:nvPicPr>
                        <pic:blipFill>
                          <a:blip r:embed="rId26" cstate="print"/>
                          <a:stretch>
                            <a:fillRect/>
                          </a:stretch>
                        </pic:blipFill>
                        <pic:spPr>
                          <a:xfrm>
                            <a:off x="0" y="0"/>
                            <a:ext cx="1024071" cy="297560"/>
                          </a:xfrm>
                          <a:prstGeom prst="rect">
                            <a:avLst/>
                          </a:prstGeom>
                        </pic:spPr>
                      </pic:pic>
                    </a:graphicData>
                  </a:graphic>
                </wp:inline>
              </w:drawing>
            </w:r>
            <w:r>
              <w:rPr>
                <w:rFonts w:ascii="宋体" w:hAnsi="宋体" w:cs="宋体" w:eastAsia="宋体" w:hint="default"/>
                <w:position w:val="-8"/>
                <w:sz w:val="20"/>
                <w:szCs w:val="20"/>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3" w:right="0"/>
              <w:jc w:val="center"/>
              <w:rPr>
                <w:rFonts w:ascii="宋体" w:hAnsi="宋体" w:cs="宋体" w:eastAsia="宋体" w:hint="default"/>
                <w:sz w:val="18"/>
                <w:szCs w:val="18"/>
              </w:rPr>
            </w:pPr>
            <w:r>
              <w:rPr>
                <w:rFonts w:ascii="宋体"/>
                <w:sz w:val="18"/>
              </w:rPr>
              <w:t>11714840</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4" w:lineRule="exact"/>
              <w:ind w:left="29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日至</w:t>
            </w:r>
          </w:p>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14"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01"/>
              <w:ind w:left="2" w:right="0"/>
              <w:jc w:val="left"/>
              <w:rPr>
                <w:rFonts w:ascii="宋体" w:hAnsi="宋体" w:cs="宋体" w:eastAsia="宋体" w:hint="default"/>
                <w:sz w:val="18"/>
                <w:szCs w:val="18"/>
              </w:rPr>
            </w:pPr>
            <w:r>
              <w:rPr>
                <w:rFonts w:ascii="宋体"/>
                <w:sz w:val="18"/>
              </w:rPr>
              <w:t>19</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480" w:lineRule="exact"/>
              <w:ind w:left="634"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1138393" cy="304800"/>
                  <wp:effectExtent l="0" t="0" r="0" b="0"/>
                  <wp:docPr id="39" name="image17.jpeg" descr="?"/>
                  <wp:cNvGraphicFramePr>
                    <a:graphicFrameLocks noChangeAspect="1"/>
                  </wp:cNvGraphicFramePr>
                  <a:graphic>
                    <a:graphicData uri="http://schemas.openxmlformats.org/drawingml/2006/picture">
                      <pic:pic>
                        <pic:nvPicPr>
                          <pic:cNvPr id="40" name="image17.jpeg"/>
                          <pic:cNvPicPr/>
                        </pic:nvPicPr>
                        <pic:blipFill>
                          <a:blip r:embed="rId27" cstate="print"/>
                          <a:stretch>
                            <a:fillRect/>
                          </a:stretch>
                        </pic:blipFill>
                        <pic:spPr>
                          <a:xfrm>
                            <a:off x="0" y="0"/>
                            <a:ext cx="1138393" cy="304800"/>
                          </a:xfrm>
                          <a:prstGeom prst="rect">
                            <a:avLst/>
                          </a:prstGeom>
                        </pic:spPr>
                      </pic:pic>
                    </a:graphicData>
                  </a:graphic>
                </wp:inline>
              </w:drawing>
            </w:r>
            <w:r>
              <w:rPr>
                <w:rFonts w:ascii="宋体" w:hAnsi="宋体" w:cs="宋体" w:eastAsia="宋体" w:hint="default"/>
                <w:position w:val="-9"/>
                <w:sz w:val="20"/>
                <w:szCs w:val="20"/>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01"/>
              <w:ind w:left="3" w:right="0"/>
              <w:jc w:val="center"/>
              <w:rPr>
                <w:rFonts w:ascii="宋体" w:hAnsi="宋体" w:cs="宋体" w:eastAsia="宋体" w:hint="default"/>
                <w:sz w:val="18"/>
                <w:szCs w:val="18"/>
              </w:rPr>
            </w:pPr>
            <w:r>
              <w:rPr>
                <w:rFonts w:ascii="宋体"/>
                <w:sz w:val="18"/>
              </w:rPr>
              <w:t>11714841</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21" w:lineRule="exact"/>
              <w:ind w:left="29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日至</w:t>
            </w:r>
          </w:p>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35"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13"/>
              <w:ind w:left="2" w:right="0"/>
              <w:jc w:val="left"/>
              <w:rPr>
                <w:rFonts w:ascii="宋体" w:hAnsi="宋体" w:cs="宋体" w:eastAsia="宋体" w:hint="default"/>
                <w:sz w:val="18"/>
                <w:szCs w:val="18"/>
              </w:rPr>
            </w:pPr>
            <w:r>
              <w:rPr>
                <w:rFonts w:ascii="宋体"/>
                <w:sz w:val="18"/>
              </w:rPr>
              <w:t>20</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496" w:lineRule="exact"/>
              <w:ind w:left="475"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1333412" cy="315468"/>
                  <wp:effectExtent l="0" t="0" r="0" b="0"/>
                  <wp:docPr id="41" name="image18.jpeg" descr="?"/>
                  <wp:cNvGraphicFramePr>
                    <a:graphicFrameLocks noChangeAspect="1"/>
                  </wp:cNvGraphicFramePr>
                  <a:graphic>
                    <a:graphicData uri="http://schemas.openxmlformats.org/drawingml/2006/picture">
                      <pic:pic>
                        <pic:nvPicPr>
                          <pic:cNvPr id="42" name="image18.jpeg"/>
                          <pic:cNvPicPr/>
                        </pic:nvPicPr>
                        <pic:blipFill>
                          <a:blip r:embed="rId28" cstate="print"/>
                          <a:stretch>
                            <a:fillRect/>
                          </a:stretch>
                        </pic:blipFill>
                        <pic:spPr>
                          <a:xfrm>
                            <a:off x="0" y="0"/>
                            <a:ext cx="1333412" cy="315468"/>
                          </a:xfrm>
                          <a:prstGeom prst="rect">
                            <a:avLst/>
                          </a:prstGeom>
                        </pic:spPr>
                      </pic:pic>
                    </a:graphicData>
                  </a:graphic>
                </wp:inline>
              </w:drawing>
            </w:r>
            <w:r>
              <w:rPr>
                <w:rFonts w:ascii="宋体" w:hAnsi="宋体" w:cs="宋体" w:eastAsia="宋体" w:hint="default"/>
                <w:position w:val="-9"/>
                <w:sz w:val="20"/>
                <w:szCs w:val="20"/>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13"/>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13"/>
              <w:ind w:left="3" w:right="0"/>
              <w:jc w:val="center"/>
              <w:rPr>
                <w:rFonts w:ascii="宋体" w:hAnsi="宋体" w:cs="宋体" w:eastAsia="宋体" w:hint="default"/>
                <w:sz w:val="18"/>
                <w:szCs w:val="18"/>
              </w:rPr>
            </w:pPr>
            <w:r>
              <w:rPr>
                <w:rFonts w:ascii="宋体"/>
                <w:sz w:val="18"/>
              </w:rPr>
              <w:t>11714842</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33" w:lineRule="exact"/>
              <w:ind w:left="29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日至</w:t>
            </w:r>
          </w:p>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504"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2" w:right="0"/>
              <w:jc w:val="left"/>
              <w:rPr>
                <w:rFonts w:ascii="宋体" w:hAnsi="宋体" w:cs="宋体" w:eastAsia="宋体" w:hint="default"/>
                <w:sz w:val="18"/>
                <w:szCs w:val="18"/>
              </w:rPr>
            </w:pPr>
            <w:r>
              <w:rPr>
                <w:rFonts w:ascii="宋体"/>
                <w:sz w:val="18"/>
              </w:rPr>
              <w:t>21</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4"/>
              <w:ind w:right="0"/>
              <w:jc w:val="left"/>
              <w:rPr>
                <w:rFonts w:ascii="宋体" w:hAnsi="宋体" w:cs="宋体" w:eastAsia="宋体" w:hint="default"/>
                <w:sz w:val="3"/>
                <w:szCs w:val="3"/>
              </w:rPr>
            </w:pPr>
          </w:p>
          <w:p>
            <w:pPr>
              <w:pStyle w:val="TableParagraph"/>
              <w:spacing w:line="409" w:lineRule="exact"/>
              <w:ind w:left="526"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283919" cy="259841"/>
                  <wp:effectExtent l="0" t="0" r="0" b="0"/>
                  <wp:docPr id="43" name="image19.jpeg" descr="?"/>
                  <wp:cNvGraphicFramePr>
                    <a:graphicFrameLocks noChangeAspect="1"/>
                  </wp:cNvGraphicFramePr>
                  <a:graphic>
                    <a:graphicData uri="http://schemas.openxmlformats.org/drawingml/2006/picture">
                      <pic:pic>
                        <pic:nvPicPr>
                          <pic:cNvPr id="44" name="image19.jpeg"/>
                          <pic:cNvPicPr/>
                        </pic:nvPicPr>
                        <pic:blipFill>
                          <a:blip r:embed="rId29" cstate="print"/>
                          <a:stretch>
                            <a:fillRect/>
                          </a:stretch>
                        </pic:blipFill>
                        <pic:spPr>
                          <a:xfrm>
                            <a:off x="0" y="0"/>
                            <a:ext cx="1283919" cy="259841"/>
                          </a:xfrm>
                          <a:prstGeom prst="rect">
                            <a:avLst/>
                          </a:prstGeom>
                        </pic:spPr>
                      </pic:pic>
                    </a:graphicData>
                  </a:graphic>
                </wp:inline>
              </w:drawing>
            </w:r>
            <w:r>
              <w:rPr>
                <w:rFonts w:ascii="宋体" w:hAnsi="宋体" w:cs="宋体" w:eastAsia="宋体" w:hint="default"/>
                <w:position w:val="-7"/>
                <w:sz w:val="20"/>
                <w:szCs w:val="20"/>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left="3" w:right="0"/>
              <w:jc w:val="center"/>
              <w:rPr>
                <w:rFonts w:ascii="宋体" w:hAnsi="宋体" w:cs="宋体" w:eastAsia="宋体" w:hint="default"/>
                <w:sz w:val="18"/>
                <w:szCs w:val="18"/>
              </w:rPr>
            </w:pPr>
            <w:r>
              <w:rPr>
                <w:rFonts w:ascii="宋体"/>
                <w:sz w:val="18"/>
              </w:rPr>
              <w:t>11714843</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16" w:lineRule="exact"/>
              <w:ind w:left="29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日至</w:t>
            </w:r>
          </w:p>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东方通</w:t>
            </w:r>
          </w:p>
        </w:tc>
      </w:tr>
      <w:tr>
        <w:trPr>
          <w:trHeight w:val="1152" w:hRule="exact"/>
        </w:trPr>
        <w:tc>
          <w:tcPr>
            <w:tcW w:w="622"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22</w:t>
            </w:r>
          </w:p>
        </w:tc>
        <w:tc>
          <w:tcPr>
            <w:tcW w:w="3074" w:type="dxa"/>
            <w:tcBorders>
              <w:top w:val="single" w:sz="6" w:space="0" w:color="818181"/>
              <w:left w:val="single" w:sz="6" w:space="0" w:color="818181"/>
              <w:bottom w:val="single" w:sz="6" w:space="0" w:color="818181"/>
              <w:right w:val="single" w:sz="6" w:space="0" w:color="818181"/>
            </w:tcBorders>
          </w:tcPr>
          <w:p>
            <w:pPr>
              <w:pStyle w:val="TableParagraph"/>
              <w:spacing w:line="1123" w:lineRule="exact"/>
              <w:ind w:left="840" w:right="0"/>
              <w:jc w:val="left"/>
              <w:rPr>
                <w:rFonts w:ascii="宋体" w:hAnsi="宋体" w:cs="宋体" w:eastAsia="宋体" w:hint="default"/>
                <w:sz w:val="20"/>
                <w:szCs w:val="20"/>
              </w:rPr>
            </w:pPr>
            <w:r>
              <w:rPr>
                <w:rFonts w:ascii="宋体" w:hAnsi="宋体" w:cs="宋体" w:eastAsia="宋体" w:hint="default"/>
                <w:position w:val="-21"/>
                <w:sz w:val="20"/>
                <w:szCs w:val="20"/>
              </w:rPr>
              <w:drawing>
                <wp:inline distT="0" distB="0" distL="0" distR="0">
                  <wp:extent cx="879099" cy="713232"/>
                  <wp:effectExtent l="0" t="0" r="0" b="0"/>
                  <wp:docPr id="45" name="image20.jpeg" descr="?"/>
                  <wp:cNvGraphicFramePr>
                    <a:graphicFrameLocks noChangeAspect="1"/>
                  </wp:cNvGraphicFramePr>
                  <a:graphic>
                    <a:graphicData uri="http://schemas.openxmlformats.org/drawingml/2006/picture">
                      <pic:pic>
                        <pic:nvPicPr>
                          <pic:cNvPr id="46" name="image20.jpeg"/>
                          <pic:cNvPicPr/>
                        </pic:nvPicPr>
                        <pic:blipFill>
                          <a:blip r:embed="rId30" cstate="print"/>
                          <a:stretch>
                            <a:fillRect/>
                          </a:stretch>
                        </pic:blipFill>
                        <pic:spPr>
                          <a:xfrm>
                            <a:off x="0" y="0"/>
                            <a:ext cx="879099" cy="713232"/>
                          </a:xfrm>
                          <a:prstGeom prst="rect">
                            <a:avLst/>
                          </a:prstGeom>
                        </pic:spPr>
                      </pic:pic>
                    </a:graphicData>
                  </a:graphic>
                </wp:inline>
              </w:drawing>
            </w:r>
            <w:r>
              <w:rPr>
                <w:rFonts w:ascii="宋体" w:hAnsi="宋体" w:cs="宋体" w:eastAsia="宋体" w:hint="default"/>
                <w:position w:val="-21"/>
                <w:sz w:val="20"/>
                <w:szCs w:val="20"/>
              </w:rPr>
            </w:r>
          </w:p>
        </w:tc>
        <w:tc>
          <w:tcPr>
            <w:tcW w:w="129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42</w:t>
            </w:r>
            <w:r>
              <w:rPr>
                <w:rFonts w:ascii="宋体" w:hAnsi="宋体" w:cs="宋体" w:eastAsia="宋体" w:hint="default"/>
                <w:sz w:val="18"/>
                <w:szCs w:val="18"/>
              </w:rPr>
              <w:t>类</w:t>
            </w:r>
          </w:p>
        </w:tc>
        <w:tc>
          <w:tcPr>
            <w:tcW w:w="1538"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8065056</w:t>
            </w:r>
          </w:p>
        </w:tc>
        <w:tc>
          <w:tcPr>
            <w:tcW w:w="1961"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34" w:lineRule="exact"/>
              <w:ind w:left="29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日至</w:t>
            </w:r>
          </w:p>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116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数字天堂</w:t>
            </w:r>
          </w:p>
        </w:tc>
      </w:tr>
    </w:tbl>
    <w:p>
      <w:pPr>
        <w:pStyle w:val="BodyText"/>
        <w:spacing w:line="357" w:lineRule="auto" w:before="49"/>
        <w:ind w:left="577" w:right="229"/>
        <w:jc w:val="left"/>
      </w:pPr>
      <w:r>
        <w:rPr/>
        <w:t>（二）商业模式创新 公司上市以来，董事会提出</w:t>
      </w:r>
      <w:r>
        <w:rPr>
          <w:rFonts w:ascii="Times New Roman" w:hAnsi="Times New Roman" w:cs="Times New Roman" w:eastAsia="Times New Roman" w:hint="default"/>
        </w:rPr>
        <w:t>“</w:t>
      </w:r>
      <w:r>
        <w:rPr/>
        <w:t>二次创业</w:t>
      </w:r>
      <w:r>
        <w:rPr>
          <w:rFonts w:ascii="Times New Roman" w:hAnsi="Times New Roman" w:cs="Times New Roman" w:eastAsia="Times New Roman" w:hint="default"/>
        </w:rPr>
        <w:t>”</w:t>
      </w:r>
      <w:r>
        <w:rPr/>
        <w:t>的理念，公司积极开拓进取，通过内生和外延的双轮驱动，围绕董事会制定的</w:t>
      </w:r>
    </w:p>
    <w:p>
      <w:pPr>
        <w:pStyle w:val="BodyText"/>
        <w:spacing w:line="201" w:lineRule="exact"/>
        <w:ind w:right="0"/>
        <w:jc w:val="left"/>
      </w:pPr>
      <w:r>
        <w:rPr/>
        <w:t>战略目标，改变上市之初以基础软件中间件作为唯一主业的局面。由原来的基础软件产品销售加维保服务的模式，积极向创</w:t>
      </w:r>
    </w:p>
    <w:p>
      <w:pPr>
        <w:pStyle w:val="BodyText"/>
        <w:spacing w:line="316" w:lineRule="auto" w:before="76"/>
        <w:ind w:right="0"/>
        <w:jc w:val="left"/>
      </w:pPr>
      <w:r>
        <w:rPr>
          <w:spacing w:val="-2"/>
        </w:rPr>
        <w:t>新应用软件和软件基础设施解决方案提供商转型升级，拥抱互联网，积极布局大数据、云计算、移动互联网等新业务、新业</w:t>
      </w:r>
      <w:r>
        <w:rPr>
          <w:spacing w:val="-67"/>
        </w:rPr>
        <w:t> </w:t>
      </w:r>
      <w:r>
        <w:rPr>
          <w:spacing w:val="-67"/>
        </w:rPr>
      </w:r>
      <w:r>
        <w:rPr/>
        <w:t>态、新技术。未来，公司仍将在商业模式上持续创新，提升公司业绩与核心竞争力。</w:t>
      </w:r>
    </w:p>
    <w:p>
      <w:pPr>
        <w:pStyle w:val="BodyText"/>
        <w:spacing w:line="360" w:lineRule="auto" w:before="59"/>
        <w:ind w:left="577" w:right="0"/>
        <w:jc w:val="left"/>
      </w:pPr>
      <w:r>
        <w:rPr/>
        <w:t>（三）管理模式创新 </w:t>
      </w:r>
      <w:r>
        <w:rPr>
          <w:spacing w:val="-2"/>
        </w:rPr>
        <w:t>企业的竞争是人才的竞争，公司通过持续外部引进（包括并购）与内部培养相结合的方式组建了一支强大的管理团队，</w:t>
      </w:r>
    </w:p>
    <w:p>
      <w:pPr>
        <w:pStyle w:val="BodyText"/>
        <w:spacing w:line="222" w:lineRule="exact"/>
        <w:ind w:right="0"/>
        <w:jc w:val="left"/>
      </w:pPr>
      <w:r>
        <w:rPr/>
        <w:t>以适应公司业务快速增长的需要。公司通过不断完善、优化与高效的用人机制，特别是强化激励机制来吸纳优秀经营管理人</w:t>
      </w:r>
    </w:p>
    <w:p>
      <w:pPr>
        <w:pStyle w:val="BodyText"/>
        <w:spacing w:line="316" w:lineRule="auto" w:before="76"/>
        <w:ind w:right="0"/>
        <w:jc w:val="left"/>
      </w:pPr>
      <w:r>
        <w:rPr>
          <w:spacing w:val="-2"/>
        </w:rPr>
        <w:t>才、营销人才和科技人才，建立科学的人力资源管理体系，进一步增强公司持续发展能力。同时，公司根据发展战略，确定</w:t>
      </w:r>
      <w:r>
        <w:rPr>
          <w:spacing w:val="-68"/>
        </w:rPr>
        <w:t> </w:t>
      </w:r>
      <w:r>
        <w:rPr>
          <w:spacing w:val="-68"/>
        </w:rPr>
      </w:r>
      <w:r>
        <w:rPr/>
        <w:t>以价值创造为基础的薪酬与激励政策，实施公司股权激励计划，以吸引更多的优秀人才，不断增强企业的核心竞争优势。</w:t>
      </w:r>
    </w:p>
    <w:p>
      <w:pPr>
        <w:pStyle w:val="BodyText"/>
        <w:spacing w:line="316" w:lineRule="auto" w:before="57"/>
        <w:ind w:right="210" w:firstLine="424"/>
        <w:jc w:val="left"/>
      </w:pPr>
      <w:r>
        <w:rPr/>
        <w:t>公司在推行股票期权、年度奖励等激励措施的同时，也积极鼓励子公司高管在所在公司持股的激励计划，支持并探讨 在子公司层面逐渐引入</w:t>
      </w:r>
      <w:r>
        <w:rPr>
          <w:rFonts w:ascii="Times New Roman" w:hAnsi="Times New Roman" w:cs="Times New Roman" w:eastAsia="Times New Roman" w:hint="default"/>
        </w:rPr>
        <w:t>“</w:t>
      </w:r>
      <w:r>
        <w:rPr/>
        <w:t>合伙人</w:t>
      </w:r>
      <w:r>
        <w:rPr>
          <w:rFonts w:ascii="Times New Roman" w:hAnsi="Times New Roman" w:cs="Times New Roman" w:eastAsia="Times New Roman" w:hint="default"/>
        </w:rPr>
        <w:t>”</w:t>
      </w:r>
      <w:r>
        <w:rPr/>
        <w:t>机制。</w:t>
      </w:r>
    </w:p>
    <w:p>
      <w:pPr>
        <w:pStyle w:val="BodyText"/>
        <w:spacing w:line="240" w:lineRule="auto" w:before="40"/>
        <w:ind w:left="577" w:right="0"/>
        <w:jc w:val="left"/>
      </w:pPr>
      <w:r>
        <w:rPr/>
        <w:t>管理模式的创新将为公司持续输送高质量人才管理团队和创新源泉，为公司的可持续发展提供不断支撑。</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124" w:right="0"/>
        <w:jc w:val="left"/>
        <w:rPr>
          <w:b w:val="0"/>
          <w:bCs w:val="0"/>
        </w:rPr>
      </w:pPr>
      <w:bookmarkStart w:name="_TOC_250007" w:id="22"/>
      <w:bookmarkStart w:name="第四节 管理层讨论与分析" w:id="23"/>
      <w:r>
        <w:rPr>
          <w:b w:val="0"/>
          <w:bCs w:val="0"/>
        </w:rPr>
      </w:r>
      <w:r>
        <w:rPr/>
        <w:t>第四节</w:t>
      </w:r>
      <w:r>
        <w:rPr>
          <w:spacing w:val="-6"/>
        </w:rPr>
        <w:t> </w:t>
      </w:r>
      <w:r>
        <w:rPr/>
        <w:t>管理层讨论与分析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90" w:firstLine="424"/>
        <w:jc w:val="both"/>
      </w:pPr>
      <w:r>
        <w:rPr>
          <w:rFonts w:ascii="Times New Roman" w:hAnsi="Times New Roman" w:cs="Times New Roman" w:eastAsia="Times New Roman" w:hint="default"/>
        </w:rPr>
        <w:t>2015</w:t>
      </w:r>
      <w:r>
        <w:rPr/>
        <w:t>年是公司在新一代软件基础设施及创新应用领域深化布局的一年。报告期内，公司在业绩稳健增长的基础上进行 </w:t>
      </w:r>
      <w:r>
        <w:rPr>
          <w:spacing w:val="-2"/>
        </w:rPr>
        <w:t>了一系列投资布局，为公司可持续发展奠定了良好基础。公司管理层根据董事会制定的发展战略和年度经营计划，核心重要</w:t>
      </w:r>
      <w:r>
        <w:rPr>
          <w:spacing w:val="-63"/>
        </w:rPr>
        <w:t> </w:t>
      </w:r>
      <w:r>
        <w:rPr>
          <w:spacing w:val="-63"/>
        </w:rPr>
      </w:r>
      <w:r>
        <w:rPr/>
        <w:t>工作如下：</w:t>
      </w:r>
    </w:p>
    <w:p>
      <w:pPr>
        <w:pStyle w:val="BodyText"/>
        <w:spacing w:line="340" w:lineRule="auto" w:before="62"/>
        <w:ind w:left="577" w:right="209"/>
        <w:jc w:val="left"/>
      </w:pPr>
      <w:r>
        <w:rPr>
          <w:rFonts w:ascii="Times New Roman" w:hAnsi="Times New Roman" w:cs="Times New Roman" w:eastAsia="Times New Roman" w:hint="default"/>
        </w:rPr>
        <w:t>1</w:t>
      </w:r>
      <w:r>
        <w:rPr/>
        <w:t>、持续投入各产品线研发 公司技术研发团队围绕新一代软件基础设施，包括智能中间件、数据交换和传输平台、服务器虚拟化平台和移动云平</w:t>
      </w:r>
    </w:p>
    <w:p>
      <w:pPr>
        <w:pStyle w:val="BodyText"/>
        <w:spacing w:line="300" w:lineRule="auto" w:before="1"/>
        <w:ind w:right="200"/>
        <w:jc w:val="both"/>
      </w:pPr>
      <w:r>
        <w:rPr/>
        <w:t>台等，以及政务大数据、无线网络优化等创新应用领域持续研发投入，提升产品核心竞争力。报告期内新获</w:t>
      </w:r>
      <w:r>
        <w:rPr>
          <w:rFonts w:ascii="Times New Roman" w:hAnsi="Times New Roman" w:cs="Times New Roman" w:eastAsia="Times New Roman" w:hint="default"/>
        </w:rPr>
        <w:t>3</w:t>
      </w:r>
      <w:r>
        <w:rPr/>
        <w:t>项国家发明专 利、新增</w:t>
      </w:r>
      <w:r>
        <w:rPr>
          <w:rFonts w:ascii="Times New Roman" w:hAnsi="Times New Roman" w:cs="Times New Roman" w:eastAsia="Times New Roman" w:hint="default"/>
        </w:rPr>
        <w:t>25</w:t>
      </w:r>
      <w:r>
        <w:rPr/>
        <w:t>项软件著作权。详细情况见本节</w:t>
      </w:r>
      <w:r>
        <w:rPr>
          <w:rFonts w:ascii="Times New Roman" w:hAnsi="Times New Roman" w:cs="Times New Roman" w:eastAsia="Times New Roman" w:hint="default"/>
        </w:rPr>
        <w:t>“</w:t>
      </w:r>
      <w:r>
        <w:rPr/>
        <w:t>研发投入</w:t>
      </w:r>
      <w:r>
        <w:rPr>
          <w:rFonts w:ascii="Times New Roman" w:hAnsi="Times New Roman" w:cs="Times New Roman" w:eastAsia="Times New Roman" w:hint="default"/>
        </w:rPr>
        <w:t>”</w:t>
      </w:r>
      <w:r>
        <w:rPr/>
        <w:t>部分内容。</w:t>
      </w:r>
    </w:p>
    <w:p>
      <w:pPr>
        <w:pStyle w:val="BodyText"/>
        <w:spacing w:line="338" w:lineRule="auto" w:before="53"/>
        <w:ind w:left="577" w:right="209"/>
        <w:jc w:val="left"/>
      </w:pPr>
      <w:r>
        <w:rPr>
          <w:rFonts w:ascii="Times New Roman" w:hAnsi="Times New Roman" w:cs="Times New Roman" w:eastAsia="Times New Roman" w:hint="default"/>
        </w:rPr>
        <w:t>2</w:t>
      </w:r>
      <w:r>
        <w:rPr/>
        <w:t>、培育政务大数据应用业务 为培育政务大数据应用新业务，公司在研发和市场方面进行了较大投资。启动了数据融合平台、企业（居民）数字空</w:t>
      </w:r>
    </w:p>
    <w:p>
      <w:pPr>
        <w:pStyle w:val="BodyText"/>
        <w:spacing w:line="316" w:lineRule="auto" w:before="2"/>
        <w:ind w:right="190"/>
        <w:jc w:val="both"/>
      </w:pPr>
      <w:r>
        <w:rPr>
          <w:spacing w:val="-2"/>
        </w:rPr>
        <w:t>间研发项目，发布了《东方通大数据联合实验公开招募书》，基于经济运行大数据监测、软件基础设施平台、数据共享交换</w:t>
      </w:r>
      <w:r>
        <w:rPr>
          <w:spacing w:val="-68"/>
        </w:rPr>
        <w:t> </w:t>
      </w:r>
      <w:r>
        <w:rPr>
          <w:spacing w:val="-68"/>
        </w:rPr>
      </w:r>
      <w:r>
        <w:rPr>
          <w:spacing w:val="-2"/>
        </w:rPr>
        <w:t>体系等主题，与国家发改委、浙江省政府、江西省政府等多家政企客户开展了政务大数据创新应用联合实验，并通过媒体进</w:t>
      </w:r>
      <w:r>
        <w:rPr>
          <w:spacing w:val="-64"/>
        </w:rPr>
        <w:t> </w:t>
      </w:r>
      <w:r>
        <w:rPr>
          <w:spacing w:val="-64"/>
        </w:rPr>
      </w:r>
      <w:r>
        <w:rPr/>
        <w:t>行了广泛的宣传，为公司在政务大数据应用业务的发展奠定了一定的基础。</w:t>
      </w:r>
    </w:p>
    <w:p>
      <w:pPr>
        <w:pStyle w:val="BodyText"/>
        <w:spacing w:line="340" w:lineRule="auto" w:before="59"/>
        <w:ind w:left="577" w:right="181"/>
        <w:jc w:val="left"/>
      </w:pPr>
      <w:r>
        <w:rPr>
          <w:rFonts w:ascii="Times New Roman" w:hAnsi="Times New Roman" w:cs="Times New Roman" w:eastAsia="Times New Roman" w:hint="default"/>
        </w:rPr>
        <w:t>3</w:t>
      </w:r>
      <w:r>
        <w:rPr/>
        <w:t>、重塑品牌，加强渠道建设 </w:t>
      </w:r>
      <w:r>
        <w:rPr>
          <w:spacing w:val="-1"/>
        </w:rPr>
        <w:t>报告期内，公司加大了在品牌建设上的投入，通过多维度市场宣传及一系列市场活动，将公司形象由</w:t>
      </w:r>
      <w:r>
        <w:rPr>
          <w:rFonts w:ascii="Times New Roman" w:hAnsi="Times New Roman" w:cs="Times New Roman" w:eastAsia="Times New Roman" w:hint="default"/>
          <w:spacing w:val="-1"/>
        </w:rPr>
        <w:t>“</w:t>
      </w:r>
      <w:r>
        <w:rPr>
          <w:spacing w:val="-1"/>
        </w:rPr>
        <w:t>传统中间件产品</w:t>
      </w:r>
    </w:p>
    <w:p>
      <w:pPr>
        <w:pStyle w:val="BodyText"/>
        <w:spacing w:line="228" w:lineRule="exact"/>
        <w:ind w:right="0"/>
        <w:jc w:val="both"/>
      </w:pPr>
      <w:r>
        <w:rPr/>
        <w:t>公司</w:t>
      </w:r>
      <w:r>
        <w:rPr>
          <w:rFonts w:ascii="Times New Roman" w:hAnsi="Times New Roman" w:cs="Times New Roman" w:eastAsia="Times New Roman" w:hint="default"/>
        </w:rPr>
        <w:t>”</w:t>
      </w:r>
      <w:r>
        <w:rPr/>
        <w:t>向</w:t>
      </w:r>
      <w:r>
        <w:rPr>
          <w:rFonts w:ascii="Times New Roman" w:hAnsi="Times New Roman" w:cs="Times New Roman" w:eastAsia="Times New Roman" w:hint="default"/>
        </w:rPr>
        <w:t>“</w:t>
      </w:r>
      <w:r>
        <w:rPr/>
        <w:t>新一代软件基础设施及创新应用解决方案提供商</w:t>
      </w:r>
      <w:r>
        <w:rPr>
          <w:rFonts w:ascii="Times New Roman" w:hAnsi="Times New Roman" w:cs="Times New Roman" w:eastAsia="Times New Roman" w:hint="default"/>
        </w:rPr>
        <w:t>”</w:t>
      </w:r>
      <w:r>
        <w:rPr/>
        <w:t>转变。公司联合</w:t>
      </w:r>
      <w:r>
        <w:rPr>
          <w:rFonts w:ascii="Times New Roman" w:hAnsi="Times New Roman" w:cs="Times New Roman" w:eastAsia="Times New Roman" w:hint="default"/>
        </w:rPr>
        <w:t>Gartner</w:t>
      </w:r>
      <w:r>
        <w:rPr/>
        <w:t>与技术社区</w:t>
      </w:r>
      <w:r>
        <w:rPr>
          <w:rFonts w:ascii="Times New Roman" w:hAnsi="Times New Roman" w:cs="Times New Roman" w:eastAsia="Times New Roman" w:hint="default"/>
        </w:rPr>
        <w:t>CSDN</w:t>
      </w:r>
      <w:r>
        <w:rPr/>
        <w:t>举办的中国最大规模的</w:t>
      </w:r>
    </w:p>
    <w:p>
      <w:pPr>
        <w:pStyle w:val="BodyText"/>
        <w:spacing w:line="300" w:lineRule="auto" w:before="63"/>
        <w:ind w:right="217"/>
        <w:jc w:val="both"/>
      </w:pPr>
      <w:r>
        <w:rPr/>
        <w:t>软件基础设施技术大会</w:t>
      </w:r>
      <w:r>
        <w:rPr>
          <w:rFonts w:ascii="Times New Roman" w:hAnsi="Times New Roman" w:cs="Times New Roman" w:eastAsia="Times New Roman" w:hint="default"/>
        </w:rPr>
        <w:t>T.A.I.</w:t>
      </w:r>
      <w:r>
        <w:rPr/>
        <w:t>吸引了</w:t>
      </w:r>
      <w:r>
        <w:rPr>
          <w:rFonts w:ascii="Times New Roman" w:hAnsi="Times New Roman" w:cs="Times New Roman" w:eastAsia="Times New Roman" w:hint="default"/>
        </w:rPr>
        <w:t>4000</w:t>
      </w:r>
      <w:r>
        <w:rPr/>
        <w:t>多人报名，</w:t>
      </w:r>
      <w:r>
        <w:rPr>
          <w:rFonts w:ascii="Times New Roman" w:hAnsi="Times New Roman" w:cs="Times New Roman" w:eastAsia="Times New Roman" w:hint="default"/>
        </w:rPr>
        <w:t>2400</w:t>
      </w:r>
      <w:r>
        <w:rPr/>
        <w:t>多人参会，在网络品牌曝光上达到了</w:t>
      </w:r>
      <w:r>
        <w:rPr>
          <w:rFonts w:ascii="Times New Roman" w:hAnsi="Times New Roman" w:cs="Times New Roman" w:eastAsia="Times New Roman" w:hint="default"/>
        </w:rPr>
        <w:t>675</w:t>
      </w:r>
      <w:r>
        <w:rPr/>
        <w:t>万次，覆盖</w:t>
      </w:r>
      <w:r>
        <w:rPr>
          <w:rFonts w:ascii="Times New Roman" w:hAnsi="Times New Roman" w:cs="Times New Roman" w:eastAsia="Times New Roman" w:hint="default"/>
        </w:rPr>
        <w:t>137</w:t>
      </w:r>
      <w:r>
        <w:rPr/>
        <w:t>万人次，并</w:t>
      </w:r>
      <w:r>
        <w:rPr>
          <w:w w:val="99"/>
        </w:rPr>
        <w:t> </w:t>
      </w:r>
      <w:r>
        <w:rPr/>
        <w:t>吸引了</w:t>
      </w:r>
      <w:r>
        <w:rPr>
          <w:rFonts w:ascii="Times New Roman" w:hAnsi="Times New Roman" w:cs="Times New Roman" w:eastAsia="Times New Roman" w:hint="default"/>
        </w:rPr>
        <w:t>Intel</w:t>
      </w:r>
      <w:r>
        <w:rPr/>
        <w:t>等多家合作伙伴积极参与。</w:t>
      </w:r>
    </w:p>
    <w:p>
      <w:pPr>
        <w:pStyle w:val="BodyText"/>
        <w:spacing w:line="300" w:lineRule="auto" w:before="51"/>
        <w:ind w:right="214" w:firstLine="424"/>
        <w:jc w:val="left"/>
      </w:pPr>
      <w:r>
        <w:rPr/>
        <w:t>公司组织与参与了交通、金融等多行业重点客户推广会议，在</w:t>
      </w:r>
      <w:r>
        <w:rPr>
          <w:rFonts w:ascii="Times New Roman" w:hAnsi="Times New Roman" w:cs="Times New Roman" w:eastAsia="Times New Roman" w:hint="default"/>
        </w:rPr>
        <w:t>ISV</w:t>
      </w:r>
      <w:r>
        <w:rPr/>
        <w:t>、</w:t>
      </w:r>
      <w:r>
        <w:rPr>
          <w:rFonts w:ascii="Times New Roman" w:hAnsi="Times New Roman" w:cs="Times New Roman" w:eastAsia="Times New Roman" w:hint="default"/>
        </w:rPr>
        <w:t>SI</w:t>
      </w:r>
      <w:r>
        <w:rPr/>
        <w:t>、软件代理商等合作伙伴市场积极推进，开展 </w:t>
      </w:r>
      <w:r>
        <w:rPr>
          <w:rFonts w:ascii="Times New Roman" w:hAnsi="Times New Roman" w:cs="Times New Roman" w:eastAsia="Times New Roman" w:hint="default"/>
        </w:rPr>
        <w:t>TongPlus2015</w:t>
      </w:r>
      <w:r>
        <w:rPr/>
        <w:t>合作伙伴巡展计划，覆盖了</w:t>
      </w:r>
      <w:r>
        <w:rPr>
          <w:rFonts w:ascii="Times New Roman" w:hAnsi="Times New Roman" w:cs="Times New Roman" w:eastAsia="Times New Roman" w:hint="default"/>
        </w:rPr>
        <w:t>400</w:t>
      </w:r>
      <w:r>
        <w:rPr/>
        <w:t>多家机构，进一步完善了合作伙伴生态。面向高新产业园区、区域政府等公司 有传统数据交换优势的用户群体，推广以</w:t>
      </w:r>
      <w:r>
        <w:rPr>
          <w:rFonts w:ascii="Times New Roman" w:hAnsi="Times New Roman" w:cs="Times New Roman" w:eastAsia="Times New Roman" w:hint="default"/>
        </w:rPr>
        <w:t>PPP</w:t>
      </w:r>
      <w:r>
        <w:rPr/>
        <w:t>模式运营的</w:t>
      </w:r>
      <w:r>
        <w:rPr>
          <w:rFonts w:ascii="Times New Roman" w:hAnsi="Times New Roman" w:cs="Times New Roman" w:eastAsia="Times New Roman" w:hint="default"/>
        </w:rPr>
        <w:t>“</w:t>
      </w:r>
      <w:r>
        <w:rPr/>
        <w:t>大数据联合实验计划</w:t>
      </w:r>
      <w:r>
        <w:rPr>
          <w:rFonts w:ascii="Times New Roman" w:hAnsi="Times New Roman" w:cs="Times New Roman" w:eastAsia="Times New Roman" w:hint="default"/>
        </w:rPr>
        <w:t>”</w:t>
      </w:r>
      <w:r>
        <w:rPr/>
        <w:t>，在业内引起较大反响。</w:t>
      </w:r>
    </w:p>
    <w:p>
      <w:pPr>
        <w:pStyle w:val="BodyText"/>
        <w:spacing w:line="340" w:lineRule="auto" w:before="53"/>
        <w:ind w:left="577" w:right="0"/>
        <w:jc w:val="left"/>
      </w:pPr>
      <w:r>
        <w:rPr>
          <w:rFonts w:ascii="Times New Roman" w:hAnsi="Times New Roman" w:cs="Times New Roman" w:eastAsia="Times New Roman" w:hint="default"/>
        </w:rPr>
        <w:t>4</w:t>
      </w:r>
      <w:r>
        <w:rPr/>
        <w:t>、布局企业移动互联网 </w:t>
      </w:r>
      <w:r>
        <w:rPr>
          <w:spacing w:val="-1"/>
        </w:rPr>
        <w:t>报告期内公司以自有资金</w:t>
      </w:r>
      <w:r>
        <w:rPr>
          <w:rFonts w:ascii="Times New Roman" w:hAnsi="Times New Roman" w:cs="Times New Roman" w:eastAsia="Times New Roman" w:hint="default"/>
          <w:spacing w:val="-1"/>
        </w:rPr>
        <w:t>4,137</w:t>
      </w:r>
      <w:r>
        <w:rPr>
          <w:spacing w:val="-1"/>
        </w:rPr>
        <w:t>万元完成了对数字天堂的收购。数字天堂是国内领先的企业移动互联网应用平台产品供</w:t>
      </w:r>
    </w:p>
    <w:p>
      <w:pPr>
        <w:pStyle w:val="BodyText"/>
        <w:spacing w:line="215" w:lineRule="exact"/>
        <w:ind w:right="0"/>
        <w:jc w:val="both"/>
      </w:pPr>
      <w:r>
        <w:rPr/>
        <w:t>应商，并为大客户提供移动互联网战略咨询、创新移动应用开发等整体解决方案，其产品已广泛应用于电信、金融、央企、</w:t>
      </w:r>
    </w:p>
    <w:p>
      <w:pPr>
        <w:pStyle w:val="BodyText"/>
        <w:spacing w:line="309" w:lineRule="auto" w:before="76"/>
        <w:ind w:right="190"/>
        <w:jc w:val="both"/>
      </w:pPr>
      <w:r>
        <w:rPr>
          <w:spacing w:val="-2"/>
        </w:rPr>
        <w:t>政府等多个领域，累计国内外客户</w:t>
      </w:r>
      <w:r>
        <w:rPr>
          <w:rFonts w:ascii="Times New Roman" w:hAnsi="Times New Roman" w:cs="Times New Roman" w:eastAsia="Times New Roman" w:hint="default"/>
          <w:spacing w:val="-2"/>
        </w:rPr>
        <w:t>4000</w:t>
      </w:r>
      <w:r>
        <w:rPr>
          <w:spacing w:val="-2"/>
        </w:rPr>
        <w:t>余家。数字天堂的加盟，为公司在企业移动互联网这个新兴领域的业务发展奠定了一</w:t>
      </w:r>
      <w:r>
        <w:rPr>
          <w:spacing w:val="-61"/>
        </w:rPr>
        <w:t> </w:t>
      </w:r>
      <w:r>
        <w:rPr>
          <w:spacing w:val="-61"/>
        </w:rPr>
      </w:r>
      <w:r>
        <w:rPr>
          <w:spacing w:val="-2"/>
        </w:rPr>
        <w:t>定的技术及市场基础。完成并购后，迅速进行后台管理整合，增强业务协同，对其业务模式进行了微调，选定了金融和能源</w:t>
      </w:r>
      <w:r>
        <w:rPr>
          <w:spacing w:val="-67"/>
        </w:rPr>
        <w:t> </w:t>
      </w:r>
      <w:r>
        <w:rPr>
          <w:spacing w:val="-67"/>
        </w:rPr>
      </w:r>
      <w:r>
        <w:rPr/>
        <w:t>两大垂直版块进行了深耕细作，先后新签了国家核电、安华保险等优质客户。</w:t>
      </w:r>
    </w:p>
    <w:p>
      <w:pPr>
        <w:pStyle w:val="BodyText"/>
        <w:spacing w:line="340" w:lineRule="auto" w:before="62"/>
        <w:ind w:left="577" w:right="0"/>
        <w:jc w:val="left"/>
      </w:pPr>
      <w:r>
        <w:rPr>
          <w:rFonts w:ascii="Times New Roman" w:hAnsi="Times New Roman" w:cs="Times New Roman" w:eastAsia="Times New Roman" w:hint="default"/>
        </w:rPr>
        <w:t>5</w:t>
      </w:r>
      <w:r>
        <w:rPr/>
        <w:t>、实施再融资，进军大数据信息安全领域 </w:t>
      </w:r>
      <w:r>
        <w:rPr>
          <w:spacing w:val="-2"/>
        </w:rPr>
        <w:t>报告期内启动筹划非公开发行股票，计划筹资</w:t>
      </w:r>
      <w:r>
        <w:rPr>
          <w:rFonts w:ascii="Times New Roman" w:hAnsi="Times New Roman" w:cs="Times New Roman" w:eastAsia="Times New Roman" w:hint="default"/>
          <w:spacing w:val="-2"/>
        </w:rPr>
        <w:t>8.25</w:t>
      </w:r>
      <w:r>
        <w:rPr>
          <w:spacing w:val="-2"/>
        </w:rPr>
        <w:t>亿元用于购买北京微智信业科技有限公司</w:t>
      </w:r>
      <w:r>
        <w:rPr>
          <w:rFonts w:ascii="Times New Roman" w:hAnsi="Times New Roman" w:cs="Times New Roman" w:eastAsia="Times New Roman" w:hint="default"/>
          <w:spacing w:val="-2"/>
        </w:rPr>
        <w:t>100%</w:t>
      </w:r>
      <w:r>
        <w:rPr>
          <w:spacing w:val="-2"/>
        </w:rPr>
        <w:t>股权和补充流动资金，</w:t>
      </w:r>
    </w:p>
    <w:p>
      <w:pPr>
        <w:pStyle w:val="BodyText"/>
        <w:spacing w:line="215" w:lineRule="exact"/>
        <w:ind w:right="0"/>
        <w:jc w:val="both"/>
      </w:pPr>
      <w:r>
        <w:rPr/>
        <w:t>为内生和外延式发展储备资金。微智信业是国内领先的大数据信息安全服务商，拥有多项核心技术，产品和服务广泛应用于</w:t>
      </w:r>
    </w:p>
    <w:p>
      <w:pPr>
        <w:pStyle w:val="BodyText"/>
        <w:spacing w:line="316" w:lineRule="auto" w:before="76"/>
        <w:ind w:right="190"/>
        <w:jc w:val="both"/>
      </w:pPr>
      <w:r>
        <w:rPr>
          <w:spacing w:val="-2"/>
        </w:rPr>
        <w:t>电信运营商、政府部门等客户，正处于高速发展期。收购微智信业将有利于公司快速进入专业信息安全领域，进一步打开成</w:t>
      </w:r>
      <w:r>
        <w:rPr>
          <w:spacing w:val="-64"/>
        </w:rPr>
        <w:t> </w:t>
      </w:r>
      <w:r>
        <w:rPr>
          <w:spacing w:val="-64"/>
        </w:rPr>
      </w:r>
      <w:r>
        <w:rPr/>
        <w:t>长空间，提升公司盈利能力。</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日，公司非公开发行股票申请获得中国证监会发行审核委员会审核通过。</w:t>
      </w:r>
    </w:p>
    <w:p>
      <w:pPr>
        <w:pStyle w:val="BodyText"/>
        <w:spacing w:line="338" w:lineRule="auto" w:before="40"/>
        <w:ind w:left="577" w:right="209"/>
        <w:jc w:val="left"/>
      </w:pPr>
      <w:r>
        <w:rPr>
          <w:rFonts w:ascii="Times New Roman" w:hAnsi="Times New Roman" w:cs="Times New Roman" w:eastAsia="Times New Roman" w:hint="default"/>
        </w:rPr>
        <w:t>6</w:t>
      </w:r>
      <w:r>
        <w:rPr/>
        <w:t>、持续提升内部管理 报告期内，公司通过对薪酬体系、绩效考核、价格审批、业绩确认、项目管理等一系列管理机制的优化，进一步推动</w:t>
      </w:r>
    </w:p>
    <w:p>
      <w:pPr>
        <w:pStyle w:val="BodyText"/>
        <w:spacing w:line="240" w:lineRule="auto" w:before="2"/>
        <w:ind w:right="0"/>
        <w:jc w:val="both"/>
      </w:pPr>
      <w:r>
        <w:rPr/>
        <w:t>了公司以市场为导向、充分授权、自主管理等文化建设。</w:t>
      </w:r>
    </w:p>
    <w:p>
      <w:pPr>
        <w:pStyle w:val="BodyText"/>
        <w:spacing w:line="340" w:lineRule="auto" w:before="117"/>
        <w:ind w:left="577" w:right="209"/>
        <w:jc w:val="left"/>
      </w:pPr>
      <w:r>
        <w:rPr>
          <w:rFonts w:ascii="Times New Roman" w:hAnsi="Times New Roman" w:cs="Times New Roman" w:eastAsia="Times New Roman" w:hint="default"/>
        </w:rPr>
        <w:t>7</w:t>
      </w:r>
      <w:r>
        <w:rPr/>
        <w:t>、推出股权激励，完成股票期权授予 为了进一步建立、健全公司长效激励机制，吸引和留住优秀人才，充分调动公司高级管理人员、中层管理人员及核心</w:t>
      </w:r>
    </w:p>
    <w:p>
      <w:pPr>
        <w:spacing w:after="0" w:line="3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r>
        <w:rPr>
          <w:spacing w:val="-4"/>
        </w:rPr>
        <w:t>业务（技术）人员的积极性，提升公司的核心竞争力，确保公司发展战略目标与企业愿景的实现，公司董事会经过审慎论证，</w:t>
      </w:r>
      <w:r>
        <w:rPr>
          <w:spacing w:val="-43"/>
        </w:rPr>
        <w:t> </w:t>
      </w:r>
      <w:r>
        <w:rPr>
          <w:spacing w:val="-43"/>
        </w:rPr>
      </w:r>
      <w:r>
        <w:rPr/>
        <w:t>认为实施首期股权激励的条件已经具备。公司于</w:t>
      </w:r>
      <w:r>
        <w:rPr>
          <w:rFonts w:ascii="Times New Roman" w:hAnsi="Times New Roman" w:cs="Times New Roman" w:eastAsia="Times New Roman" w:hint="default"/>
        </w:rPr>
        <w:t>8</w:t>
      </w:r>
      <w:r>
        <w:rPr/>
        <w:t>月推出《股票期权激励计划（草案）》，并于</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日完成期权授予。</w:t>
      </w:r>
    </w:p>
    <w:p>
      <w:pPr>
        <w:pStyle w:val="BodyText"/>
        <w:spacing w:line="300" w:lineRule="auto" w:before="40"/>
        <w:ind w:right="154" w:firstLine="424"/>
        <w:jc w:val="left"/>
      </w:pPr>
      <w:r>
        <w:rPr>
          <w:rFonts w:ascii="Times New Roman" w:hAnsi="Times New Roman" w:cs="Times New Roman" w:eastAsia="Times New Roman" w:hint="default"/>
          <w:spacing w:val="-1"/>
        </w:rPr>
        <w:t>2015</w:t>
      </w:r>
      <w:r>
        <w:rPr>
          <w:spacing w:val="-1"/>
        </w:rPr>
        <w:t>年度公司通过市场拓展、内部管理、提升组织效率等举措，实现营业收入</w:t>
      </w:r>
      <w:r>
        <w:rPr>
          <w:rFonts w:ascii="Times New Roman" w:hAnsi="Times New Roman" w:cs="Times New Roman" w:eastAsia="Times New Roman" w:hint="default"/>
          <w:spacing w:val="-1"/>
        </w:rPr>
        <w:t>237,277,215.38</w:t>
      </w:r>
      <w:r>
        <w:rPr>
          <w:spacing w:val="-1"/>
        </w:rPr>
        <w:t>元，同比增长</w:t>
      </w:r>
      <w:r>
        <w:rPr>
          <w:rFonts w:ascii="Times New Roman" w:hAnsi="Times New Roman" w:cs="Times New Roman" w:eastAsia="Times New Roman" w:hint="default"/>
          <w:spacing w:val="-1"/>
        </w:rPr>
        <w:t>22.22%</w:t>
      </w:r>
      <w:r>
        <w:rPr>
          <w:spacing w:val="-1"/>
        </w:rPr>
        <w:t>；营</w:t>
      </w:r>
      <w:r>
        <w:rPr>
          <w:spacing w:val="-5"/>
        </w:rPr>
        <w:t> </w:t>
      </w:r>
      <w:r>
        <w:rPr/>
        <w:t>业利润</w:t>
      </w:r>
      <w:r>
        <w:rPr>
          <w:rFonts w:ascii="Times New Roman" w:hAnsi="Times New Roman" w:cs="Times New Roman" w:eastAsia="Times New Roman" w:hint="default"/>
        </w:rPr>
        <w:t>48,288,799.63</w:t>
      </w:r>
      <w:r>
        <w:rPr/>
        <w:t>元，同比增长</w:t>
      </w:r>
      <w:r>
        <w:rPr>
          <w:rFonts w:ascii="Times New Roman" w:hAnsi="Times New Roman" w:cs="Times New Roman" w:eastAsia="Times New Roman" w:hint="default"/>
        </w:rPr>
        <w:t>62.19%</w:t>
      </w:r>
      <w:r>
        <w:rPr/>
        <w:t>；利润总额</w:t>
      </w:r>
      <w:r>
        <w:rPr>
          <w:rFonts w:ascii="Times New Roman" w:hAnsi="Times New Roman" w:cs="Times New Roman" w:eastAsia="Times New Roman" w:hint="default"/>
        </w:rPr>
        <w:t>82,280,123.33</w:t>
      </w:r>
      <w:r>
        <w:rPr/>
        <w:t>元，同比增长</w:t>
      </w:r>
      <w:r>
        <w:rPr>
          <w:rFonts w:ascii="Times New Roman" w:hAnsi="Times New Roman" w:cs="Times New Roman" w:eastAsia="Times New Roman" w:hint="default"/>
        </w:rPr>
        <w:t>31.30%</w:t>
      </w:r>
      <w:r>
        <w:rPr/>
        <w:t>；归属于上市公司股东的净利润 </w:t>
      </w:r>
      <w:r>
        <w:rPr>
          <w:rFonts w:ascii="Times New Roman" w:hAnsi="Times New Roman" w:cs="Times New Roman" w:eastAsia="Times New Roman" w:hint="default"/>
        </w:rPr>
        <w:t>70,686,419.86</w:t>
      </w:r>
      <w:r>
        <w:rPr/>
        <w:t>元，同比增长</w:t>
      </w:r>
      <w:r>
        <w:rPr>
          <w:rFonts w:ascii="Times New Roman" w:hAnsi="Times New Roman" w:cs="Times New Roman" w:eastAsia="Times New Roman" w:hint="default"/>
        </w:rPr>
        <w:t>23.76%</w:t>
      </w:r>
      <w:r>
        <w:rPr/>
        <w:t>；归属于上市公司股东的扣除非经常性损益的净利润</w:t>
      </w:r>
      <w:r>
        <w:rPr>
          <w:rFonts w:ascii="Times New Roman" w:hAnsi="Times New Roman" w:cs="Times New Roman" w:eastAsia="Times New Roman" w:hint="default"/>
        </w:rPr>
        <w:t>61,676,862.57</w:t>
      </w:r>
      <w:r>
        <w:rPr/>
        <w:t>元，同比增长</w:t>
      </w:r>
      <w:r>
        <w:rPr>
          <w:rFonts w:ascii="Times New Roman" w:hAnsi="Times New Roman" w:cs="Times New Roman" w:eastAsia="Times New Roman" w:hint="default"/>
        </w:rPr>
        <w:t>24.95%</w:t>
      </w:r>
      <w:r>
        <w:rPr/>
        <w:t>。 报告期经营活动产生的现金流量净额</w:t>
      </w:r>
      <w:r>
        <w:rPr>
          <w:rFonts w:ascii="Times New Roman" w:hAnsi="Times New Roman" w:cs="Times New Roman" w:eastAsia="Times New Roman" w:hint="default"/>
        </w:rPr>
        <w:t>65,575,087.94</w:t>
      </w:r>
      <w:r>
        <w:rPr/>
        <w:t>元，较上年度增长</w:t>
      </w:r>
      <w:r>
        <w:rPr>
          <w:rFonts w:ascii="Times New Roman" w:hAnsi="Times New Roman" w:cs="Times New Roman" w:eastAsia="Times New Roman" w:hint="default"/>
        </w:rPr>
        <w:t>11.75%</w:t>
      </w:r>
      <w:r>
        <w:rPr/>
        <w:t>。</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71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4D4D4"/>
          </w:tcPr>
          <w:p>
            <w:pP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237,277,215.38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194,137,637.99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22.22%</w:t>
            </w:r>
          </w:p>
        </w:tc>
      </w:tr>
      <w:tr>
        <w:trPr>
          <w:trHeight w:val="396"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101,008,989.69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42.57%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36,831,124.38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174.25%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85,111,450.68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88,992,738.72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25,151,735.50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12,523,900.41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100.83%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13,314,026.93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18,032,586.78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-26.17%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12,691,012.58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37,757,287.70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-66.39%</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软件基础设施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144,480,943.89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60.89%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178,276,331.03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-18.96%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创新应用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92,796,271.49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39.11%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15,861,306.96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485.05%</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87,435,885.64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36.85%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26,278,357.85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232.73%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66,944,635.08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28.21%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117,327,015.76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-42.94%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18,108,294.10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15,794,182.98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14.65%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17,697,591.51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7,155,017.68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147.35%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17,192,248.70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6,931,922.78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148.02%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15,072,674.17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15,876,553.84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14,825,886.18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4,774,587.10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210.52%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101,008,989.69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25,794,017.56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85,111,450.68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3,637,812.36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218.05%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25,151,735.50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2,396,128.10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4,337.27%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-9.10%</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软件基础设施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144,480,943.89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14,954,122.79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1,075.47%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创新应用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92,796,271.49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22,578,944.74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737.82%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-7.34%</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87,435,885.64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16,354,614.70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81.30%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232.73%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6,320.70%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66,944,635.08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10,238,547.18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193.40%</w:t>
            </w:r>
          </w:p>
        </w:tc>
      </w:tr>
    </w:tbl>
    <w:p>
      <w:pPr>
        <w:pStyle w:val="BodyText"/>
        <w:spacing w:line="240" w:lineRule="auto" w:before="49"/>
        <w:ind w:right="0"/>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行业和产品分类</w:t>
      </w:r>
    </w:p>
    <w:p>
      <w:pPr>
        <w:pStyle w:val="BodyText"/>
        <w:spacing w:line="240" w:lineRule="auto" w:before="117"/>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25,794,017.56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2,694,959.56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3,637,812.36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1,143,773.57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2,396,128.10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4,337.27%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3,394,044.77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0.11%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79,320.73%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2,311,064.74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3,195.24%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软件基础设施</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14,954,122.79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1,272,180.41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1,075.47%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创新应用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22,578,944.74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2,694,959.56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737.82%</w:t>
            </w:r>
          </w:p>
        </w:tc>
      </w:tr>
    </w:tbl>
    <w:p>
      <w:pPr>
        <w:pStyle w:val="BodyText"/>
        <w:spacing w:line="240" w:lineRule="auto" w:before="49"/>
        <w:ind w:right="0"/>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282"/>
        <w:gridCol w:w="986"/>
        <w:gridCol w:w="986"/>
        <w:gridCol w:w="986"/>
        <w:gridCol w:w="821"/>
        <w:gridCol w:w="984"/>
        <w:gridCol w:w="986"/>
        <w:gridCol w:w="1313"/>
        <w:gridCol w:w="1313"/>
      </w:tblGrid>
      <w:tr>
        <w:trPr>
          <w:trHeight w:val="73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220" w:right="213"/>
              <w:jc w:val="left"/>
              <w:rPr>
                <w:rFonts w:ascii="宋体" w:hAnsi="宋体" w:cs="宋体" w:eastAsia="宋体" w:hint="default"/>
                <w:sz w:val="18"/>
                <w:szCs w:val="18"/>
              </w:rPr>
            </w:pPr>
            <w:r>
              <w:rPr>
                <w:rFonts w:ascii="宋体" w:hAnsi="宋体" w:cs="宋体" w:eastAsia="宋体" w:hint="default"/>
                <w:sz w:val="18"/>
                <w:szCs w:val="18"/>
              </w:rPr>
              <w:t>股权取 得时点</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218" w:right="216"/>
              <w:jc w:val="left"/>
              <w:rPr>
                <w:rFonts w:ascii="宋体" w:hAnsi="宋体" w:cs="宋体" w:eastAsia="宋体" w:hint="default"/>
                <w:sz w:val="18"/>
                <w:szCs w:val="18"/>
              </w:rPr>
            </w:pPr>
            <w:r>
              <w:rPr>
                <w:rFonts w:ascii="宋体" w:hAnsi="宋体" w:cs="宋体" w:eastAsia="宋体" w:hint="default"/>
                <w:sz w:val="18"/>
                <w:szCs w:val="18"/>
              </w:rPr>
              <w:t>股权取 得成本</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72" w:right="127"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股权取得 比例</w:t>
            </w:r>
            <w:r>
              <w:rPr>
                <w:rFonts w:ascii="Times New Roman" w:hAnsi="Times New Roman" w:cs="Times New Roman" w:eastAsia="Times New Roman" w:hint="default"/>
                <w:sz w:val="18"/>
                <w:szCs w:val="18"/>
              </w:rPr>
              <w:t>(%)</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34" w:right="134"/>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29" w:right="12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
              <w:ind w:left="203" w:right="197"/>
              <w:jc w:val="center"/>
              <w:rPr>
                <w:rFonts w:ascii="宋体" w:hAnsi="宋体" w:cs="宋体" w:eastAsia="宋体" w:hint="default"/>
                <w:sz w:val="18"/>
                <w:szCs w:val="18"/>
              </w:rPr>
            </w:pPr>
            <w:r>
              <w:rPr>
                <w:rFonts w:ascii="宋体" w:hAnsi="宋体" w:cs="宋体" w:eastAsia="宋体" w:hint="default"/>
                <w:sz w:val="18"/>
                <w:szCs w:val="18"/>
              </w:rPr>
              <w:t>购买日至期 末被购买方</w:t>
            </w:r>
          </w:p>
          <w:p>
            <w:pPr>
              <w:pStyle w:val="TableParagraph"/>
              <w:spacing w:line="214" w:lineRule="exact"/>
              <w:ind w:left="4" w:right="0"/>
              <w:jc w:val="center"/>
              <w:rPr>
                <w:rFonts w:ascii="宋体" w:hAnsi="宋体" w:cs="宋体" w:eastAsia="宋体" w:hint="default"/>
                <w:sz w:val="18"/>
                <w:szCs w:val="18"/>
              </w:rPr>
            </w:pPr>
            <w:r>
              <w:rPr>
                <w:rFonts w:ascii="宋体" w:hAnsi="宋体" w:cs="宋体" w:eastAsia="宋体" w:hint="default"/>
                <w:sz w:val="18"/>
                <w:szCs w:val="18"/>
              </w:rPr>
              <w:t>的收入</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
              <w:ind w:left="203" w:right="197"/>
              <w:jc w:val="left"/>
              <w:rPr>
                <w:rFonts w:ascii="宋体" w:hAnsi="宋体" w:cs="宋体" w:eastAsia="宋体" w:hint="default"/>
                <w:sz w:val="18"/>
                <w:szCs w:val="18"/>
              </w:rPr>
            </w:pPr>
            <w:r>
              <w:rPr>
                <w:rFonts w:ascii="宋体" w:hAnsi="宋体" w:cs="宋体" w:eastAsia="宋体" w:hint="default"/>
                <w:sz w:val="18"/>
                <w:szCs w:val="18"/>
              </w:rPr>
              <w:t>购买日至期 末被购买方</w:t>
            </w:r>
          </w:p>
          <w:p>
            <w:pPr>
              <w:pStyle w:val="TableParagraph"/>
              <w:spacing w:line="214" w:lineRule="exact"/>
              <w:ind w:left="292" w:right="0"/>
              <w:jc w:val="left"/>
              <w:rPr>
                <w:rFonts w:ascii="宋体" w:hAnsi="宋体" w:cs="宋体" w:eastAsia="宋体" w:hint="default"/>
                <w:sz w:val="18"/>
                <w:szCs w:val="18"/>
              </w:rPr>
            </w:pPr>
            <w:r>
              <w:rPr>
                <w:rFonts w:ascii="宋体" w:hAnsi="宋体" w:cs="宋体" w:eastAsia="宋体" w:hint="default"/>
                <w:sz w:val="18"/>
                <w:szCs w:val="18"/>
              </w:rPr>
              <w:t>的净利润</w:t>
            </w:r>
          </w:p>
        </w:tc>
      </w:tr>
      <w:tr>
        <w:trPr>
          <w:trHeight w:val="73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北京数字天堂信</w:t>
            </w:r>
          </w:p>
          <w:p>
            <w:pPr>
              <w:pStyle w:val="TableParagraph"/>
              <w:spacing w:line="232" w:lineRule="exact" w:before="24"/>
              <w:ind w:left="4" w:right="5"/>
              <w:jc w:val="left"/>
              <w:rPr>
                <w:rFonts w:ascii="宋体" w:hAnsi="宋体" w:cs="宋体" w:eastAsia="宋体" w:hint="default"/>
                <w:sz w:val="18"/>
                <w:szCs w:val="18"/>
              </w:rPr>
            </w:pPr>
            <w:r>
              <w:rPr>
                <w:rFonts w:ascii="宋体" w:hAnsi="宋体" w:cs="宋体" w:eastAsia="宋体" w:hint="default"/>
                <w:sz w:val="18"/>
                <w:szCs w:val="18"/>
              </w:rPr>
              <w:t>息科技有限责任 公司</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p>
            <w:pPr>
              <w:pStyle w:val="TableParagraph"/>
              <w:spacing w:line="241"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4137</w:t>
            </w:r>
            <w:r>
              <w:rPr>
                <w:rFonts w:ascii="宋体" w:hAnsi="宋体" w:cs="宋体" w:eastAsia="宋体" w:hint="default"/>
                <w:sz w:val="18"/>
                <w:szCs w:val="18"/>
              </w:rPr>
              <w:t>万元</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225" w:right="43" w:hanging="180"/>
              <w:jc w:val="left"/>
              <w:rPr>
                <w:rFonts w:ascii="宋体" w:hAnsi="宋体" w:cs="宋体" w:eastAsia="宋体" w:hint="default"/>
                <w:sz w:val="18"/>
                <w:szCs w:val="18"/>
              </w:rPr>
            </w:pPr>
            <w:r>
              <w:rPr>
                <w:rFonts w:ascii="宋体" w:hAnsi="宋体" w:cs="宋体" w:eastAsia="宋体" w:hint="default"/>
                <w:sz w:val="18"/>
                <w:szCs w:val="18"/>
              </w:rPr>
              <w:t>现金收购 股权</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7"/>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p>
            <w:pPr>
              <w:pStyle w:val="TableParagraph"/>
              <w:spacing w:line="241" w:lineRule="exact"/>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实际控制</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5" w:right="-1"/>
              <w:jc w:val="left"/>
              <w:rPr>
                <w:rFonts w:ascii="Times New Roman" w:hAnsi="Times New Roman" w:cs="Times New Roman" w:eastAsia="Times New Roman" w:hint="default"/>
                <w:sz w:val="18"/>
                <w:szCs w:val="18"/>
              </w:rPr>
            </w:pPr>
            <w:r>
              <w:rPr>
                <w:rFonts w:ascii="Times New Roman"/>
                <w:sz w:val="18"/>
              </w:rPr>
              <w:t>9,330,732.39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5" w:right="-1"/>
              <w:jc w:val="left"/>
              <w:rPr>
                <w:rFonts w:ascii="Times New Roman" w:hAnsi="Times New Roman" w:cs="Times New Roman" w:eastAsia="Times New Roman" w:hint="default"/>
                <w:sz w:val="18"/>
                <w:szCs w:val="18"/>
              </w:rPr>
            </w:pPr>
            <w:r>
              <w:rPr>
                <w:rFonts w:ascii="Times New Roman"/>
                <w:sz w:val="18"/>
              </w:rPr>
              <w:t>2,839,893.22</w:t>
            </w:r>
          </w:p>
        </w:tc>
      </w:tr>
    </w:tbl>
    <w:p>
      <w:pPr>
        <w:pStyle w:val="BodyText"/>
        <w:spacing w:line="300" w:lineRule="auto" w:before="49"/>
        <w:ind w:right="150" w:firstLine="424"/>
        <w:jc w:val="both"/>
      </w:pPr>
      <w:r>
        <w:rPr>
          <w:spacing w:val="-1"/>
        </w:rPr>
        <w:t>根据中和资产评估有限公司出具的</w:t>
      </w:r>
      <w:r>
        <w:rPr>
          <w:rFonts w:ascii="Times New Roman" w:hAnsi="Times New Roman" w:cs="Times New Roman" w:eastAsia="Times New Roman" w:hint="default"/>
          <w:spacing w:val="-1"/>
        </w:rPr>
        <w:t>“</w:t>
      </w:r>
      <w:r>
        <w:rPr>
          <w:spacing w:val="-1"/>
        </w:rPr>
        <w:t>中和咨报字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BJU3002</w:t>
      </w:r>
      <w:r>
        <w:rPr>
          <w:spacing w:val="-1"/>
        </w:rPr>
        <w:t>号</w:t>
      </w:r>
      <w:r>
        <w:rPr>
          <w:rFonts w:ascii="Times New Roman" w:hAnsi="Times New Roman" w:cs="Times New Roman" w:eastAsia="Times New Roman" w:hint="default"/>
          <w:spacing w:val="-1"/>
        </w:rPr>
        <w:t>”</w:t>
      </w:r>
      <w:r>
        <w:rPr>
          <w:spacing w:val="-1"/>
        </w:rPr>
        <w:t>《评估咨询报告书》，北京数字天堂信息科技有限</w:t>
      </w:r>
      <w:r>
        <w:rPr/>
        <w:t> </w:t>
      </w:r>
      <w:r>
        <w:rPr>
          <w:spacing w:val="-2"/>
        </w:rPr>
        <w:t>责任公司截至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日资产基础法评估值合计为</w:t>
      </w:r>
      <w:r>
        <w:rPr>
          <w:rFonts w:ascii="Times New Roman" w:hAnsi="Times New Roman" w:cs="Times New Roman" w:eastAsia="Times New Roman" w:hint="default"/>
          <w:spacing w:val="-2"/>
        </w:rPr>
        <w:t>648</w:t>
      </w:r>
      <w:r>
        <w:rPr>
          <w:spacing w:val="-2"/>
        </w:rPr>
        <w:t>万元，账面净资产</w:t>
      </w:r>
      <w:r>
        <w:rPr>
          <w:rFonts w:ascii="Times New Roman" w:hAnsi="Times New Roman" w:cs="Times New Roman" w:eastAsia="Times New Roman" w:hint="default"/>
          <w:spacing w:val="-2"/>
        </w:rPr>
        <w:t>616</w:t>
      </w:r>
      <w:r>
        <w:rPr>
          <w:spacing w:val="-2"/>
        </w:rPr>
        <w:t>万元，账面净资产主要为货币性资产，账面</w:t>
      </w:r>
      <w:r>
        <w:rPr>
          <w:spacing w:val="-57"/>
        </w:rPr>
        <w:t> </w:t>
      </w:r>
      <w:r>
        <w:rPr>
          <w:spacing w:val="-57"/>
        </w:rPr>
      </w:r>
      <w:r>
        <w:rPr/>
        <w:t>价值与公允价值之间差异较小，因此以截止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日即合并日账面净资产作为可辨认净资产公允价值。</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2"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报告期内，公司通过并购新增一家全资子公司北京数字天堂信息科技有限责任公司，从而增加移动信息化产品，数字天</w:t>
      </w:r>
    </w:p>
    <w:p>
      <w:pPr>
        <w:pStyle w:val="BodyText"/>
        <w:spacing w:line="300" w:lineRule="auto" w:before="2"/>
        <w:ind w:right="174"/>
        <w:jc w:val="left"/>
      </w:pPr>
      <w:r>
        <w:rPr/>
        <w:t>堂纳入合并报表的收入</w:t>
      </w:r>
      <w:r>
        <w:rPr>
          <w:rFonts w:ascii="Times New Roman" w:hAnsi="Times New Roman" w:cs="Times New Roman" w:eastAsia="Times New Roman" w:hint="default"/>
        </w:rPr>
        <w:t>933.07</w:t>
      </w:r>
      <w:r>
        <w:rPr/>
        <w:t>万元，占报告期内收入总额的</w:t>
      </w:r>
      <w:r>
        <w:rPr>
          <w:rFonts w:ascii="Times New Roman" w:hAnsi="Times New Roman" w:cs="Times New Roman" w:eastAsia="Times New Roman" w:hint="default"/>
        </w:rPr>
        <w:t>3.93%</w:t>
      </w:r>
      <w:r>
        <w:rPr/>
        <w:t>，数字天堂按并购日资产的公允价值对报表进行调整调整 后纳入合并报表的净利润</w:t>
      </w:r>
      <w:r>
        <w:rPr>
          <w:rFonts w:ascii="Times New Roman" w:hAnsi="Times New Roman" w:cs="Times New Roman" w:eastAsia="Times New Roman" w:hint="default"/>
        </w:rPr>
        <w:t>283.99</w:t>
      </w:r>
      <w:r>
        <w:rPr/>
        <w:t>万元，占报告期净利润的</w:t>
      </w:r>
      <w:r>
        <w:rPr>
          <w:rFonts w:ascii="Times New Roman" w:hAnsi="Times New Roman" w:cs="Times New Roman" w:eastAsia="Times New Roman" w:hint="default"/>
        </w:rPr>
        <w:t>4.02%</w:t>
      </w:r>
      <w:r>
        <w:rPr/>
        <w:t>。</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90,330,210.85</w:t>
            </w:r>
          </w:p>
        </w:tc>
      </w:tr>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38.07%</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2"/>
        <w:gridCol w:w="2321"/>
        <w:gridCol w:w="3144"/>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上海贝尔股份有限公司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42,033,892.39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17.72%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18,616,783.67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12,179,294.98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11,444,579.43</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苏州工业园区计算机信息中心</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6,055,660.38</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90,330,210.85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9,996,488.18</w:t>
            </w:r>
            <w:r>
              <w:rPr>
                <w:rFonts w:ascii="Times New Roman"/>
                <w:sz w:val="18"/>
              </w:rPr>
            </w:r>
          </w:p>
        </w:tc>
      </w:tr>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43.59%</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8"/>
        <w:gridCol w:w="2321"/>
        <w:gridCol w:w="3144"/>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北京通测科技有限责任公司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4,055,969.62</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17.69%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北京信息基础设施建设股份有限公司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1,872,651.21</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北京希翔金润科技有限公司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1,408,282.05</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北京京东世纪信息技术有限公司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1,406,593.85</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深圳市海思半导体有限公司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1,252,991.45</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9,996,488.18</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61,345,018.58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64,219,119.60</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73,008,461.04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82,117,640.69</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-11.09%</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-2,317,855.11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2,423,575.80</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-195.64%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上市后自有资金增加，利息收入提 高，贷款下降，利息支出大幅减少</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577" w:right="0"/>
        <w:jc w:val="left"/>
      </w:pPr>
      <w:r>
        <w:rPr/>
        <w:t>报告期内，公司继续深化研发投入，并通过管理机制，优化技术人员，提升整体效率。</w:t>
      </w:r>
    </w:p>
    <w:p>
      <w:pPr>
        <w:pStyle w:val="BodyText"/>
        <w:spacing w:line="309" w:lineRule="auto" w:before="117"/>
        <w:ind w:right="190" w:firstLine="424"/>
        <w:jc w:val="both"/>
      </w:pPr>
      <w:r>
        <w:rPr>
          <w:rFonts w:ascii="Times New Roman" w:hAnsi="Times New Roman" w:cs="Times New Roman" w:eastAsia="Times New Roman" w:hint="default"/>
          <w:spacing w:val="-2"/>
        </w:rPr>
        <w:t>1</w:t>
      </w:r>
      <w:r>
        <w:rPr>
          <w:spacing w:val="-2"/>
        </w:rPr>
        <w:t>、标准中间件产品线：报告期内主要基于业务市场持续进行产品的增量开发与改进，基于细分市场需求推出了多个产</w:t>
      </w:r>
      <w:r>
        <w:rPr/>
        <w:t> </w:t>
      </w:r>
      <w:r>
        <w:rPr>
          <w:spacing w:val="-2"/>
        </w:rPr>
        <w:t>品的新版本，包括：各产品与国产数据库、操作系统完成适配的新版本，为减少应用开发和移植复杂度并提供良好用户体验</w:t>
      </w:r>
      <w:r>
        <w:rPr>
          <w:spacing w:val="-64"/>
        </w:rPr>
        <w:t> </w:t>
      </w:r>
      <w:r>
        <w:rPr>
          <w:spacing w:val="-64"/>
        </w:rPr>
      </w:r>
      <w:r>
        <w:rPr/>
        <w:t>的应用服务器</w:t>
      </w:r>
      <w:r>
        <w:rPr>
          <w:rFonts w:ascii="Times New Roman" w:hAnsi="Times New Roman" w:cs="Times New Roman" w:eastAsia="Times New Roman" w:hint="default"/>
        </w:rPr>
        <w:t>TongWeb</w:t>
      </w:r>
      <w:r>
        <w:rPr/>
        <w:t>轻量版，</w:t>
      </w:r>
      <w:r>
        <w:rPr>
          <w:rFonts w:ascii="Times New Roman" w:hAnsi="Times New Roman" w:cs="Times New Roman" w:eastAsia="Times New Roman" w:hint="default"/>
        </w:rPr>
        <w:t>ESB</w:t>
      </w:r>
      <w:r>
        <w:rPr/>
        <w:t>产品应对服务监控管理需求的新版本，以及对消息中间件</w:t>
      </w:r>
      <w:r>
        <w:rPr>
          <w:rFonts w:ascii="Times New Roman" w:hAnsi="Times New Roman" w:cs="Times New Roman" w:eastAsia="Times New Roman" w:hint="default"/>
        </w:rPr>
        <w:t>TongLINK/Q</w:t>
      </w:r>
      <w:r>
        <w:rPr/>
        <w:t>能进行统一管控 </w:t>
      </w:r>
      <w:r>
        <w:rPr>
          <w:spacing w:val="-2"/>
        </w:rPr>
        <w:t>的新版本，将很好的提升产品的易用性、易运维能力；同时，为应对云计算、大数据等新技术的发展，进行了产品的技术升</w:t>
      </w:r>
      <w:r>
        <w:rPr>
          <w:spacing w:val="-68"/>
        </w:rPr>
        <w:t> </w:t>
      </w:r>
      <w:r>
        <w:rPr>
          <w:spacing w:val="-68"/>
        </w:rPr>
      </w:r>
      <w:r>
        <w:rPr/>
        <w:t>级与改造，将标准中间件产品打造成智能的、安全的、适应云环境的基础中间件产品。</w:t>
      </w:r>
    </w:p>
    <w:p>
      <w:pPr>
        <w:pStyle w:val="BodyText"/>
        <w:spacing w:line="304" w:lineRule="auto" w:before="65"/>
        <w:ind w:left="153" w:right="0" w:firstLine="424"/>
        <w:jc w:val="left"/>
      </w:pPr>
      <w:r>
        <w:rPr>
          <w:rFonts w:ascii="Times New Roman" w:hAnsi="Times New Roman" w:cs="Times New Roman" w:eastAsia="Times New Roman" w:hint="default"/>
        </w:rPr>
        <w:t>2</w:t>
      </w:r>
      <w:r>
        <w:rPr/>
        <w:t>、平台产品线：报告期内，完成全年业务计划所有的任务目标，对于新产品负载均衡软件</w:t>
      </w:r>
      <w:r>
        <w:rPr>
          <w:rFonts w:ascii="Times New Roman" w:hAnsi="Times New Roman" w:cs="Times New Roman" w:eastAsia="Times New Roman" w:hint="default"/>
        </w:rPr>
        <w:t>TongLB</w:t>
      </w:r>
      <w:r>
        <w:rPr/>
        <w:t>升级版本全部完成 </w:t>
      </w:r>
      <w:r>
        <w:rPr>
          <w:spacing w:val="-4"/>
        </w:rPr>
        <w:t>并对市场发布，进一步对交互页面及架构升级，提升用户体验。数据交换平台产品推出了丰富平台运行性能和功能的新插件，</w:t>
      </w:r>
      <w:r>
        <w:rPr>
          <w:spacing w:val="-44"/>
        </w:rPr>
        <w:t> </w:t>
      </w:r>
      <w:r>
        <w:rPr>
          <w:spacing w:val="-44"/>
        </w:rPr>
      </w:r>
      <w:r>
        <w:rPr>
          <w:spacing w:val="-2"/>
        </w:rPr>
        <w:t>可以对历史版本兼容扩展，同时为了适应新市场的需要推出了云计算版本，并进行了内部发布，计划</w:t>
      </w:r>
      <w:r>
        <w:rPr>
          <w:rFonts w:ascii="Times New Roman" w:hAnsi="Times New Roman" w:cs="Times New Roman" w:eastAsia="Times New Roman" w:hint="default"/>
          <w:spacing w:val="-2"/>
        </w:rPr>
        <w:t>2016</w:t>
      </w:r>
      <w:r>
        <w:rPr>
          <w:spacing w:val="-2"/>
        </w:rPr>
        <w:t>年第一季度对市场</w:t>
      </w:r>
      <w:r>
        <w:rPr>
          <w:spacing w:val="-61"/>
        </w:rPr>
        <w:t> </w:t>
      </w:r>
      <w:r>
        <w:rPr>
          <w:spacing w:val="-61"/>
        </w:rPr>
      </w:r>
      <w:r>
        <w:rPr/>
        <w:t>发布。通用文件传输平台产品进行了部分功能优化和程序缺陷处理，并计划针对银行行业的需求，完善了可管理</w:t>
      </w:r>
      <w:r>
        <w:rPr>
          <w:rFonts w:ascii="Times New Roman" w:hAnsi="Times New Roman" w:cs="Times New Roman" w:eastAsia="Times New Roman" w:hint="default"/>
        </w:rPr>
        <w:t>FTP</w:t>
      </w:r>
      <w:r>
        <w:rPr/>
        <w:t>服务器 的平台插件，目前正在研发中。</w:t>
      </w:r>
    </w:p>
    <w:p>
      <w:pPr>
        <w:pStyle w:val="BodyText"/>
        <w:spacing w:line="314" w:lineRule="auto" w:before="66"/>
        <w:ind w:left="153" w:right="93" w:firstLine="424"/>
        <w:jc w:val="left"/>
      </w:pPr>
      <w:r>
        <w:rPr>
          <w:rFonts w:ascii="Times New Roman" w:hAnsi="Times New Roman" w:cs="Times New Roman" w:eastAsia="Times New Roman" w:hint="default"/>
        </w:rPr>
        <w:t>3</w:t>
      </w:r>
      <w:r>
        <w:rPr/>
        <w:t>、大数据融合研发：专注智慧城市大数据融合与应用，以数据应用价值为导向，以打通信息资源开发利用整个链条为 </w:t>
      </w:r>
      <w:r>
        <w:rPr>
          <w:spacing w:val="-2"/>
        </w:rPr>
        <w:t>核心，研发大数据融合平台，实现信息采集、汇集、整合、挖掘分析及服务。大数据融合平台采用敏捷迭代开发模式和组件</w:t>
      </w:r>
      <w:r>
        <w:rPr>
          <w:spacing w:val="-68"/>
        </w:rPr>
        <w:t> </w:t>
      </w:r>
      <w:r>
        <w:rPr>
          <w:spacing w:val="-68"/>
        </w:rPr>
      </w:r>
      <w:r>
        <w:rPr/>
        <w:t>化设计理念，报告期内基本完成数据交换、大数据基础设施平台、数据融合、区域政府经济运行综合信息服务平台等研发， </w:t>
      </w:r>
      <w:r>
        <w:rPr>
          <w:spacing w:val="-2"/>
        </w:rPr>
        <w:t>运维管理组件取得阶段性研发成果。区域政府经济运行综合信息服务平台从业务绩效层面牵引底层各技术支撑系统建设，已</w:t>
      </w:r>
      <w:r>
        <w:rPr>
          <w:spacing w:val="-64"/>
        </w:rPr>
        <w:t> </w:t>
      </w:r>
      <w:r>
        <w:rPr>
          <w:spacing w:val="-64"/>
        </w:rPr>
      </w:r>
      <w:r>
        <w:rPr>
          <w:spacing w:val="-2"/>
        </w:rPr>
        <w:t>在全国市场布局推广；数据交换、数据融合、大数据基础设施平台、目录管理等组件，已经与客户合作，基于客户的真实业</w:t>
      </w:r>
    </w:p>
    <w:p>
      <w:pPr>
        <w:spacing w:after="0" w:line="314"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r>
        <w:rPr>
          <w:spacing w:val="-2"/>
        </w:rPr>
        <w:t>务场景迭代、循序渐进地完善组件功能及性能指标；运维管理组件整合了数据交换、数据融合、大数据基础设施平台等组件</w:t>
      </w:r>
      <w:r>
        <w:rPr>
          <w:spacing w:val="-65"/>
        </w:rPr>
        <w:t> </w:t>
      </w:r>
      <w:r>
        <w:rPr>
          <w:spacing w:val="-65"/>
        </w:rPr>
      </w:r>
      <w:r>
        <w:rPr/>
        <w:t>的管监控功能，为用户提供基于大数据环境下的数据融合管控平台，已经取得阶段性研发成果。</w:t>
      </w:r>
    </w:p>
    <w:p>
      <w:pPr>
        <w:pStyle w:val="BodyText"/>
        <w:spacing w:line="240" w:lineRule="auto" w:before="59"/>
        <w:ind w:left="577" w:right="0"/>
        <w:jc w:val="left"/>
      </w:pPr>
      <w:r>
        <w:rPr>
          <w:rFonts w:ascii="Times New Roman" w:hAnsi="Times New Roman" w:cs="Times New Roman" w:eastAsia="Times New Roman" w:hint="default"/>
        </w:rPr>
        <w:t>4</w:t>
      </w:r>
      <w:r>
        <w:rPr/>
        <w:t>、虚拟化产品：报告期内主要完善以东方通虚拟化平台为基础架构的私有云解决方案，并得到示范应用。</w:t>
      </w:r>
    </w:p>
    <w:p>
      <w:pPr>
        <w:pStyle w:val="BodyText"/>
        <w:spacing w:line="300" w:lineRule="auto" w:before="101"/>
        <w:ind w:right="188" w:firstLine="424"/>
        <w:jc w:val="both"/>
      </w:pPr>
      <w:r>
        <w:rPr>
          <w:rFonts w:ascii="Times New Roman" w:hAnsi="Times New Roman" w:cs="Times New Roman" w:eastAsia="Times New Roman" w:hint="default"/>
          <w:spacing w:val="-1"/>
        </w:rPr>
        <w:t>5</w:t>
      </w:r>
      <w:r>
        <w:rPr>
          <w:spacing w:val="-1"/>
        </w:rPr>
        <w:t>、网络优化软件产品：报告期内软件优化产品主要是在</w:t>
      </w:r>
      <w:r>
        <w:rPr>
          <w:rFonts w:ascii="Times New Roman" w:hAnsi="Times New Roman" w:cs="Times New Roman" w:eastAsia="Times New Roman" w:hint="default"/>
          <w:spacing w:val="-1"/>
        </w:rPr>
        <w:t>volte</w:t>
      </w:r>
      <w:r>
        <w:rPr>
          <w:spacing w:val="-1"/>
        </w:rPr>
        <w:t>和</w:t>
      </w:r>
      <w:r>
        <w:rPr>
          <w:rFonts w:ascii="Times New Roman" w:hAnsi="Times New Roman" w:cs="Times New Roman" w:eastAsia="Times New Roman" w:hint="default"/>
          <w:spacing w:val="-1"/>
        </w:rPr>
        <w:t>CA</w:t>
      </w:r>
      <w:r>
        <w:rPr>
          <w:spacing w:val="-1"/>
        </w:rPr>
        <w:t>两项技术里做了大量的投入和研发，</w:t>
      </w:r>
      <w:r>
        <w:rPr>
          <w:rFonts w:ascii="Times New Roman" w:hAnsi="Times New Roman" w:cs="Times New Roman" w:eastAsia="Times New Roman" w:hint="default"/>
          <w:spacing w:val="-1"/>
        </w:rPr>
        <w:t>volte</w:t>
      </w:r>
      <w:r>
        <w:rPr>
          <w:spacing w:val="-1"/>
        </w:rPr>
        <w:t>产品和</w:t>
      </w:r>
      <w:r>
        <w:rPr>
          <w:rFonts w:ascii="Times New Roman" w:hAnsi="Times New Roman" w:cs="Times New Roman" w:eastAsia="Times New Roman" w:hint="default"/>
          <w:spacing w:val="-1"/>
        </w:rPr>
        <w:t>CA</w:t>
      </w:r>
      <w:r>
        <w:rPr>
          <w:rFonts w:ascii="Times New Roman" w:hAnsi="Times New Roman" w:cs="Times New Roman" w:eastAsia="Times New Roman" w:hint="default"/>
          <w:w w:val="99"/>
        </w:rPr>
        <w:t> </w:t>
      </w:r>
      <w:r>
        <w:rPr>
          <w:spacing w:val="-2"/>
        </w:rPr>
        <w:t>产品都已经完成并得到了商用。在中国移动集团的集中招标中也顺利中标，并在全国超过</w:t>
      </w:r>
      <w:r>
        <w:rPr>
          <w:rFonts w:ascii="Times New Roman" w:hAnsi="Times New Roman" w:cs="Times New Roman" w:eastAsia="Times New Roman" w:hint="default"/>
          <w:spacing w:val="-2"/>
        </w:rPr>
        <w:t>20</w:t>
      </w:r>
      <w:r>
        <w:rPr>
          <w:spacing w:val="-2"/>
        </w:rPr>
        <w:t>个省市进行了推广。取得了良好</w:t>
      </w:r>
      <w:r>
        <w:rPr>
          <w:spacing w:val="-65"/>
        </w:rPr>
        <w:t> </w:t>
      </w:r>
      <w:r>
        <w:rPr>
          <w:spacing w:val="-65"/>
        </w:rPr>
      </w:r>
      <w:r>
        <w:rPr>
          <w:spacing w:val="-5"/>
        </w:rPr>
        <w:t>的用户满意度和经济效益。手持终端的研发和市场推广也同步进行，在中国电信的集中采购中手持终端一举中标，希望在</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年里进行大规模的推广。</w:t>
      </w:r>
    </w:p>
    <w:p>
      <w:pPr>
        <w:pStyle w:val="BodyText"/>
        <w:spacing w:line="300" w:lineRule="auto" w:before="72"/>
        <w:ind w:right="111" w:firstLine="424"/>
        <w:jc w:val="both"/>
      </w:pPr>
      <w:r>
        <w:rPr>
          <w:rFonts w:ascii="Times New Roman" w:hAnsi="Times New Roman" w:cs="Times New Roman" w:eastAsia="Times New Roman" w:hint="default"/>
        </w:rPr>
        <w:t>6</w:t>
      </w:r>
      <w:r>
        <w:rPr/>
        <w:t>、移动互联产品：</w:t>
      </w:r>
      <w:r>
        <w:rPr>
          <w:rFonts w:ascii="Times New Roman" w:hAnsi="Times New Roman" w:cs="Times New Roman" w:eastAsia="Times New Roman" w:hint="default"/>
        </w:rPr>
        <w:t>8</w:t>
      </w:r>
      <w:r>
        <w:rPr/>
        <w:t>月正式启动了下一代移动中间件</w:t>
      </w:r>
      <w:r>
        <w:rPr>
          <w:rFonts w:ascii="Times New Roman" w:hAnsi="Times New Roman" w:cs="Times New Roman" w:eastAsia="Times New Roman" w:hint="default"/>
        </w:rPr>
        <w:t>“MKey6</w:t>
      </w:r>
      <w:r>
        <w:rPr/>
        <w:t>移动云平台</w:t>
      </w:r>
      <w:r>
        <w:rPr>
          <w:rFonts w:ascii="Times New Roman" w:hAnsi="Times New Roman" w:cs="Times New Roman" w:eastAsia="Times New Roman" w:hint="default"/>
        </w:rPr>
        <w:t>”</w:t>
      </w:r>
      <w:r>
        <w:rPr/>
        <w:t>的预研工作，对移动化平台各项服务能力进 行了</w:t>
      </w:r>
      <w:r>
        <w:rPr>
          <w:rFonts w:ascii="Times New Roman" w:hAnsi="Times New Roman" w:cs="Times New Roman" w:eastAsia="Times New Roman" w:hint="default"/>
        </w:rPr>
        <w:t>PaaS</w:t>
      </w:r>
      <w:r>
        <w:rPr/>
        <w:t>云化，并整合了通讯能力和移动安全能力，让</w:t>
      </w:r>
      <w:r>
        <w:rPr>
          <w:rFonts w:ascii="Times New Roman" w:hAnsi="Times New Roman" w:cs="Times New Roman" w:eastAsia="Times New Roman" w:hint="default"/>
        </w:rPr>
        <w:t>API</w:t>
      </w:r>
      <w:r>
        <w:rPr/>
        <w:t>经济在移动化领域成为标配，使企业移动业务脱离</w:t>
      </w:r>
      <w:r>
        <w:rPr>
          <w:rFonts w:ascii="Times New Roman" w:hAnsi="Times New Roman" w:cs="Times New Roman" w:eastAsia="Times New Roman" w:hint="default"/>
        </w:rPr>
        <w:t>PC</w:t>
      </w:r>
      <w:r>
        <w:rPr/>
        <w:t>业务独立存</w:t>
      </w:r>
      <w:r>
        <w:rPr>
          <w:w w:val="99"/>
        </w:rPr>
        <w:t> </w:t>
      </w:r>
      <w:r>
        <w:rPr>
          <w:spacing w:val="-2"/>
        </w:rPr>
        <w:t>在成为可能，将为用户带来全新的移动开发和移动管理等丰富的技术和能力，构建企业移动全</w:t>
      </w:r>
      <w:r>
        <w:rPr>
          <w:rFonts w:ascii="Times New Roman" w:hAnsi="Times New Roman" w:cs="Times New Roman" w:eastAsia="Times New Roman" w:hint="default"/>
          <w:spacing w:val="-2"/>
        </w:rPr>
        <w:t>PaaS</w:t>
      </w:r>
      <w:r>
        <w:rPr>
          <w:spacing w:val="-2"/>
        </w:rPr>
        <w:t>云服务。在客户端上重定</w:t>
      </w:r>
      <w:r>
        <w:rPr>
          <w:spacing w:val="-62"/>
        </w:rPr>
        <w:t> </w:t>
      </w:r>
      <w:r>
        <w:rPr>
          <w:spacing w:val="-62"/>
        </w:rPr>
      </w:r>
      <w:r>
        <w:rPr/>
        <w:t>义了移动开发平台所需要的双引擎技术规范，使之符合国际主流规范。于年底正式进入开发阶段，预计将在</w:t>
      </w:r>
      <w:r>
        <w:rPr>
          <w:rFonts w:ascii="Times New Roman" w:hAnsi="Times New Roman" w:cs="Times New Roman" w:eastAsia="Times New Roman" w:hint="default"/>
        </w:rPr>
        <w:t>2016</w:t>
      </w:r>
      <w:r>
        <w:rPr/>
        <w:t>年试商用。</w:t>
      </w:r>
    </w:p>
    <w:p>
      <w:pPr>
        <w:pStyle w:val="BodyText"/>
        <w:spacing w:line="240" w:lineRule="auto" w:before="53"/>
        <w:ind w:right="0"/>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59.81%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49,037,566.04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46,222,487.95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56,079,064.87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31.12%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10,278,252.50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研发投入总额占营业收入的比重较上年发生显著变化的原因</w:t>
      </w:r>
    </w:p>
    <w:p>
      <w:pPr>
        <w:pStyle w:val="BodyText"/>
        <w:spacing w:line="338" w:lineRule="auto" w:before="117"/>
        <w:ind w:right="58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6" w:lineRule="auto" w:before="103"/>
        <w:ind w:left="153" w:right="0" w:firstLine="424"/>
        <w:jc w:val="left"/>
      </w:pPr>
      <w:r>
        <w:rPr>
          <w:spacing w:val="-2"/>
        </w:rPr>
        <w:t>数据融合平台研发分成两个阶段，第一阶段为预研阶段，工作包括创新业务模式预研、需求调研分析和关键技术预研，</w:t>
      </w:r>
      <w:r>
        <w:rPr/>
        <w:t> </w:t>
      </w:r>
      <w:r>
        <w:rPr>
          <w:spacing w:val="-2"/>
        </w:rPr>
        <w:t>第二阶段为研发阶段，工作包括平台各组件开发及集成，各组件开发采用敏捷开发模式，以用户的需求进化为核心，每个组</w:t>
      </w:r>
      <w:r>
        <w:rPr>
          <w:spacing w:val="-65"/>
        </w:rPr>
        <w:t> </w:t>
      </w:r>
      <w:r>
        <w:rPr>
          <w:spacing w:val="-65"/>
        </w:rPr>
      </w:r>
      <w:r>
        <w:rPr>
          <w:spacing w:val="-2"/>
        </w:rPr>
        <w:t>件先出小版本，与客户合作，基于客户的真实业务场景验证开发成果，同时获取客户一线需求，迭代、循序渐进地完善各组</w:t>
      </w:r>
      <w:r>
        <w:rPr>
          <w:spacing w:val="-67"/>
        </w:rPr>
        <w:t> </w:t>
      </w:r>
      <w:r>
        <w:rPr>
          <w:spacing w:val="-67"/>
        </w:rPr>
      </w:r>
      <w:r>
        <w:rPr/>
        <w:t>件功能及性能指标。</w:t>
      </w:r>
    </w:p>
    <w:p>
      <w:pPr>
        <w:pStyle w:val="BodyText"/>
        <w:spacing w:line="300" w:lineRule="auto" w:before="57"/>
        <w:ind w:right="103" w:firstLine="424"/>
        <w:jc w:val="left"/>
      </w:pPr>
      <w:r>
        <w:rPr>
          <w:spacing w:val="-3"/>
        </w:rPr>
        <w:t>根据数据融合平台立项书及预研结项报告，</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23</w:t>
      </w:r>
      <w:r>
        <w:rPr>
          <w:spacing w:val="-3"/>
        </w:rPr>
        <w:t>日为预研阶段，主要工作为经济运行业务预研、</w:t>
      </w:r>
      <w:r>
        <w:rPr/>
        <w:t> 经济运行</w:t>
      </w:r>
      <w:r>
        <w:rPr>
          <w:rFonts w:ascii="Times New Roman" w:hAnsi="Times New Roman" w:cs="Times New Roman" w:eastAsia="Times New Roman" w:hint="default"/>
        </w:rPr>
        <w:t>POC</w:t>
      </w:r>
      <w:r>
        <w:rPr/>
        <w:t>开发和大数据相关技术预研，数据融合平台从业务到技术都进行了深入的研究和分析。</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月启动平台研 发，主要工作包括平台各组件开发及集成。数据融合平台开发阶段，</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月资本化金额</w:t>
      </w:r>
      <w:r>
        <w:rPr>
          <w:rFonts w:ascii="Times New Roman" w:hAnsi="Times New Roman" w:cs="Times New Roman" w:eastAsia="Times New Roman" w:hint="default"/>
        </w:rPr>
        <w:t>1,027.83</w:t>
      </w:r>
      <w:r>
        <w:rPr/>
        <w:t>万元，主要包括研 发团队人力成本和日常费用，不包括平台推广所需的市场费、实施费等其他费用。</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277,725,803.05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225,547,802.46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212,150,715.11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166,865,670.76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27.14%</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65,575,087.94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58,682,131.70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11.75%</w:t>
            </w:r>
            <w:r>
              <w:rPr>
                <w:rFonts w:ascii="Times New Roman"/>
                <w:sz w:val="18"/>
              </w:rPr>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897,131.86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1,168.93%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168,903,761.74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14,289,005.53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1,082.05%</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-168,006,629.88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-14,218,305.53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1,081.62%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421,074,252.10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-95.49%</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32,012,668.89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239,547,835.86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-86.64%</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-13,012,668.89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181,526,416.24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-107.17%</w:t>
            </w:r>
            <w:r>
              <w:rPr>
                <w:rFonts w:ascii="Times New Roman"/>
                <w:sz w:val="18"/>
              </w:rPr>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-115,444,210.83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225,987,800.54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-151.08%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pStyle w:val="BodyText"/>
        <w:spacing w:line="240" w:lineRule="auto" w:before="49"/>
        <w:ind w:right="-20"/>
        <w:jc w:val="left"/>
      </w:pPr>
      <w:r>
        <w:rPr/>
        <w:t>相关数据同比发生重大变动的主要影响因素说明</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ind w:left="152" w:right="0"/>
        <w:jc w:val="left"/>
      </w:pPr>
      <w:r>
        <w:rPr/>
        <w:t>单位：元</w:t>
      </w:r>
    </w:p>
    <w:p>
      <w:pPr>
        <w:spacing w:after="0" w:line="240" w:lineRule="auto"/>
        <w:jc w:val="left"/>
        <w:sectPr>
          <w:type w:val="continuous"/>
          <w:pgSz w:w="11910" w:h="16840"/>
          <w:pgMar w:top="1060" w:bottom="1180" w:left="980" w:right="940"/>
          <w:cols w:num="2" w:equalWidth="0">
            <w:col w:w="3933" w:space="4906"/>
            <w:col w:w="115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4"/>
        <w:spacing w:line="240" w:lineRule="auto" w:before="37"/>
        <w:ind w:right="116"/>
        <w:jc w:val="right"/>
      </w:pPr>
      <w:r>
        <w:rPr/>
        <w:pict>
          <v:shape style="position:absolute;margin-left:55.919998pt;margin-top:-50.910309pt;width:483.6pt;height:202.4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6"/>
                    <w:gridCol w:w="1896"/>
                    <w:gridCol w:w="1488"/>
                    <w:gridCol w:w="838"/>
                    <w:gridCol w:w="4310"/>
                  </w:tblGrid>
                  <w:tr>
                    <w:trPr>
                      <w:trHeight w:val="547"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
                          <w:ind w:left="357" w:right="58" w:hanging="300"/>
                          <w:jc w:val="left"/>
                          <w:rPr>
                            <w:rFonts w:ascii="宋体" w:hAnsi="宋体" w:cs="宋体" w:eastAsia="宋体" w:hint="default"/>
                            <w:sz w:val="20"/>
                            <w:szCs w:val="20"/>
                          </w:rPr>
                        </w:pPr>
                        <w:r>
                          <w:rPr>
                            <w:rFonts w:ascii="宋体" w:hAnsi="宋体" w:cs="宋体" w:eastAsia="宋体" w:hint="default"/>
                            <w:sz w:val="20"/>
                            <w:szCs w:val="20"/>
                          </w:rPr>
                          <w:t>现金流量表</w:t>
                        </w:r>
                        <w:r>
                          <w:rPr>
                            <w:rFonts w:ascii="宋体" w:hAnsi="宋体" w:cs="宋体" w:eastAsia="宋体" w:hint="default"/>
                            <w:w w:val="99"/>
                            <w:sz w:val="20"/>
                            <w:szCs w:val="20"/>
                          </w:rPr>
                          <w:t> </w:t>
                        </w:r>
                        <w:r>
                          <w:rPr>
                            <w:rFonts w:ascii="宋体" w:hAnsi="宋体" w:cs="宋体" w:eastAsia="宋体" w:hint="default"/>
                            <w:sz w:val="20"/>
                            <w:szCs w:val="20"/>
                          </w:rPr>
                          <w:t>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8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8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4"/>
                          <w:jc w:val="right"/>
                          <w:rPr>
                            <w:rFonts w:ascii="宋体" w:hAnsi="宋体" w:cs="宋体" w:eastAsia="宋体" w:hint="default"/>
                            <w:sz w:val="20"/>
                            <w:szCs w:val="20"/>
                          </w:rPr>
                        </w:pPr>
                        <w:r>
                          <w:rPr>
                            <w:rFonts w:ascii="宋体" w:hAnsi="宋体" w:cs="宋体" w:eastAsia="宋体" w:hint="default"/>
                            <w:w w:val="95"/>
                            <w:sz w:val="20"/>
                            <w:szCs w:val="20"/>
                          </w:rPr>
                          <w:t>同比增减</w:t>
                        </w:r>
                        <w:r>
                          <w:rPr>
                            <w:rFonts w:ascii="宋体" w:hAnsi="宋体" w:cs="宋体" w:eastAsia="宋体" w:hint="default"/>
                            <w:sz w:val="20"/>
                            <w:szCs w:val="20"/>
                          </w:rPr>
                        </w:r>
                      </w:p>
                    </w:tc>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0"/>
                            <w:szCs w:val="20"/>
                          </w:rPr>
                        </w:pPr>
                        <w:r>
                          <w:rPr>
                            <w:rFonts w:ascii="宋体" w:hAnsi="宋体" w:cs="宋体" w:eastAsia="宋体" w:hint="default"/>
                            <w:sz w:val="20"/>
                            <w:szCs w:val="20"/>
                          </w:rPr>
                          <w:t>变动原因</w:t>
                        </w:r>
                      </w:p>
                    </w:tc>
                  </w:tr>
                  <w:tr>
                    <w:trPr>
                      <w:trHeight w:val="809"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
                          <w:ind w:left="4" w:right="110"/>
                          <w:jc w:val="both"/>
                          <w:rPr>
                            <w:rFonts w:ascii="宋体" w:hAnsi="宋体" w:cs="宋体" w:eastAsia="宋体" w:hint="default"/>
                            <w:sz w:val="20"/>
                            <w:szCs w:val="20"/>
                          </w:rPr>
                        </w:pPr>
                        <w:r>
                          <w:rPr>
                            <w:rFonts w:ascii="宋体" w:hAnsi="宋体" w:cs="宋体" w:eastAsia="宋体" w:hint="default"/>
                            <w:sz w:val="20"/>
                            <w:szCs w:val="20"/>
                          </w:rPr>
                          <w:t>经营活动产</w:t>
                        </w:r>
                        <w:r>
                          <w:rPr>
                            <w:rFonts w:ascii="宋体" w:hAnsi="宋体" w:cs="宋体" w:eastAsia="宋体" w:hint="default"/>
                            <w:w w:val="99"/>
                            <w:sz w:val="20"/>
                            <w:szCs w:val="20"/>
                          </w:rPr>
                          <w:t> </w:t>
                        </w:r>
                        <w:r>
                          <w:rPr>
                            <w:rFonts w:ascii="宋体" w:hAnsi="宋体" w:cs="宋体" w:eastAsia="宋体" w:hint="default"/>
                            <w:sz w:val="20"/>
                            <w:szCs w:val="20"/>
                          </w:rPr>
                          <w:t>生的现金流</w:t>
                        </w:r>
                        <w:r>
                          <w:rPr>
                            <w:rFonts w:ascii="宋体" w:hAnsi="宋体" w:cs="宋体" w:eastAsia="宋体" w:hint="default"/>
                            <w:w w:val="99"/>
                            <w:sz w:val="20"/>
                            <w:szCs w:val="20"/>
                          </w:rPr>
                          <w:t> </w:t>
                        </w:r>
                        <w:r>
                          <w:rPr>
                            <w:rFonts w:ascii="宋体" w:hAnsi="宋体" w:cs="宋体" w:eastAsia="宋体" w:hint="default"/>
                            <w:sz w:val="20"/>
                            <w:szCs w:val="20"/>
                          </w:rPr>
                          <w:t>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pacing w:val="-1"/>
                            <w:sz w:val="20"/>
                          </w:rPr>
                          <w:t>65,575,087.94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pacing w:val="-1"/>
                            <w:sz w:val="20"/>
                          </w:rPr>
                          <w:t>58,682,131.70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11.75%</w:t>
                        </w:r>
                      </w:p>
                    </w:tc>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
                          <w:ind w:left="7" w:right="95" w:hanging="1"/>
                          <w:jc w:val="both"/>
                          <w:rPr>
                            <w:rFonts w:ascii="宋体" w:hAnsi="宋体" w:cs="宋体" w:eastAsia="宋体" w:hint="default"/>
                            <w:sz w:val="20"/>
                            <w:szCs w:val="20"/>
                          </w:rPr>
                        </w:pPr>
                        <w:r>
                          <w:rPr>
                            <w:rFonts w:ascii="宋体" w:hAnsi="宋体" w:cs="宋体" w:eastAsia="宋体" w:hint="default"/>
                            <w:sz w:val="20"/>
                            <w:szCs w:val="20"/>
                          </w:rPr>
                          <w:t>主要是因为本报告期合并惠捷朗</w:t>
                        </w:r>
                        <w:r>
                          <w:rPr>
                            <w:rFonts w:ascii="Times New Roman" w:hAnsi="Times New Roman" w:cs="Times New Roman" w:eastAsia="Times New Roman" w:hint="default"/>
                            <w:sz w:val="20"/>
                            <w:szCs w:val="20"/>
                          </w:rPr>
                          <w:t>2015</w:t>
                        </w:r>
                        <w:r>
                          <w:rPr>
                            <w:rFonts w:ascii="宋体" w:hAnsi="宋体" w:cs="宋体" w:eastAsia="宋体" w:hint="default"/>
                            <w:sz w:val="20"/>
                            <w:szCs w:val="20"/>
                          </w:rPr>
                          <w:t>年度报表，</w:t>
                        </w:r>
                        <w:r>
                          <w:rPr>
                            <w:rFonts w:ascii="宋体" w:hAnsi="宋体" w:cs="宋体" w:eastAsia="宋体" w:hint="default"/>
                            <w:w w:val="99"/>
                            <w:sz w:val="20"/>
                            <w:szCs w:val="20"/>
                          </w:rPr>
                          <w:t> </w:t>
                        </w:r>
                        <w:r>
                          <w:rPr>
                            <w:rFonts w:ascii="宋体" w:hAnsi="宋体" w:cs="宋体" w:eastAsia="宋体" w:hint="default"/>
                            <w:sz w:val="20"/>
                            <w:szCs w:val="20"/>
                          </w:rPr>
                          <w:t>上年同期仅合并惠捷朗</w:t>
                        </w: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月报表；另外本</w:t>
                        </w:r>
                        <w:r>
                          <w:rPr>
                            <w:rFonts w:ascii="宋体" w:hAnsi="宋体" w:cs="宋体" w:eastAsia="宋体" w:hint="default"/>
                            <w:w w:val="99"/>
                            <w:sz w:val="20"/>
                            <w:szCs w:val="20"/>
                          </w:rPr>
                          <w:t> </w:t>
                        </w:r>
                        <w:r>
                          <w:rPr>
                            <w:rFonts w:ascii="宋体" w:hAnsi="宋体" w:cs="宋体" w:eastAsia="宋体" w:hint="default"/>
                            <w:sz w:val="20"/>
                            <w:szCs w:val="20"/>
                          </w:rPr>
                          <w:t>报告期合并报表新增数字天堂</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7-12</w:t>
                        </w:r>
                        <w:r>
                          <w:rPr>
                            <w:rFonts w:ascii="宋体" w:hAnsi="宋体" w:cs="宋体" w:eastAsia="宋体" w:hint="default"/>
                            <w:sz w:val="20"/>
                            <w:szCs w:val="20"/>
                          </w:rPr>
                          <w:t>月数据</w:t>
                        </w:r>
                      </w:p>
                    </w:tc>
                  </w:tr>
                  <w:tr>
                    <w:trPr>
                      <w:trHeight w:val="1068"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9"/>
                          <w:ind w:left="4" w:right="110"/>
                          <w:jc w:val="both"/>
                          <w:rPr>
                            <w:rFonts w:ascii="宋体" w:hAnsi="宋体" w:cs="宋体" w:eastAsia="宋体" w:hint="default"/>
                            <w:sz w:val="20"/>
                            <w:szCs w:val="20"/>
                          </w:rPr>
                        </w:pPr>
                        <w:r>
                          <w:rPr>
                            <w:rFonts w:ascii="宋体" w:hAnsi="宋体" w:cs="宋体" w:eastAsia="宋体" w:hint="default"/>
                            <w:sz w:val="20"/>
                            <w:szCs w:val="20"/>
                          </w:rPr>
                          <w:t>投资活动产</w:t>
                        </w:r>
                        <w:r>
                          <w:rPr>
                            <w:rFonts w:ascii="宋体" w:hAnsi="宋体" w:cs="宋体" w:eastAsia="宋体" w:hint="default"/>
                            <w:w w:val="99"/>
                            <w:sz w:val="20"/>
                            <w:szCs w:val="20"/>
                          </w:rPr>
                          <w:t> </w:t>
                        </w:r>
                        <w:r>
                          <w:rPr>
                            <w:rFonts w:ascii="宋体" w:hAnsi="宋体" w:cs="宋体" w:eastAsia="宋体" w:hint="default"/>
                            <w:sz w:val="20"/>
                            <w:szCs w:val="20"/>
                          </w:rPr>
                          <w:t>生的现金流</w:t>
                        </w:r>
                        <w:r>
                          <w:rPr>
                            <w:rFonts w:ascii="宋体" w:hAnsi="宋体" w:cs="宋体" w:eastAsia="宋体" w:hint="default"/>
                            <w:w w:val="99"/>
                            <w:sz w:val="20"/>
                            <w:szCs w:val="20"/>
                          </w:rPr>
                          <w:t> </w:t>
                        </w:r>
                        <w:r>
                          <w:rPr>
                            <w:rFonts w:ascii="宋体" w:hAnsi="宋体" w:cs="宋体" w:eastAsia="宋体" w:hint="default"/>
                            <w:sz w:val="20"/>
                            <w:szCs w:val="20"/>
                          </w:rPr>
                          <w:t>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1"/>
                          <w:jc w:val="right"/>
                          <w:rPr>
                            <w:rFonts w:ascii="Times New Roman" w:hAnsi="Times New Roman" w:cs="Times New Roman" w:eastAsia="Times New Roman" w:hint="default"/>
                            <w:sz w:val="20"/>
                            <w:szCs w:val="20"/>
                          </w:rPr>
                        </w:pPr>
                        <w:r>
                          <w:rPr>
                            <w:rFonts w:ascii="Times New Roman"/>
                            <w:w w:val="95"/>
                            <w:sz w:val="20"/>
                          </w:rPr>
                          <w:t>(168,006,629.88)</w:t>
                        </w:r>
                        <w:r>
                          <w:rPr>
                            <w:rFonts w:ascii="Times New Roman"/>
                            <w:sz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1"/>
                          <w:jc w:val="right"/>
                          <w:rPr>
                            <w:rFonts w:ascii="Times New Roman" w:hAnsi="Times New Roman" w:cs="Times New Roman" w:eastAsia="Times New Roman" w:hint="default"/>
                            <w:sz w:val="20"/>
                            <w:szCs w:val="20"/>
                          </w:rPr>
                        </w:pPr>
                        <w:r>
                          <w:rPr>
                            <w:rFonts w:ascii="Times New Roman"/>
                            <w:w w:val="95"/>
                            <w:sz w:val="20"/>
                          </w:rPr>
                          <w:t>(14,218,305.53)</w:t>
                        </w:r>
                        <w:r>
                          <w:rPr>
                            <w:rFonts w:ascii="Times New Roman"/>
                            <w:sz w:val="20"/>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0"/>
                          <w:jc w:val="right"/>
                          <w:rPr>
                            <w:rFonts w:ascii="Times New Roman" w:hAnsi="Times New Roman" w:cs="Times New Roman" w:eastAsia="Times New Roman" w:hint="default"/>
                            <w:sz w:val="20"/>
                            <w:szCs w:val="20"/>
                          </w:rPr>
                        </w:pPr>
                        <w:r>
                          <w:rPr>
                            <w:rFonts w:ascii="Times New Roman"/>
                            <w:sz w:val="20"/>
                          </w:rPr>
                          <w:t>1081.62%</w:t>
                        </w:r>
                      </w:p>
                    </w:tc>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 w:right="0"/>
                          <w:jc w:val="left"/>
                          <w:rPr>
                            <w:rFonts w:ascii="宋体" w:hAnsi="宋体" w:cs="宋体" w:eastAsia="宋体" w:hint="default"/>
                            <w:sz w:val="20"/>
                            <w:szCs w:val="20"/>
                          </w:rPr>
                        </w:pPr>
                        <w:r>
                          <w:rPr>
                            <w:rFonts w:ascii="宋体" w:hAnsi="宋体" w:cs="宋体" w:eastAsia="宋体" w:hint="default"/>
                            <w:sz w:val="20"/>
                            <w:szCs w:val="20"/>
                          </w:rPr>
                          <w:t>报告期内，向惠捷朗原股东支付现金对价</w:t>
                        </w:r>
                      </w:p>
                      <w:p>
                        <w:pPr>
                          <w:pStyle w:val="TableParagraph"/>
                          <w:spacing w:line="267" w:lineRule="exact"/>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13,493.76</w:t>
                        </w:r>
                        <w:r>
                          <w:rPr>
                            <w:rFonts w:ascii="宋体" w:hAnsi="宋体" w:cs="宋体" w:eastAsia="宋体" w:hint="default"/>
                            <w:sz w:val="20"/>
                            <w:szCs w:val="20"/>
                          </w:rPr>
                          <w:t>万元，向数字天堂原股东支付现金对价</w:t>
                        </w:r>
                      </w:p>
                      <w:p>
                        <w:pPr>
                          <w:pStyle w:val="TableParagraph"/>
                          <w:spacing w:line="262" w:lineRule="exact" w:before="15"/>
                          <w:ind w:left="7" w:right="5"/>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2,737.00</w:t>
                        </w:r>
                        <w:r>
                          <w:rPr>
                            <w:rFonts w:ascii="宋体" w:hAnsi="宋体" w:cs="宋体" w:eastAsia="宋体" w:hint="default"/>
                            <w:w w:val="95"/>
                            <w:sz w:val="20"/>
                            <w:szCs w:val="20"/>
                          </w:rPr>
                          <w:t>万元，以及报告期内增加数据融合平台开</w:t>
                        </w:r>
                        <w:r>
                          <w:rPr>
                            <w:rFonts w:ascii="宋体" w:hAnsi="宋体" w:cs="宋体" w:eastAsia="宋体" w:hint="default"/>
                            <w:spacing w:val="6"/>
                            <w:w w:val="95"/>
                            <w:sz w:val="20"/>
                            <w:szCs w:val="20"/>
                          </w:rPr>
                          <w:t> </w:t>
                        </w:r>
                        <w:r>
                          <w:rPr>
                            <w:rFonts w:ascii="宋体" w:hAnsi="宋体" w:cs="宋体" w:eastAsia="宋体" w:hint="default"/>
                            <w:spacing w:val="6"/>
                            <w:w w:val="95"/>
                            <w:sz w:val="20"/>
                            <w:szCs w:val="20"/>
                          </w:rPr>
                        </w:r>
                        <w:r>
                          <w:rPr>
                            <w:rFonts w:ascii="宋体" w:hAnsi="宋体" w:cs="宋体" w:eastAsia="宋体" w:hint="default"/>
                            <w:sz w:val="20"/>
                            <w:szCs w:val="20"/>
                          </w:rPr>
                          <w:t>发项目。</w:t>
                        </w:r>
                      </w:p>
                    </w:tc>
                  </w:tr>
                  <w:tr>
                    <w:trPr>
                      <w:trHeight w:val="809"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
                          <w:ind w:left="4" w:right="110"/>
                          <w:jc w:val="both"/>
                          <w:rPr>
                            <w:rFonts w:ascii="宋体" w:hAnsi="宋体" w:cs="宋体" w:eastAsia="宋体" w:hint="default"/>
                            <w:sz w:val="20"/>
                            <w:szCs w:val="20"/>
                          </w:rPr>
                        </w:pPr>
                        <w:r>
                          <w:rPr>
                            <w:rFonts w:ascii="宋体" w:hAnsi="宋体" w:cs="宋体" w:eastAsia="宋体" w:hint="default"/>
                            <w:sz w:val="20"/>
                            <w:szCs w:val="20"/>
                          </w:rPr>
                          <w:t>筹资活动产</w:t>
                        </w:r>
                        <w:r>
                          <w:rPr>
                            <w:rFonts w:ascii="宋体" w:hAnsi="宋体" w:cs="宋体" w:eastAsia="宋体" w:hint="default"/>
                            <w:w w:val="99"/>
                            <w:sz w:val="20"/>
                            <w:szCs w:val="20"/>
                          </w:rPr>
                          <w:t> </w:t>
                        </w:r>
                        <w:r>
                          <w:rPr>
                            <w:rFonts w:ascii="宋体" w:hAnsi="宋体" w:cs="宋体" w:eastAsia="宋体" w:hint="default"/>
                            <w:sz w:val="20"/>
                            <w:szCs w:val="20"/>
                          </w:rPr>
                          <w:t>生的现金流</w:t>
                        </w:r>
                        <w:r>
                          <w:rPr>
                            <w:rFonts w:ascii="宋体" w:hAnsi="宋体" w:cs="宋体" w:eastAsia="宋体" w:hint="default"/>
                            <w:w w:val="99"/>
                            <w:sz w:val="20"/>
                            <w:szCs w:val="20"/>
                          </w:rPr>
                          <w:t> </w:t>
                        </w:r>
                        <w:r>
                          <w:rPr>
                            <w:rFonts w:ascii="宋体" w:hAnsi="宋体" w:cs="宋体" w:eastAsia="宋体" w:hint="default"/>
                            <w:sz w:val="20"/>
                            <w:szCs w:val="20"/>
                          </w:rPr>
                          <w:t>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pacing w:val="-1"/>
                            <w:sz w:val="20"/>
                          </w:rPr>
                          <w:t>(13,012,668.89)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5"/>
                            <w:sz w:val="20"/>
                          </w:rPr>
                          <w:t>181,526,416.24</w:t>
                        </w:r>
                        <w:r>
                          <w:rPr>
                            <w:rFonts w:ascii="Times New Roman"/>
                            <w:sz w:val="20"/>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-107.17%</w:t>
                        </w:r>
                      </w:p>
                    </w:tc>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2"/>
                          <w:ind w:left="7" w:right="94"/>
                          <w:jc w:val="left"/>
                          <w:rPr>
                            <w:rFonts w:ascii="宋体" w:hAnsi="宋体" w:cs="宋体" w:eastAsia="宋体" w:hint="default"/>
                            <w:sz w:val="20"/>
                            <w:szCs w:val="20"/>
                          </w:rPr>
                        </w:pPr>
                        <w:r>
                          <w:rPr>
                            <w:rFonts w:ascii="宋体" w:hAnsi="宋体" w:cs="宋体" w:eastAsia="宋体" w:hint="default"/>
                            <w:sz w:val="20"/>
                            <w:szCs w:val="20"/>
                          </w:rPr>
                          <w:t>上年同期首次公开发行股票募集资金到位，本报</w:t>
                        </w:r>
                        <w:r>
                          <w:rPr>
                            <w:rFonts w:ascii="宋体" w:hAnsi="宋体" w:cs="宋体" w:eastAsia="宋体" w:hint="default"/>
                            <w:w w:val="99"/>
                            <w:sz w:val="20"/>
                            <w:szCs w:val="20"/>
                          </w:rPr>
                          <w:t> </w:t>
                        </w:r>
                        <w:r>
                          <w:rPr>
                            <w:rFonts w:ascii="宋体" w:hAnsi="宋体" w:cs="宋体" w:eastAsia="宋体" w:hint="default"/>
                            <w:sz w:val="20"/>
                            <w:szCs w:val="20"/>
                          </w:rPr>
                          <w:t>告期内偿还银行贷款及分配现金股利。</w:t>
                        </w:r>
                      </w:p>
                    </w:tc>
                  </w:tr>
                  <w:tr>
                    <w:trPr>
                      <w:trHeight w:val="806"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
                          <w:ind w:left="4" w:right="110"/>
                          <w:jc w:val="both"/>
                          <w:rPr>
                            <w:rFonts w:ascii="宋体" w:hAnsi="宋体" w:cs="宋体" w:eastAsia="宋体" w:hint="default"/>
                            <w:sz w:val="20"/>
                            <w:szCs w:val="20"/>
                          </w:rPr>
                        </w:pPr>
                        <w:r>
                          <w:rPr>
                            <w:rFonts w:ascii="宋体" w:hAnsi="宋体" w:cs="宋体" w:eastAsia="宋体" w:hint="default"/>
                            <w:sz w:val="20"/>
                            <w:szCs w:val="20"/>
                          </w:rPr>
                          <w:t>现金及现金</w:t>
                        </w:r>
                        <w:r>
                          <w:rPr>
                            <w:rFonts w:ascii="宋体" w:hAnsi="宋体" w:cs="宋体" w:eastAsia="宋体" w:hint="default"/>
                            <w:w w:val="99"/>
                            <w:sz w:val="20"/>
                            <w:szCs w:val="20"/>
                          </w:rPr>
                          <w:t> </w:t>
                        </w:r>
                        <w:r>
                          <w:rPr>
                            <w:rFonts w:ascii="宋体" w:hAnsi="宋体" w:cs="宋体" w:eastAsia="宋体" w:hint="default"/>
                            <w:sz w:val="20"/>
                            <w:szCs w:val="20"/>
                          </w:rPr>
                          <w:t>等价物净增</w:t>
                        </w:r>
                        <w:r>
                          <w:rPr>
                            <w:rFonts w:ascii="宋体" w:hAnsi="宋体" w:cs="宋体" w:eastAsia="宋体" w:hint="default"/>
                            <w:w w:val="99"/>
                            <w:sz w:val="20"/>
                            <w:szCs w:val="20"/>
                          </w:rPr>
                          <w:t> </w:t>
                        </w:r>
                        <w:r>
                          <w:rPr>
                            <w:rFonts w:ascii="宋体" w:hAnsi="宋体" w:cs="宋体" w:eastAsia="宋体" w:hint="default"/>
                            <w:sz w:val="20"/>
                            <w:szCs w:val="20"/>
                          </w:rPr>
                          <w:t>加额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(115,444,210.83)</w:t>
                        </w:r>
                        <w:r>
                          <w:rPr>
                            <w:rFonts w:ascii="Times New Roman"/>
                            <w:sz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5"/>
                            <w:sz w:val="20"/>
                          </w:rPr>
                          <w:t>225,987,800.54</w:t>
                        </w:r>
                        <w:r>
                          <w:rPr>
                            <w:rFonts w:ascii="Times New Roman"/>
                            <w:sz w:val="20"/>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-151.08%</w:t>
                        </w:r>
                      </w:p>
                    </w:tc>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 w:right="0"/>
                          <w:jc w:val="left"/>
                          <w:rPr>
                            <w:rFonts w:ascii="宋体" w:hAnsi="宋体" w:cs="宋体" w:eastAsia="宋体" w:hint="default"/>
                            <w:sz w:val="20"/>
                            <w:szCs w:val="20"/>
                          </w:rPr>
                        </w:pPr>
                        <w:r>
                          <w:rPr>
                            <w:rFonts w:ascii="宋体" w:hAnsi="宋体" w:cs="宋体" w:eastAsia="宋体" w:hint="default"/>
                            <w:sz w:val="20"/>
                            <w:szCs w:val="20"/>
                          </w:rPr>
                          <w:t>报告期内，向惠捷朗原股东支付现金对价</w:t>
                        </w:r>
                      </w:p>
                      <w:p>
                        <w:pPr>
                          <w:pStyle w:val="TableParagraph"/>
                          <w:spacing w:line="267" w:lineRule="exact"/>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13,493.76</w:t>
                        </w:r>
                        <w:r>
                          <w:rPr>
                            <w:rFonts w:ascii="宋体" w:hAnsi="宋体" w:cs="宋体" w:eastAsia="宋体" w:hint="default"/>
                            <w:sz w:val="20"/>
                            <w:szCs w:val="20"/>
                          </w:rPr>
                          <w:t>万元，向数字天堂原股东支付现金对价</w:t>
                        </w:r>
                      </w:p>
                      <w:p>
                        <w:pPr>
                          <w:pStyle w:val="TableParagraph"/>
                          <w:spacing w:line="268" w:lineRule="exact"/>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2,737.00</w:t>
                        </w:r>
                        <w:r>
                          <w:rPr>
                            <w:rFonts w:ascii="宋体" w:hAnsi="宋体" w:cs="宋体" w:eastAsia="宋体" w:hint="default"/>
                            <w:sz w:val="20"/>
                            <w:szCs w:val="20"/>
                          </w:rPr>
                          <w:t>万元，归还贷款</w:t>
                        </w:r>
                        <w:r>
                          <w:rPr>
                            <w:rFonts w:ascii="Times New Roman" w:hAnsi="Times New Roman" w:cs="Times New Roman" w:eastAsia="Times New Roman" w:hint="default"/>
                            <w:sz w:val="20"/>
                            <w:szCs w:val="20"/>
                          </w:rPr>
                          <w:t>2,000.00</w:t>
                        </w:r>
                        <w:r>
                          <w:rPr>
                            <w:rFonts w:ascii="宋体" w:hAnsi="宋体" w:cs="宋体" w:eastAsia="宋体" w:hint="default"/>
                            <w:sz w:val="20"/>
                            <w:szCs w:val="20"/>
                          </w:rPr>
                          <w:t>万元。</w:t>
                        </w:r>
                      </w:p>
                    </w:tc>
                  </w:tr>
                </w:tbl>
                <w:p>
                  <w:pPr/>
                </w:p>
              </w:txbxContent>
            </v:textbox>
            <w10:wrap type="none"/>
          </v:shape>
        </w:pict>
      </w:r>
      <w:r>
        <w:rPr>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单位：元</w:t>
      </w:r>
    </w:p>
    <w:p>
      <w:pPr>
        <w:spacing w:after="0" w:line="240" w:lineRule="auto"/>
        <w:jc w:val="right"/>
        <w:sectPr>
          <w:type w:val="continuous"/>
          <w:pgSz w:w="11910" w:h="16840"/>
          <w:pgMar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27"/>
        <w:gridCol w:w="1416"/>
        <w:gridCol w:w="1418"/>
        <w:gridCol w:w="1416"/>
        <w:gridCol w:w="1277"/>
        <w:gridCol w:w="1346"/>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
        </w:tc>
        <w:tc>
          <w:tcPr>
            <w:tcW w:w="274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7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34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7" w:type="dxa"/>
            <w:vMerge/>
            <w:tcBorders>
              <w:left w:val="single" w:sz="4" w:space="0" w:color="000000"/>
              <w:bottom w:val="single" w:sz="4" w:space="0" w:color="000000"/>
              <w:right w:val="single" w:sz="4" w:space="0" w:color="000000"/>
            </w:tcBorders>
            <w:shd w:val="clear" w:color="auto" w:fill="D4D4D4"/>
          </w:tcPr>
          <w:p>
            <w:pPr/>
          </w:p>
        </w:tc>
        <w:tc>
          <w:tcPr>
            <w:tcW w:w="134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186,418,034.46</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297,169,081.29</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-10.41%</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257,449,444.01</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27.90%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232,659,600.39</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23.97%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3.93%</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1,064,984.70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2,972,404.51</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279,152.22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317,569.96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5,340,310.44</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8,328,683.07</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-2.06%</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1025"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6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北京数 字天堂 信息科 技有限 责任公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07"/>
              <w:jc w:val="left"/>
              <w:rPr>
                <w:rFonts w:ascii="宋体" w:hAnsi="宋体" w:cs="宋体" w:eastAsia="宋体" w:hint="default"/>
                <w:sz w:val="18"/>
                <w:szCs w:val="18"/>
              </w:rPr>
            </w:pPr>
            <w:r>
              <w:rPr>
                <w:rFonts w:ascii="宋体" w:hAnsi="宋体" w:cs="宋体" w:eastAsia="宋体" w:hint="default"/>
                <w:sz w:val="18"/>
                <w:szCs w:val="18"/>
              </w:rPr>
              <w:t>移动信 息化</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88"/>
              <w:jc w:val="right"/>
              <w:rPr>
                <w:rFonts w:ascii="宋体" w:hAnsi="宋体" w:cs="宋体" w:eastAsia="宋体" w:hint="default"/>
                <w:sz w:val="18"/>
                <w:szCs w:val="18"/>
              </w:rPr>
            </w:pPr>
            <w:r>
              <w:rPr>
                <w:rFonts w:ascii="宋体" w:hAnsi="宋体" w:cs="宋体" w:eastAsia="宋体" w:hint="default"/>
                <w:sz w:val="18"/>
                <w:szCs w:val="18"/>
              </w:rPr>
              <w:t>收购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41,370,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87"/>
              <w:jc w:val="right"/>
              <w:rPr>
                <w:rFonts w:ascii="宋体" w:hAnsi="宋体" w:cs="宋体" w:eastAsia="宋体" w:hint="default"/>
                <w:sz w:val="18"/>
                <w:szCs w:val="18"/>
              </w:rPr>
            </w:pPr>
            <w:r>
              <w:rPr>
                <w:rFonts w:ascii="宋体" w:hAnsi="宋体" w:cs="宋体" w:eastAsia="宋体" w:hint="default"/>
                <w:sz w:val="18"/>
                <w:szCs w:val="18"/>
              </w:rPr>
              <w:t>自有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移动互 联</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2,839,8</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93.22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0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41,370,</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2,839,8</w:t>
            </w:r>
          </w:p>
          <w:p>
            <w:pPr>
              <w:pStyle w:val="TableParagraph"/>
              <w:spacing w:line="240" w:lineRule="auto" w:before="102"/>
              <w:ind w:left="225" w:right="0"/>
              <w:jc w:val="center"/>
              <w:rPr>
                <w:rFonts w:ascii="Times New Roman" w:hAnsi="Times New Roman" w:cs="Times New Roman" w:eastAsia="Times New Roman" w:hint="default"/>
                <w:sz w:val="18"/>
                <w:szCs w:val="18"/>
              </w:rPr>
            </w:pPr>
            <w:r>
              <w:rPr>
                <w:rFonts w:ascii="Times New Roman"/>
                <w:sz w:val="18"/>
              </w:rPr>
              <w:t>93.22</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7"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both"/>
              <w:rPr>
                <w:rFonts w:ascii="宋体" w:hAnsi="宋体" w:cs="宋体" w:eastAsia="宋体" w:hint="default"/>
                <w:sz w:val="18"/>
                <w:szCs w:val="18"/>
              </w:rPr>
            </w:pPr>
            <w:r>
              <w:rPr>
                <w:rFonts w:ascii="宋体" w:hAnsi="宋体" w:cs="宋体" w:eastAsia="宋体" w:hint="default"/>
                <w:sz w:val="18"/>
                <w:szCs w:val="18"/>
              </w:rPr>
              <w:t>首次公开 发行股票 募集资金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581.88</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9,909.39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2,286.35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1,264.65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3"/>
              <w:jc w:val="both"/>
              <w:rPr>
                <w:rFonts w:ascii="宋体" w:hAnsi="宋体" w:cs="宋体" w:eastAsia="宋体" w:hint="default"/>
                <w:sz w:val="18"/>
                <w:szCs w:val="18"/>
              </w:rPr>
            </w:pPr>
            <w:r>
              <w:rPr>
                <w:rFonts w:ascii="宋体" w:hAnsi="宋体" w:cs="宋体" w:eastAsia="宋体" w:hint="default"/>
                <w:sz w:val="18"/>
                <w:szCs w:val="18"/>
              </w:rPr>
              <w:t>永久性补 充公司流 动资金</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非公开发 行股票募 集资金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13,699.99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13,493.76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131.26</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永久性补 充公司流 动资金</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24,852.99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581.88</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23,403.15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2,286.35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1,395.91</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083"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both"/>
              <w:rPr>
                <w:rFonts w:ascii="宋体" w:hAnsi="宋体" w:cs="宋体" w:eastAsia="宋体" w:hint="default"/>
                <w:sz w:val="18"/>
                <w:szCs w:val="18"/>
              </w:rPr>
            </w:pPr>
            <w:r>
              <w:rPr>
                <w:rFonts w:ascii="宋体" w:hAnsi="宋体" w:cs="宋体" w:eastAsia="宋体" w:hint="default"/>
                <w:spacing w:val="-1"/>
                <w:sz w:val="18"/>
                <w:szCs w:val="18"/>
              </w:rPr>
              <w:t>报告期内，公司严格按照《募集资金管理办法》的规定和要求，对募集资金的存放和使用进行有效的管理，以确保用于募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集资金投资项目的建设。在使用募集资金时，严格履行相应的申请和审批手续，同时及时知会保荐机构，并随时接受保荐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5"/>
                <w:sz w:val="18"/>
                <w:szCs w:val="18"/>
              </w:rPr>
              <w:t>代表人的监督。（</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）首次公开发行股票募集资金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Tong</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系列中间件产品升级项目：截止</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日，募集资金专户</w:t>
            </w:r>
          </w:p>
          <w:p>
            <w:pPr>
              <w:pStyle w:val="TableParagraph"/>
              <w:spacing w:line="248"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余额</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归还补充原补充流动资金金额</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120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月募投项目支出</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77</w:t>
            </w:r>
            <w:r>
              <w:rPr>
                <w:rFonts w:ascii="Times New Roman" w:hAnsi="Times New Roman" w:cs="Times New Roman" w:eastAsia="Times New Roman" w:hint="default"/>
                <w:sz w:val="18"/>
                <w:szCs w:val="18"/>
              </w:rPr>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日，募投项目拟结项，募集资金专户结余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12,646,454.49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元，用于永久补充流动资金。营销服务平</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台扩建项目：本项目累计投入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9,036,500.00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月实施完毕，结余资金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22,863,500.00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元，变更用途后结余</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资金及利息收入用于支付收购北京同德一心科技有限公司的部分对价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22,933,497.91 </w:t>
            </w: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日，募集资金</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专户结余</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元，拟用于永</w:t>
            </w:r>
            <w:r>
              <w:rPr>
                <w:rFonts w:ascii="宋体" w:hAnsi="宋体" w:cs="宋体" w:eastAsia="宋体" w:hint="default"/>
                <w:spacing w:val="-3"/>
                <w:sz w:val="18"/>
                <w:szCs w:val="18"/>
              </w:rPr>
              <w:t>久</w:t>
            </w:r>
            <w:r>
              <w:rPr>
                <w:rFonts w:ascii="宋体" w:hAnsi="宋体" w:cs="宋体" w:eastAsia="宋体" w:hint="default"/>
                <w:sz w:val="18"/>
                <w:szCs w:val="18"/>
              </w:rPr>
              <w:t>补充流动资金</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）非公开发行股票募集配套资金截止</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136,999,942.50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元尚未用于支付收购股权现金对价；</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日，本公司向北京惠捷朗科技有限公司的原股东支付现</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金对价（含代扣代缴个人所得税）</w:t>
            </w:r>
            <w:r>
              <w:rPr>
                <w:rFonts w:ascii="Times New Roman" w:hAnsi="Times New Roman" w:cs="Times New Roman" w:eastAsia="Times New Roman" w:hint="default"/>
                <w:sz w:val="18"/>
                <w:szCs w:val="18"/>
              </w:rPr>
              <w:t>134,937,600.00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元。截止</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日，扣除相关发行费用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800,000.00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元，加上扣除</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手续费后累计净利息收入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50,250.90 </w:t>
            </w:r>
            <w:r>
              <w:rPr>
                <w:rFonts w:ascii="宋体" w:hAnsi="宋体" w:cs="宋体" w:eastAsia="宋体" w:hint="default"/>
                <w:sz w:val="18"/>
                <w:szCs w:val="18"/>
              </w:rPr>
              <w:t>元，剩余募集资金余额为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1,312,593.40 </w:t>
            </w:r>
            <w:r>
              <w:rPr>
                <w:rFonts w:ascii="宋体" w:hAnsi="宋体" w:cs="宋体" w:eastAsia="宋体" w:hint="default"/>
                <w:sz w:val="18"/>
                <w:szCs w:val="18"/>
              </w:rPr>
              <w:t>元，拟用于永久补充流动资金。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日召开第二届董事会第十五次会议</w:t>
            </w:r>
            <w:r>
              <w:rPr>
                <w:rFonts w:ascii="宋体" w:hAnsi="宋体" w:cs="宋体" w:eastAsia="宋体" w:hint="default"/>
                <w:spacing w:val="-10"/>
                <w:sz w:val="18"/>
                <w:szCs w:val="18"/>
              </w:rPr>
              <w:t>，</w:t>
            </w:r>
            <w:r>
              <w:rPr>
                <w:rFonts w:ascii="宋体" w:hAnsi="宋体" w:cs="宋体" w:eastAsia="宋体" w:hint="default"/>
                <w:sz w:val="18"/>
                <w:szCs w:val="18"/>
              </w:rPr>
              <w:t>审议通过</w:t>
            </w:r>
            <w:r>
              <w:rPr>
                <w:rFonts w:ascii="宋体" w:hAnsi="宋体" w:cs="宋体" w:eastAsia="宋体" w:hint="default"/>
                <w:spacing w:val="-10"/>
                <w:sz w:val="18"/>
                <w:szCs w:val="18"/>
              </w:rPr>
              <w:t>了</w:t>
            </w:r>
            <w:r>
              <w:rPr>
                <w:rFonts w:ascii="宋体" w:hAnsi="宋体" w:cs="宋体" w:eastAsia="宋体" w:hint="default"/>
                <w:sz w:val="18"/>
                <w:szCs w:val="18"/>
              </w:rPr>
              <w:t>《关于前</w:t>
            </w:r>
            <w:r>
              <w:rPr>
                <w:rFonts w:ascii="宋体" w:hAnsi="宋体" w:cs="宋体" w:eastAsia="宋体" w:hint="default"/>
                <w:spacing w:val="-3"/>
                <w:sz w:val="18"/>
                <w:szCs w:val="18"/>
              </w:rPr>
              <w:t>次</w:t>
            </w:r>
            <w:r>
              <w:rPr>
                <w:rFonts w:ascii="宋体" w:hAnsi="宋体" w:cs="宋体" w:eastAsia="宋体" w:hint="default"/>
                <w:sz w:val="18"/>
                <w:szCs w:val="18"/>
              </w:rPr>
              <w:t>募集资金项目结项并永久补充流动资金的议案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日止的公司前次募集资金均已达到预期使用效果，特申请结项，剩余募集资金共计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13,959,054.75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元（含扣除手续费</w:t>
            </w:r>
          </w:p>
          <w:p>
            <w:pPr>
              <w:pStyle w:val="TableParagraph"/>
              <w:spacing w:line="309" w:lineRule="auto" w:before="63"/>
              <w:ind w:left="24" w:right="-10"/>
              <w:jc w:val="both"/>
              <w:rPr>
                <w:rFonts w:ascii="宋体" w:hAnsi="宋体" w:cs="宋体" w:eastAsia="宋体" w:hint="default"/>
                <w:sz w:val="18"/>
                <w:szCs w:val="18"/>
              </w:rPr>
            </w:pPr>
            <w:r>
              <w:rPr>
                <w:rFonts w:ascii="宋体" w:hAnsi="宋体" w:cs="宋体" w:eastAsia="宋体" w:hint="default"/>
                <w:sz w:val="18"/>
                <w:szCs w:val="18"/>
              </w:rPr>
              <w:t>后累计净利息收入</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260,473.56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元）全部用于永久性补充公司流动资金，满足日常经营需要，提升运营能力。本次将前次募 集资金项目结项并永久补充流动资金已经第二届监事会第九次会议审议通过，公司独立董事、保荐人发表了同意的意见。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年度股东大会审议通过了《关于前次募集资金项目结项并永久补充流动资金的议案》。</w:t>
            </w:r>
          </w:p>
        </w:tc>
      </w:tr>
    </w:tbl>
    <w:p>
      <w:pPr>
        <w:spacing w:after="0" w:line="309"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51"/>
        <w:gridCol w:w="737"/>
        <w:gridCol w:w="722"/>
        <w:gridCol w:w="716"/>
        <w:gridCol w:w="717"/>
        <w:gridCol w:w="702"/>
        <w:gridCol w:w="734"/>
        <w:gridCol w:w="718"/>
        <w:gridCol w:w="718"/>
        <w:gridCol w:w="719"/>
        <w:gridCol w:w="718"/>
        <w:gridCol w:w="710"/>
      </w:tblGrid>
      <w:tr>
        <w:trPr>
          <w:trHeight w:val="1650"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9" w:right="98" w:hanging="269"/>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64" w:right="60"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6"/>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1"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1"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2"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4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 w:right="82"/>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5"/>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Tong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系列中间件产 品升级项目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7,963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7,963</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581.88</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6,712.39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84.29%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1,365.42</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3,381.26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75"/>
              <w:jc w:val="left"/>
              <w:rPr>
                <w:rFonts w:ascii="宋体" w:hAnsi="宋体" w:cs="宋体" w:eastAsia="宋体" w:hint="default"/>
                <w:sz w:val="18"/>
                <w:szCs w:val="18"/>
              </w:rPr>
            </w:pPr>
            <w:r>
              <w:rPr>
                <w:rFonts w:ascii="宋体" w:hAnsi="宋体" w:cs="宋体" w:eastAsia="宋体" w:hint="default"/>
                <w:sz w:val="18"/>
                <w:szCs w:val="18"/>
              </w:rPr>
              <w:t>营销服务平台扩建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3,190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903.65</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903.65</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支付现金购买北京 同德一心科技有限 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2,286.35</w:t>
            </w: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2,293.35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100.31%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both"/>
              <w:rPr>
                <w:rFonts w:ascii="宋体" w:hAnsi="宋体" w:cs="宋体" w:eastAsia="宋体" w:hint="default"/>
                <w:sz w:val="18"/>
                <w:szCs w:val="18"/>
              </w:rPr>
            </w:pPr>
            <w:r>
              <w:rPr>
                <w:rFonts w:ascii="宋体" w:hAnsi="宋体" w:cs="宋体" w:eastAsia="宋体" w:hint="default"/>
                <w:sz w:val="18"/>
                <w:szCs w:val="18"/>
              </w:rPr>
              <w:t>发行股份购买北京 惠捷朗科技有限公 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13,493.7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13,493.7</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13,493.7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13,493.7</w:t>
            </w:r>
          </w:p>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24,646.7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24,646.7</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14,075.6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23,403.1</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1,365.42</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3,381.26</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6"/>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7"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24,646.7</w:t>
            </w:r>
          </w:p>
          <w:p>
            <w:pPr>
              <w:pStyle w:val="TableParagraph"/>
              <w:spacing w:line="240" w:lineRule="auto" w:before="102"/>
              <w:ind w:right="25"/>
              <w:jc w:val="right"/>
              <w:rPr>
                <w:rFonts w:ascii="Times New Roman" w:hAnsi="Times New Roman" w:cs="Times New Roman" w:eastAsia="Times New Roman" w:hint="default"/>
                <w:sz w:val="18"/>
                <w:szCs w:val="18"/>
              </w:rPr>
            </w:pPr>
            <w:r>
              <w:rPr>
                <w:rFonts w:ascii="Times New Roman"/>
                <w:sz w:val="18"/>
              </w:rPr>
              <w:t>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24,646.7</w:t>
            </w:r>
          </w:p>
          <w:p>
            <w:pPr>
              <w:pStyle w:val="TableParagraph"/>
              <w:spacing w:line="240" w:lineRule="auto" w:before="102"/>
              <w:ind w:right="25"/>
              <w:jc w:val="right"/>
              <w:rPr>
                <w:rFonts w:ascii="Times New Roman" w:hAnsi="Times New Roman" w:cs="Times New Roman" w:eastAsia="Times New Roman" w:hint="default"/>
                <w:sz w:val="18"/>
                <w:szCs w:val="18"/>
              </w:rPr>
            </w:pPr>
            <w:r>
              <w:rPr>
                <w:rFonts w:ascii="Times New Roman"/>
                <w:sz w:val="18"/>
              </w:rPr>
              <w:t>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14,075.6</w:t>
            </w:r>
          </w:p>
          <w:p>
            <w:pPr>
              <w:pStyle w:val="TableParagraph"/>
              <w:spacing w:line="240" w:lineRule="auto" w:before="102"/>
              <w:ind w:right="25"/>
              <w:jc w:val="right"/>
              <w:rPr>
                <w:rFonts w:ascii="Times New Roman" w:hAnsi="Times New Roman" w:cs="Times New Roman" w:eastAsia="Times New Roman" w:hint="default"/>
                <w:sz w:val="18"/>
                <w:szCs w:val="18"/>
              </w:rPr>
            </w:pPr>
            <w:r>
              <w:rPr>
                <w:rFonts w:ascii="Times New Roman"/>
                <w:sz w:val="18"/>
              </w:rPr>
              <w:t>4</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23,403.</w:t>
            </w:r>
          </w:p>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15</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1,365.42</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3,381.26</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r>
      <w:tr>
        <w:trPr>
          <w:trHeight w:val="2273"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both"/>
              <w:rPr>
                <w:rFonts w:ascii="宋体" w:hAnsi="宋体" w:cs="宋体" w:eastAsia="宋体" w:hint="default"/>
                <w:sz w:val="18"/>
                <w:szCs w:val="18"/>
              </w:rPr>
            </w:pPr>
            <w:r>
              <w:rPr>
                <w:rFonts w:ascii="宋体" w:hAnsi="宋体" w:cs="宋体" w:eastAsia="宋体" w:hint="default"/>
                <w:spacing w:val="-2"/>
                <w:sz w:val="18"/>
                <w:szCs w:val="18"/>
              </w:rPr>
              <w:t>营销服务平台扩建项目：根据公司整体战略，为尽快完善全线基础软件产品线和市场布局，最大限度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发挥募资资金使用效率，提升公司整体经营业绩，决定暂缓营销服务网点和客户体验中心的长期资产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投入。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日公司第二届董事会第十次会议，以及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 </w:t>
            </w:r>
            <w:r>
              <w:rPr>
                <w:rFonts w:ascii="宋体" w:hAnsi="宋体" w:cs="宋体" w:eastAsia="宋体" w:hint="default"/>
                <w:spacing w:val="-3"/>
                <w:sz w:val="18"/>
                <w:szCs w:val="18"/>
              </w:rPr>
              <w:t>东大会审议通过了《关于变更部分募集资金投资项目的议案》，公司拟变更本募集资金项目，并以其</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专项账户余额用于支付现金人民币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万元收购北京同德一心科技有限公司的部分对价，不足部分</w:t>
            </w:r>
          </w:p>
          <w:p>
            <w:pPr>
              <w:pStyle w:val="TableParagraph"/>
              <w:spacing w:line="300" w:lineRule="auto" w:before="1"/>
              <w:ind w:left="23" w:right="43"/>
              <w:jc w:val="both"/>
              <w:rPr>
                <w:rFonts w:ascii="宋体" w:hAnsi="宋体" w:cs="宋体" w:eastAsia="宋体" w:hint="default"/>
                <w:sz w:val="18"/>
                <w:szCs w:val="18"/>
              </w:rPr>
            </w:pPr>
            <w:r>
              <w:rPr>
                <w:rFonts w:ascii="宋体" w:hAnsi="宋体" w:cs="宋体" w:eastAsia="宋体" w:hint="default"/>
                <w:sz w:val="18"/>
                <w:szCs w:val="18"/>
              </w:rPr>
              <w:t>以自有资金支付。</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月，公司以本项目专项账户余额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22,933,497.91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元向北京同德一心科技有 限公司股东支付交易对价。</w:t>
            </w:r>
          </w:p>
        </w:tc>
      </w:tr>
      <w:tr>
        <w:trPr>
          <w:trHeight w:val="715"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2"/>
                <w:sz w:val="18"/>
                <w:szCs w:val="18"/>
              </w:rPr>
              <w:t>营销服务平台扩建项目变更为收购相关领域内的子公司来实现销售平台的扩张及相关产品、服务、技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术的升级。</w:t>
            </w:r>
          </w:p>
        </w:tc>
      </w:tr>
      <w:tr>
        <w:trPr>
          <w:trHeight w:val="401" w:hRule="exact"/>
        </w:trPr>
        <w:tc>
          <w:tcPr>
            <w:tcW w:w="1651"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4"/>
              <w:ind w:left="24"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51" w:type="dxa"/>
            <w:vMerge/>
            <w:tcBorders>
              <w:left w:val="single" w:sz="4" w:space="0" w:color="000000"/>
              <w:bottom w:val="single" w:sz="4" w:space="0" w:color="000000"/>
              <w:right w:val="single" w:sz="4" w:space="0" w:color="000000"/>
            </w:tcBorders>
            <w:shd w:val="clear" w:color="auto" w:fill="D4D4D4"/>
          </w:tcPr>
          <w:p>
            <w:pPr/>
          </w:p>
        </w:tc>
        <w:tc>
          <w:tcPr>
            <w:tcW w:w="7910" w:type="dxa"/>
            <w:gridSpan w:val="11"/>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50"/>
        <w:gridCol w:w="7910"/>
      </w:tblGrid>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实施地点变更情况</w:t>
            </w: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2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650" w:type="dxa"/>
            <w:vMerge/>
            <w:tcBorders>
              <w:left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13"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2"/>
                <w:sz w:val="18"/>
                <w:szCs w:val="18"/>
              </w:rPr>
              <w:t>营销服务平台扩建项目变更为收购相关领域内的子公司来实现销售平台的扩张及相关产品、服务、技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术的升级</w:t>
            </w: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2" w:right="17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3"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Tong </w:t>
            </w:r>
            <w:r>
              <w:rPr>
                <w:rFonts w:ascii="宋体" w:hAnsi="宋体" w:cs="宋体" w:eastAsia="宋体" w:hint="default"/>
                <w:sz w:val="18"/>
                <w:szCs w:val="18"/>
              </w:rPr>
              <w:t>系列中间件产品升级项目先期投入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5,146.40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万元、营销服务平台扩建项目的先期投入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元，合计置换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6,050.05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2" w:right="17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3"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第二届董事会第九次会议，决议以</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Tong</w:t>
            </w:r>
            <w:r>
              <w:rPr>
                <w:rFonts w:ascii="Times New Roman" w:hAnsi="Times New Roman" w:cs="Times New Roman" w:eastAsia="Times New Roman" w:hint="default"/>
                <w:sz w:val="18"/>
                <w:szCs w:val="18"/>
              </w:rPr>
              <w:t> </w:t>
            </w:r>
            <w:r>
              <w:rPr>
                <w:rFonts w:ascii="宋体" w:hAnsi="宋体" w:cs="宋体" w:eastAsia="宋体" w:hint="default"/>
                <w:sz w:val="18"/>
                <w:szCs w:val="18"/>
              </w:rPr>
              <w:t>系列中间件产品升级项目的闲置资金暂时补充流动资金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1,200</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万元，使用期限自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日起不超过六个月，</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月已归还至募集资金专户。</w:t>
            </w: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2" w:right="17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49"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日止的公</w:t>
            </w:r>
            <w:r>
              <w:rPr>
                <w:rFonts w:ascii="宋体" w:hAnsi="宋体" w:cs="宋体" w:eastAsia="宋体" w:hint="default"/>
                <w:spacing w:val="-3"/>
                <w:sz w:val="18"/>
                <w:szCs w:val="18"/>
              </w:rPr>
              <w:t>司</w:t>
            </w:r>
            <w:r>
              <w:rPr>
                <w:rFonts w:ascii="宋体" w:hAnsi="宋体" w:cs="宋体" w:eastAsia="宋体" w:hint="default"/>
                <w:sz w:val="18"/>
                <w:szCs w:val="18"/>
              </w:rPr>
              <w:t>前次募集资金均已达到预期使用效果</w:t>
            </w:r>
            <w:r>
              <w:rPr>
                <w:rFonts w:ascii="宋体" w:hAnsi="宋体" w:cs="宋体" w:eastAsia="宋体" w:hint="default"/>
                <w:spacing w:val="-92"/>
                <w:sz w:val="18"/>
                <w:szCs w:val="18"/>
              </w:rPr>
              <w:t>，</w:t>
            </w:r>
            <w:r>
              <w:rPr>
                <w:rFonts w:ascii="宋体" w:hAnsi="宋体" w:cs="宋体" w:eastAsia="宋体" w:hint="default"/>
                <w:sz w:val="18"/>
                <w:szCs w:val="18"/>
              </w:rPr>
              <w:t>剩余募集资金共计</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59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5</w:t>
            </w:r>
          </w:p>
          <w:p>
            <w:pPr>
              <w:pStyle w:val="TableParagraph"/>
              <w:spacing w:line="312"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元（含扣除手续费后累计净利息收入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260,473.56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元）全部用于永久性补充公司流动资金，以满足日常</w:t>
            </w:r>
            <w:r>
              <w:rPr>
                <w:rFonts w:ascii="宋体" w:hAnsi="宋体" w:cs="宋体" w:eastAsia="宋体" w:hint="default"/>
                <w:sz w:val="18"/>
                <w:szCs w:val="18"/>
              </w:rPr>
              <w:t> </w:t>
            </w:r>
            <w:r>
              <w:rPr>
                <w:rFonts w:ascii="宋体" w:hAnsi="宋体" w:cs="宋体" w:eastAsia="宋体" w:hint="default"/>
                <w:spacing w:val="-2"/>
                <w:sz w:val="18"/>
                <w:szCs w:val="18"/>
              </w:rPr>
              <w:t>经营需要，提升运营能力。公司在实施募集资金投资项目建设过程中，严格按照募集资金使用的有关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规定谨慎使用募集资金，按照预算规划严格控制募集资金投入，研发设备和铺底流动资金投入比预算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减少。</w:t>
            </w:r>
          </w:p>
        </w:tc>
      </w:tr>
      <w:tr>
        <w:trPr>
          <w:trHeight w:val="715"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永久性补充公司流动资金</w:t>
            </w:r>
          </w:p>
        </w:tc>
      </w:tr>
      <w:tr>
        <w:trPr>
          <w:trHeight w:val="1027"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7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3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2" w:top="1060" w:bottom="118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8"/>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4850" w:space="4068"/>
            <w:col w:w="10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5"/>
        <w:gridCol w:w="1116"/>
        <w:gridCol w:w="1044"/>
        <w:gridCol w:w="1044"/>
        <w:gridCol w:w="1046"/>
        <w:gridCol w:w="1046"/>
        <w:gridCol w:w="1044"/>
        <w:gridCol w:w="1044"/>
        <w:gridCol w:w="1046"/>
      </w:tblGrid>
      <w:tr>
        <w:trPr>
          <w:trHeight w:val="401" w:hRule="exact"/>
        </w:trPr>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北京惠捷朗 科技有限公 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无线网优测 试</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102,423,805.</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92,098,257.5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83,465,539.1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34,947,883.1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39,716,284.3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成都东方通 科技有限责 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中间件软件</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33,210,641.7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31,022,086.2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29,327,471.8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11,620,250.1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11,227,791.5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w:t>
            </w:r>
          </w:p>
        </w:tc>
      </w:tr>
      <w:tr>
        <w:trPr>
          <w:trHeight w:val="102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上海东方通 泰软件科技 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中间件软件</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58,209,874.5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55,926,897.3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20,195,940.6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8,799,188.98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9,447,318.91</w:t>
            </w:r>
          </w:p>
        </w:tc>
      </w:tr>
    </w:tbl>
    <w:p>
      <w:pPr>
        <w:pStyle w:val="BodyText"/>
        <w:spacing w:line="240" w:lineRule="auto" w:before="49"/>
        <w:ind w:right="0"/>
        <w:jc w:val="left"/>
      </w:pP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before="44"/>
        <w:ind w:left="0" w:right="155"/>
        <w:jc w:val="right"/>
      </w:pPr>
      <w:r>
        <w:rPr/>
        <w:pict>
          <v:shape style="position:absolute;margin-left:56.400002pt;margin-top:-20.769291pt;width:479.2pt;height:80.9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6"/>
                    <w:gridCol w:w="2837"/>
                    <w:gridCol w:w="3756"/>
                  </w:tblGrid>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北京数字天堂信息科技有限责任公司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自合并日起至报告期末产生净利润</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283.99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北京同德一心科技有限公司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吸收合并</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报告期内，对公司净利润影响较小。</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东方通科技无锡有限公司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报告期内，对公司净利润影响较小。</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57" w:lineRule="auto"/>
        <w:ind w:right="7614"/>
        <w:jc w:val="left"/>
      </w:pPr>
      <w:r>
        <w:rPr/>
        <w:t>主要控股参股公司情况说明 无</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77" w:right="0"/>
        <w:jc w:val="left"/>
      </w:pPr>
      <w:r>
        <w:rPr/>
        <w:t>（一）行业发展趋势</w:t>
      </w:r>
    </w:p>
    <w:p>
      <w:pPr>
        <w:pStyle w:val="BodyText"/>
        <w:spacing w:line="307" w:lineRule="auto" w:before="117"/>
        <w:ind w:right="153" w:firstLine="424"/>
        <w:jc w:val="both"/>
      </w:pPr>
      <w:r>
        <w:rPr>
          <w:rFonts w:ascii="Times New Roman" w:hAnsi="Times New Roman" w:cs="Times New Roman" w:eastAsia="Times New Roman" w:hint="default"/>
          <w:spacing w:val="-2"/>
        </w:rPr>
        <w:t>1</w:t>
      </w:r>
      <w:r>
        <w:rPr>
          <w:spacing w:val="-2"/>
        </w:rPr>
        <w:t>、随着移动互联网、云计算、大数据等的推广应用，软件基础设施目前正处于技术升级换代阶段，敏锐的企业正通过</w:t>
      </w:r>
      <w:r>
        <w:rPr/>
        <w:t> </w:t>
      </w:r>
      <w:r>
        <w:rPr>
          <w:spacing w:val="-2"/>
        </w:rPr>
        <w:t>融合云计算、移动互联网、大数据、物联网等来实现业务创新或再造。新技术改变了以往的信息技术范式，它们正在重新定</w:t>
      </w:r>
      <w:r>
        <w:rPr>
          <w:spacing w:val="-67"/>
        </w:rPr>
        <w:t> </w:t>
      </w:r>
      <w:r>
        <w:rPr>
          <w:spacing w:val="-67"/>
        </w:rPr>
      </w:r>
      <w:r>
        <w:rPr>
          <w:spacing w:val="-2"/>
        </w:rPr>
        <w:t>义数字经济的</w:t>
      </w:r>
      <w:r>
        <w:rPr>
          <w:rFonts w:ascii="Times New Roman" w:hAnsi="Times New Roman" w:cs="Times New Roman" w:eastAsia="Times New Roman" w:hint="default"/>
          <w:spacing w:val="-2"/>
        </w:rPr>
        <w:t>“</w:t>
      </w:r>
      <w:r>
        <w:rPr>
          <w:spacing w:val="-2"/>
        </w:rPr>
        <w:t>软件基础设施</w:t>
      </w:r>
      <w:r>
        <w:rPr>
          <w:rFonts w:ascii="Times New Roman" w:hAnsi="Times New Roman" w:cs="Times New Roman" w:eastAsia="Times New Roman" w:hint="default"/>
          <w:spacing w:val="-2"/>
        </w:rPr>
        <w:t>”</w:t>
      </w:r>
      <w:r>
        <w:rPr>
          <w:spacing w:val="-2"/>
        </w:rPr>
        <w:t>。在新技术浪潮的冲击下，各行各业的用户正在积极筹措采用新的软件基础设施来支撑传统业</w:t>
      </w:r>
      <w:r>
        <w:rPr>
          <w:spacing w:val="-44"/>
        </w:rPr>
        <w:t> </w:t>
      </w:r>
      <w:r>
        <w:rPr>
          <w:spacing w:val="-44"/>
        </w:rPr>
      </w:r>
      <w:r>
        <w:rPr/>
        <w:t>务模式和运作流程的快速变革以拥抱互联网。</w:t>
      </w:r>
    </w:p>
    <w:p>
      <w:pPr>
        <w:pStyle w:val="BodyText"/>
        <w:spacing w:line="300" w:lineRule="auto" w:before="67"/>
        <w:ind w:right="152" w:firstLine="424"/>
        <w:jc w:val="left"/>
      </w:pPr>
      <w:r>
        <w:rPr>
          <w:rFonts w:ascii="Times New Roman" w:hAnsi="Times New Roman" w:cs="Times New Roman" w:eastAsia="Times New Roman" w:hint="default"/>
        </w:rPr>
        <w:t>2</w:t>
      </w:r>
      <w:r>
        <w:rPr/>
        <w:t>、新一代信息技术和</w:t>
      </w:r>
      <w:r>
        <w:rPr>
          <w:rFonts w:ascii="Times New Roman" w:hAnsi="Times New Roman" w:cs="Times New Roman" w:eastAsia="Times New Roman" w:hint="default"/>
        </w:rPr>
        <w:t>5G</w:t>
      </w:r>
      <w:r>
        <w:rPr/>
        <w:t>移动通信技术的发展带来新的发展机遇。随着移动通信网络建设的开展，无线网络优化业务 </w:t>
      </w:r>
      <w:r>
        <w:rPr>
          <w:spacing w:val="-2"/>
        </w:rPr>
        <w:t>将在未来的</w:t>
      </w:r>
      <w:r>
        <w:rPr>
          <w:rFonts w:ascii="Times New Roman" w:hAnsi="Times New Roman" w:cs="Times New Roman" w:eastAsia="Times New Roman" w:hint="default"/>
          <w:spacing w:val="-2"/>
        </w:rPr>
        <w:t>2-3</w:t>
      </w:r>
      <w:r>
        <w:rPr>
          <w:spacing w:val="-2"/>
        </w:rPr>
        <w:t>年内带来一轮新的增长。随着互联网</w:t>
      </w:r>
      <w:r>
        <w:rPr>
          <w:rFonts w:ascii="Times New Roman" w:hAnsi="Times New Roman" w:cs="Times New Roman" w:eastAsia="Times New Roman" w:hint="default"/>
          <w:spacing w:val="-2"/>
        </w:rPr>
        <w:t>+</w:t>
      </w:r>
      <w:r>
        <w:rPr>
          <w:spacing w:val="-2"/>
        </w:rPr>
        <w:t>和中国制造</w:t>
      </w:r>
      <w:r>
        <w:rPr>
          <w:rFonts w:ascii="Times New Roman" w:hAnsi="Times New Roman" w:cs="Times New Roman" w:eastAsia="Times New Roman" w:hint="default"/>
          <w:spacing w:val="-2"/>
        </w:rPr>
        <w:t>2025</w:t>
      </w:r>
      <w:r>
        <w:rPr>
          <w:spacing w:val="-2"/>
        </w:rPr>
        <w:t>计划的实施，标志着中国互联网将与信息通信开始深入</w:t>
      </w:r>
      <w:r>
        <w:rPr>
          <w:spacing w:val="-42"/>
        </w:rPr>
        <w:t> </w:t>
      </w:r>
      <w:r>
        <w:rPr>
          <w:spacing w:val="-42"/>
        </w:rPr>
      </w:r>
      <w:r>
        <w:rPr/>
        <w:t>融合，并加速信息产业的发展。</w:t>
      </w:r>
      <w:r>
        <w:rPr>
          <w:rFonts w:ascii="Times New Roman" w:hAnsi="Times New Roman" w:cs="Times New Roman" w:eastAsia="Times New Roman" w:hint="default"/>
        </w:rPr>
        <w:t>5G</w:t>
      </w:r>
      <w:r>
        <w:rPr/>
        <w:t>移动通信技术的发展，将在移动通信技术领域掀起了新一轮的竞争热潮，也将是无线网 络优化行业一个新的发展机遇。</w:t>
      </w:r>
    </w:p>
    <w:p>
      <w:pPr>
        <w:pStyle w:val="BodyText"/>
        <w:spacing w:line="300" w:lineRule="auto" w:before="70"/>
        <w:ind w:right="0" w:firstLine="424"/>
        <w:jc w:val="left"/>
        <w:rPr>
          <w:rFonts w:ascii="Times New Roman" w:hAnsi="Times New Roman" w:cs="Times New Roman" w:eastAsia="Times New Roman" w:hint="default"/>
        </w:rPr>
      </w:pPr>
      <w:r>
        <w:rPr>
          <w:rFonts w:ascii="Times New Roman" w:hAnsi="Times New Roman" w:cs="Times New Roman" w:eastAsia="Times New Roman" w:hint="default"/>
          <w:spacing w:val="-2"/>
        </w:rPr>
        <w:t>3</w:t>
      </w:r>
      <w:r>
        <w:rPr>
          <w:spacing w:val="-2"/>
        </w:rPr>
        <w:t>、近年来，国家高度重视信息安全，行业发展迅速，市场规模处于持续快速增长的态势。随着用户对信息安全需求的</w:t>
      </w:r>
      <w:r>
        <w:rPr/>
        <w:t> </w:t>
      </w:r>
      <w:r>
        <w:rPr>
          <w:spacing w:val="-2"/>
        </w:rPr>
        <w:t>不断增加，国内信息安全市场未来潜力巨大。根据</w:t>
      </w:r>
      <w:r>
        <w:rPr>
          <w:rFonts w:ascii="Times New Roman" w:hAnsi="Times New Roman" w:cs="Times New Roman" w:eastAsia="Times New Roman" w:hint="default"/>
          <w:spacing w:val="-2"/>
        </w:rPr>
        <w:t>IDC</w:t>
      </w:r>
      <w:r>
        <w:rPr>
          <w:spacing w:val="-2"/>
        </w:rPr>
        <w:t>研究报告预测，到</w:t>
      </w:r>
      <w:r>
        <w:rPr>
          <w:rFonts w:ascii="Times New Roman" w:hAnsi="Times New Roman" w:cs="Times New Roman" w:eastAsia="Times New Roman" w:hint="default"/>
          <w:spacing w:val="-2"/>
        </w:rPr>
        <w:t>2018</w:t>
      </w:r>
      <w:r>
        <w:rPr>
          <w:spacing w:val="-2"/>
        </w:rPr>
        <w:t>年，国内信息安全市场总体规模有望达到</w:t>
      </w:r>
      <w:r>
        <w:rPr>
          <w:rFonts w:ascii="Times New Roman" w:hAnsi="Times New Roman" w:cs="Times New Roman" w:eastAsia="Times New Roman" w:hint="default"/>
          <w:spacing w:val="-2"/>
        </w:rPr>
        <w:t>37.13</w:t>
      </w:r>
      <w:r>
        <w:rPr>
          <w:rFonts w:ascii="Times New Roman" w:hAnsi="Times New Roman" w:cs="Times New Roman" w:eastAsia="Times New Roman" w:hint="default"/>
        </w:rPr>
      </w:r>
    </w:p>
    <w:p>
      <w:pPr>
        <w:spacing w:after="0" w:line="300" w:lineRule="auto"/>
        <w:jc w:val="left"/>
        <w:rPr>
          <w:rFonts w:ascii="Times New Roman" w:hAnsi="Times New Roman" w:cs="Times New Roman" w:eastAsia="Times New Roman" w:hint="default"/>
        </w:rPr>
        <w:sectPr>
          <w:type w:val="continuous"/>
          <w:pgSz w:w="11910" w:h="16840"/>
          <w:pgMar w:top="1060" w:bottom="118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0"/>
        <w:jc w:val="both"/>
      </w:pPr>
      <w:r>
        <w:rPr/>
        <w:t>亿美元，</w:t>
      </w:r>
      <w:r>
        <w:rPr>
          <w:rFonts w:ascii="Times New Roman" w:hAnsi="Times New Roman" w:cs="Times New Roman" w:eastAsia="Times New Roman" w:hint="default"/>
        </w:rPr>
        <w:t>2013</w:t>
      </w:r>
      <w:r>
        <w:rPr/>
        <w:t>年到</w:t>
      </w:r>
      <w:r>
        <w:rPr>
          <w:rFonts w:ascii="Times New Roman" w:hAnsi="Times New Roman" w:cs="Times New Roman" w:eastAsia="Times New Roman" w:hint="default"/>
        </w:rPr>
        <w:t>2018</w:t>
      </w:r>
      <w:r>
        <w:rPr/>
        <w:t>年的复合增长率为</w:t>
      </w:r>
      <w:r>
        <w:rPr>
          <w:rFonts w:ascii="Times New Roman" w:hAnsi="Times New Roman" w:cs="Times New Roman" w:eastAsia="Times New Roman" w:hint="default"/>
        </w:rPr>
        <w:t>14.5%</w:t>
      </w:r>
      <w:r>
        <w:rPr/>
        <w:t>。</w:t>
      </w:r>
    </w:p>
    <w:p>
      <w:pPr>
        <w:pStyle w:val="BodyText"/>
        <w:spacing w:line="357" w:lineRule="auto" w:before="103"/>
        <w:ind w:left="577" w:right="229"/>
        <w:jc w:val="left"/>
      </w:pPr>
      <w:r>
        <w:rPr/>
        <w:t>（二）公司发展战略 公司将继续秉承责任、信任、创新、共赢的核心价值观进行</w:t>
      </w:r>
      <w:r>
        <w:rPr>
          <w:rFonts w:ascii="Times New Roman" w:hAnsi="Times New Roman" w:cs="Times New Roman" w:eastAsia="Times New Roman" w:hint="default"/>
        </w:rPr>
        <w:t>“</w:t>
      </w:r>
      <w:r>
        <w:rPr/>
        <w:t>二次创业</w:t>
      </w:r>
      <w:r>
        <w:rPr>
          <w:rFonts w:ascii="Times New Roman" w:hAnsi="Times New Roman" w:cs="Times New Roman" w:eastAsia="Times New Roman" w:hint="default"/>
        </w:rPr>
        <w:t>”</w:t>
      </w:r>
      <w:r>
        <w:rPr/>
        <w:t>，充分发挥上市公司资本平台优势，采用内生</w:t>
      </w:r>
    </w:p>
    <w:p>
      <w:pPr>
        <w:pStyle w:val="BodyText"/>
        <w:spacing w:line="201" w:lineRule="exact"/>
        <w:ind w:right="0"/>
        <w:jc w:val="both"/>
      </w:pPr>
      <w:r>
        <w:rPr>
          <w:spacing w:val="-4"/>
        </w:rPr>
        <w:t>与外延并举的方式，在保障现有业务稳步发展的基础上，放眼全球，在新经济、新业务领域积极探索，进一步打开市场空间，</w:t>
      </w:r>
    </w:p>
    <w:p>
      <w:pPr>
        <w:pStyle w:val="BodyText"/>
        <w:spacing w:line="240" w:lineRule="auto" w:before="76"/>
        <w:ind w:right="0"/>
        <w:jc w:val="both"/>
      </w:pPr>
      <w:r>
        <w:rPr/>
        <w:t>促进公司快速成长，为客户创造价值、为员工创造幸福、为股东创造利益、为社会做出贡献。</w:t>
      </w:r>
    </w:p>
    <w:p>
      <w:pPr>
        <w:pStyle w:val="BodyText"/>
        <w:spacing w:line="340" w:lineRule="auto" w:before="117"/>
        <w:ind w:left="577" w:right="209"/>
        <w:jc w:val="left"/>
      </w:pPr>
      <w:r>
        <w:rPr/>
        <w:t>（三）公司</w:t>
      </w:r>
      <w:r>
        <w:rPr>
          <w:rFonts w:ascii="Times New Roman" w:hAnsi="Times New Roman" w:cs="Times New Roman" w:eastAsia="Times New Roman" w:hint="default"/>
        </w:rPr>
        <w:t>2016</w:t>
      </w:r>
      <w:r>
        <w:rPr/>
        <w:t>年经营计划 公司通过上市后一系列的投资布局及内部管理提升，现已形成基础软件产品、无线网络优化软件、大数据信息安全等</w:t>
      </w:r>
    </w:p>
    <w:p>
      <w:pPr>
        <w:pStyle w:val="BodyText"/>
        <w:spacing w:line="300" w:lineRule="auto" w:before="1"/>
        <w:ind w:right="190"/>
        <w:jc w:val="both"/>
      </w:pPr>
      <w:r>
        <w:rPr>
          <w:spacing w:val="-2"/>
        </w:rPr>
        <w:t>三个成熟业务板块，以及政务大数据应用、移动信息化解决方案等两个新兴培育业务板块的格局，预计</w:t>
      </w:r>
      <w:r>
        <w:rPr>
          <w:rFonts w:ascii="Times New Roman" w:hAnsi="Times New Roman" w:cs="Times New Roman" w:eastAsia="Times New Roman" w:hint="default"/>
          <w:spacing w:val="-2"/>
        </w:rPr>
        <w:t>2016</w:t>
      </w:r>
      <w:r>
        <w:rPr>
          <w:spacing w:val="-2"/>
        </w:rPr>
        <w:t>年业绩将加速增</w:t>
      </w:r>
      <w:r>
        <w:rPr>
          <w:spacing w:val="-61"/>
        </w:rPr>
        <w:t> </w:t>
      </w:r>
      <w:r>
        <w:rPr>
          <w:spacing w:val="-61"/>
        </w:rPr>
      </w:r>
      <w:r>
        <w:rPr>
          <w:spacing w:val="-2"/>
        </w:rPr>
        <w:t>长。公司计划</w:t>
      </w:r>
      <w:r>
        <w:rPr>
          <w:rFonts w:ascii="Times New Roman" w:hAnsi="Times New Roman" w:cs="Times New Roman" w:eastAsia="Times New Roman" w:hint="default"/>
          <w:spacing w:val="-2"/>
        </w:rPr>
        <w:t>2016</w:t>
      </w:r>
      <w:r>
        <w:rPr>
          <w:spacing w:val="-2"/>
        </w:rPr>
        <w:t>年度，在保障现有各业务板块稳步发展的基础上，积极寻求收购优质资产，持续提升公司运营效率，为公</w:t>
      </w:r>
      <w:r>
        <w:rPr>
          <w:spacing w:val="-65"/>
        </w:rPr>
        <w:t> </w:t>
      </w:r>
      <w:r>
        <w:rPr>
          <w:spacing w:val="-65"/>
        </w:rPr>
      </w:r>
      <w:r>
        <w:rPr/>
        <w:t>司未来几年持续快速发展奠定基础。</w:t>
      </w:r>
    </w:p>
    <w:p>
      <w:pPr>
        <w:pStyle w:val="BodyText"/>
        <w:spacing w:line="340" w:lineRule="auto" w:before="70"/>
        <w:ind w:left="577" w:right="209"/>
        <w:jc w:val="left"/>
      </w:pPr>
      <w:r>
        <w:rPr>
          <w:rFonts w:ascii="Times New Roman" w:hAnsi="Times New Roman" w:cs="Times New Roman" w:eastAsia="Times New Roman" w:hint="default"/>
        </w:rPr>
        <w:t>1</w:t>
      </w:r>
      <w:r>
        <w:rPr/>
        <w:t>、基础软件产品业务板块 基础软件产品业务包含传统中间件及虚拟化产品业务。在传统中间件产品业务领域，公司将积极把握基础软件国产化</w:t>
      </w:r>
    </w:p>
    <w:p>
      <w:pPr>
        <w:pStyle w:val="BodyText"/>
        <w:spacing w:line="316" w:lineRule="auto" w:before="1"/>
        <w:ind w:right="190"/>
        <w:jc w:val="both"/>
      </w:pPr>
      <w:r>
        <w:rPr>
          <w:spacing w:val="-2"/>
        </w:rPr>
        <w:t>趋势，加大市场拓展力度，重点布局国家部委、军工等核心业务条线；产品研发将重点投入打造核心产品差异化竞争优势及</w:t>
      </w:r>
      <w:r>
        <w:rPr>
          <w:spacing w:val="-64"/>
        </w:rPr>
        <w:t> </w:t>
      </w:r>
      <w:r>
        <w:rPr>
          <w:spacing w:val="-64"/>
        </w:rPr>
      </w:r>
      <w:r>
        <w:rPr>
          <w:spacing w:val="-2"/>
        </w:rPr>
        <w:t>在云环境下的技术升级，提升产品市场竞争力。与此同时，公司将加大中间件产品品牌的宣传力度，进一步扩大国产基础软</w:t>
      </w:r>
      <w:r>
        <w:rPr>
          <w:spacing w:val="-64"/>
        </w:rPr>
        <w:t> </w:t>
      </w:r>
      <w:r>
        <w:rPr>
          <w:spacing w:val="-64"/>
        </w:rPr>
      </w:r>
      <w:r>
        <w:rPr>
          <w:spacing w:val="-2"/>
        </w:rPr>
        <w:t>件龙头的品牌优势，支撑中间件业务的稳步发展。在虚拟化软件产品业务方面，公司将重点推进与重要合作伙伴及知名服务</w:t>
      </w:r>
      <w:r>
        <w:rPr>
          <w:spacing w:val="-63"/>
        </w:rPr>
        <w:t> </w:t>
      </w:r>
      <w:r>
        <w:rPr>
          <w:spacing w:val="-63"/>
        </w:rPr>
      </w:r>
      <w:r>
        <w:rPr/>
        <w:t>器设备厂商的战略合作，拓宽销售渠道，力争在营收上实现量的突破。</w:t>
      </w:r>
    </w:p>
    <w:p>
      <w:pPr>
        <w:pStyle w:val="BodyText"/>
        <w:spacing w:line="338" w:lineRule="auto" w:before="59"/>
        <w:ind w:left="577" w:right="179"/>
        <w:jc w:val="left"/>
      </w:pPr>
      <w:r>
        <w:rPr>
          <w:rFonts w:ascii="Times New Roman" w:hAnsi="Times New Roman" w:cs="Times New Roman" w:eastAsia="Times New Roman" w:hint="default"/>
        </w:rPr>
        <w:t>2</w:t>
      </w:r>
      <w:r>
        <w:rPr/>
        <w:t>、网络优化软件业务板块 抓住电信运营商全面开展</w:t>
      </w:r>
      <w:r>
        <w:rPr>
          <w:rFonts w:ascii="Times New Roman" w:hAnsi="Times New Roman" w:cs="Times New Roman" w:eastAsia="Times New Roman" w:hint="default"/>
        </w:rPr>
        <w:t>4G</w:t>
      </w:r>
      <w:r>
        <w:rPr/>
        <w:t>网络的大规模建设有利时机，惠捷朗将利用主打产品</w:t>
      </w:r>
      <w:r>
        <w:rPr>
          <w:rFonts w:ascii="Times New Roman" w:hAnsi="Times New Roman" w:cs="Times New Roman" w:eastAsia="Times New Roman" w:hint="default"/>
        </w:rPr>
        <w:t>CDS</w:t>
      </w:r>
      <w:r>
        <w:rPr/>
        <w:t>在网优测试软件市场上的竞争优</w:t>
      </w:r>
    </w:p>
    <w:p>
      <w:pPr>
        <w:pStyle w:val="BodyText"/>
        <w:spacing w:line="217" w:lineRule="exact"/>
        <w:ind w:right="0"/>
        <w:jc w:val="both"/>
      </w:pPr>
      <w:r>
        <w:rPr/>
        <w:t>势，在三大运营商、四大设备商以及重点网络服务外包上发力，巩固市场的领先地位。同时在产品的售后服务及需求跟踪方</w:t>
      </w:r>
    </w:p>
    <w:p>
      <w:pPr>
        <w:pStyle w:val="BodyText"/>
        <w:spacing w:line="240" w:lineRule="auto" w:before="76"/>
        <w:ind w:right="0"/>
        <w:jc w:val="both"/>
      </w:pPr>
      <w:r>
        <w:rPr/>
        <w:t>面积极投入，提高用户满意度。此外，除在用户新需求上布局产品新功能研发外，积极跟踪国内外新技术动向，在</w:t>
      </w:r>
      <w:r>
        <w:rPr>
          <w:rFonts w:ascii="Times New Roman" w:hAnsi="Times New Roman" w:cs="Times New Roman" w:eastAsia="Times New Roman" w:hint="default"/>
        </w:rPr>
        <w:t>4G+</w:t>
      </w:r>
      <w:r>
        <w:rPr/>
        <w:t>以及</w:t>
      </w:r>
    </w:p>
    <w:p>
      <w:pPr>
        <w:pStyle w:val="BodyText"/>
        <w:spacing w:line="240" w:lineRule="auto" w:before="63"/>
        <w:ind w:right="0"/>
        <w:jc w:val="both"/>
      </w:pPr>
      <w:r>
        <w:rPr>
          <w:rFonts w:ascii="Times New Roman" w:hAnsi="Times New Roman" w:cs="Times New Roman" w:eastAsia="Times New Roman" w:hint="default"/>
        </w:rPr>
        <w:t>5G</w:t>
      </w:r>
      <w:r>
        <w:rPr/>
        <w:t>的研发调研上作出前瞻性安排。</w:t>
      </w:r>
    </w:p>
    <w:p>
      <w:pPr>
        <w:pStyle w:val="BodyText"/>
        <w:spacing w:line="340" w:lineRule="auto" w:before="103"/>
        <w:ind w:left="577" w:right="0"/>
        <w:jc w:val="left"/>
      </w:pPr>
      <w:r>
        <w:rPr>
          <w:rFonts w:ascii="Times New Roman" w:hAnsi="Times New Roman" w:cs="Times New Roman" w:eastAsia="Times New Roman" w:hint="default"/>
        </w:rPr>
        <w:t>3</w:t>
      </w:r>
      <w:r>
        <w:rPr/>
        <w:t>、大数据信息安全业务板块 </w:t>
      </w:r>
      <w:r>
        <w:rPr>
          <w:spacing w:val="-2"/>
        </w:rPr>
        <w:t>预计在上半年完成对微智信业的收购工作。微智信业专注于大数据信息安全、人工智能领域，核心技术包括</w:t>
      </w:r>
      <w:r>
        <w:rPr>
          <w:rFonts w:ascii="Times New Roman" w:hAnsi="Times New Roman" w:cs="Times New Roman" w:eastAsia="Times New Roman" w:hint="default"/>
          <w:spacing w:val="-2"/>
        </w:rPr>
        <w:t>DPI</w:t>
      </w:r>
      <w:r>
        <w:rPr>
          <w:spacing w:val="-2"/>
        </w:rPr>
        <w:t>数据采</w:t>
      </w:r>
    </w:p>
    <w:p>
      <w:pPr>
        <w:pStyle w:val="BodyText"/>
        <w:spacing w:line="228" w:lineRule="exact"/>
        <w:ind w:right="0"/>
        <w:jc w:val="both"/>
      </w:pPr>
      <w:r>
        <w:rPr/>
        <w:t>集、人工智能深度分析、内容模式识别、大数据处理等。</w:t>
      </w:r>
      <w:r>
        <w:rPr>
          <w:rFonts w:ascii="Times New Roman" w:hAnsi="Times New Roman" w:cs="Times New Roman" w:eastAsia="Times New Roman" w:hint="default"/>
        </w:rPr>
        <w:t>2016</w:t>
      </w:r>
      <w:r>
        <w:rPr/>
        <w:t>年，将依托在三大电信运营商数据采集市场的优势，逐步完善</w:t>
      </w:r>
    </w:p>
    <w:p>
      <w:pPr>
        <w:pStyle w:val="BodyText"/>
        <w:spacing w:line="309" w:lineRule="auto" w:before="63"/>
        <w:ind w:right="190"/>
        <w:jc w:val="both"/>
      </w:pPr>
      <w:r>
        <w:rPr>
          <w:spacing w:val="-2"/>
        </w:rPr>
        <w:t>海量数据采集、大数据多维度建模、计算机人工智能各种识别技术，针对互联网、移动互联网安全领域提供整个数据技术链</w:t>
      </w:r>
      <w:r>
        <w:rPr>
          <w:spacing w:val="-64"/>
        </w:rPr>
        <w:t> </w:t>
      </w:r>
      <w:r>
        <w:rPr>
          <w:spacing w:val="-64"/>
        </w:rPr>
      </w:r>
      <w:r>
        <w:rPr>
          <w:spacing w:val="-1"/>
        </w:rPr>
        <w:t>条的解决方案。积极拓展配合工信部等政府监管部门对全网</w:t>
      </w:r>
      <w:r>
        <w:rPr>
          <w:rFonts w:ascii="Times New Roman" w:hAnsi="Times New Roman" w:cs="Times New Roman" w:eastAsia="Times New Roman" w:hint="default"/>
          <w:spacing w:val="-1"/>
        </w:rPr>
        <w:t>IDC</w:t>
      </w:r>
      <w:r>
        <w:rPr>
          <w:spacing w:val="-1"/>
        </w:rPr>
        <w:t>数据进行有效的监控、管理方向的业务，支撑公司业务快速</w:t>
      </w:r>
      <w:r>
        <w:rPr>
          <w:spacing w:val="-67"/>
        </w:rPr>
        <w:t> </w:t>
      </w:r>
      <w:r>
        <w:rPr>
          <w:spacing w:val="-67"/>
        </w:rPr>
      </w:r>
      <w:r>
        <w:rPr/>
        <w:t>发展。</w:t>
      </w:r>
    </w:p>
    <w:p>
      <w:pPr>
        <w:pStyle w:val="BodyText"/>
        <w:spacing w:line="240" w:lineRule="auto" w:before="62"/>
        <w:ind w:left="577" w:right="0"/>
        <w:jc w:val="left"/>
      </w:pPr>
      <w:r>
        <w:rPr>
          <w:rFonts w:ascii="Times New Roman" w:hAnsi="Times New Roman" w:cs="Times New Roman" w:eastAsia="Times New Roman" w:hint="default"/>
        </w:rPr>
        <w:t>4</w:t>
      </w:r>
      <w:r>
        <w:rPr/>
        <w:t>、企业移动互联网业务板块</w:t>
      </w:r>
    </w:p>
    <w:p>
      <w:pPr>
        <w:pStyle w:val="BodyText"/>
        <w:spacing w:line="300" w:lineRule="auto" w:before="103"/>
        <w:ind w:right="210" w:firstLine="424"/>
        <w:jc w:val="both"/>
      </w:pPr>
      <w:r>
        <w:rPr>
          <w:rFonts w:ascii="Times New Roman" w:hAnsi="Times New Roman" w:cs="Times New Roman" w:eastAsia="Times New Roman" w:hint="default"/>
        </w:rPr>
        <w:t>2016</w:t>
      </w:r>
      <w:r>
        <w:rPr/>
        <w:t>年，数字天堂将加速下一代移动中间件</w:t>
      </w:r>
      <w:r>
        <w:rPr>
          <w:rFonts w:ascii="Times New Roman" w:hAnsi="Times New Roman" w:cs="Times New Roman" w:eastAsia="Times New Roman" w:hint="default"/>
        </w:rPr>
        <w:t>“MKey6</w:t>
      </w:r>
      <w:r>
        <w:rPr/>
        <w:t>移动云平台</w:t>
      </w:r>
      <w:r>
        <w:rPr>
          <w:rFonts w:ascii="Times New Roman" w:hAnsi="Times New Roman" w:cs="Times New Roman" w:eastAsia="Times New Roman" w:hint="default"/>
        </w:rPr>
        <w:t>”</w:t>
      </w:r>
      <w:r>
        <w:rPr/>
        <w:t>开发及市场推广，继续深入金融和能源等垂直行业的 深度定制解决方案，真正实现</w:t>
      </w:r>
      <w:r>
        <w:rPr>
          <w:rFonts w:ascii="Times New Roman" w:hAnsi="Times New Roman" w:cs="Times New Roman" w:eastAsia="Times New Roman" w:hint="default"/>
        </w:rPr>
        <w:t>“</w:t>
      </w:r>
      <w:r>
        <w:rPr/>
        <w:t>移动互联网</w:t>
      </w:r>
      <w:r>
        <w:rPr>
          <w:rFonts w:ascii="Times New Roman" w:hAnsi="Times New Roman" w:cs="Times New Roman" w:eastAsia="Times New Roman" w:hint="default"/>
        </w:rPr>
        <w:t>+”</w:t>
      </w:r>
      <w:r>
        <w:rPr/>
        <w:t>核心业务。升级现有业务模型，结合已沉淀的上亿可到达用户大数据等运营资 源，对企业的</w:t>
      </w:r>
      <w:r>
        <w:rPr>
          <w:rFonts w:ascii="Times New Roman" w:hAnsi="Times New Roman" w:cs="Times New Roman" w:eastAsia="Times New Roman" w:hint="default"/>
        </w:rPr>
        <w:t>2B2C</w:t>
      </w:r>
      <w:r>
        <w:rPr/>
        <w:t>移动业务进行有效分发和精准营销，成为企业</w:t>
      </w:r>
      <w:r>
        <w:rPr>
          <w:rFonts w:ascii="Times New Roman" w:hAnsi="Times New Roman" w:cs="Times New Roman" w:eastAsia="Times New Roman" w:hint="default"/>
        </w:rPr>
        <w:t>“</w:t>
      </w:r>
      <w:r>
        <w:rPr/>
        <w:t>移动互联网</w:t>
      </w:r>
      <w:r>
        <w:rPr>
          <w:rFonts w:ascii="Times New Roman" w:hAnsi="Times New Roman" w:cs="Times New Roman" w:eastAsia="Times New Roman" w:hint="default"/>
        </w:rPr>
        <w:t>+”</w:t>
      </w:r>
      <w:r>
        <w:rPr/>
        <w:t>最佳伙伴。</w:t>
      </w:r>
    </w:p>
    <w:p>
      <w:pPr>
        <w:pStyle w:val="BodyText"/>
        <w:spacing w:line="338" w:lineRule="auto" w:before="53"/>
        <w:ind w:left="577" w:right="0"/>
        <w:jc w:val="left"/>
      </w:pPr>
      <w:r>
        <w:rPr>
          <w:rFonts w:ascii="Times New Roman" w:hAnsi="Times New Roman" w:cs="Times New Roman" w:eastAsia="Times New Roman" w:hint="default"/>
        </w:rPr>
        <w:t>5</w:t>
      </w:r>
      <w:r>
        <w:rPr/>
        <w:t>、政务大数据应用业务板块 </w:t>
      </w:r>
      <w:r>
        <w:rPr>
          <w:spacing w:val="-2"/>
        </w:rPr>
        <w:t>公司将持续培育政务大数据应用业务的发展。</w:t>
      </w:r>
      <w:r>
        <w:rPr>
          <w:rFonts w:ascii="Times New Roman" w:hAnsi="Times New Roman" w:cs="Times New Roman" w:eastAsia="Times New Roman" w:hint="default"/>
          <w:spacing w:val="-2"/>
        </w:rPr>
        <w:t>2016</w:t>
      </w:r>
      <w:r>
        <w:rPr>
          <w:spacing w:val="-2"/>
        </w:rPr>
        <w:t>年，公司计划完成政务大数据应用业务与基础软件产品业务的分离，</w:t>
      </w:r>
    </w:p>
    <w:p>
      <w:pPr>
        <w:pStyle w:val="BodyText"/>
        <w:spacing w:line="230" w:lineRule="exact"/>
        <w:ind w:right="0"/>
        <w:jc w:val="both"/>
      </w:pPr>
      <w:r>
        <w:rPr/>
        <w:t>为其独立发展提供更大的空间。与此同时，公司计划在条件成熟时探索员工参股，建立</w:t>
      </w:r>
      <w:r>
        <w:rPr>
          <w:rFonts w:ascii="Times New Roman" w:hAnsi="Times New Roman" w:cs="Times New Roman" w:eastAsia="Times New Roman" w:hint="default"/>
        </w:rPr>
        <w:t>“</w:t>
      </w:r>
      <w:r>
        <w:rPr/>
        <w:t>合伙人</w:t>
      </w:r>
      <w:r>
        <w:rPr>
          <w:rFonts w:ascii="Times New Roman" w:hAnsi="Times New Roman" w:cs="Times New Roman" w:eastAsia="Times New Roman" w:hint="default"/>
        </w:rPr>
        <w:t>”</w:t>
      </w:r>
      <w:r>
        <w:rPr/>
        <w:t>管理机制，充分调动员工主</w:t>
      </w:r>
    </w:p>
    <w:p>
      <w:pPr>
        <w:pStyle w:val="BodyText"/>
        <w:spacing w:line="240" w:lineRule="auto" w:before="63"/>
        <w:ind w:right="0"/>
        <w:jc w:val="both"/>
      </w:pPr>
      <w:r>
        <w:rPr/>
        <w:t>观能动性，促进业务板块的发展。</w:t>
      </w:r>
    </w:p>
    <w:p>
      <w:pPr>
        <w:pStyle w:val="BodyText"/>
        <w:spacing w:line="240" w:lineRule="auto" w:before="117"/>
        <w:ind w:left="577" w:right="0"/>
        <w:jc w:val="left"/>
      </w:pPr>
      <w:r>
        <w:rPr>
          <w:rFonts w:ascii="Times New Roman" w:hAnsi="Times New Roman" w:cs="Times New Roman" w:eastAsia="Times New Roman" w:hint="default"/>
        </w:rPr>
        <w:t>6</w:t>
      </w:r>
      <w:r>
        <w:rPr/>
        <w:t>、积极做好并购整合，持续探索外延并购</w:t>
      </w:r>
    </w:p>
    <w:p>
      <w:pPr>
        <w:pStyle w:val="BodyText"/>
        <w:spacing w:line="312" w:lineRule="auto" w:before="103"/>
        <w:ind w:right="193" w:firstLine="424"/>
        <w:jc w:val="both"/>
      </w:pPr>
      <w:r>
        <w:rPr>
          <w:rFonts w:ascii="Times New Roman" w:hAnsi="Times New Roman" w:cs="Times New Roman" w:eastAsia="Times New Roman" w:hint="default"/>
        </w:rPr>
        <w:t>2016</w:t>
      </w:r>
      <w:r>
        <w:rPr/>
        <w:t>年公司将建立完善各业务板块之间的沟通机制，形成统一后台管理体系，加强前端业务协同；着力为惠捷朗业绩 </w:t>
      </w:r>
      <w:r>
        <w:rPr>
          <w:spacing w:val="-2"/>
        </w:rPr>
        <w:t>承诺期满后与公司的全面融合做好准备，保持其良好盈利能力；支持以数字天堂为平台，在移动互联网领域积极探索创新业</w:t>
      </w:r>
      <w:r>
        <w:rPr>
          <w:spacing w:val="-65"/>
        </w:rPr>
        <w:t> </w:t>
      </w:r>
      <w:r>
        <w:rPr>
          <w:spacing w:val="-65"/>
        </w:rPr>
      </w:r>
      <w:r>
        <w:rPr>
          <w:spacing w:val="-2"/>
        </w:rPr>
        <w:t>务模式。放眼全球，在新经济、新业务领域积极探索，寻求并购优质资产，进一步打开市场空间，提升公司盈利能力，为公</w:t>
      </w:r>
      <w:r>
        <w:rPr>
          <w:spacing w:val="-73"/>
        </w:rPr>
        <w:t> </w:t>
      </w:r>
      <w:r>
        <w:rPr>
          <w:spacing w:val="-73"/>
        </w:rPr>
      </w:r>
      <w:r>
        <w:rPr/>
        <w:t>司的可持续快速发展奠定基础。</w:t>
      </w:r>
    </w:p>
    <w:p>
      <w:pPr>
        <w:pStyle w:val="BodyText"/>
        <w:spacing w:line="340" w:lineRule="auto" w:before="61"/>
        <w:ind w:left="577" w:right="209"/>
        <w:jc w:val="left"/>
      </w:pPr>
      <w:r>
        <w:rPr>
          <w:rFonts w:ascii="Times New Roman" w:hAnsi="Times New Roman" w:cs="Times New Roman" w:eastAsia="Times New Roman" w:hint="default"/>
        </w:rPr>
        <w:t>7</w:t>
      </w:r>
      <w:r>
        <w:rPr/>
        <w:t>、初步建立集团公司管理体系 完成上市公司管理与公司初始业务管理的逻辑分离，初步建立集团公司管理体系，加强各业务板块协同，支撑公司整</w:t>
      </w:r>
    </w:p>
    <w:p>
      <w:pPr>
        <w:spacing w:after="0" w:line="340" w:lineRule="auto"/>
        <w:jc w:val="left"/>
        <w:sectPr>
          <w:footerReference w:type="default" r:id="rId31"/>
          <w:pgSz w:w="11910" w:h="16840"/>
          <w:pgMar w:footer="982" w:header="745" w:top="1060" w:bottom="1180" w:left="980" w:right="940"/>
          <w:pgNumType w:start="3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体业务发展。</w:t>
      </w:r>
    </w:p>
    <w:p>
      <w:pPr>
        <w:pStyle w:val="BodyText"/>
        <w:spacing w:line="338" w:lineRule="auto" w:before="117"/>
        <w:ind w:left="577" w:right="179"/>
        <w:jc w:val="left"/>
      </w:pPr>
      <w:r>
        <w:rPr>
          <w:rFonts w:ascii="Times New Roman" w:hAnsi="Times New Roman" w:cs="Times New Roman" w:eastAsia="Times New Roman" w:hint="default"/>
        </w:rPr>
        <w:t>8</w:t>
      </w:r>
      <w:r>
        <w:rPr/>
        <w:t>、继续加强品牌和渠道建设 持续加强品牌建设，重点在商业、财经、</w:t>
      </w:r>
      <w:r>
        <w:rPr>
          <w:rFonts w:ascii="Times New Roman" w:hAnsi="Times New Roman" w:cs="Times New Roman" w:eastAsia="Times New Roman" w:hint="default"/>
        </w:rPr>
        <w:t>IT</w:t>
      </w:r>
      <w:r>
        <w:rPr/>
        <w:t>、互联网新兴媒体中强化内容营销投放。在产品、行业和渠道市场方面，</w:t>
      </w:r>
    </w:p>
    <w:p>
      <w:pPr>
        <w:pStyle w:val="BodyText"/>
        <w:spacing w:line="230" w:lineRule="exact"/>
        <w:ind w:right="0"/>
        <w:jc w:val="left"/>
      </w:pPr>
      <w:r>
        <w:rPr/>
        <w:t>继续强化在政府、金融、电信、交通、军工等优势行业用户市场拓展力度，以</w:t>
      </w:r>
      <w:r>
        <w:rPr>
          <w:rFonts w:ascii="Times New Roman" w:hAnsi="Times New Roman" w:cs="Times New Roman" w:eastAsia="Times New Roman" w:hint="default"/>
        </w:rPr>
        <w:t>TONG</w:t>
      </w:r>
      <w:r>
        <w:rPr>
          <w:rFonts w:ascii="Times New Roman" w:hAnsi="Times New Roman" w:cs="Times New Roman" w:eastAsia="Times New Roman" w:hint="default"/>
          <w:spacing w:val="-3"/>
        </w:rPr>
        <w:t> </w:t>
      </w:r>
      <w:r>
        <w:rPr>
          <w:rFonts w:ascii="Times New Roman" w:hAnsi="Times New Roman" w:cs="Times New Roman" w:eastAsia="Times New Roman" w:hint="default"/>
        </w:rPr>
        <w:t>PLUS</w:t>
      </w:r>
      <w:r>
        <w:rPr/>
        <w:t>活动品牌为主，自主召开及参与</w:t>
      </w:r>
    </w:p>
    <w:p>
      <w:pPr>
        <w:pStyle w:val="BodyText"/>
        <w:spacing w:line="316" w:lineRule="auto" w:before="63"/>
        <w:ind w:right="0"/>
        <w:jc w:val="left"/>
      </w:pPr>
      <w:r>
        <w:rPr>
          <w:spacing w:val="-2"/>
        </w:rPr>
        <w:t>第三方市场活动，区域覆盖华北、华东、华南和华西，树立更多标杆案例，促进销售转化。积极探索运用社会化营销、数字</w:t>
      </w:r>
      <w:r>
        <w:rPr>
          <w:spacing w:val="-72"/>
        </w:rPr>
        <w:t> </w:t>
      </w:r>
      <w:r>
        <w:rPr>
          <w:spacing w:val="-72"/>
        </w:rPr>
      </w:r>
      <w:r>
        <w:rPr/>
        <w:t>技术营销等新兴推广手段，以获取销售线索为导向，将市场与销售有机结合。</w:t>
      </w:r>
    </w:p>
    <w:p>
      <w:pPr>
        <w:pStyle w:val="BodyText"/>
        <w:spacing w:line="340" w:lineRule="auto" w:before="59"/>
        <w:ind w:left="577" w:right="169"/>
        <w:jc w:val="left"/>
      </w:pPr>
      <w:r>
        <w:rPr>
          <w:rFonts w:ascii="Times New Roman" w:hAnsi="Times New Roman" w:cs="Times New Roman" w:eastAsia="Times New Roman" w:hint="default"/>
        </w:rPr>
        <w:t>9</w:t>
      </w:r>
      <w:r>
        <w:rPr/>
        <w:t>、推进非公开发行，完成对微智信业的股权并购，做好募集资金管理 截止本报告日，公司非公开发行股票申请已获得中国证监会发行审核委员会审核通过，尚未收到正式核准批复文件。</w:t>
      </w:r>
    </w:p>
    <w:p>
      <w:pPr>
        <w:pStyle w:val="BodyText"/>
        <w:spacing w:line="316" w:lineRule="auto" w:before="1"/>
        <w:ind w:right="0"/>
        <w:jc w:val="left"/>
      </w:pPr>
      <w:r>
        <w:rPr>
          <w:spacing w:val="-2"/>
        </w:rPr>
        <w:t>公司将与中介机构密切配合，积极推进发行工作，并尽快完成对微智信业的股权并购，将其纳入公司合并财务报表范围。并</w:t>
      </w:r>
      <w:r>
        <w:rPr>
          <w:spacing w:val="-64"/>
        </w:rPr>
        <w:t> </w:t>
      </w:r>
      <w:r>
        <w:rPr>
          <w:spacing w:val="-64"/>
        </w:rPr>
      </w:r>
      <w:r>
        <w:rPr/>
        <w:t>且按照公司《募集资金管理制度》和相关监管要求，做好募集资金开户和专户管理等工作，最大限度发挥资金使用效率。</w:t>
      </w:r>
    </w:p>
    <w:p>
      <w:pPr>
        <w:pStyle w:val="BodyText"/>
        <w:spacing w:line="340" w:lineRule="auto" w:before="57"/>
        <w:ind w:left="577" w:right="169"/>
        <w:jc w:val="left"/>
      </w:pPr>
      <w:r>
        <w:rPr>
          <w:rFonts w:ascii="Times New Roman" w:hAnsi="Times New Roman" w:cs="Times New Roman" w:eastAsia="Times New Roman" w:hint="default"/>
        </w:rPr>
        <w:t>10</w:t>
      </w:r>
      <w:r>
        <w:rPr/>
        <w:t>、做好</w:t>
      </w:r>
      <w:r>
        <w:rPr>
          <w:rFonts w:ascii="Times New Roman" w:hAnsi="Times New Roman" w:cs="Times New Roman" w:eastAsia="Times New Roman" w:hint="default"/>
        </w:rPr>
        <w:t>2015</w:t>
      </w:r>
      <w:r>
        <w:rPr/>
        <w:t>年首期员工股票期权行权工作 计划</w:t>
      </w:r>
      <w:r>
        <w:rPr>
          <w:rFonts w:ascii="Times New Roman" w:hAnsi="Times New Roman" w:cs="Times New Roman" w:eastAsia="Times New Roman" w:hint="default"/>
        </w:rPr>
        <w:t>2016</w:t>
      </w:r>
      <w:r>
        <w:rPr/>
        <w:t>年第二季度完成首期股票期权的最终人员和期权份额确认、证券开户、期权登记等事宜。推进行权工作，为</w:t>
      </w:r>
    </w:p>
    <w:p>
      <w:pPr>
        <w:pStyle w:val="BodyText"/>
        <w:spacing w:line="215" w:lineRule="exact"/>
        <w:ind w:right="0"/>
        <w:jc w:val="left"/>
      </w:pPr>
      <w:r>
        <w:rPr/>
        <w:t>员工做好行权配套服务。适时研究推出二期股权激励计划。</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8"/>
        <w:jc w:val="center"/>
        <w:rPr>
          <w:b w:val="0"/>
          <w:bCs w:val="0"/>
        </w:rPr>
      </w:pPr>
      <w:bookmarkStart w:name="_TOC_250006" w:id="60"/>
      <w:bookmarkStart w:name="第五节 重要事项" w:id="61"/>
      <w:r>
        <w:rPr>
          <w:b w:val="0"/>
          <w:bCs w:val="0"/>
        </w:rPr>
      </w:r>
      <w:r>
        <w:rPr/>
        <w:t>第五节</w:t>
      </w:r>
      <w:r>
        <w:rPr>
          <w:spacing w:val="-4"/>
        </w:rPr>
        <w:t> </w:t>
      </w:r>
      <w:r>
        <w:rPr/>
        <w:t>重要事项</w:t>
      </w:r>
      <w:bookmarkEnd w:id="60"/>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12"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报告期内，公司严格按照公司章程的规定执行利润分配政策，分红标准和分红比例明确、清晰，相关的决策程序和机制</w:t>
      </w:r>
    </w:p>
    <w:p>
      <w:pPr>
        <w:pStyle w:val="BodyText"/>
        <w:spacing w:line="316" w:lineRule="auto" w:before="2"/>
        <w:ind w:right="0"/>
        <w:jc w:val="left"/>
      </w:pPr>
      <w:r>
        <w:rPr>
          <w:spacing w:val="-2"/>
        </w:rPr>
        <w:t>完备；相关议案经由公司董事会、监事会审议后提交股东大会审议，公司独立董事发表了独立意见；并在分配方案审议通过</w:t>
      </w:r>
      <w:r>
        <w:rPr>
          <w:spacing w:val="-65"/>
        </w:rPr>
        <w:t> </w:t>
      </w:r>
      <w:r>
        <w:rPr>
          <w:spacing w:val="-65"/>
        </w:rPr>
      </w:r>
      <w:r>
        <w:rPr/>
        <w:t>后的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个月内进行了权益分派，保证了全体股东的利益。</w:t>
      </w:r>
    </w:p>
    <w:p>
      <w:pPr>
        <w:pStyle w:val="BodyText"/>
        <w:spacing w:line="316" w:lineRule="auto"/>
        <w:ind w:left="153" w:right="94" w:firstLine="359"/>
        <w:jc w:val="left"/>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w:t>
      </w:r>
      <w:r>
        <w:rPr/>
        <w:t>日召开的</w:t>
      </w:r>
      <w:r>
        <w:rPr>
          <w:rFonts w:ascii="宋体" w:hAnsi="宋体" w:cs="宋体" w:eastAsia="宋体" w:hint="default"/>
        </w:rPr>
        <w:t>2014</w:t>
      </w:r>
      <w:r>
        <w:rPr/>
        <w:t>年度股东大会审议通过了</w:t>
      </w:r>
      <w:r>
        <w:rPr>
          <w:rFonts w:ascii="宋体" w:hAnsi="宋体" w:cs="宋体" w:eastAsia="宋体" w:hint="default"/>
        </w:rPr>
        <w:t>2014</w:t>
      </w:r>
      <w:r>
        <w:rPr/>
        <w:t>年年度权益分派方案：以公司现有总股本</w:t>
      </w:r>
      <w:r>
        <w:rPr>
          <w:rFonts w:ascii="宋体" w:hAnsi="宋体" w:cs="宋体" w:eastAsia="宋体" w:hint="default"/>
        </w:rPr>
        <w:t>57,610,150</w:t>
      </w:r>
      <w:r>
        <w:rPr/>
        <w:t>股为基数， 向全体股东每</w:t>
      </w:r>
      <w:r>
        <w:rPr>
          <w:rFonts w:ascii="宋体" w:hAnsi="宋体" w:cs="宋体" w:eastAsia="宋体" w:hint="default"/>
        </w:rPr>
        <w:t>10</w:t>
      </w:r>
      <w:r>
        <w:rPr/>
        <w:t>股派</w:t>
      </w:r>
      <w:r>
        <w:rPr>
          <w:rFonts w:ascii="宋体" w:hAnsi="宋体" w:cs="宋体" w:eastAsia="宋体" w:hint="default"/>
        </w:rPr>
        <w:t>2.000000</w:t>
      </w:r>
      <w:r>
        <w:rPr/>
        <w:t>元人民币现金（含税）；同时，以资本公积金向全体股东每</w:t>
      </w:r>
      <w:r>
        <w:rPr>
          <w:rFonts w:ascii="宋体" w:hAnsi="宋体" w:cs="宋体" w:eastAsia="宋体" w:hint="default"/>
        </w:rPr>
        <w:t>10</w:t>
      </w:r>
      <w:r>
        <w:rPr/>
        <w:t>股转增</w:t>
      </w:r>
      <w:r>
        <w:rPr>
          <w:rFonts w:ascii="宋体" w:hAnsi="宋体" w:cs="宋体" w:eastAsia="宋体" w:hint="default"/>
        </w:rPr>
        <w:t>10.000000</w:t>
      </w:r>
      <w:r>
        <w:rPr/>
        <w:t>股。本次权益 分派以</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15</w:t>
      </w:r>
      <w:r>
        <w:rPr/>
        <w:t>日为股权登记日，</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16</w:t>
      </w:r>
      <w:r>
        <w:rPr/>
        <w:t>日为除权除息日。截止报告期末，该分配方案已实施完毕。</w:t>
      </w:r>
    </w:p>
    <w:p>
      <w:pPr>
        <w:spacing w:line="240" w:lineRule="auto" w:before="1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4" w:right="6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公司报告期利润分配预案及资本公积金转增股本预案与公司章程和分红管理办法等的相关规定一致</w:t>
      </w:r>
    </w:p>
    <w:p>
      <w:pPr>
        <w:pStyle w:val="BodyText"/>
        <w:spacing w:line="350" w:lineRule="auto" w:before="115"/>
        <w:ind w:left="153" w:right="333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tbl>
      <w:tblPr>
        <w:tblW w:w="0" w:type="auto"/>
        <w:jc w:val="left"/>
        <w:tblInd w:w="148" w:type="dxa"/>
        <w:tblLayout w:type="fixed"/>
        <w:tblCellMar>
          <w:top w:w="0" w:type="dxa"/>
          <w:left w:w="0" w:type="dxa"/>
          <w:bottom w:w="0" w:type="dxa"/>
          <w:right w:w="0" w:type="dxa"/>
        </w:tblCellMar>
        <w:tblLook w:val="01E0"/>
      </w:tblPr>
      <w:tblGrid>
        <w:gridCol w:w="3718"/>
        <w:gridCol w:w="5851"/>
      </w:tblGrid>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w:t>
            </w:r>
            <w:r>
              <w:rPr>
                <w:rFonts w:ascii="Times New Roman"/>
                <w:sz w:val="18"/>
              </w:rPr>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115,220,300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14,402,537.50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94,149,344.19</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11"/>
        <w:rPr>
          <w:rFonts w:ascii="宋体" w:hAnsi="宋体" w:cs="宋体" w:eastAsia="宋体" w:hint="default"/>
          <w:sz w:val="28"/>
          <w:szCs w:val="28"/>
        </w:rPr>
      </w:pPr>
    </w:p>
    <w:p>
      <w:pPr>
        <w:spacing w:line="2275" w:lineRule="exact"/>
        <w:ind w:left="152" w:right="0" w:firstLine="0"/>
        <w:rPr>
          <w:rFonts w:ascii="宋体" w:hAnsi="宋体" w:cs="宋体" w:eastAsia="宋体" w:hint="default"/>
          <w:sz w:val="20"/>
          <w:szCs w:val="20"/>
        </w:rPr>
      </w:pPr>
      <w:r>
        <w:rPr>
          <w:rFonts w:ascii="宋体" w:hAnsi="宋体" w:cs="宋体" w:eastAsia="宋体" w:hint="default"/>
          <w:position w:val="-45"/>
          <w:sz w:val="20"/>
          <w:szCs w:val="20"/>
        </w:rPr>
        <w:pict>
          <v:shape style="width:478.45pt;height:113.8pt;mso-position-horizontal-relative:char;mso-position-vertical-relative:line" type="#_x0000_t202" filled="false" stroked="true" strokeweight=".48pt" strokecolor="#000000">
            <w10:anchorlock/>
            <v:textbox inset="0,0,0,0">
              <w:txbxContent>
                <w:p>
                  <w:pPr>
                    <w:pStyle w:val="BodyText"/>
                    <w:spacing w:line="240" w:lineRule="auto" w:before="49"/>
                    <w:ind w:left="23" w:right="0"/>
                    <w:jc w:val="left"/>
                  </w:pPr>
                  <w:r>
                    <w:rPr/>
                    <w:t>经立信会计师事务所（特殊普通合伙）审计，公司</w:t>
                  </w:r>
                  <w:r>
                    <w:rPr>
                      <w:spacing w:val="-1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年度实现归属于母公司所有者的净利润</w:t>
                  </w:r>
                  <w:r>
                    <w:rPr>
                      <w:spacing w:val="-51"/>
                    </w:rPr>
                    <w:t> </w:t>
                  </w:r>
                  <w:r>
                    <w:rPr>
                      <w:rFonts w:ascii="Times New Roman" w:hAnsi="Times New Roman" w:cs="Times New Roman" w:eastAsia="Times New Roman" w:hint="default"/>
                    </w:rPr>
                    <w:t>70,686,419.86</w:t>
                  </w:r>
                  <w:r>
                    <w:rPr>
                      <w:rFonts w:ascii="Times New Roman" w:hAnsi="Times New Roman" w:cs="Times New Roman" w:eastAsia="Times New Roman" w:hint="default"/>
                      <w:spacing w:val="-6"/>
                    </w:rPr>
                    <w:t> </w:t>
                  </w:r>
                  <w:r>
                    <w:rPr>
                      <w:spacing w:val="-3"/>
                    </w:rPr>
                    <w:t>元，其中母</w:t>
                  </w:r>
                </w:p>
                <w:p>
                  <w:pPr>
                    <w:pStyle w:val="BodyText"/>
                    <w:spacing w:line="240" w:lineRule="auto" w:before="63"/>
                    <w:ind w:left="23" w:right="0"/>
                    <w:jc w:val="left"/>
                  </w:pPr>
                  <w:r>
                    <w:rPr/>
                    <w:t>公司实现净利润为</w:t>
                  </w:r>
                  <w:r>
                    <w:rPr>
                      <w:spacing w:val="-53"/>
                    </w:rPr>
                    <w:t> </w:t>
                  </w:r>
                  <w:r>
                    <w:rPr>
                      <w:rFonts w:ascii="Times New Roman" w:hAnsi="Times New Roman" w:cs="Times New Roman" w:eastAsia="Times New Roman" w:hint="default"/>
                    </w:rPr>
                    <w:t>13,777,460.84</w:t>
                  </w:r>
                  <w:r>
                    <w:rPr>
                      <w:rFonts w:ascii="Times New Roman" w:hAnsi="Times New Roman" w:cs="Times New Roman" w:eastAsia="Times New Roman" w:hint="default"/>
                      <w:spacing w:val="-7"/>
                    </w:rPr>
                    <w:t> </w:t>
                  </w:r>
                  <w:r>
                    <w:rPr/>
                    <w:t>元。根据《公司章程》的有关规定，以</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年度实现的母公司净利润</w:t>
                  </w:r>
                  <w:r>
                    <w:rPr>
                      <w:spacing w:val="-53"/>
                    </w:rPr>
                    <w:t> </w:t>
                  </w:r>
                  <w:r>
                    <w:rPr>
                      <w:rFonts w:ascii="Times New Roman" w:hAnsi="Times New Roman" w:cs="Times New Roman" w:eastAsia="Times New Roman" w:hint="default"/>
                    </w:rPr>
                    <w:t>13,777,460.84</w:t>
                  </w:r>
                  <w:r>
                    <w:rPr>
                      <w:rFonts w:ascii="Times New Roman" w:hAnsi="Times New Roman" w:cs="Times New Roman" w:eastAsia="Times New Roman" w:hint="default"/>
                      <w:spacing w:val="-7"/>
                    </w:rPr>
                    <w:t> </w:t>
                  </w:r>
                  <w:r>
                    <w:rPr>
                      <w:spacing w:val="-3"/>
                    </w:rPr>
                    <w:t>元为</w:t>
                  </w:r>
                  <w:r>
                    <w:rPr/>
                  </w:r>
                </w:p>
                <w:p>
                  <w:pPr>
                    <w:pStyle w:val="BodyText"/>
                    <w:spacing w:line="240" w:lineRule="auto" w:before="63"/>
                    <w:ind w:left="23" w:right="0"/>
                    <w:jc w:val="left"/>
                  </w:pPr>
                  <w:r>
                    <w:rPr>
                      <w:spacing w:val="-3"/>
                    </w:rPr>
                    <w:t>基数，提取</w:t>
                  </w:r>
                  <w:r>
                    <w:rPr>
                      <w:spacing w:val="-49"/>
                    </w:rPr>
                    <w:t> </w:t>
                  </w:r>
                  <w:r>
                    <w:rPr>
                      <w:rFonts w:ascii="Times New Roman" w:hAnsi="Times New Roman" w:cs="Times New Roman" w:eastAsia="Times New Roman" w:hint="default"/>
                    </w:rPr>
                    <w:t>10%</w:t>
                  </w:r>
                  <w:r>
                    <w:rPr/>
                    <w:t>法定盈余公积合计</w:t>
                  </w:r>
                  <w:r>
                    <w:rPr>
                      <w:spacing w:val="-49"/>
                    </w:rPr>
                    <w:t> </w:t>
                  </w:r>
                  <w:r>
                    <w:rPr>
                      <w:rFonts w:ascii="Times New Roman" w:hAnsi="Times New Roman" w:cs="Times New Roman" w:eastAsia="Times New Roman" w:hint="default"/>
                    </w:rPr>
                    <w:t>1,377,746.08</w:t>
                  </w:r>
                  <w:r>
                    <w:rPr>
                      <w:rFonts w:ascii="Times New Roman" w:hAnsi="Times New Roman" w:cs="Times New Roman" w:eastAsia="Times New Roman" w:hint="default"/>
                      <w:spacing w:val="-3"/>
                    </w:rPr>
                    <w:t> </w:t>
                  </w:r>
                  <w:r>
                    <w:rPr/>
                    <w:t>元，加年初未分配利润</w:t>
                  </w:r>
                  <w:r>
                    <w:rPr>
                      <w:spacing w:val="-49"/>
                    </w:rPr>
                    <w:t> </w:t>
                  </w:r>
                  <w:r>
                    <w:rPr>
                      <w:rFonts w:ascii="Times New Roman" w:hAnsi="Times New Roman" w:cs="Times New Roman" w:eastAsia="Times New Roman" w:hint="default"/>
                    </w:rPr>
                    <w:t>93,271,659.43</w:t>
                  </w:r>
                  <w:r>
                    <w:rPr>
                      <w:rFonts w:ascii="Times New Roman" w:hAnsi="Times New Roman" w:cs="Times New Roman" w:eastAsia="Times New Roman" w:hint="default"/>
                      <w:spacing w:val="-3"/>
                    </w:rPr>
                    <w:t> </w:t>
                  </w:r>
                  <w:r>
                    <w:rPr>
                      <w:spacing w:val="-5"/>
                    </w:rPr>
                    <w:t>元，减去</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年上半年实施</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p>
                <w:p>
                  <w:pPr>
                    <w:pStyle w:val="BodyText"/>
                    <w:spacing w:line="240" w:lineRule="auto" w:before="63"/>
                    <w:ind w:left="23" w:right="0"/>
                    <w:jc w:val="left"/>
                  </w:pPr>
                  <w:r>
                    <w:rPr/>
                    <w:t>度分红派息</w:t>
                  </w:r>
                  <w:r>
                    <w:rPr>
                      <w:spacing w:val="-50"/>
                    </w:rPr>
                    <w:t> </w:t>
                  </w:r>
                  <w:r>
                    <w:rPr>
                      <w:rFonts w:ascii="Times New Roman" w:hAnsi="Times New Roman" w:cs="Times New Roman" w:eastAsia="Times New Roman" w:hint="default"/>
                    </w:rPr>
                    <w:t>11,522,030.00</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年度可用于股东分配的利润为</w:t>
                  </w:r>
                  <w:r>
                    <w:rPr>
                      <w:spacing w:val="-50"/>
                    </w:rPr>
                    <w:t> </w:t>
                  </w:r>
                  <w:r>
                    <w:rPr>
                      <w:rFonts w:ascii="Times New Roman" w:hAnsi="Times New Roman" w:cs="Times New Roman" w:eastAsia="Times New Roman" w:hint="default"/>
                    </w:rPr>
                    <w:t>94,149,344.19</w:t>
                  </w:r>
                  <w:r>
                    <w:rPr>
                      <w:rFonts w:ascii="Times New Roman" w:hAnsi="Times New Roman" w:cs="Times New Roman" w:eastAsia="Times New Roman" w:hint="default"/>
                      <w:spacing w:val="-5"/>
                    </w:rPr>
                    <w:t> </w:t>
                  </w:r>
                  <w:r>
                    <w:rPr/>
                    <w:t>元。经公司第二届董事会第二十五次会议</w:t>
                  </w:r>
                </w:p>
                <w:p>
                  <w:pPr>
                    <w:pStyle w:val="BodyText"/>
                    <w:spacing w:line="240" w:lineRule="auto" w:before="63"/>
                    <w:ind w:left="23" w:right="0"/>
                    <w:jc w:val="left"/>
                  </w:pPr>
                  <w:r>
                    <w:rPr/>
                    <w:t>审议通过的</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年度利润分配预案为：以</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日总股本</w:t>
                  </w:r>
                  <w:r>
                    <w:rPr>
                      <w:spacing w:val="-2"/>
                    </w:rPr>
                    <w:t> </w:t>
                  </w:r>
                  <w:r>
                    <w:rPr>
                      <w:rFonts w:ascii="Times New Roman" w:hAnsi="Times New Roman" w:cs="Times New Roman" w:eastAsia="Times New Roman" w:hint="default"/>
                    </w:rPr>
                    <w:t>115,220,300</w:t>
                  </w:r>
                  <w:r>
                    <w:rPr>
                      <w:rFonts w:ascii="Times New Roman" w:hAnsi="Times New Roman" w:cs="Times New Roman" w:eastAsia="Times New Roman" w:hint="default"/>
                      <w:spacing w:val="-1"/>
                    </w:rPr>
                    <w:t> </w:t>
                  </w:r>
                  <w:r>
                    <w:rPr/>
                    <w:t>股为基数，向全体股东每</w:t>
                  </w:r>
                  <w:r>
                    <w:rPr>
                      <w:spacing w:val="-2"/>
                    </w:rPr>
                    <w:t> </w:t>
                  </w:r>
                  <w:r>
                    <w:rPr>
                      <w:rFonts w:ascii="Times New Roman" w:hAnsi="Times New Roman" w:cs="Times New Roman" w:eastAsia="Times New Roman" w:hint="default"/>
                    </w:rPr>
                    <w:t>10</w:t>
                  </w:r>
                  <w:r>
                    <w:rPr>
                      <w:rFonts w:ascii="Times New Roman" w:hAnsi="Times New Roman" w:cs="Times New Roman" w:eastAsia="Times New Roman" w:hint="default"/>
                      <w:spacing w:val="42"/>
                    </w:rPr>
                    <w:t> </w:t>
                  </w:r>
                  <w:r>
                    <w:rPr/>
                    <w:t>股派发现</w:t>
                  </w:r>
                </w:p>
                <w:p>
                  <w:pPr>
                    <w:pStyle w:val="BodyText"/>
                    <w:spacing w:line="240" w:lineRule="auto" w:before="63"/>
                    <w:ind w:left="23" w:right="0"/>
                    <w:jc w:val="left"/>
                  </w:pPr>
                  <w:r>
                    <w:rPr/>
                    <w:t>金股利</w:t>
                  </w:r>
                  <w:r>
                    <w:rPr>
                      <w:spacing w:val="1"/>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5 </w:t>
                  </w:r>
                  <w:r>
                    <w:rPr>
                      <w:rFonts w:ascii="Times New Roman" w:hAnsi="Times New Roman" w:cs="Times New Roman" w:eastAsia="Times New Roman" w:hint="default"/>
                      <w:spacing w:val="-1"/>
                    </w:rPr>
                    <w:t> </w:t>
                  </w:r>
                  <w:r>
                    <w:rPr>
                      <w:spacing w:val="-15"/>
                    </w:rPr>
                    <w:t>元</w:t>
                  </w:r>
                  <w:r>
                    <w:rPr/>
                    <w:t>（含税</w:t>
                  </w:r>
                  <w:r>
                    <w:rPr>
                      <w:spacing w:val="-92"/>
                    </w:rPr>
                    <w:t>）</w:t>
                  </w:r>
                  <w:r>
                    <w:rPr>
                      <w:spacing w:val="-15"/>
                    </w:rPr>
                    <w:t>，</w:t>
                  </w:r>
                  <w:r>
                    <w:rPr/>
                    <w:t>共计派发现金红利</w:t>
                  </w:r>
                  <w:r>
                    <w:rPr>
                      <w:spacing w:val="-45"/>
                    </w:rPr>
                    <w:t> </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17"/>
                    </w:rPr>
                    <w:t>元</w:t>
                  </w:r>
                  <w:r>
                    <w:rPr/>
                    <w:t>（含税</w:t>
                  </w:r>
                  <w:r>
                    <w:rPr>
                      <w:spacing w:val="-92"/>
                    </w:rPr>
                    <w:t>）</w:t>
                  </w:r>
                  <w:r>
                    <w:rPr>
                      <w:spacing w:val="-15"/>
                    </w:rPr>
                    <w:t>；</w:t>
                  </w:r>
                  <w:r>
                    <w:rPr/>
                    <w:t>累计剩余未分配利润</w:t>
                  </w:r>
                  <w:r>
                    <w:rPr>
                      <w:spacing w:val="-45"/>
                    </w:rPr>
                    <w:t> </w:t>
                  </w:r>
                  <w:r>
                    <w:rPr>
                      <w:rFonts w:ascii="Times New Roman" w:hAnsi="Times New Roman" w:cs="Times New Roman" w:eastAsia="Times New Roman" w:hint="default"/>
                      <w:spacing w:val="1"/>
                    </w:rPr>
                    <w:t>79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元</w:t>
                  </w:r>
                  <w:r>
                    <w:rPr>
                      <w:spacing w:val="-15"/>
                    </w:rPr>
                    <w:t>。</w:t>
                  </w:r>
                  <w:r>
                    <w:rPr/>
                    <w:t>本次利润不</w:t>
                  </w:r>
                </w:p>
                <w:p>
                  <w:pPr>
                    <w:pStyle w:val="BodyText"/>
                    <w:spacing w:line="240" w:lineRule="auto" w:before="63"/>
                    <w:ind w:left="23" w:right="0"/>
                    <w:jc w:val="left"/>
                  </w:pPr>
                  <w:r>
                    <w:rPr/>
                    <w:t>送股、不转增。本议案尚需提交公司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年度股东大会审议。</w:t>
                  </w:r>
                </w:p>
              </w:txbxContent>
            </v:textbox>
          </v:shape>
        </w:pict>
      </w:r>
      <w:r>
        <w:rPr>
          <w:rFonts w:ascii="宋体" w:hAnsi="宋体" w:cs="宋体" w:eastAsia="宋体" w:hint="default"/>
          <w:position w:val="-45"/>
          <w:sz w:val="20"/>
          <w:szCs w:val="20"/>
        </w:rPr>
      </w:r>
    </w:p>
    <w:p>
      <w:pPr>
        <w:pStyle w:val="BodyText"/>
        <w:spacing w:line="240" w:lineRule="auto" w:before="54"/>
        <w:ind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left="512" w:right="0"/>
        <w:jc w:val="left"/>
      </w:pPr>
      <w:r>
        <w:rPr>
          <w:rFonts w:ascii="宋体" w:hAnsi="宋体" w:cs="宋体" w:eastAsia="宋体" w:hint="default"/>
        </w:rPr>
        <w:t>1</w:t>
      </w:r>
      <w:r>
        <w:rPr/>
        <w:t>、</w:t>
      </w:r>
      <w:r>
        <w:rPr>
          <w:rFonts w:ascii="宋体" w:hAnsi="宋体" w:cs="宋体" w:eastAsia="宋体" w:hint="default"/>
        </w:rPr>
        <w:t>2013</w:t>
      </w:r>
      <w:r>
        <w:rPr/>
        <w:t>年利润分配方案情况</w:t>
      </w:r>
    </w:p>
    <w:p>
      <w:pPr>
        <w:pStyle w:val="BodyText"/>
        <w:spacing w:line="240" w:lineRule="auto" w:before="76"/>
        <w:ind w:left="512" w:right="0"/>
        <w:jc w:val="left"/>
      </w:pP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18</w:t>
      </w:r>
      <w:r>
        <w:rPr/>
        <w:t>日召开的</w:t>
      </w:r>
      <w:r>
        <w:rPr>
          <w:rFonts w:ascii="宋体" w:hAnsi="宋体" w:cs="宋体" w:eastAsia="宋体" w:hint="default"/>
        </w:rPr>
        <w:t>2013</w:t>
      </w:r>
      <w:r>
        <w:rPr/>
        <w:t>年度股东大会审议通过了</w:t>
      </w:r>
      <w:r>
        <w:rPr>
          <w:rFonts w:ascii="宋体" w:hAnsi="宋体" w:cs="宋体" w:eastAsia="宋体" w:hint="default"/>
        </w:rPr>
        <w:t>2013</w:t>
      </w:r>
      <w:r>
        <w:rPr/>
        <w:t>年度权益分派方案：以</w:t>
      </w:r>
      <w:r>
        <w:rPr>
          <w:rFonts w:ascii="宋体" w:hAnsi="宋体" w:cs="宋体" w:eastAsia="宋体" w:hint="default"/>
        </w:rPr>
        <w:t>2013</w:t>
      </w:r>
      <w:r>
        <w:rPr/>
        <w:t>年度实现的母公司净利润</w:t>
      </w:r>
    </w:p>
    <w:p>
      <w:pPr>
        <w:pStyle w:val="BodyText"/>
        <w:spacing w:line="316" w:lineRule="auto" w:before="76"/>
        <w:ind w:right="0"/>
        <w:jc w:val="left"/>
      </w:pPr>
      <w:r>
        <w:rPr>
          <w:rFonts w:ascii="宋体" w:hAnsi="宋体" w:cs="宋体" w:eastAsia="宋体" w:hint="default"/>
          <w:spacing w:val="-2"/>
        </w:rPr>
        <w:t>38,517,379.07</w:t>
      </w:r>
      <w:r>
        <w:rPr>
          <w:spacing w:val="-2"/>
        </w:rPr>
        <w:t>元为基数，提取</w:t>
      </w:r>
      <w:r>
        <w:rPr>
          <w:rFonts w:ascii="宋体" w:hAnsi="宋体" w:cs="宋体" w:eastAsia="宋体" w:hint="default"/>
          <w:spacing w:val="-2"/>
        </w:rPr>
        <w:t>10%</w:t>
      </w:r>
      <w:r>
        <w:rPr>
          <w:spacing w:val="-2"/>
        </w:rPr>
        <w:t>法定盈余公积合计</w:t>
      </w:r>
      <w:r>
        <w:rPr>
          <w:rFonts w:ascii="宋体" w:hAnsi="宋体" w:cs="宋体" w:eastAsia="宋体" w:hint="default"/>
          <w:spacing w:val="-2"/>
        </w:rPr>
        <w:t>3,851,737.91</w:t>
      </w:r>
      <w:r>
        <w:rPr>
          <w:spacing w:val="-2"/>
        </w:rPr>
        <w:t>元，</w:t>
      </w:r>
      <w:r>
        <w:rPr>
          <w:rFonts w:ascii="宋体" w:hAnsi="宋体" w:cs="宋体" w:eastAsia="宋体" w:hint="default"/>
          <w:spacing w:val="-2"/>
        </w:rPr>
        <w:t>2013</w:t>
      </w:r>
      <w:r>
        <w:rPr>
          <w:spacing w:val="-2"/>
        </w:rPr>
        <w:t>年度可用于股东分配的利润为</w:t>
      </w:r>
      <w:r>
        <w:rPr>
          <w:rFonts w:ascii="宋体" w:hAnsi="宋体" w:cs="宋体" w:eastAsia="宋体" w:hint="default"/>
          <w:spacing w:val="-2"/>
        </w:rPr>
        <w:t>34,665,641.16</w:t>
      </w:r>
      <w:r>
        <w:rPr>
          <w:spacing w:val="-2"/>
        </w:rPr>
        <w:t>元，</w:t>
      </w:r>
      <w:r>
        <w:rPr>
          <w:spacing w:val="-42"/>
        </w:rPr>
        <w:t> </w:t>
      </w:r>
      <w:r>
        <w:rPr>
          <w:spacing w:val="-2"/>
        </w:rPr>
        <w:t>加上</w:t>
      </w:r>
      <w:r>
        <w:rPr>
          <w:rFonts w:ascii="宋体" w:hAnsi="宋体" w:cs="宋体" w:eastAsia="宋体" w:hint="default"/>
          <w:spacing w:val="-2"/>
        </w:rPr>
        <w:t>2013</w:t>
      </w:r>
      <w:r>
        <w:rPr>
          <w:spacing w:val="-2"/>
        </w:rPr>
        <w:t>年年初未分配</w:t>
      </w:r>
      <w:r>
        <w:rPr>
          <w:rFonts w:ascii="宋体" w:hAnsi="宋体" w:cs="宋体" w:eastAsia="宋体" w:hint="default"/>
          <w:spacing w:val="-2"/>
        </w:rPr>
        <w:t>30,158,975.52</w:t>
      </w:r>
      <w:r>
        <w:rPr>
          <w:spacing w:val="-2"/>
        </w:rPr>
        <w:t>元，截止</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日可供分配利润总额为</w:t>
      </w:r>
      <w:r>
        <w:rPr>
          <w:rFonts w:ascii="宋体" w:hAnsi="宋体" w:cs="宋体" w:eastAsia="宋体" w:hint="default"/>
          <w:spacing w:val="-2"/>
        </w:rPr>
        <w:t>64,824,616.68</w:t>
      </w:r>
      <w:r>
        <w:rPr>
          <w:spacing w:val="-2"/>
        </w:rPr>
        <w:t>元。鉴于目前公司仍处于</w:t>
      </w:r>
      <w:r>
        <w:rPr>
          <w:spacing w:val="-42"/>
        </w:rPr>
        <w:t> </w:t>
      </w:r>
      <w:r>
        <w:rPr>
          <w:spacing w:val="-42"/>
        </w:rPr>
      </w:r>
      <w:r>
        <w:rPr/>
        <w:t>发展阶段，属成长期。在保证公司健康持续发展的情况下，建议公司</w:t>
      </w:r>
      <w:r>
        <w:rPr>
          <w:rFonts w:ascii="宋体" w:hAnsi="宋体" w:cs="宋体" w:eastAsia="宋体" w:hint="default"/>
        </w:rPr>
        <w:t>2013</w:t>
      </w:r>
      <w:r>
        <w:rPr/>
        <w:t>年度利润分配预案为：以公司</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25</w:t>
      </w:r>
      <w:r>
        <w:rPr/>
        <w:t>日 </w:t>
      </w:r>
      <w:r>
        <w:rPr>
          <w:rFonts w:ascii="宋体" w:hAnsi="宋体" w:cs="宋体" w:eastAsia="宋体" w:hint="default"/>
          <w:spacing w:val="-4"/>
        </w:rPr>
        <w:t>51,433,181</w:t>
      </w:r>
      <w:r>
        <w:rPr>
          <w:spacing w:val="-4"/>
        </w:rPr>
        <w:t>股总股本数为基数，向全体股东以未分配利润每</w:t>
      </w:r>
      <w:r>
        <w:rPr>
          <w:rFonts w:ascii="宋体" w:hAnsi="宋体" w:cs="宋体" w:eastAsia="宋体" w:hint="default"/>
          <w:spacing w:val="-4"/>
        </w:rPr>
        <w:t>10</w:t>
      </w:r>
      <w:r>
        <w:rPr>
          <w:spacing w:val="-4"/>
        </w:rPr>
        <w:t>股派发现金股利</w:t>
      </w:r>
      <w:r>
        <w:rPr>
          <w:rFonts w:ascii="宋体" w:hAnsi="宋体" w:cs="宋体" w:eastAsia="宋体" w:hint="default"/>
          <w:spacing w:val="-4"/>
        </w:rPr>
        <w:t>2</w:t>
      </w:r>
      <w:r>
        <w:rPr>
          <w:spacing w:val="-4"/>
        </w:rPr>
        <w:t>元（含税），共计派发现金红利</w:t>
      </w:r>
      <w:r>
        <w:rPr>
          <w:rFonts w:ascii="宋体" w:hAnsi="宋体" w:cs="宋体" w:eastAsia="宋体" w:hint="default"/>
          <w:spacing w:val="-4"/>
        </w:rPr>
        <w:t>10,286,636.20</w:t>
      </w:r>
      <w:r>
        <w:rPr>
          <w:rFonts w:ascii="宋体" w:hAnsi="宋体" w:cs="宋体" w:eastAsia="宋体" w:hint="default"/>
          <w:spacing w:val="-88"/>
        </w:rPr>
        <w:t> </w:t>
      </w:r>
      <w:r>
        <w:rPr>
          <w:rFonts w:ascii="宋体" w:hAnsi="宋体" w:cs="宋体" w:eastAsia="宋体" w:hint="default"/>
          <w:spacing w:val="-88"/>
        </w:rPr>
      </w:r>
      <w:r>
        <w:rPr/>
        <w:t>元（含税）；累计剩余未分配利润</w:t>
      </w:r>
      <w:r>
        <w:rPr>
          <w:rFonts w:ascii="宋体" w:hAnsi="宋体" w:cs="宋体" w:eastAsia="宋体" w:hint="default"/>
        </w:rPr>
        <w:t>54,537,980.48</w:t>
      </w:r>
      <w:r>
        <w:rPr/>
        <w:t>元。本次利润不送股、不转增。</w:t>
      </w:r>
    </w:p>
    <w:p>
      <w:pPr>
        <w:pStyle w:val="BodyText"/>
        <w:spacing w:line="240" w:lineRule="auto" w:before="18"/>
        <w:ind w:left="512" w:right="0"/>
        <w:jc w:val="left"/>
      </w:pPr>
      <w:r>
        <w:rPr>
          <w:rFonts w:ascii="宋体" w:hAnsi="宋体" w:cs="宋体" w:eastAsia="宋体" w:hint="default"/>
        </w:rPr>
        <w:t>2</w:t>
      </w:r>
      <w:r>
        <w:rPr/>
        <w:t>、</w:t>
      </w:r>
      <w:r>
        <w:rPr>
          <w:rFonts w:ascii="宋体" w:hAnsi="宋体" w:cs="宋体" w:eastAsia="宋体" w:hint="default"/>
        </w:rPr>
        <w:t>2014</w:t>
      </w:r>
      <w:r>
        <w:rPr/>
        <w:t>年利润分配方案情况</w:t>
      </w:r>
    </w:p>
    <w:p>
      <w:pPr>
        <w:pStyle w:val="BodyText"/>
        <w:spacing w:line="240" w:lineRule="auto" w:before="76"/>
        <w:ind w:left="512" w:right="0"/>
        <w:jc w:val="left"/>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w:t>
      </w:r>
      <w:r>
        <w:rPr/>
        <w:t>日召开的</w:t>
      </w:r>
      <w:r>
        <w:rPr>
          <w:rFonts w:ascii="宋体" w:hAnsi="宋体" w:cs="宋体" w:eastAsia="宋体" w:hint="default"/>
        </w:rPr>
        <w:t>2014</w:t>
      </w:r>
      <w:r>
        <w:rPr/>
        <w:t>年度股东大会审议通过了</w:t>
      </w:r>
      <w:r>
        <w:rPr>
          <w:rFonts w:ascii="宋体" w:hAnsi="宋体" w:cs="宋体" w:eastAsia="宋体" w:hint="default"/>
        </w:rPr>
        <w:t>2014</w:t>
      </w:r>
      <w:r>
        <w:rPr/>
        <w:t>年年度权益分派方案：以公司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日总股本数</w:t>
      </w:r>
    </w:p>
    <w:p>
      <w:pPr>
        <w:pStyle w:val="BodyText"/>
        <w:spacing w:line="316" w:lineRule="auto" w:before="76"/>
        <w:ind w:left="153" w:right="0"/>
        <w:jc w:val="left"/>
      </w:pPr>
      <w:r>
        <w:rPr>
          <w:rFonts w:ascii="宋体" w:hAnsi="宋体" w:cs="宋体" w:eastAsia="宋体" w:hint="default"/>
          <w:spacing w:val="-4"/>
        </w:rPr>
        <w:t>57,610,150</w:t>
      </w:r>
      <w:r>
        <w:rPr>
          <w:spacing w:val="-4"/>
        </w:rPr>
        <w:t>股为基数，向全体股东每</w:t>
      </w:r>
      <w:r>
        <w:rPr>
          <w:rFonts w:ascii="宋体" w:hAnsi="宋体" w:cs="宋体" w:eastAsia="宋体" w:hint="default"/>
          <w:spacing w:val="-4"/>
        </w:rPr>
        <w:t>10</w:t>
      </w:r>
      <w:r>
        <w:rPr>
          <w:spacing w:val="-4"/>
        </w:rPr>
        <w:t>股派发现金股利人民币</w:t>
      </w:r>
      <w:r>
        <w:rPr>
          <w:rFonts w:ascii="宋体" w:hAnsi="宋体" w:cs="宋体" w:eastAsia="宋体" w:hint="default"/>
          <w:spacing w:val="-4"/>
        </w:rPr>
        <w:t>2.00</w:t>
      </w:r>
      <w:r>
        <w:rPr>
          <w:spacing w:val="-4"/>
        </w:rPr>
        <w:t>元（含税），共计派发现金股利</w:t>
      </w:r>
      <w:r>
        <w:rPr>
          <w:rFonts w:ascii="宋体" w:hAnsi="宋体" w:cs="宋体" w:eastAsia="宋体" w:hint="default"/>
          <w:spacing w:val="-4"/>
        </w:rPr>
        <w:t>11,522,030.00</w:t>
      </w:r>
      <w:r>
        <w:rPr>
          <w:spacing w:val="-4"/>
        </w:rPr>
        <w:t>元（含税）。</w:t>
      </w:r>
      <w:r>
        <w:rPr/>
        <w:t> 同时，以资本公积金向全体股东每</w:t>
      </w:r>
      <w:r>
        <w:rPr>
          <w:rFonts w:ascii="宋体" w:hAnsi="宋体" w:cs="宋体" w:eastAsia="宋体" w:hint="default"/>
        </w:rPr>
        <w:t>10</w:t>
      </w:r>
      <w:r>
        <w:rPr/>
        <w:t>股转增</w:t>
      </w:r>
      <w:r>
        <w:rPr>
          <w:rFonts w:ascii="宋体" w:hAnsi="宋体" w:cs="宋体" w:eastAsia="宋体" w:hint="default"/>
        </w:rPr>
        <w:t>10</w:t>
      </w:r>
      <w:r>
        <w:rPr/>
        <w:t>股，合计转增</w:t>
      </w:r>
      <w:r>
        <w:rPr>
          <w:rFonts w:ascii="宋体" w:hAnsi="宋体" w:cs="宋体" w:eastAsia="宋体" w:hint="default"/>
        </w:rPr>
        <w:t>57,610,150</w:t>
      </w:r>
      <w:r>
        <w:rPr/>
        <w:t>股，转增后公司总股本为</w:t>
      </w:r>
      <w:r>
        <w:rPr>
          <w:rFonts w:ascii="宋体" w:hAnsi="宋体" w:cs="宋体" w:eastAsia="宋体" w:hint="default"/>
        </w:rPr>
        <w:t>115,220,300</w:t>
      </w:r>
      <w:r>
        <w:rPr/>
        <w:t>股。</w:t>
      </w:r>
    </w:p>
    <w:p>
      <w:pPr>
        <w:pStyle w:val="BodyText"/>
        <w:spacing w:line="240" w:lineRule="auto" w:before="18"/>
        <w:ind w:left="513" w:right="0"/>
        <w:jc w:val="left"/>
      </w:pPr>
      <w:r>
        <w:rPr>
          <w:rFonts w:ascii="宋体" w:hAnsi="宋体" w:cs="宋体" w:eastAsia="宋体" w:hint="default"/>
        </w:rPr>
        <w:t>3</w:t>
      </w:r>
      <w:r>
        <w:rPr/>
        <w:t>、</w:t>
      </w:r>
      <w:r>
        <w:rPr>
          <w:rFonts w:ascii="宋体" w:hAnsi="宋体" w:cs="宋体" w:eastAsia="宋体" w:hint="default"/>
        </w:rPr>
        <w:t>2015</w:t>
      </w:r>
      <w:r>
        <w:rPr/>
        <w:t>年利润分配方案情况</w:t>
      </w:r>
    </w:p>
    <w:p>
      <w:pPr>
        <w:pStyle w:val="BodyText"/>
        <w:spacing w:line="316" w:lineRule="auto" w:before="76"/>
        <w:ind w:left="153" w:right="183" w:firstLine="360"/>
        <w:jc w:val="left"/>
      </w:pPr>
      <w:r>
        <w:rPr>
          <w:rFonts w:ascii="宋体" w:hAnsi="宋体" w:cs="宋体" w:eastAsia="宋体" w:hint="default"/>
          <w:spacing w:val="-3"/>
        </w:rPr>
        <w:t>2016</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25</w:t>
      </w:r>
      <w:r>
        <w:rPr>
          <w:spacing w:val="-3"/>
        </w:rPr>
        <w:t>日召开的公司第二届董事会第二十五次会议审议通过了《关于公司</w:t>
      </w:r>
      <w:r>
        <w:rPr>
          <w:rFonts w:ascii="宋体" w:hAnsi="宋体" w:cs="宋体" w:eastAsia="宋体" w:hint="default"/>
          <w:spacing w:val="-3"/>
        </w:rPr>
        <w:t>2015</w:t>
      </w:r>
      <w:r>
        <w:rPr>
          <w:spacing w:val="-3"/>
        </w:rPr>
        <w:t>年度利润分配预案的议案》：以</w:t>
      </w:r>
      <w:r>
        <w:rPr>
          <w:rFonts w:ascii="宋体" w:hAnsi="宋体" w:cs="宋体" w:eastAsia="宋体" w:hint="default"/>
          <w:spacing w:val="-3"/>
        </w:rPr>
        <w:t>2015</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日总股本 </w:t>
      </w:r>
      <w:r>
        <w:rPr>
          <w:rFonts w:ascii="宋体" w:hAnsi="宋体" w:cs="宋体" w:eastAsia="宋体" w:hint="default"/>
        </w:rPr>
        <w:t>115,220,300</w:t>
      </w:r>
      <w:r>
        <w:rPr/>
        <w:t>股为基数，向全体股东每 </w:t>
      </w:r>
      <w:r>
        <w:rPr>
          <w:rFonts w:ascii="宋体" w:hAnsi="宋体" w:cs="宋体" w:eastAsia="宋体" w:hint="default"/>
        </w:rPr>
        <w:t>10 </w:t>
      </w:r>
      <w:r>
        <w:rPr/>
        <w:t>股派发现金股利 </w:t>
      </w:r>
      <w:r>
        <w:rPr>
          <w:rFonts w:ascii="宋体" w:hAnsi="宋体" w:cs="宋体" w:eastAsia="宋体" w:hint="default"/>
        </w:rPr>
        <w:t>1.25</w:t>
      </w:r>
      <w:r>
        <w:rPr>
          <w:rFonts w:ascii="宋体" w:hAnsi="宋体" w:cs="宋体" w:eastAsia="宋体" w:hint="default"/>
          <w:spacing w:val="-4"/>
        </w:rPr>
        <w:t> </w:t>
      </w:r>
      <w:r>
        <w:rPr/>
        <w:t>元（含税），共计派发现金红利 </w:t>
      </w:r>
      <w:r>
        <w:rPr>
          <w:rFonts w:ascii="宋体" w:hAnsi="宋体" w:cs="宋体" w:eastAsia="宋体" w:hint="default"/>
        </w:rPr>
        <w:t>14,402,537.50</w:t>
      </w:r>
      <w:r>
        <w:rPr/>
        <w:t>元（含税）；累计剩余未分配利润</w:t>
      </w:r>
      <w:r>
        <w:rPr>
          <w:rFonts w:ascii="宋体" w:hAnsi="宋体" w:cs="宋体" w:eastAsia="宋体" w:hint="default"/>
        </w:rPr>
        <w:t>79,746,806.69</w:t>
      </w:r>
      <w:r>
        <w:rPr/>
        <w:t>元。本次利润不送股、不转增。</w:t>
      </w:r>
    </w:p>
    <w:p>
      <w:pPr>
        <w:pStyle w:val="BodyText"/>
        <w:spacing w:line="240" w:lineRule="auto" w:before="18"/>
        <w:ind w:left="513" w:right="0"/>
        <w:jc w:val="left"/>
      </w:pPr>
      <w:r>
        <w:rPr/>
        <w:t>本议案尚需提交公司</w:t>
      </w:r>
      <w:r>
        <w:rPr>
          <w:spacing w:val="-1"/>
        </w:rPr>
        <w:t> </w:t>
      </w:r>
      <w:r>
        <w:rPr>
          <w:rFonts w:ascii="宋体" w:hAnsi="宋体" w:cs="宋体" w:eastAsia="宋体" w:hint="default"/>
        </w:rPr>
        <w:t>2015</w:t>
      </w:r>
      <w:r>
        <w:rPr/>
        <w:t>年度股东大会审议。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153" w:right="0"/>
        <w:jc w:val="left"/>
      </w:pPr>
      <w:r>
        <w:rPr/>
        <w:t>公司近三年（包括本报告期）普通股现金分红情况表</w:t>
      </w:r>
    </w:p>
    <w:p>
      <w:pPr>
        <w:pStyle w:val="BodyText"/>
        <w:spacing w:line="240" w:lineRule="auto" w:before="117"/>
        <w:ind w:left="0" w:right="192"/>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699"/>
        <w:gridCol w:w="1807"/>
        <w:gridCol w:w="1879"/>
        <w:gridCol w:w="1418"/>
        <w:gridCol w:w="1486"/>
      </w:tblGrid>
      <w:tr>
        <w:trPr>
          <w:trHeight w:val="1025"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8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1" w:right="84"/>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8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5" w:right="31"/>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市公司普通股股东的净 利润的比率</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4" w:right="72"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4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87" w:right="107"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14,402,537.50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70,686,419.86</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11,522,030.00</w:t>
            </w:r>
            <w:r>
              <w:rPr>
                <w:rFonts w:ascii="Times New Roman"/>
                <w:sz w:val="18"/>
              </w:rPr>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57,116,020.86</w:t>
            </w:r>
            <w:r>
              <w:rPr>
                <w:rFonts w:ascii="Times New Roman"/>
                <w:sz w:val="18"/>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10,286,636.20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45,475,926.05</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4D4D4"/>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134" w:hRule="exact"/>
        </w:trPr>
        <w:tc>
          <w:tcPr>
            <w:tcW w:w="2837" w:type="dxa"/>
            <w:tcBorders>
              <w:top w:val="single" w:sz="4" w:space="0" w:color="000000"/>
              <w:left w:val="single" w:sz="4" w:space="0" w:color="000000"/>
              <w:bottom w:val="nil" w:sz="6" w:space="0" w:color="auto"/>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为增强盈利 预测补偿的 操作性和可 </w:t>
            </w:r>
            <w:r>
              <w:rPr>
                <w:rFonts w:ascii="宋体" w:hAnsi="宋体" w:cs="宋体" w:eastAsia="宋体" w:hint="default"/>
                <w:spacing w:val="-2"/>
                <w:sz w:val="18"/>
                <w:szCs w:val="18"/>
              </w:rPr>
              <w:t>实现性，交易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对方各方承 诺在本次交 易中取得的 </w:t>
            </w:r>
            <w:r>
              <w:rPr>
                <w:rFonts w:ascii="宋体" w:hAnsi="宋体" w:cs="宋体" w:eastAsia="宋体" w:hint="default"/>
                <w:spacing w:val="-2"/>
                <w:sz w:val="18"/>
                <w:szCs w:val="18"/>
              </w:rPr>
              <w:t>股份，分三期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解除锁定：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p>
          <w:p>
            <w:pPr>
              <w:pStyle w:val="TableParagraph"/>
              <w:spacing w:line="314" w:lineRule="auto"/>
              <w:ind w:left="23" w:right="11"/>
              <w:jc w:val="both"/>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宋体" w:hAnsi="宋体" w:cs="宋体" w:eastAsia="宋体" w:hint="default"/>
                <w:sz w:val="18"/>
                <w:szCs w:val="18"/>
              </w:rPr>
              <w:t>。根据本</w:t>
            </w:r>
            <w:r>
              <w:rPr>
                <w:rFonts w:ascii="宋体" w:hAnsi="宋体" w:cs="宋体" w:eastAsia="宋体" w:hint="default"/>
                <w:w w:val="99"/>
                <w:sz w:val="18"/>
                <w:szCs w:val="18"/>
              </w:rPr>
              <w:t> </w:t>
            </w:r>
            <w:r>
              <w:rPr>
                <w:rFonts w:ascii="宋体" w:hAnsi="宋体" w:cs="宋体" w:eastAsia="宋体" w:hint="default"/>
                <w:sz w:val="18"/>
                <w:szCs w:val="18"/>
              </w:rPr>
              <w:t>公司与李健、</w:t>
            </w:r>
            <w:r>
              <w:rPr>
                <w:rFonts w:ascii="宋体" w:hAnsi="宋体" w:cs="宋体" w:eastAsia="宋体" w:hint="default"/>
                <w:w w:val="99"/>
                <w:sz w:val="18"/>
                <w:szCs w:val="18"/>
              </w:rPr>
              <w:t> </w:t>
            </w:r>
            <w:r>
              <w:rPr>
                <w:rFonts w:ascii="宋体" w:hAnsi="宋体" w:cs="宋体" w:eastAsia="宋体" w:hint="default"/>
                <w:sz w:val="18"/>
                <w:szCs w:val="18"/>
              </w:rPr>
              <w:t>王晋敏、王熙</w:t>
            </w:r>
            <w:r>
              <w:rPr>
                <w:rFonts w:ascii="宋体" w:hAnsi="宋体" w:cs="宋体" w:eastAsia="宋体" w:hint="default"/>
                <w:w w:val="99"/>
                <w:sz w:val="18"/>
                <w:szCs w:val="18"/>
              </w:rPr>
              <w:t> </w:t>
            </w:r>
            <w:r>
              <w:rPr>
                <w:rFonts w:ascii="宋体" w:hAnsi="宋体" w:cs="宋体" w:eastAsia="宋体" w:hint="default"/>
                <w:sz w:val="18"/>
                <w:szCs w:val="18"/>
              </w:rPr>
              <w:t>春、李飚签署</w:t>
            </w:r>
            <w:r>
              <w:rPr>
                <w:rFonts w:ascii="宋体" w:hAnsi="宋体" w:cs="宋体" w:eastAsia="宋体" w:hint="default"/>
                <w:w w:val="99"/>
                <w:sz w:val="18"/>
                <w:szCs w:val="18"/>
              </w:rPr>
              <w:t> </w:t>
            </w:r>
            <w:r>
              <w:rPr>
                <w:rFonts w:ascii="宋体" w:hAnsi="宋体" w:cs="宋体" w:eastAsia="宋体" w:hint="default"/>
                <w:sz w:val="18"/>
                <w:szCs w:val="18"/>
              </w:rPr>
              <w:t>的《盈利预测</w:t>
            </w:r>
            <w:r>
              <w:rPr>
                <w:rFonts w:ascii="宋体" w:hAnsi="宋体" w:cs="宋体" w:eastAsia="宋体" w:hint="default"/>
                <w:w w:val="99"/>
                <w:sz w:val="18"/>
                <w:szCs w:val="18"/>
              </w:rPr>
              <w:t> </w:t>
            </w:r>
            <w:r>
              <w:rPr>
                <w:rFonts w:ascii="宋体" w:hAnsi="宋体" w:cs="宋体" w:eastAsia="宋体" w:hint="default"/>
                <w:sz w:val="18"/>
                <w:szCs w:val="18"/>
              </w:rPr>
              <w:t>补偿协议》及</w:t>
            </w:r>
          </w:p>
          <w:p>
            <w:pPr>
              <w:pStyle w:val="TableParagraph"/>
              <w:spacing w:line="316" w:lineRule="auto" w:before="20"/>
              <w:ind w:left="23" w:right="11"/>
              <w:jc w:val="left"/>
              <w:rPr>
                <w:rFonts w:ascii="宋体" w:hAnsi="宋体" w:cs="宋体" w:eastAsia="宋体" w:hint="default"/>
                <w:sz w:val="18"/>
                <w:szCs w:val="18"/>
              </w:rPr>
            </w:pPr>
            <w:r>
              <w:rPr>
                <w:rFonts w:ascii="宋体" w:hAnsi="宋体" w:cs="宋体" w:eastAsia="宋体" w:hint="default"/>
                <w:sz w:val="18"/>
                <w:szCs w:val="18"/>
              </w:rPr>
              <w:t>《发行股份 及支付现金 购买资产协 议之补充协 </w:t>
            </w:r>
            <w:r>
              <w:rPr>
                <w:rFonts w:ascii="宋体" w:hAnsi="宋体" w:cs="宋体" w:eastAsia="宋体" w:hint="default"/>
                <w:spacing w:val="-16"/>
                <w:sz w:val="18"/>
                <w:szCs w:val="18"/>
              </w:rPr>
              <w:t>议》，交易对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方李健、王晋</w:t>
            </w:r>
            <w:r>
              <w:rPr>
                <w:rFonts w:ascii="宋体" w:hAnsi="宋体" w:cs="宋体" w:eastAsia="宋体" w:hint="default"/>
                <w:sz w:val="18"/>
                <w:szCs w:val="18"/>
              </w:rPr>
              <w:t> 敏、王熙春、 李飚承诺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2016</w:t>
            </w:r>
            <w:r>
              <w:rPr>
                <w:rFonts w:ascii="Times New Roman" w:hAnsi="Times New Roman" w:cs="Times New Roman" w:eastAsia="Times New Roman" w:hint="default"/>
                <w:sz w:val="18"/>
                <w:szCs w:val="18"/>
              </w:rPr>
            </w:r>
          </w:p>
          <w:p>
            <w:pPr>
              <w:pStyle w:val="TableParagraph"/>
              <w:spacing w:line="316" w:lineRule="auto" w:before="63"/>
              <w:ind w:left="23" w:right="96"/>
              <w:jc w:val="left"/>
              <w:rPr>
                <w:rFonts w:ascii="宋体" w:hAnsi="宋体" w:cs="宋体" w:eastAsia="宋体" w:hint="default"/>
                <w:sz w:val="18"/>
                <w:szCs w:val="18"/>
              </w:rPr>
            </w:pPr>
            <w:r>
              <w:rPr>
                <w:rFonts w:ascii="宋体" w:hAnsi="宋体" w:cs="宋体" w:eastAsia="宋体" w:hint="default"/>
                <w:sz w:val="18"/>
                <w:szCs w:val="18"/>
              </w:rPr>
              <w:t>年及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标的公司实 现的扣除非 经常性损益 后归属于母 公司股东的 净利润将分 别不低于 </w:t>
            </w:r>
            <w:r>
              <w:rPr>
                <w:rFonts w:ascii="Times New Roman" w:hAnsi="Times New Roman" w:cs="Times New Roman" w:eastAsia="Times New Roman" w:hint="default"/>
                <w:sz w:val="18"/>
                <w:szCs w:val="18"/>
              </w:rPr>
              <w:t>2,860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28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5419" w:hRule="exact"/>
        </w:trPr>
        <w:tc>
          <w:tcPr>
            <w:tcW w:w="2837" w:type="dxa"/>
            <w:vMerge w:val="restart"/>
            <w:tcBorders>
              <w:top w:val="nil" w:sz="6" w:space="0" w:color="auto"/>
              <w:left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715" w:hRule="exact"/>
        </w:trPr>
        <w:tc>
          <w:tcPr>
            <w:tcW w:w="2837"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王晋敏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91"/>
              <w:jc w:val="left"/>
              <w:rPr>
                <w:rFonts w:ascii="宋体" w:hAnsi="宋体" w:cs="宋体" w:eastAsia="宋体" w:hint="default"/>
                <w:sz w:val="18"/>
                <w:szCs w:val="18"/>
              </w:rPr>
            </w:pPr>
            <w:r>
              <w:rPr>
                <w:rFonts w:ascii="宋体" w:hAnsi="宋体" w:cs="宋体" w:eastAsia="宋体" w:hint="default"/>
                <w:sz w:val="18"/>
                <w:szCs w:val="18"/>
              </w:rPr>
              <w:t>为增强盈利 预测补偿的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11282"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操作性和可 </w:t>
            </w:r>
            <w:r>
              <w:rPr>
                <w:rFonts w:ascii="宋体" w:hAnsi="宋体" w:cs="宋体" w:eastAsia="宋体" w:hint="default"/>
                <w:spacing w:val="-2"/>
                <w:sz w:val="18"/>
                <w:szCs w:val="18"/>
              </w:rPr>
              <w:t>实现性，交易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对方各方承 诺在本次交 易中取得的 </w:t>
            </w:r>
            <w:r>
              <w:rPr>
                <w:rFonts w:ascii="宋体" w:hAnsi="宋体" w:cs="宋体" w:eastAsia="宋体" w:hint="default"/>
                <w:spacing w:val="-2"/>
                <w:sz w:val="18"/>
                <w:szCs w:val="18"/>
              </w:rPr>
              <w:t>股份，分三期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解除锁定：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p>
          <w:p>
            <w:pPr>
              <w:pStyle w:val="TableParagraph"/>
              <w:spacing w:line="314" w:lineRule="auto"/>
              <w:ind w:left="23" w:right="11"/>
              <w:jc w:val="both"/>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宋体" w:hAnsi="宋体" w:cs="宋体" w:eastAsia="宋体" w:hint="default"/>
                <w:sz w:val="18"/>
                <w:szCs w:val="18"/>
              </w:rPr>
              <w:t>。根据本</w:t>
            </w:r>
            <w:r>
              <w:rPr>
                <w:rFonts w:ascii="宋体" w:hAnsi="宋体" w:cs="宋体" w:eastAsia="宋体" w:hint="default"/>
                <w:w w:val="99"/>
                <w:sz w:val="18"/>
                <w:szCs w:val="18"/>
              </w:rPr>
              <w:t> </w:t>
            </w:r>
            <w:r>
              <w:rPr>
                <w:rFonts w:ascii="宋体" w:hAnsi="宋体" w:cs="宋体" w:eastAsia="宋体" w:hint="default"/>
                <w:sz w:val="18"/>
                <w:szCs w:val="18"/>
              </w:rPr>
              <w:t>公司与李健、</w:t>
            </w:r>
            <w:r>
              <w:rPr>
                <w:rFonts w:ascii="宋体" w:hAnsi="宋体" w:cs="宋体" w:eastAsia="宋体" w:hint="default"/>
                <w:w w:val="99"/>
                <w:sz w:val="18"/>
                <w:szCs w:val="18"/>
              </w:rPr>
              <w:t> </w:t>
            </w:r>
            <w:r>
              <w:rPr>
                <w:rFonts w:ascii="宋体" w:hAnsi="宋体" w:cs="宋体" w:eastAsia="宋体" w:hint="default"/>
                <w:sz w:val="18"/>
                <w:szCs w:val="18"/>
              </w:rPr>
              <w:t>王晋敏、王熙</w:t>
            </w:r>
            <w:r>
              <w:rPr>
                <w:rFonts w:ascii="宋体" w:hAnsi="宋体" w:cs="宋体" w:eastAsia="宋体" w:hint="default"/>
                <w:w w:val="99"/>
                <w:sz w:val="18"/>
                <w:szCs w:val="18"/>
              </w:rPr>
              <w:t> </w:t>
            </w:r>
            <w:r>
              <w:rPr>
                <w:rFonts w:ascii="宋体" w:hAnsi="宋体" w:cs="宋体" w:eastAsia="宋体" w:hint="default"/>
                <w:sz w:val="18"/>
                <w:szCs w:val="18"/>
              </w:rPr>
              <w:t>春、李飚签署</w:t>
            </w:r>
            <w:r>
              <w:rPr>
                <w:rFonts w:ascii="宋体" w:hAnsi="宋体" w:cs="宋体" w:eastAsia="宋体" w:hint="default"/>
                <w:w w:val="99"/>
                <w:sz w:val="18"/>
                <w:szCs w:val="18"/>
              </w:rPr>
              <w:t> </w:t>
            </w:r>
            <w:r>
              <w:rPr>
                <w:rFonts w:ascii="宋体" w:hAnsi="宋体" w:cs="宋体" w:eastAsia="宋体" w:hint="default"/>
                <w:sz w:val="18"/>
                <w:szCs w:val="18"/>
              </w:rPr>
              <w:t>的《盈利预测</w:t>
            </w:r>
            <w:r>
              <w:rPr>
                <w:rFonts w:ascii="宋体" w:hAnsi="宋体" w:cs="宋体" w:eastAsia="宋体" w:hint="default"/>
                <w:w w:val="99"/>
                <w:sz w:val="18"/>
                <w:szCs w:val="18"/>
              </w:rPr>
              <w:t> </w:t>
            </w:r>
            <w:r>
              <w:rPr>
                <w:rFonts w:ascii="宋体" w:hAnsi="宋体" w:cs="宋体" w:eastAsia="宋体" w:hint="default"/>
                <w:sz w:val="18"/>
                <w:szCs w:val="18"/>
              </w:rPr>
              <w:t>补偿协议》及</w:t>
            </w:r>
          </w:p>
          <w:p>
            <w:pPr>
              <w:pStyle w:val="TableParagraph"/>
              <w:spacing w:line="316" w:lineRule="auto" w:before="20"/>
              <w:ind w:left="23" w:right="11"/>
              <w:jc w:val="left"/>
              <w:rPr>
                <w:rFonts w:ascii="宋体" w:hAnsi="宋体" w:cs="宋体" w:eastAsia="宋体" w:hint="default"/>
                <w:sz w:val="18"/>
                <w:szCs w:val="18"/>
              </w:rPr>
            </w:pPr>
            <w:r>
              <w:rPr>
                <w:rFonts w:ascii="宋体" w:hAnsi="宋体" w:cs="宋体" w:eastAsia="宋体" w:hint="default"/>
                <w:sz w:val="18"/>
                <w:szCs w:val="18"/>
              </w:rPr>
              <w:t>《发行股份 及支付现金 购买资产协 议之补充协 </w:t>
            </w:r>
            <w:r>
              <w:rPr>
                <w:rFonts w:ascii="宋体" w:hAnsi="宋体" w:cs="宋体" w:eastAsia="宋体" w:hint="default"/>
                <w:spacing w:val="-16"/>
                <w:sz w:val="18"/>
                <w:szCs w:val="18"/>
              </w:rPr>
              <w:t>议》，交易对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方李健、王晋</w:t>
            </w:r>
            <w:r>
              <w:rPr>
                <w:rFonts w:ascii="宋体" w:hAnsi="宋体" w:cs="宋体" w:eastAsia="宋体" w:hint="default"/>
                <w:sz w:val="18"/>
                <w:szCs w:val="18"/>
              </w:rPr>
              <w:t> 敏、王熙春、 李飚承诺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2016</w:t>
            </w:r>
            <w:r>
              <w:rPr>
                <w:rFonts w:ascii="Times New Roman" w:hAnsi="Times New Roman" w:cs="Times New Roman" w:eastAsia="Times New Roman" w:hint="default"/>
                <w:sz w:val="18"/>
                <w:szCs w:val="18"/>
              </w:rPr>
            </w:r>
          </w:p>
          <w:p>
            <w:pPr>
              <w:pStyle w:val="TableParagraph"/>
              <w:spacing w:line="316" w:lineRule="auto" w:before="63"/>
              <w:ind w:left="23" w:right="96"/>
              <w:jc w:val="left"/>
              <w:rPr>
                <w:rFonts w:ascii="宋体" w:hAnsi="宋体" w:cs="宋体" w:eastAsia="宋体" w:hint="default"/>
                <w:sz w:val="18"/>
                <w:szCs w:val="18"/>
              </w:rPr>
            </w:pPr>
            <w:r>
              <w:rPr>
                <w:rFonts w:ascii="宋体" w:hAnsi="宋体" w:cs="宋体" w:eastAsia="宋体" w:hint="default"/>
                <w:sz w:val="18"/>
                <w:szCs w:val="18"/>
              </w:rPr>
              <w:t>年及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标的公司实 现的扣除非 经常性损益 后归属于母 公司股东的 净利润将分 别不低于 </w:t>
            </w:r>
            <w:r>
              <w:rPr>
                <w:rFonts w:ascii="Times New Roman" w:hAnsi="Times New Roman" w:cs="Times New Roman" w:eastAsia="Times New Roman" w:hint="default"/>
                <w:sz w:val="18"/>
                <w:szCs w:val="18"/>
              </w:rPr>
              <w:t>2,860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546"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王熙春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为增强盈利 预测补偿的 操作性和可 </w:t>
            </w:r>
            <w:r>
              <w:rPr>
                <w:rFonts w:ascii="宋体" w:hAnsi="宋体" w:cs="宋体" w:eastAsia="宋体" w:hint="default"/>
                <w:spacing w:val="-2"/>
                <w:sz w:val="18"/>
                <w:szCs w:val="18"/>
              </w:rPr>
              <w:t>实现性，交易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对方各方承 诺在本次交 易中取得的 </w:t>
            </w:r>
            <w:r>
              <w:rPr>
                <w:rFonts w:ascii="宋体" w:hAnsi="宋体" w:cs="宋体" w:eastAsia="宋体" w:hint="default"/>
                <w:spacing w:val="-2"/>
                <w:sz w:val="18"/>
                <w:szCs w:val="18"/>
              </w:rPr>
              <w:t>股份，分三期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9410"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解除锁定：</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p>
          <w:p>
            <w:pPr>
              <w:pStyle w:val="TableParagraph"/>
              <w:spacing w:line="314" w:lineRule="auto" w:before="63"/>
              <w:ind w:left="23" w:right="11"/>
              <w:jc w:val="both"/>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宋体" w:hAnsi="宋体" w:cs="宋体" w:eastAsia="宋体" w:hint="default"/>
                <w:sz w:val="18"/>
                <w:szCs w:val="18"/>
              </w:rPr>
              <w:t>。根据本</w:t>
            </w:r>
            <w:r>
              <w:rPr>
                <w:rFonts w:ascii="宋体" w:hAnsi="宋体" w:cs="宋体" w:eastAsia="宋体" w:hint="default"/>
                <w:w w:val="99"/>
                <w:sz w:val="18"/>
                <w:szCs w:val="18"/>
              </w:rPr>
              <w:t> </w:t>
            </w:r>
            <w:r>
              <w:rPr>
                <w:rFonts w:ascii="宋体" w:hAnsi="宋体" w:cs="宋体" w:eastAsia="宋体" w:hint="default"/>
                <w:sz w:val="18"/>
                <w:szCs w:val="18"/>
              </w:rPr>
              <w:t>公司与李健、</w:t>
            </w:r>
            <w:r>
              <w:rPr>
                <w:rFonts w:ascii="宋体" w:hAnsi="宋体" w:cs="宋体" w:eastAsia="宋体" w:hint="default"/>
                <w:w w:val="99"/>
                <w:sz w:val="18"/>
                <w:szCs w:val="18"/>
              </w:rPr>
              <w:t> </w:t>
            </w:r>
            <w:r>
              <w:rPr>
                <w:rFonts w:ascii="宋体" w:hAnsi="宋体" w:cs="宋体" w:eastAsia="宋体" w:hint="default"/>
                <w:sz w:val="18"/>
                <w:szCs w:val="18"/>
              </w:rPr>
              <w:t>王晋敏、王熙</w:t>
            </w:r>
            <w:r>
              <w:rPr>
                <w:rFonts w:ascii="宋体" w:hAnsi="宋体" w:cs="宋体" w:eastAsia="宋体" w:hint="default"/>
                <w:w w:val="99"/>
                <w:sz w:val="18"/>
                <w:szCs w:val="18"/>
              </w:rPr>
              <w:t> </w:t>
            </w:r>
            <w:r>
              <w:rPr>
                <w:rFonts w:ascii="宋体" w:hAnsi="宋体" w:cs="宋体" w:eastAsia="宋体" w:hint="default"/>
                <w:sz w:val="18"/>
                <w:szCs w:val="18"/>
              </w:rPr>
              <w:t>春、李飚签署</w:t>
            </w:r>
            <w:r>
              <w:rPr>
                <w:rFonts w:ascii="宋体" w:hAnsi="宋体" w:cs="宋体" w:eastAsia="宋体" w:hint="default"/>
                <w:w w:val="99"/>
                <w:sz w:val="18"/>
                <w:szCs w:val="18"/>
              </w:rPr>
              <w:t> </w:t>
            </w:r>
            <w:r>
              <w:rPr>
                <w:rFonts w:ascii="宋体" w:hAnsi="宋体" w:cs="宋体" w:eastAsia="宋体" w:hint="default"/>
                <w:sz w:val="18"/>
                <w:szCs w:val="18"/>
              </w:rPr>
              <w:t>的《盈利预测</w:t>
            </w:r>
            <w:r>
              <w:rPr>
                <w:rFonts w:ascii="宋体" w:hAnsi="宋体" w:cs="宋体" w:eastAsia="宋体" w:hint="default"/>
                <w:w w:val="99"/>
                <w:sz w:val="18"/>
                <w:szCs w:val="18"/>
              </w:rPr>
              <w:t> </w:t>
            </w:r>
            <w:r>
              <w:rPr>
                <w:rFonts w:ascii="宋体" w:hAnsi="宋体" w:cs="宋体" w:eastAsia="宋体" w:hint="default"/>
                <w:sz w:val="18"/>
                <w:szCs w:val="18"/>
              </w:rPr>
              <w:t>补偿协议》及</w:t>
            </w:r>
          </w:p>
          <w:p>
            <w:pPr>
              <w:pStyle w:val="TableParagraph"/>
              <w:spacing w:line="316" w:lineRule="auto" w:before="20"/>
              <w:ind w:left="23" w:right="11"/>
              <w:jc w:val="left"/>
              <w:rPr>
                <w:rFonts w:ascii="宋体" w:hAnsi="宋体" w:cs="宋体" w:eastAsia="宋体" w:hint="default"/>
                <w:sz w:val="18"/>
                <w:szCs w:val="18"/>
              </w:rPr>
            </w:pPr>
            <w:r>
              <w:rPr>
                <w:rFonts w:ascii="宋体" w:hAnsi="宋体" w:cs="宋体" w:eastAsia="宋体" w:hint="default"/>
                <w:sz w:val="18"/>
                <w:szCs w:val="18"/>
              </w:rPr>
              <w:t>《发行股份 及支付现金 购买资产协 议之补充协 </w:t>
            </w:r>
            <w:r>
              <w:rPr>
                <w:rFonts w:ascii="宋体" w:hAnsi="宋体" w:cs="宋体" w:eastAsia="宋体" w:hint="default"/>
                <w:spacing w:val="-16"/>
                <w:sz w:val="18"/>
                <w:szCs w:val="18"/>
              </w:rPr>
              <w:t>议》，交易对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方李健、王晋</w:t>
            </w:r>
            <w:r>
              <w:rPr>
                <w:rFonts w:ascii="宋体" w:hAnsi="宋体" w:cs="宋体" w:eastAsia="宋体" w:hint="default"/>
                <w:sz w:val="18"/>
                <w:szCs w:val="18"/>
              </w:rPr>
              <w:t> 敏、王熙春、 李飚承诺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2016</w:t>
            </w:r>
            <w:r>
              <w:rPr>
                <w:rFonts w:ascii="Times New Roman" w:hAnsi="Times New Roman" w:cs="Times New Roman" w:eastAsia="Times New Roman" w:hint="default"/>
                <w:sz w:val="18"/>
                <w:szCs w:val="18"/>
              </w:rPr>
            </w:r>
          </w:p>
          <w:p>
            <w:pPr>
              <w:pStyle w:val="TableParagraph"/>
              <w:spacing w:line="316" w:lineRule="auto" w:before="63"/>
              <w:ind w:left="23" w:right="96"/>
              <w:jc w:val="left"/>
              <w:rPr>
                <w:rFonts w:ascii="宋体" w:hAnsi="宋体" w:cs="宋体" w:eastAsia="宋体" w:hint="default"/>
                <w:sz w:val="18"/>
                <w:szCs w:val="18"/>
              </w:rPr>
            </w:pPr>
            <w:r>
              <w:rPr>
                <w:rFonts w:ascii="宋体" w:hAnsi="宋体" w:cs="宋体" w:eastAsia="宋体" w:hint="default"/>
                <w:sz w:val="18"/>
                <w:szCs w:val="18"/>
              </w:rPr>
              <w:t>年及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标的公司实 现的扣除非 经常性损益 后归属于母 公司股东的 净利润将分 别不低于 </w:t>
            </w:r>
            <w:r>
              <w:rPr>
                <w:rFonts w:ascii="Times New Roman" w:hAnsi="Times New Roman" w:cs="Times New Roman" w:eastAsia="Times New Roman" w:hint="default"/>
                <w:sz w:val="18"/>
                <w:szCs w:val="18"/>
              </w:rPr>
              <w:t>2,860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418"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为增强盈利 预测补偿的 操作性和可 </w:t>
            </w:r>
            <w:r>
              <w:rPr>
                <w:rFonts w:ascii="宋体" w:hAnsi="宋体" w:cs="宋体" w:eastAsia="宋体" w:hint="default"/>
                <w:spacing w:val="-2"/>
                <w:sz w:val="18"/>
                <w:szCs w:val="18"/>
              </w:rPr>
              <w:t>实现性，交易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对方各方承 诺在本次交 易中取得的 </w:t>
            </w:r>
            <w:r>
              <w:rPr>
                <w:rFonts w:ascii="宋体" w:hAnsi="宋体" w:cs="宋体" w:eastAsia="宋体" w:hint="default"/>
                <w:spacing w:val="-2"/>
                <w:sz w:val="18"/>
                <w:szCs w:val="18"/>
              </w:rPr>
              <w:t>股份，分三期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解除锁定：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p>
          <w:p>
            <w:pPr>
              <w:pStyle w:val="TableParagraph"/>
              <w:spacing w:line="312" w:lineRule="auto"/>
              <w:ind w:left="23" w:right="11"/>
              <w:jc w:val="both"/>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宋体" w:hAnsi="宋体" w:cs="宋体" w:eastAsia="宋体" w:hint="default"/>
                <w:sz w:val="18"/>
                <w:szCs w:val="18"/>
              </w:rPr>
              <w:t>。根据本</w:t>
            </w:r>
            <w:r>
              <w:rPr>
                <w:rFonts w:ascii="宋体" w:hAnsi="宋体" w:cs="宋体" w:eastAsia="宋体" w:hint="default"/>
                <w:w w:val="99"/>
                <w:sz w:val="18"/>
                <w:szCs w:val="18"/>
              </w:rPr>
              <w:t> </w:t>
            </w:r>
            <w:r>
              <w:rPr>
                <w:rFonts w:ascii="宋体" w:hAnsi="宋体" w:cs="宋体" w:eastAsia="宋体" w:hint="default"/>
                <w:sz w:val="18"/>
                <w:szCs w:val="18"/>
              </w:rPr>
              <w:t>公司与李健、</w:t>
            </w:r>
            <w:r>
              <w:rPr>
                <w:rFonts w:ascii="宋体" w:hAnsi="宋体" w:cs="宋体" w:eastAsia="宋体" w:hint="default"/>
                <w:w w:val="99"/>
                <w:sz w:val="18"/>
                <w:szCs w:val="18"/>
              </w:rPr>
              <w:t> </w:t>
            </w:r>
            <w:r>
              <w:rPr>
                <w:rFonts w:ascii="宋体" w:hAnsi="宋体" w:cs="宋体" w:eastAsia="宋体" w:hint="default"/>
                <w:sz w:val="18"/>
                <w:szCs w:val="18"/>
              </w:rPr>
              <w:t>王晋敏、王熙</w:t>
            </w:r>
            <w:r>
              <w:rPr>
                <w:rFonts w:ascii="宋体" w:hAnsi="宋体" w:cs="宋体" w:eastAsia="宋体" w:hint="default"/>
                <w:w w:val="99"/>
                <w:sz w:val="18"/>
                <w:szCs w:val="18"/>
              </w:rPr>
              <w:t> </w:t>
            </w:r>
            <w:r>
              <w:rPr>
                <w:rFonts w:ascii="宋体" w:hAnsi="宋体" w:cs="宋体" w:eastAsia="宋体" w:hint="default"/>
                <w:sz w:val="18"/>
                <w:szCs w:val="18"/>
              </w:rPr>
              <w:t>春、李飚签署</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7538"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的《盈利预测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补偿协议》及</w:t>
            </w:r>
          </w:p>
          <w:p>
            <w:pPr>
              <w:pStyle w:val="TableParagraph"/>
              <w:spacing w:line="316" w:lineRule="auto" w:before="19"/>
              <w:ind w:left="23" w:right="11"/>
              <w:jc w:val="left"/>
              <w:rPr>
                <w:rFonts w:ascii="宋体" w:hAnsi="宋体" w:cs="宋体" w:eastAsia="宋体" w:hint="default"/>
                <w:sz w:val="18"/>
                <w:szCs w:val="18"/>
              </w:rPr>
            </w:pPr>
            <w:r>
              <w:rPr>
                <w:rFonts w:ascii="宋体" w:hAnsi="宋体" w:cs="宋体" w:eastAsia="宋体" w:hint="default"/>
                <w:sz w:val="18"/>
                <w:szCs w:val="18"/>
              </w:rPr>
              <w:t>《发行股份 及支付现金 购买资产协 议之补充协 </w:t>
            </w:r>
            <w:r>
              <w:rPr>
                <w:rFonts w:ascii="宋体" w:hAnsi="宋体" w:cs="宋体" w:eastAsia="宋体" w:hint="default"/>
                <w:spacing w:val="-16"/>
                <w:sz w:val="18"/>
                <w:szCs w:val="18"/>
              </w:rPr>
              <w:t>议》，交易对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方李健、王晋</w:t>
            </w:r>
            <w:r>
              <w:rPr>
                <w:rFonts w:ascii="宋体" w:hAnsi="宋体" w:cs="宋体" w:eastAsia="宋体" w:hint="default"/>
                <w:sz w:val="18"/>
                <w:szCs w:val="18"/>
              </w:rPr>
              <w:t> 敏、王熙春、 李飚承诺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2016</w:t>
            </w:r>
            <w:r>
              <w:rPr>
                <w:rFonts w:ascii="Times New Roman" w:hAnsi="Times New Roman" w:cs="Times New Roman" w:eastAsia="Times New Roman" w:hint="default"/>
                <w:sz w:val="18"/>
                <w:szCs w:val="18"/>
              </w:rPr>
            </w:r>
          </w:p>
          <w:p>
            <w:pPr>
              <w:pStyle w:val="TableParagraph"/>
              <w:spacing w:line="316" w:lineRule="auto" w:before="63"/>
              <w:ind w:left="23" w:right="96"/>
              <w:jc w:val="left"/>
              <w:rPr>
                <w:rFonts w:ascii="宋体" w:hAnsi="宋体" w:cs="宋体" w:eastAsia="宋体" w:hint="default"/>
                <w:sz w:val="18"/>
                <w:szCs w:val="18"/>
              </w:rPr>
            </w:pPr>
            <w:r>
              <w:rPr>
                <w:rFonts w:ascii="宋体" w:hAnsi="宋体" w:cs="宋体" w:eastAsia="宋体" w:hint="default"/>
                <w:sz w:val="18"/>
                <w:szCs w:val="18"/>
              </w:rPr>
              <w:t>年及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标的公司实 现的扣除非 经常性损益 后归属于母 公司股东的 净利润将分 别不低于 </w:t>
            </w:r>
            <w:r>
              <w:rPr>
                <w:rFonts w:ascii="Times New Roman" w:hAnsi="Times New Roman" w:cs="Times New Roman" w:eastAsia="Times New Roman" w:hint="default"/>
                <w:sz w:val="18"/>
                <w:szCs w:val="18"/>
              </w:rPr>
              <w:t>2,860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290"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3" w:right="187"/>
              <w:jc w:val="left"/>
              <w:rPr>
                <w:rFonts w:ascii="宋体" w:hAnsi="宋体" w:cs="宋体" w:eastAsia="宋体" w:hint="default"/>
                <w:sz w:val="18"/>
                <w:szCs w:val="18"/>
              </w:rPr>
            </w:pPr>
            <w:r>
              <w:rPr>
                <w:rFonts w:ascii="宋体" w:hAnsi="宋体" w:cs="宋体" w:eastAsia="宋体" w:hint="default"/>
                <w:sz w:val="18"/>
                <w:szCs w:val="18"/>
              </w:rPr>
              <w:t>东华软件股 份公司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自东方通股 票上市之日 起十二个月 内，不转让或 者委托他人 管理我公司 本次发行前 已持有的东 方通的股份， 也不由东方 通回购我公 司持有的上 述股份。所持 东方通股份 在锁定期满</w:t>
            </w:r>
          </w:p>
          <w:p>
            <w:pPr>
              <w:pStyle w:val="TableParagraph"/>
              <w:spacing w:line="314"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年内减持 的，每年减持 的股份合计 不超过其所 持有的东方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3" w:right="185"/>
              <w:jc w:val="left"/>
              <w:rPr>
                <w:rFonts w:ascii="宋体" w:hAnsi="宋体" w:cs="宋体" w:eastAsia="宋体" w:hint="default"/>
                <w:sz w:val="18"/>
                <w:szCs w:val="18"/>
              </w:rPr>
            </w:pPr>
            <w:r>
              <w:rPr>
                <w:rFonts w:ascii="宋体" w:hAnsi="宋体" w:cs="宋体" w:eastAsia="宋体" w:hint="default"/>
                <w:sz w:val="18"/>
                <w:szCs w:val="18"/>
              </w:rPr>
              <w:t>公司上市后 三年内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3482"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通股份数的 百分之二十 五，减持价格 不低于发行 价（如遇除权 除息，减持价 格进行相应 </w:t>
            </w:r>
            <w:r>
              <w:rPr>
                <w:rFonts w:ascii="宋体" w:hAnsi="宋体" w:cs="宋体" w:eastAsia="宋体" w:hint="default"/>
                <w:spacing w:val="-16"/>
                <w:sz w:val="18"/>
                <w:szCs w:val="18"/>
              </w:rPr>
              <w:t>调整），且将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 日予以公告。</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346"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自东方通股 票上市之日 起的三十六 个月内，不转 让或委托他 人管理本人 所直接或间 接持有的东 方通股份，也 不由东方通 回购本人所 直接或间接 持有的东方 通股份；前述 锁定期满后， 在担任东方 通董事（或监 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 人员）期间， 每年转让的 股份不超过 本人所持有 的东方通股 份总数的百 分之二十五； 在申报离职 后半年内不 转让本人所 持有的东方 通股份；所持 东方通股票 在锁定期满 后两年内减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85"/>
              <w:jc w:val="left"/>
              <w:rPr>
                <w:rFonts w:ascii="宋体" w:hAnsi="宋体" w:cs="宋体" w:eastAsia="宋体" w:hint="default"/>
                <w:sz w:val="18"/>
                <w:szCs w:val="18"/>
              </w:rPr>
            </w:pPr>
            <w:r>
              <w:rPr>
                <w:rFonts w:ascii="宋体" w:hAnsi="宋体" w:cs="宋体" w:eastAsia="宋体" w:hint="default"/>
                <w:sz w:val="18"/>
                <w:szCs w:val="18"/>
              </w:rPr>
              <w:t>公司上市后 三年内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9410"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持的，减持价 格不低于发 行价；东方通 上市后六个 月内如东方 通股票连续 二十个交易 日的收盘价 均低于发行 价，或者上市 后六个月期 末收盘价低 于发行价，持 有东方通股 票的锁定期 限自动延长 六个月。如遇 除权除息，上 述减持价格 及收盘价均 作相应调整。 上述承诺不 因职务变更 或离职等原 </w:t>
            </w:r>
            <w:r>
              <w:rPr>
                <w:rFonts w:ascii="宋体" w:hAnsi="宋体" w:cs="宋体" w:eastAsia="宋体" w:hint="default"/>
                <w:spacing w:val="-4"/>
                <w:sz w:val="18"/>
                <w:szCs w:val="18"/>
              </w:rPr>
              <w:t>因而失效。如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未履行上述</w:t>
            </w:r>
            <w:r>
              <w:rPr>
                <w:rFonts w:ascii="宋体" w:hAnsi="宋体" w:cs="宋体" w:eastAsia="宋体" w:hint="default"/>
                <w:sz w:val="18"/>
                <w:szCs w:val="18"/>
              </w:rPr>
              <w:t> 承诺，转让相 关股份所取 得的收益归 东方通所有。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418"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自东方通股 票上市之日 起的三十六 </w:t>
            </w:r>
            <w:r>
              <w:rPr>
                <w:rFonts w:ascii="宋体" w:hAnsi="宋体" w:cs="宋体" w:eastAsia="宋体" w:hint="default"/>
                <w:spacing w:val="-2"/>
                <w:sz w:val="18"/>
                <w:szCs w:val="18"/>
              </w:rPr>
              <w:t>个月内，不转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让或委托他 人管理本人 所直接或间 接持有的东 </w:t>
            </w:r>
            <w:r>
              <w:rPr>
                <w:rFonts w:ascii="宋体" w:hAnsi="宋体" w:cs="宋体" w:eastAsia="宋体" w:hint="default"/>
                <w:spacing w:val="-2"/>
                <w:sz w:val="18"/>
                <w:szCs w:val="18"/>
              </w:rPr>
              <w:t>方通股份，也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不由东方通 回购本人所 直接或间接 持有的东方 </w:t>
            </w:r>
            <w:r>
              <w:rPr>
                <w:rFonts w:ascii="宋体" w:hAnsi="宋体" w:cs="宋体" w:eastAsia="宋体" w:hint="default"/>
                <w:spacing w:val="-2"/>
                <w:sz w:val="18"/>
                <w:szCs w:val="18"/>
              </w:rPr>
              <w:t>通股份；前述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4" w:lineRule="auto"/>
              <w:ind w:left="23" w:right="185"/>
              <w:jc w:val="left"/>
              <w:rPr>
                <w:rFonts w:ascii="宋体" w:hAnsi="宋体" w:cs="宋体" w:eastAsia="宋体" w:hint="default"/>
                <w:sz w:val="18"/>
                <w:szCs w:val="18"/>
              </w:rPr>
            </w:pPr>
            <w:r>
              <w:rPr>
                <w:rFonts w:ascii="宋体" w:hAnsi="宋体" w:cs="宋体" w:eastAsia="宋体" w:hint="default"/>
                <w:sz w:val="18"/>
                <w:szCs w:val="18"/>
              </w:rPr>
              <w:t>公司上市后 三年内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在担任东方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通董事（或监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人员）期间，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每年转让的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的东方通股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份总数的百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分之二十五；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后半年内不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转让本人所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持有的东方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通股份；所持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东方通股票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在锁定期满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后两年内减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持的，减持价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格不低于发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行价；东方通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上市后六个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月内如东方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通股票连续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二十个交易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均低于发行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价，或者上市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后六个月期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末收盘价低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于发行价，持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有东方通股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票的锁定期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限自动延长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六个月。如遇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除权除息，上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述减持价格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及收盘价均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作相应调整。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上述承诺不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因职务变更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或离职等原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因而失效。如</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1610"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未履行上述 承诺，转让相 关股份所取 得的收益归 东方通所有。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2218"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孙亚明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自东方通股 票上市之日 起的三十六 个月内，不转 让或委托他 人管理本人 所直接或间 接持有的东 方通股份，也 不由东方通 回购本人所 直接或间接 持有的东方 通股份；前述 锁定期满后， 在担任东方 通董事（或监 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 人员）期间， 每年转让的 股份不超过 本人所持有 的东方通股 份总数的百 分之二十五； 在申报离职 后半年内不 转让本人所 持有的东方 通股份；所持 东方通股票 在锁定期满 后两年内减 持的，减持价 格不低于发 行价；东方通 上市后六个 月内如东方 通股票连续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23" w:right="185"/>
              <w:jc w:val="left"/>
              <w:rPr>
                <w:rFonts w:ascii="宋体" w:hAnsi="宋体" w:cs="宋体" w:eastAsia="宋体" w:hint="default"/>
                <w:sz w:val="18"/>
                <w:szCs w:val="18"/>
              </w:rPr>
            </w:pPr>
            <w:r>
              <w:rPr>
                <w:rFonts w:ascii="宋体" w:hAnsi="宋体" w:cs="宋体" w:eastAsia="宋体" w:hint="default"/>
                <w:sz w:val="18"/>
                <w:szCs w:val="18"/>
              </w:rPr>
              <w:t>公司上市后 三年内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7538"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二十个交易 日的收盘价 均低于发行 价，或者上市 后六个月期 末收盘价低 于发行价，持 有东方通股 票的锁定期 限自动延长 六个月。如遇 除权除息，上 述减持价格 及收盘价均 作相应调整。 上述承诺不 因职务变更 或离职等原 因而失效。如 未履行上述 承诺，转让相 关股份所取 得的收益归 东方通所有。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290"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东方通股票 上市之日起 的三十六个 </w:t>
            </w: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或委托他人 管理本人所 直接或间接 持有的东方 </w:t>
            </w:r>
            <w:r>
              <w:rPr>
                <w:rFonts w:ascii="宋体" w:hAnsi="宋体" w:cs="宋体" w:eastAsia="宋体" w:hint="default"/>
                <w:spacing w:val="-2"/>
                <w:sz w:val="18"/>
                <w:szCs w:val="18"/>
              </w:rPr>
              <w:t>通股份，也不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由东方通回 购本人所直 接或间接持 有的东方通 </w:t>
            </w:r>
            <w:r>
              <w:rPr>
                <w:rFonts w:ascii="宋体" w:hAnsi="宋体" w:cs="宋体" w:eastAsia="宋体" w:hint="default"/>
                <w:spacing w:val="-2"/>
                <w:sz w:val="18"/>
                <w:szCs w:val="18"/>
              </w:rPr>
              <w:t>股份；前述锁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定期满后，在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担任东方通 </w:t>
            </w:r>
            <w:r>
              <w:rPr>
                <w:rFonts w:ascii="宋体" w:hAnsi="宋体" w:cs="宋体" w:eastAsia="宋体" w:hint="default"/>
                <w:spacing w:val="-2"/>
                <w:sz w:val="18"/>
                <w:szCs w:val="18"/>
              </w:rPr>
              <w:t>董事（或监事</w:t>
            </w:r>
          </w:p>
          <w:p>
            <w:pPr>
              <w:pStyle w:val="TableParagraph"/>
              <w:spacing w:line="309" w:lineRule="auto" w:before="1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高级管理人 </w:t>
            </w:r>
            <w:r>
              <w:rPr>
                <w:rFonts w:ascii="宋体" w:hAnsi="宋体" w:cs="宋体" w:eastAsia="宋体" w:hint="default"/>
                <w:spacing w:val="-2"/>
                <w:sz w:val="18"/>
                <w:szCs w:val="18"/>
              </w:rPr>
              <w:t>员）期间，每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年转让的股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3" w:right="185"/>
              <w:jc w:val="left"/>
              <w:rPr>
                <w:rFonts w:ascii="宋体" w:hAnsi="宋体" w:cs="宋体" w:eastAsia="宋体" w:hint="default"/>
                <w:sz w:val="18"/>
                <w:szCs w:val="18"/>
              </w:rPr>
            </w:pPr>
            <w:r>
              <w:rPr>
                <w:rFonts w:ascii="宋体" w:hAnsi="宋体" w:cs="宋体" w:eastAsia="宋体" w:hint="default"/>
                <w:sz w:val="18"/>
                <w:szCs w:val="18"/>
              </w:rPr>
              <w:t>公司上市后 三年内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13466"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份不超过本 人所持有的 东方通股份 总数的百分 之二十五；在 申报离职后 半年内不转 让本人所持 有的东方通 股份；所持东 方通股票在 锁定期满后 两年内减持 的，减持价格 不低于发行 价；东方通上 市后六个月 内如东方通 股票连续二 十个交易日 的收盘价均 低于发行价， 或者上市后 六个月期末 收盘价低于 发行价，持有 东方通股票 的锁定期限 自动延长六 个月。如遇除 权除息，上述 减持价格及 收盘价均作 相应调整。上 述承诺不因 职务变更或 离职等原因 而失效。如未 履行上述承 诺，转让相关 股份所取得 的收益归东 方通所有。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自东方通股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公司上市后</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13738"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票上市之日 起的三十六 个月内，不转 让或委托他 人管理本人 所直接或间 接持有的东 方通股份，也 不由东方通 回购本人所 直接或间接 持有的东方 通股份；前述 锁定期满后， 在担任东方 通董事（或监 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 人员）期间， 每年转让的 股份不超过 本人所持有 的东方通股 份总数的百 分之二十五； 在申报离职 后半年内不 转让本人所 持有的东方 通股份；所持 东方通股票 在锁定期满 后两年内减 持的，减持价 格不低于发 行价；东方通 上市后六个 月内如东方 通股票连续 二十个交易 日的收盘价 均低于发行 价，或者上市 后六个月期 末收盘价低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三年内</w:t>
            </w: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5666"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于发行价，持 有东方通股 票的锁定期 限自动延长 六个月。如遇 除权除息，上 述减持价格 及收盘价均 作相应调整。 上述承诺不 因职务变更 或离职等原 因而失效。如 未履行上述 承诺，转让相 关股份所取 得的收益归 东方通所有。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162"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自东方通股 票上市之日 起的十二个 月内，不转让 或委托他人 管理本人所 直接或间接 持有的东方 通股份，也不 由东方通回 购本人所直 接或间接持 有的东方通 股份；前述锁 定期满后，在 担任东方通 董事、监事、 高级管理人 员期间，每年 转让的股份 不超过本人 所持有东方 通股份总数 的百分之二 十五。在东方 通股票上市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4" w:lineRule="auto"/>
              <w:ind w:left="23" w:right="185"/>
              <w:jc w:val="left"/>
              <w:rPr>
                <w:rFonts w:ascii="宋体" w:hAnsi="宋体" w:cs="宋体" w:eastAsia="宋体" w:hint="default"/>
                <w:sz w:val="18"/>
                <w:szCs w:val="18"/>
              </w:rPr>
            </w:pPr>
            <w:r>
              <w:rPr>
                <w:rFonts w:ascii="宋体" w:hAnsi="宋体" w:cs="宋体" w:eastAsia="宋体" w:hint="default"/>
                <w:sz w:val="18"/>
                <w:szCs w:val="18"/>
              </w:rPr>
              <w:t>公司上市后 三年内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8786"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之日起六个 月内申报离 </w:t>
            </w:r>
            <w:r>
              <w:rPr>
                <w:rFonts w:ascii="宋体" w:hAnsi="宋体" w:cs="宋体" w:eastAsia="宋体" w:hint="default"/>
                <w:spacing w:val="-2"/>
                <w:sz w:val="18"/>
                <w:szCs w:val="18"/>
              </w:rPr>
              <w:t>职的，自申报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离职之日起 十八个月内 不转让本人 持有的东方 </w:t>
            </w:r>
            <w:r>
              <w:rPr>
                <w:rFonts w:ascii="宋体" w:hAnsi="宋体" w:cs="宋体" w:eastAsia="宋体" w:hint="default"/>
                <w:spacing w:val="-2"/>
                <w:sz w:val="18"/>
                <w:szCs w:val="18"/>
              </w:rPr>
              <w:t>通股份；在东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方通股票上 市之日起第 七个月至第 十二个月之 间申报离职 </w:t>
            </w:r>
            <w:r>
              <w:rPr>
                <w:rFonts w:ascii="宋体" w:hAnsi="宋体" w:cs="宋体" w:eastAsia="宋体" w:hint="default"/>
                <w:spacing w:val="-2"/>
                <w:sz w:val="18"/>
                <w:szCs w:val="18"/>
              </w:rPr>
              <w:t>的，自申报离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职之日起十 二个月内不 转让本人持 有的东方通 </w:t>
            </w:r>
            <w:r>
              <w:rPr>
                <w:rFonts w:ascii="宋体" w:hAnsi="宋体" w:cs="宋体" w:eastAsia="宋体" w:hint="default"/>
                <w:spacing w:val="-2"/>
                <w:sz w:val="18"/>
                <w:szCs w:val="18"/>
              </w:rPr>
              <w:t>股份；在东方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通股票上市 之日起第十 二个月后申 </w:t>
            </w:r>
            <w:r>
              <w:rPr>
                <w:rFonts w:ascii="宋体" w:hAnsi="宋体" w:cs="宋体" w:eastAsia="宋体" w:hint="default"/>
                <w:spacing w:val="-2"/>
                <w:sz w:val="18"/>
                <w:szCs w:val="18"/>
              </w:rPr>
              <w:t>报离职的，申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报离职后半 年内不转让 本人所持有 的东方通股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042"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4"/>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自东方通股 票上市之日 起的三十六 个月内，不转 让或委托他 人管理本人 所直接或间 接持有的东 方通股份，也 不由东方通 回购本人所 直接或间接 持有的东方 通股份；前述 锁定期满后， 在担任东方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4"/>
              <w:ind w:left="23" w:right="185"/>
              <w:jc w:val="left"/>
              <w:rPr>
                <w:rFonts w:ascii="宋体" w:hAnsi="宋体" w:cs="宋体" w:eastAsia="宋体" w:hint="default"/>
                <w:sz w:val="18"/>
                <w:szCs w:val="18"/>
              </w:rPr>
            </w:pPr>
            <w:r>
              <w:rPr>
                <w:rFonts w:ascii="宋体" w:hAnsi="宋体" w:cs="宋体" w:eastAsia="宋体" w:hint="default"/>
                <w:sz w:val="18"/>
                <w:szCs w:val="18"/>
              </w:rPr>
              <w:t>公司上市后 三年内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通董事（或监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人员）期间，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每年转让的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的东方通股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份总数的百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分之二十五；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后半年内不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转让本人所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持有的东方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通股份；所持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东方通股票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在锁定期满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后两年内减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持的，减持价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格不低于发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行价；东方通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上市后六个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月内如东方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通股票连续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二十个交易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均低于发行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价，或者上市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后六个月期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末收盘价低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于发行价，持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有东方通股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票的锁定期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限自动延长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六个月。如遇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除权除息，上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述减持价格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及收盘价均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作相应调整。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上述承诺不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因职务变更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或离职等原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因而失效。如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未履行上述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承诺，转让相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关股份所取 得的收益归 东方通所有。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2842"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1"/>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自东方通股 票上市之日 起的三十六 个月内，不转 让或委托他 人管理本人 所直接或间 接持有的东 方通股份，也 不由东方通 回购本人所 直接或间接 持有的东方 通股份；前述 锁定期满后， 在担任东方 通董事（或监 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 人员）期间， 每年转让的 股份不超过 本人所持有 的东方通股 份总数的百 分之二十五； 在申报离职 后半年内不 转让本人所 持有的东方 通股份；所持 东方通股票 在锁定期满 后两年内减 持的，减持价 格不低于发 行价；东方通 上市后六个 月内如东方 通股票连续 二十个交易 日的收盘价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1"/>
              <w:ind w:left="23" w:right="185"/>
              <w:jc w:val="left"/>
              <w:rPr>
                <w:rFonts w:ascii="宋体" w:hAnsi="宋体" w:cs="宋体" w:eastAsia="宋体" w:hint="default"/>
                <w:sz w:val="18"/>
                <w:szCs w:val="18"/>
              </w:rPr>
            </w:pPr>
            <w:r>
              <w:rPr>
                <w:rFonts w:ascii="宋体" w:hAnsi="宋体" w:cs="宋体" w:eastAsia="宋体" w:hint="default"/>
                <w:sz w:val="18"/>
                <w:szCs w:val="18"/>
              </w:rPr>
              <w:t>公司上市后 三年内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6914"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均低于发行 价，或者上市 后六个月期 末收盘价低 于发行价，持 有东方通股 票的锁定期 限自动延长 六个月。如遇 除权除息，上 述减持价格 及收盘价均 作相应调整。 上述承诺不 因职务变更 或离职等原 因而失效。如 未履行上述 承诺，转让相 关股份所取 得的收益归 东方通所有。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914"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徐志东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自东方通股 票上市之日 起的三十六 个月内，不转 让或委托他 人管理本人 所直接或间 接持有的东 方通股份，也 不由东方通 回购本人所 直接或间接 持有的东方 通股份；前述 锁定期满后， 在担任东方 通董事（或监 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 人员）期间， 每年转让的 股份不超过 本人所持有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4" w:lineRule="auto"/>
              <w:ind w:left="23" w:right="185"/>
              <w:jc w:val="left"/>
              <w:rPr>
                <w:rFonts w:ascii="宋体" w:hAnsi="宋体" w:cs="宋体" w:eastAsia="宋体" w:hint="default"/>
                <w:sz w:val="18"/>
                <w:szCs w:val="18"/>
              </w:rPr>
            </w:pPr>
            <w:r>
              <w:rPr>
                <w:rFonts w:ascii="宋体" w:hAnsi="宋体" w:cs="宋体" w:eastAsia="宋体" w:hint="default"/>
                <w:sz w:val="18"/>
                <w:szCs w:val="18"/>
              </w:rPr>
              <w:t>公司上市后 三年内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12842"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的东方通股 份总数的百 分之二十五； 在申报离职 后半年内不 转让本人所 持有的东方 通股份；所持 东方通股票 在锁定期满 后两年内减 持的，减持价 格不低于发 行价；东方通 上市后六个 月内如东方 通股票连续 二十个交易 日的收盘价 均低于发行 价，或者上市 后六个月期 末收盘价低 于发行价，持 有东方通股 票的锁定期 限自动延长 六个月。如遇 除权除息，上 述减持价格 及收盘价均 作相应调整。 上述承诺不 因职务变更 或离职等原 因而失效。如 未履行上述 承诺，转让相 关股份所取 得的收益归 东方通所有。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陈世英</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both"/>
              <w:rPr>
                <w:rFonts w:ascii="宋体" w:hAnsi="宋体" w:cs="宋体" w:eastAsia="宋体" w:hint="default"/>
                <w:sz w:val="18"/>
                <w:szCs w:val="18"/>
              </w:rPr>
            </w:pPr>
            <w:r>
              <w:rPr>
                <w:rFonts w:ascii="宋体" w:hAnsi="宋体" w:cs="宋体" w:eastAsia="宋体" w:hint="default"/>
                <w:sz w:val="18"/>
                <w:szCs w:val="18"/>
              </w:rPr>
              <w:t>自东方通股 票上市之日 起的三十六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185"/>
              <w:jc w:val="left"/>
              <w:rPr>
                <w:rFonts w:ascii="宋体" w:hAnsi="宋体" w:cs="宋体" w:eastAsia="宋体" w:hint="default"/>
                <w:sz w:val="18"/>
                <w:szCs w:val="18"/>
              </w:rPr>
            </w:pPr>
            <w:r>
              <w:rPr>
                <w:rFonts w:ascii="宋体" w:hAnsi="宋体" w:cs="宋体" w:eastAsia="宋体" w:hint="default"/>
                <w:sz w:val="18"/>
                <w:szCs w:val="18"/>
              </w:rPr>
              <w:t>公司上市后 三年内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让或委托他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人管理本人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接持有的东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方通股份，也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不由东方通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回购本人所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持有的东方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通股份；前述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在担任东方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通董事（或监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人员）期间，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每年转让的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的东方通股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份总数的百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分之二十五；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后半年内不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转让本人所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持有的东方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通股份；所持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东方通股票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在锁定期满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后两年内减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持的，减持价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格不低于发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行价；东方通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上市后六个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月内如东方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通股票连续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二十个交易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均低于发行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价，或者上市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后六个月期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末收盘价低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于发行价，持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有东方通股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5042"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票的锁定期 限自动延长 六个月。如遇 除权除息，上 述减持价格 及收盘价均 作相应调整。 上述承诺不 因职务变更 或离职等原 因而失效。如 未履行上述 承诺，转让相 关股份所取 得的收益归 东方通所有。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786"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00" w:lineRule="auto"/>
              <w:ind w:left="23" w:right="86"/>
              <w:jc w:val="both"/>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r>
              <w:rPr>
                <w:rFonts w:ascii="Times New Roman" w:hAnsi="Times New Roman" w:cs="Times New Roman" w:eastAsia="Times New Roman" w:hint="default"/>
                <w:sz w:val="18"/>
                <w:szCs w:val="18"/>
              </w:rPr>
              <w:t>;</w:t>
            </w:r>
            <w:r>
              <w:rPr>
                <w:rFonts w:ascii="宋体" w:hAnsi="宋体" w:cs="宋体" w:eastAsia="宋体" w:hint="default"/>
                <w:sz w:val="18"/>
                <w:szCs w:val="18"/>
              </w:rPr>
              <w:t>朱律 玮</w:t>
            </w:r>
            <w:r>
              <w:rPr>
                <w:rFonts w:ascii="Times New Roman" w:hAnsi="Times New Roman" w:cs="Times New Roman" w:eastAsia="Times New Roman" w:hint="default"/>
                <w:sz w:val="18"/>
                <w:szCs w:val="18"/>
              </w:rPr>
              <w:t>;</w:t>
            </w:r>
            <w:r>
              <w:rPr>
                <w:rFonts w:ascii="宋体" w:hAnsi="宋体" w:cs="宋体" w:eastAsia="宋体" w:hint="default"/>
                <w:sz w:val="18"/>
                <w:szCs w:val="18"/>
              </w:rPr>
              <w:t>孙亚明</w:t>
            </w:r>
            <w:r>
              <w:rPr>
                <w:rFonts w:ascii="Times New Roman" w:hAnsi="Times New Roman" w:cs="Times New Roman" w:eastAsia="Times New Roman" w:hint="default"/>
                <w:sz w:val="18"/>
                <w:szCs w:val="18"/>
              </w:rPr>
              <w:t>;</w:t>
            </w:r>
            <w:r>
              <w:rPr>
                <w:rFonts w:ascii="宋体" w:hAnsi="宋体" w:cs="宋体" w:eastAsia="宋体" w:hint="default"/>
                <w:sz w:val="18"/>
                <w:szCs w:val="18"/>
              </w:rPr>
              <w:t>李 春青</w:t>
            </w:r>
            <w:r>
              <w:rPr>
                <w:rFonts w:ascii="Times New Roman" w:hAnsi="Times New Roman" w:cs="Times New Roman" w:eastAsia="Times New Roman" w:hint="default"/>
                <w:sz w:val="18"/>
                <w:szCs w:val="18"/>
              </w:rPr>
              <w:t>;</w:t>
            </w:r>
            <w:r>
              <w:rPr>
                <w:rFonts w:ascii="宋体" w:hAnsi="宋体" w:cs="宋体" w:eastAsia="宋体" w:hint="default"/>
                <w:sz w:val="18"/>
                <w:szCs w:val="18"/>
              </w:rPr>
              <w:t>徐志东</w:t>
            </w:r>
            <w:r>
              <w:rPr>
                <w:rFonts w:ascii="Times New Roman" w:hAnsi="Times New Roman" w:cs="Times New Roman" w:eastAsia="Times New Roman" w:hint="default"/>
                <w:sz w:val="18"/>
                <w:szCs w:val="18"/>
              </w:rPr>
              <w:t>; </w:t>
            </w:r>
            <w:r>
              <w:rPr>
                <w:rFonts w:ascii="宋体" w:hAnsi="宋体" w:cs="宋体" w:eastAsia="宋体" w:hint="default"/>
                <w:sz w:val="18"/>
                <w:szCs w:val="18"/>
              </w:rPr>
              <w:t>陈世英</w:t>
            </w:r>
            <w:r>
              <w:rPr>
                <w:rFonts w:ascii="Times New Roman" w:hAnsi="Times New Roman" w:cs="Times New Roman" w:eastAsia="Times New Roman" w:hint="default"/>
                <w:sz w:val="18"/>
                <w:szCs w:val="18"/>
              </w:rPr>
              <w:t>;</w:t>
            </w:r>
            <w:r>
              <w:rPr>
                <w:rFonts w:ascii="宋体" w:hAnsi="宋体" w:cs="宋体" w:eastAsia="宋体" w:hint="default"/>
                <w:sz w:val="18"/>
                <w:szCs w:val="18"/>
              </w:rPr>
              <w:t>徐少 璞</w:t>
            </w:r>
            <w:r>
              <w:rPr>
                <w:rFonts w:ascii="Times New Roman" w:hAnsi="Times New Roman" w:cs="Times New Roman" w:eastAsia="Times New Roman" w:hint="default"/>
                <w:sz w:val="18"/>
                <w:szCs w:val="18"/>
              </w:rPr>
              <w:t>;</w:t>
            </w:r>
            <w:r>
              <w:rPr>
                <w:rFonts w:ascii="宋体" w:hAnsi="宋体" w:cs="宋体" w:eastAsia="宋体" w:hint="default"/>
                <w:sz w:val="18"/>
                <w:szCs w:val="18"/>
              </w:rPr>
              <w:t>东华软件 股份公司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）在本承 诺函签署之 </w:t>
            </w:r>
            <w:r>
              <w:rPr>
                <w:rFonts w:ascii="宋体" w:hAnsi="宋体" w:cs="宋体" w:eastAsia="宋体" w:hint="default"/>
                <w:spacing w:val="-9"/>
                <w:sz w:val="18"/>
                <w:szCs w:val="18"/>
              </w:rPr>
              <w:t>日，本人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r>
              <w:rPr>
                <w:rFonts w:ascii="宋体" w:hAnsi="宋体" w:cs="宋体" w:eastAsia="宋体" w:hint="default"/>
                <w:spacing w:val="-87"/>
                <w:sz w:val="18"/>
                <w:szCs w:val="18"/>
              </w:rPr>
              <w:t> </w:t>
            </w:r>
            <w:r>
              <w:rPr>
                <w:rFonts w:ascii="宋体" w:hAnsi="宋体" w:cs="宋体" w:eastAsia="宋体" w:hint="default"/>
                <w:sz w:val="18"/>
                <w:szCs w:val="18"/>
              </w:rPr>
              <w:t>司不存在且 不从事与东 方通及其子 公司主营业 务相同或构 成竞争的业 务，也未直接</w:t>
            </w:r>
            <w:r>
              <w:rPr>
                <w:rFonts w:ascii="宋体" w:hAnsi="宋体" w:cs="宋体" w:eastAsia="宋体" w:hint="default"/>
                <w:sz w:val="18"/>
                <w:szCs w:val="18"/>
              </w:rPr>
              <w:t> 或间接经营 任何与东方 通及其子公 司的主营业 务相同、相似 或构成竞争 </w:t>
            </w:r>
            <w:r>
              <w:rPr>
                <w:rFonts w:ascii="宋体" w:hAnsi="宋体" w:cs="宋体" w:eastAsia="宋体" w:hint="default"/>
                <w:spacing w:val="-13"/>
                <w:sz w:val="18"/>
                <w:szCs w:val="18"/>
              </w:rPr>
              <w:t>的业务。（</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自本承诺函 签署之日起，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将不以任何 方式从事，包 括与他人合 作直接或间 接从事与东 方通及其子 公司相同、相 似或在任何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方面构成竞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）自本承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诺函签署之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6"/>
              <w:jc w:val="center"/>
              <w:rPr>
                <w:rFonts w:ascii="Times New Roman" w:hAnsi="Times New Roman" w:cs="Times New Roman" w:eastAsia="Times New Roman" w:hint="default"/>
                <w:sz w:val="18"/>
                <w:szCs w:val="18"/>
              </w:rPr>
            </w:pPr>
            <w:r>
              <w:rPr>
                <w:rFonts w:ascii="宋体" w:hAnsi="宋体" w:cs="宋体" w:eastAsia="宋体" w:hint="default"/>
                <w:sz w:val="18"/>
                <w:szCs w:val="18"/>
              </w:rPr>
              <w:t>日起，本人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本公司将尽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一切可能之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努力使本人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其他关联企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业不从事与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东方通及其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子公司相同、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类似或在任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何方面构成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）自本承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诺函签署之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6"/>
              <w:jc w:val="center"/>
              <w:rPr>
                <w:rFonts w:ascii="Times New Roman" w:hAnsi="Times New Roman" w:cs="Times New Roman" w:eastAsia="Times New Roman" w:hint="default"/>
                <w:sz w:val="18"/>
                <w:szCs w:val="18"/>
              </w:rPr>
            </w:pPr>
            <w:r>
              <w:rPr>
                <w:rFonts w:ascii="宋体" w:hAnsi="宋体" w:cs="宋体" w:eastAsia="宋体" w:hint="default"/>
                <w:sz w:val="18"/>
                <w:szCs w:val="18"/>
              </w:rPr>
              <w:t>日起，本人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本公司不投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资控股于业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务与东方通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相同、相似或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在任何方面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其他机构、组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织</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5"/>
                <w:sz w:val="18"/>
                <w:szCs w:val="18"/>
              </w:rPr>
              <w:t>）</w:t>
            </w:r>
            <w:r>
              <w:rPr>
                <w:rFonts w:ascii="宋体" w:hAnsi="宋体" w:cs="宋体" w:eastAsia="宋体" w:hint="default"/>
                <w:sz w:val="18"/>
                <w:szCs w:val="18"/>
              </w:rPr>
              <w:t>自本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承诺函签署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之日起，本人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本公司不向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其他业务与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东方通及其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子公司相同、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相似或在任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何方面构成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竞争的公司、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企业或其他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机构、组织或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个人提供专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有技术或提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供销售渠道、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客户信息等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商业秘密；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9410"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）自本承 诺函签署之 日起，如果未 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司拟从事的 业务可能与 东方通及其 子公司存在 同业竞争，将 本着东方通 及其子公司 优先的原则 与东方通协 </w:t>
            </w:r>
            <w:r>
              <w:rPr>
                <w:rFonts w:ascii="宋体" w:hAnsi="宋体" w:cs="宋体" w:eastAsia="宋体" w:hint="default"/>
                <w:spacing w:val="-13"/>
                <w:sz w:val="18"/>
                <w:szCs w:val="18"/>
              </w:rPr>
              <w:t>商解决。（</w:t>
            </w:r>
            <w:r>
              <w:rPr>
                <w:rFonts w:ascii="Times New Roman" w:hAnsi="Times New Roman" w:cs="Times New Roman" w:eastAsia="Times New Roman" w:hint="default"/>
                <w:spacing w:val="-13"/>
                <w:sz w:val="18"/>
                <w:szCs w:val="18"/>
              </w:rPr>
              <w:t>7</w:t>
            </w:r>
            <w:r>
              <w:rPr>
                <w:rFonts w:ascii="宋体" w:hAnsi="宋体" w:cs="宋体" w:eastAsia="宋体" w:hint="default"/>
                <w:spacing w:val="-13"/>
                <w:sz w:val="18"/>
                <w:szCs w:val="18"/>
              </w:rPr>
              <w:t>）</w:t>
            </w:r>
            <w:r>
              <w:rPr>
                <w:rFonts w:ascii="宋体" w:hAnsi="宋体" w:cs="宋体" w:eastAsia="宋体" w:hint="default"/>
                <w:sz w:val="18"/>
                <w:szCs w:val="18"/>
              </w:rPr>
              <w:t> 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司作为东方 通实际控制 人或关联方 期间，本承诺 函为有效之 承诺。如上述 承诺被证明 是不真实或 未被遵守，本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 向东方通赔 偿一切直接 和间接损失， 并承担相应 的法律责任。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418"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00" w:lineRule="auto"/>
              <w:ind w:left="23" w:right="86"/>
              <w:jc w:val="both"/>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r>
              <w:rPr>
                <w:rFonts w:ascii="Times New Roman" w:hAnsi="Times New Roman" w:cs="Times New Roman" w:eastAsia="Times New Roman" w:hint="default"/>
                <w:sz w:val="18"/>
                <w:szCs w:val="18"/>
              </w:rPr>
              <w:t>;</w:t>
            </w:r>
            <w:r>
              <w:rPr>
                <w:rFonts w:ascii="宋体" w:hAnsi="宋体" w:cs="宋体" w:eastAsia="宋体" w:hint="default"/>
                <w:sz w:val="18"/>
                <w:szCs w:val="18"/>
              </w:rPr>
              <w:t>朱律 玮</w:t>
            </w:r>
            <w:r>
              <w:rPr>
                <w:rFonts w:ascii="Times New Roman" w:hAnsi="Times New Roman" w:cs="Times New Roman" w:eastAsia="Times New Roman" w:hint="default"/>
                <w:sz w:val="18"/>
                <w:szCs w:val="18"/>
              </w:rPr>
              <w:t>;</w:t>
            </w:r>
            <w:r>
              <w:rPr>
                <w:rFonts w:ascii="宋体" w:hAnsi="宋体" w:cs="宋体" w:eastAsia="宋体" w:hint="default"/>
                <w:sz w:val="18"/>
                <w:szCs w:val="18"/>
              </w:rPr>
              <w:t>孙亚明</w:t>
            </w:r>
            <w:r>
              <w:rPr>
                <w:rFonts w:ascii="Times New Roman" w:hAnsi="Times New Roman" w:cs="Times New Roman" w:eastAsia="Times New Roman" w:hint="default"/>
                <w:sz w:val="18"/>
                <w:szCs w:val="18"/>
              </w:rPr>
              <w:t>;</w:t>
            </w:r>
            <w:r>
              <w:rPr>
                <w:rFonts w:ascii="宋体" w:hAnsi="宋体" w:cs="宋体" w:eastAsia="宋体" w:hint="default"/>
                <w:sz w:val="18"/>
                <w:szCs w:val="18"/>
              </w:rPr>
              <w:t>李 春青</w:t>
            </w:r>
            <w:r>
              <w:rPr>
                <w:rFonts w:ascii="Times New Roman" w:hAnsi="Times New Roman" w:cs="Times New Roman" w:eastAsia="Times New Roman" w:hint="default"/>
                <w:sz w:val="18"/>
                <w:szCs w:val="18"/>
              </w:rPr>
              <w:t>;</w:t>
            </w:r>
            <w:r>
              <w:rPr>
                <w:rFonts w:ascii="宋体" w:hAnsi="宋体" w:cs="宋体" w:eastAsia="宋体" w:hint="default"/>
                <w:sz w:val="18"/>
                <w:szCs w:val="18"/>
              </w:rPr>
              <w:t>徐志东</w:t>
            </w:r>
            <w:r>
              <w:rPr>
                <w:rFonts w:ascii="Times New Roman" w:hAnsi="Times New Roman" w:cs="Times New Roman" w:eastAsia="Times New Roman" w:hint="default"/>
                <w:sz w:val="18"/>
                <w:szCs w:val="18"/>
              </w:rPr>
              <w:t>; </w:t>
            </w:r>
            <w:r>
              <w:rPr>
                <w:rFonts w:ascii="宋体" w:hAnsi="宋体" w:cs="宋体" w:eastAsia="宋体" w:hint="default"/>
                <w:sz w:val="18"/>
                <w:szCs w:val="18"/>
              </w:rPr>
              <w:t>陈世英</w:t>
            </w:r>
            <w:r>
              <w:rPr>
                <w:rFonts w:ascii="Times New Roman" w:hAnsi="Times New Roman" w:cs="Times New Roman" w:eastAsia="Times New Roman" w:hint="default"/>
                <w:sz w:val="18"/>
                <w:szCs w:val="18"/>
              </w:rPr>
              <w:t>;</w:t>
            </w:r>
            <w:r>
              <w:rPr>
                <w:rFonts w:ascii="宋体" w:hAnsi="宋体" w:cs="宋体" w:eastAsia="宋体" w:hint="default"/>
                <w:sz w:val="18"/>
                <w:szCs w:val="18"/>
              </w:rPr>
              <w:t>徐少 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 诺函出具之 日，除已经披 露的情形外， 本人（包括本 人所控制的 公司）与东方 通之间不存 在其他关联 交易。本人不 利用实际控 制人的地位 影响东方通 的独立性、故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意促使东方</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通对与本人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司）的任何关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任何行动、故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意促使东方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通的股东大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会或董事会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作出侵犯其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他股东合法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权益的决议。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如果东方通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必须与本人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司）发生任何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关联交易，则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本人承诺将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促使上述交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易按照公平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合理和正常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商业交易的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条件进行。本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人（包括本人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司）将不会要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求或接受东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方通给予比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在任何一项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市场公平交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易中第三者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更优惠的条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件。</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司）将严格和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善意地履行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与东方通签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订的各种关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联交易协议。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本人（包括本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人所控制的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8474"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公司）承诺将 不会向东方 通谋求任何 超出上述协 议规定以外 的利益或收 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 对上述承诺 的真实性及 合法性负全 部法律责任， 如果本人（包 括本人所控 制的公司）违 反上述声明、 保证与承诺， 并造成东方 通的经济损 失，本人同意 赔偿相应的 损失。</w:t>
            </w:r>
            <w:r>
              <w:rPr>
                <w:rFonts w:ascii="Times New Roman" w:hAnsi="Times New Roman" w:cs="Times New Roman" w:eastAsia="Times New Roman" w:hint="default"/>
                <w:sz w:val="18"/>
                <w:szCs w:val="18"/>
              </w:rPr>
              <w:t>4</w:t>
            </w:r>
            <w:r>
              <w:rPr>
                <w:rFonts w:ascii="宋体" w:hAnsi="宋体" w:cs="宋体" w:eastAsia="宋体" w:hint="default"/>
                <w:sz w:val="18"/>
                <w:szCs w:val="18"/>
              </w:rPr>
              <w:t>、本 承诺将持续 有效，直至本 人不再作为 东方通的实 际控制人</w:t>
            </w:r>
            <w:r>
              <w:rPr>
                <w:rFonts w:ascii="Times New Roman" w:hAnsi="Times New Roman" w:cs="Times New Roman" w:eastAsia="Times New Roman" w:hint="default"/>
                <w:sz w:val="18"/>
                <w:szCs w:val="18"/>
              </w:rPr>
              <w:t>/</w:t>
            </w:r>
            <w:r>
              <w:rPr>
                <w:rFonts w:ascii="宋体" w:hAnsi="宋体" w:cs="宋体" w:eastAsia="宋体" w:hint="default"/>
                <w:sz w:val="18"/>
                <w:szCs w:val="18"/>
              </w:rPr>
              <w:t>股 东。</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354"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4" w:lineRule="auto"/>
              <w:ind w:left="23" w:right="187"/>
              <w:jc w:val="left"/>
              <w:rPr>
                <w:rFonts w:ascii="宋体" w:hAnsi="宋体" w:cs="宋体" w:eastAsia="宋体" w:hint="default"/>
                <w:sz w:val="18"/>
                <w:szCs w:val="18"/>
              </w:rPr>
            </w:pPr>
            <w:r>
              <w:rPr>
                <w:rFonts w:ascii="宋体" w:hAnsi="宋体" w:cs="宋体" w:eastAsia="宋体" w:hint="default"/>
                <w:sz w:val="18"/>
                <w:szCs w:val="18"/>
              </w:rPr>
              <w:t>东华软件股 份公司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 诺函出具之 日，除已经披 露的情形外， 本人（包括本 人所控制的 公司）与东方 通之间不存 在其他关联 交易。本人不 利用实际控 制人的地位 影响东方通 的独立性、故 意促使东方 通对与本人</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（包括本人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所控制的公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司）的任何关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任何行动、故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意促使东方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通的股东大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会或董事会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作出侵犯其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他股东合法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权益的决议。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如果东方通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必须与本人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司）发生任何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关联交易，则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本人承诺将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促使上述交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易按照公平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合理和正常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商业交易的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条件进行。本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人（包括本人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司）将不会要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求或接受东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方通给予比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在任何一项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市场公平交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易中第三者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更优惠的条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件。</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司）将严格和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善意地履行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与东方通签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订的各种关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联交易协议。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本人（包括本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人所控制的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公司）承诺将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不会向东方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通谋求任何</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超出上述协</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议规定以外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的利益或收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对上述承诺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的真实性及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合法性负全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部法律责任，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如果本人（包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括本人所控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制的公司）违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反上述声明、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保证与承诺，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并造成东方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通的经济损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失，本人同意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赔偿相应的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损失。</w:t>
            </w:r>
            <w:r>
              <w:rPr>
                <w:rFonts w:ascii="Times New Roman" w:hAnsi="Times New Roman" w:cs="Times New Roman" w:eastAsia="Times New Roman" w:hint="default"/>
                <w:sz w:val="18"/>
                <w:szCs w:val="18"/>
              </w:rPr>
              <w:t>4</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承诺将持续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有效，直至本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人不再作为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东方通的实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际控制人</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东。公司与东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华软件股份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公司作出如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下承诺：公司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不再向东华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软件股份公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司及其控制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的企业销售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任何产品或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提供任何服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务，并不与东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华软件股份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制的企业进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行产品捆绑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投标。东华软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件股份公司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作出如下承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诺：东华软件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其控制的企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559998pt;margin-top:246.599976pt;width:61.8pt;height:516.85pt;mso-position-horizontal-relative:page;mso-position-vertical-relative:page;z-index:-1035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5"/>
                      <w:szCs w:val="25"/>
                    </w:rPr>
                  </w:pPr>
                </w:p>
                <w:p>
                  <w:pPr>
                    <w:pStyle w:val="BodyText"/>
                    <w:spacing w:line="240" w:lineRule="auto"/>
                    <w:ind w:left="0" w:right="0"/>
                    <w:jc w:val="left"/>
                  </w:pPr>
                  <w:r>
                    <w:rPr/>
                    <w:t>）</w:t>
                  </w:r>
                </w:p>
              </w:txbxContent>
            </v:textbox>
            <w10:wrap type="none"/>
          </v:shape>
        </w:pict>
      </w:r>
      <w:r>
        <w:rPr/>
        <w:pict>
          <v:group style="position:absolute;margin-left:367.559998pt;margin-top:246.599976pt;width:55.8pt;height:516.85pt;mso-position-horizontal-relative:page;mso-position-vertical-relative:page;z-index:-1034992" coordorigin="7351,4932" coordsize="1116,10337">
            <v:group style="position:absolute;left:7351;top:4932;width:1116;height:10337" coordorigin="7351,4932" coordsize="1116,10337">
              <v:shape style="position:absolute;left:7351;top:4932;width:1116;height:10337" coordorigin="7351,4932" coordsize="1116,10337" path="m7351,15269l8467,15269,8467,4932,7351,4932,7351,15269xe" filled="true" fillcolor="#ffffff" stroked="false">
                <v:path arrowok="t"/>
                <v:fill type="solid"/>
              </v:shape>
            </v:group>
            <v:group style="position:absolute;left:7375;top:9749;width:1071;height:351" coordorigin="7375,9749" coordsize="1071,351">
              <v:shape style="position:absolute;left:7375;top:9749;width:1071;height:351" coordorigin="7375,9749" coordsize="1071,351" path="m7375,10099l8446,10099,8446,9749,7375,9749,7375,10099xe" filled="true" fillcolor="#ffffff" stroked="false">
                <v:path arrowok="t"/>
                <v:fill type="solid"/>
              </v:shape>
            </v:group>
            <v:group style="position:absolute;left:7375;top:10099;width:1071;height:353" coordorigin="7375,10099" coordsize="1071,353">
              <v:shape style="position:absolute;left:7375;top:10099;width:1071;height:353" coordorigin="7375,10099" coordsize="1071,353" path="m7375,10452l8446,10452,8446,10099,7375,10099,7375,1045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业不再向发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行人及发行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业采购任何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产品或任何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服务，并不与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发行人及发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企业进行产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品捆绑投标。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公司上市后</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年内若公司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股价持续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个交易日低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于最近一期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时，将于该情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形出现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易日内拟定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增持计划，明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确增持数量、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方式和期限，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对外公告，并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日内完成增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97" w:lineRule="auto" w:before="147"/>
              <w:ind w:left="23" w:right="137"/>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97" w:lineRule="auto" w:before="147"/>
              <w:ind w:left="26"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 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11"/>
              <w:jc w:val="both"/>
              <w:rPr>
                <w:rFonts w:ascii="宋体" w:hAnsi="宋体" w:cs="宋体" w:eastAsia="宋体" w:hint="default"/>
                <w:sz w:val="18"/>
                <w:szCs w:val="18"/>
              </w:rPr>
            </w:pPr>
            <w:r>
              <w:rPr>
                <w:rFonts w:ascii="宋体" w:hAnsi="宋体" w:cs="宋体" w:eastAsia="宋体" w:hint="default"/>
                <w:spacing w:val="-13"/>
                <w:sz w:val="18"/>
                <w:szCs w:val="18"/>
              </w:rPr>
              <w:t>持计划。（</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增持目的：对</w:t>
            </w:r>
            <w:r>
              <w:rPr>
                <w:rFonts w:ascii="宋体" w:hAnsi="宋体" w:cs="宋体" w:eastAsia="宋体" w:hint="default"/>
                <w:sz w:val="18"/>
                <w:szCs w:val="18"/>
              </w:rPr>
              <w:t> 公司未来发</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4" w:lineRule="auto" w:before="147"/>
              <w:ind w:left="23" w:right="185"/>
              <w:jc w:val="left"/>
              <w:rPr>
                <w:rFonts w:ascii="宋体" w:hAnsi="宋体" w:cs="宋体" w:eastAsia="宋体" w:hint="default"/>
                <w:sz w:val="18"/>
                <w:szCs w:val="18"/>
              </w:rPr>
            </w:pPr>
            <w:r>
              <w:rPr>
                <w:rFonts w:ascii="宋体" w:hAnsi="宋体" w:cs="宋体" w:eastAsia="宋体" w:hint="default"/>
                <w:sz w:val="18"/>
                <w:szCs w:val="18"/>
              </w:rPr>
              <w:t>公司上市后 三年内</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展前景的信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心及稳定股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增持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方式：集中竞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价交易</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增持股份数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量及比例：计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划增持股份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数量不高于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其他事项：增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持行为严格</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遵守《证券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2"/>
                <w:sz w:val="18"/>
                <w:szCs w:val="18"/>
              </w:rPr>
              <w:t>》、</w:t>
            </w:r>
            <w:r>
              <w:rPr>
                <w:rFonts w:ascii="宋体" w:hAnsi="宋体" w:cs="宋体" w:eastAsia="宋体" w:hint="default"/>
                <w:sz w:val="18"/>
                <w:szCs w:val="18"/>
              </w:rPr>
              <w:t>《公司</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5354"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法》以及其他 法律法规的 相关规定，在 增持期间及 法定期限内 不减持其所 持有的公司 股份。如未履 行上述承诺 事项，归属于 控股股东和 实际控制人 的当年上市 公司现金分 红收益归上 市公司所有。</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474"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北京东方通 科技股份有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97" w:lineRule="auto"/>
              <w:ind w:left="26"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控股股东、实</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际控制人增 持公司股票 的计划实施 完毕，公司股</w:t>
            </w:r>
            <w:r>
              <w:rPr>
                <w:rFonts w:ascii="宋体" w:hAnsi="宋体" w:cs="宋体" w:eastAsia="宋体" w:hint="default"/>
                <w:sz w:val="18"/>
                <w:szCs w:val="18"/>
              </w:rPr>
              <w:t> 价仍低于最 近一期每股 净资产时，董 事会应在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 交易日内参 照公司股价 表现并结合 公司经营状 况确定回购 价格和数量 区间，拟定回 购股份的方 案，回购方案 经股东大会 审议通过后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内，由公司按 照相关规定 在二级市场 回购公司股 份，回购的股 份将予以注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185"/>
              <w:jc w:val="left"/>
              <w:rPr>
                <w:rFonts w:ascii="宋体" w:hAnsi="宋体" w:cs="宋体" w:eastAsia="宋体" w:hint="default"/>
                <w:sz w:val="18"/>
                <w:szCs w:val="18"/>
              </w:rPr>
            </w:pPr>
            <w:r>
              <w:rPr>
                <w:rFonts w:ascii="宋体" w:hAnsi="宋体" w:cs="宋体" w:eastAsia="宋体" w:hint="default"/>
                <w:sz w:val="18"/>
                <w:szCs w:val="18"/>
              </w:rPr>
              <w:t>公司上市后 三年内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4418"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销。回购结果 应不导致公 司股权分布 及股本规模 不符合上市 条件。回购期 间，如遇除权 除息，回购价 格作相应调 整。如未履行 上述承诺，则 依法赔偿投 资者的损失。</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410"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86"/>
              <w:jc w:val="both"/>
              <w:rPr>
                <w:rFonts w:ascii="宋体" w:hAnsi="宋体" w:cs="宋体" w:eastAsia="宋体" w:hint="default"/>
                <w:sz w:val="18"/>
                <w:szCs w:val="18"/>
              </w:rPr>
            </w:pPr>
            <w:r>
              <w:rPr>
                <w:rFonts w:ascii="宋体" w:hAnsi="宋体" w:cs="宋体" w:eastAsia="宋体" w:hint="default"/>
                <w:sz w:val="18"/>
                <w:szCs w:val="18"/>
              </w:rPr>
              <w:t>孙亚明</w:t>
            </w:r>
            <w:r>
              <w:rPr>
                <w:rFonts w:ascii="Times New Roman" w:hAnsi="Times New Roman" w:cs="Times New Roman" w:eastAsia="Times New Roman" w:hint="default"/>
                <w:sz w:val="18"/>
                <w:szCs w:val="18"/>
              </w:rPr>
              <w:t>;</w:t>
            </w:r>
            <w:r>
              <w:rPr>
                <w:rFonts w:ascii="宋体" w:hAnsi="宋体" w:cs="宋体" w:eastAsia="宋体" w:hint="default"/>
                <w:sz w:val="18"/>
                <w:szCs w:val="18"/>
              </w:rPr>
              <w:t>朱律 玮</w:t>
            </w:r>
            <w:r>
              <w:rPr>
                <w:rFonts w:ascii="Times New Roman" w:hAnsi="Times New Roman" w:cs="Times New Roman" w:eastAsia="Times New Roman" w:hint="default"/>
                <w:sz w:val="18"/>
                <w:szCs w:val="18"/>
              </w:rPr>
              <w:t>;</w:t>
            </w:r>
            <w:r>
              <w:rPr>
                <w:rFonts w:ascii="宋体" w:hAnsi="宋体" w:cs="宋体" w:eastAsia="宋体" w:hint="default"/>
                <w:sz w:val="18"/>
                <w:szCs w:val="18"/>
              </w:rPr>
              <w:t>李春青</w:t>
            </w:r>
            <w:r>
              <w:rPr>
                <w:rFonts w:ascii="Times New Roman" w:hAnsi="Times New Roman" w:cs="Times New Roman" w:eastAsia="Times New Roman" w:hint="default"/>
                <w:sz w:val="18"/>
                <w:szCs w:val="18"/>
              </w:rPr>
              <w:t>;</w:t>
            </w:r>
            <w:r>
              <w:rPr>
                <w:rFonts w:ascii="宋体" w:hAnsi="宋体" w:cs="宋体" w:eastAsia="宋体" w:hint="default"/>
                <w:sz w:val="18"/>
                <w:szCs w:val="18"/>
              </w:rPr>
              <w:t>徐 少璞</w:t>
            </w:r>
            <w:r>
              <w:rPr>
                <w:rFonts w:ascii="Times New Roman" w:hAnsi="Times New Roman" w:cs="Times New Roman" w:eastAsia="Times New Roman" w:hint="default"/>
                <w:sz w:val="18"/>
                <w:szCs w:val="18"/>
              </w:rPr>
              <w:t>;</w:t>
            </w:r>
            <w:r>
              <w:rPr>
                <w:rFonts w:ascii="宋体" w:hAnsi="宋体" w:cs="宋体" w:eastAsia="宋体" w:hint="default"/>
                <w:sz w:val="18"/>
                <w:szCs w:val="18"/>
              </w:rPr>
              <w:t>徐志东</w:t>
            </w:r>
            <w:r>
              <w:rPr>
                <w:rFonts w:ascii="Times New Roman" w:hAnsi="Times New Roman" w:cs="Times New Roman" w:eastAsia="Times New Roman" w:hint="default"/>
                <w:sz w:val="18"/>
                <w:szCs w:val="18"/>
              </w:rPr>
              <w:t>; </w:t>
            </w:r>
            <w:r>
              <w:rPr>
                <w:rFonts w:ascii="宋体" w:hAnsi="宋体" w:cs="宋体" w:eastAsia="宋体" w:hint="default"/>
                <w:sz w:val="18"/>
                <w:szCs w:val="18"/>
              </w:rPr>
              <w:t>陈旭</w:t>
            </w:r>
            <w:r>
              <w:rPr>
                <w:rFonts w:ascii="Times New Roman" w:hAnsi="Times New Roman" w:cs="Times New Roman" w:eastAsia="Times New Roman" w:hint="default"/>
                <w:sz w:val="18"/>
                <w:szCs w:val="18"/>
              </w:rPr>
              <w:t>;</w:t>
            </w:r>
            <w:r>
              <w:rPr>
                <w:rFonts w:ascii="宋体" w:hAnsi="宋体" w:cs="宋体" w:eastAsia="宋体" w:hint="default"/>
                <w:sz w:val="18"/>
                <w:szCs w:val="18"/>
              </w:rPr>
              <w:t>陈世英</w:t>
            </w:r>
            <w:r>
              <w:rPr>
                <w:rFonts w:ascii="Times New Roman" w:hAnsi="Times New Roman" w:cs="Times New Roman" w:eastAsia="Times New Roman" w:hint="default"/>
                <w:sz w:val="18"/>
                <w:szCs w:val="18"/>
              </w:rPr>
              <w:t>; </w:t>
            </w:r>
            <w:r>
              <w:rPr>
                <w:rFonts w:ascii="宋体" w:hAnsi="宋体" w:cs="宋体" w:eastAsia="宋体" w:hint="default"/>
                <w:sz w:val="18"/>
                <w:szCs w:val="18"/>
              </w:rPr>
              <w:t>刘川</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97" w:lineRule="auto"/>
              <w:ind w:left="26"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
              <w:jc w:val="left"/>
              <w:rPr>
                <w:rFonts w:ascii="宋体" w:hAnsi="宋体" w:cs="宋体" w:eastAsia="宋体" w:hint="default"/>
                <w:sz w:val="18"/>
                <w:szCs w:val="18"/>
              </w:rPr>
            </w:pP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控股股东、实</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际控制人增 持公司股票 以及公司回 购股票的计 划实施完毕， 公司股价仍 低于最近一 期每股净资 产时，公司董</w:t>
            </w:r>
            <w:r>
              <w:rPr>
                <w:rFonts w:ascii="宋体" w:hAnsi="宋体" w:cs="宋体" w:eastAsia="宋体" w:hint="default"/>
                <w:sz w:val="18"/>
                <w:szCs w:val="18"/>
              </w:rPr>
              <w:t> 事和高级管 理人员承诺： 该情形出现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个交易日内， 依照公司内 部决策程序， 拟定增持计 划，明确增持 数量、方式和 期限，对外公 告，并于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 完成增持计 </w:t>
            </w:r>
            <w:r>
              <w:rPr>
                <w:rFonts w:ascii="宋体" w:hAnsi="宋体" w:cs="宋体" w:eastAsia="宋体" w:hint="default"/>
                <w:spacing w:val="-15"/>
                <w:sz w:val="18"/>
                <w:szCs w:val="18"/>
              </w:rPr>
              <w:t>划。（</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）增持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方式：集中竞</w:t>
            </w:r>
            <w:r>
              <w:rPr>
                <w:rFonts w:ascii="宋体" w:hAnsi="宋体" w:cs="宋体" w:eastAsia="宋体" w:hint="default"/>
                <w:sz w:val="18"/>
                <w:szCs w:val="18"/>
              </w:rPr>
              <w:t> </w:t>
            </w:r>
            <w:r>
              <w:rPr>
                <w:rFonts w:ascii="宋体" w:hAnsi="宋体" w:cs="宋体" w:eastAsia="宋体" w:hint="default"/>
                <w:spacing w:val="-13"/>
                <w:sz w:val="18"/>
                <w:szCs w:val="18"/>
              </w:rPr>
              <w:t>价交易；（</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增持股份数 量及比例：计</w:t>
            </w:r>
            <w:r>
              <w:rPr>
                <w:rFonts w:ascii="宋体" w:hAnsi="宋体" w:cs="宋体" w:eastAsia="宋体" w:hint="default"/>
                <w:sz w:val="18"/>
                <w:szCs w:val="18"/>
              </w:rPr>
              <w:t> 划增持股份 数量不高于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4" w:lineRule="auto"/>
              <w:ind w:left="23" w:right="185"/>
              <w:jc w:val="left"/>
              <w:rPr>
                <w:rFonts w:ascii="宋体" w:hAnsi="宋体" w:cs="宋体" w:eastAsia="宋体" w:hint="default"/>
                <w:sz w:val="18"/>
                <w:szCs w:val="18"/>
              </w:rPr>
            </w:pPr>
            <w:r>
              <w:rPr>
                <w:rFonts w:ascii="宋体" w:hAnsi="宋体" w:cs="宋体" w:eastAsia="宋体" w:hint="default"/>
                <w:sz w:val="18"/>
                <w:szCs w:val="18"/>
              </w:rPr>
              <w:t>公司上市后 三年内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559998pt;margin-top:72.47998pt;width:61.8pt;height:454.45pt;mso-position-horizontal-relative:page;mso-position-vertical-relative:page;z-index:-1034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9098"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公司股份总 数的</w:t>
            </w:r>
            <w:r>
              <w:rPr>
                <w:rFonts w:ascii="宋体" w:hAnsi="宋体" w:cs="宋体" w:eastAsia="宋体" w:hint="default"/>
                <w:spacing w:val="-45"/>
                <w:sz w:val="18"/>
                <w:szCs w:val="18"/>
              </w:rPr>
              <w:t> </w:t>
            </w:r>
            <w:r>
              <w:rPr>
                <w:rFonts w:ascii="Times New Roman" w:hAnsi="Times New Roman" w:cs="Times New Roman" w:eastAsia="Times New Roman" w:hint="default"/>
                <w:spacing w:val="-24"/>
                <w:sz w:val="18"/>
                <w:szCs w:val="18"/>
              </w:rPr>
              <w:t>2%</w:t>
            </w:r>
            <w:r>
              <w:rPr>
                <w:rFonts w:ascii="宋体" w:hAnsi="宋体" w:cs="宋体" w:eastAsia="宋体" w:hint="default"/>
                <w:spacing w:val="-24"/>
                <w:sz w:val="18"/>
                <w:szCs w:val="18"/>
              </w:rPr>
              <w:t>；（</w:t>
            </w:r>
            <w:r>
              <w:rPr>
                <w:rFonts w:ascii="Times New Roman" w:hAnsi="Times New Roman" w:cs="Times New Roman" w:eastAsia="Times New Roman" w:hint="default"/>
                <w:spacing w:val="-24"/>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其他事项：增 持行为严格 遵守《证券 </w:t>
            </w:r>
            <w:r>
              <w:rPr>
                <w:rFonts w:ascii="宋体" w:hAnsi="宋体" w:cs="宋体" w:eastAsia="宋体" w:hint="default"/>
                <w:spacing w:val="-31"/>
                <w:sz w:val="18"/>
                <w:szCs w:val="18"/>
              </w:rPr>
              <w:t>法》、《公司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法》以及其他</w:t>
            </w:r>
            <w:r>
              <w:rPr>
                <w:rFonts w:ascii="宋体" w:hAnsi="宋体" w:cs="宋体" w:eastAsia="宋体" w:hint="default"/>
                <w:sz w:val="18"/>
                <w:szCs w:val="18"/>
              </w:rPr>
              <w:t> 法律法规的 相关规定，在 增持期间及 法定期限内 不减持其所 持有的公司 股份。上述承 诺对公司上 市</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年内新聘 任的董事和 高级管理人 员具有同等 约束力。如未 履行上述承 诺事项，归属 于董事和高 级管理人员 的当年上市 公司现金分 红收益归上</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市公司所有。</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908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1"/>
                <w:sz w:val="20"/>
                <w:szCs w:val="20"/>
              </w:rPr>
              <w:pict>
                <v:group style="width:55.8pt;height:454.45pt;mso-position-horizontal-relative:char;mso-position-vertical-relative:line" coordorigin="0,0" coordsize="1116,9089">
                  <v:group style="position:absolute;left:0;top:0;width:1116;height:9089" coordorigin="0,0" coordsize="1116,9089">
                    <v:shape style="position:absolute;left:0;top:0;width:1116;height:9089" coordorigin="0,0" coordsize="1116,9089" path="m0,9089l1116,9089,1116,0,0,0,0,9089xe" filled="true" fillcolor="#ffffff" stroked="false">
                      <v:path arrowok="t"/>
                      <v:fill type="solid"/>
                    </v:shape>
                  </v:group>
                </v:group>
              </w:pict>
            </w:r>
            <w:r>
              <w:rPr>
                <w:rFonts w:ascii="Times New Roman" w:hAnsi="Times New Roman" w:cs="Times New Roman" w:eastAsia="Times New Roman" w:hint="default"/>
                <w:position w:val="-181"/>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30"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北京东方通 科技股份有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本次公开募 集及上市文 件中如有虚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 </w:t>
            </w:r>
            <w:r>
              <w:rPr>
                <w:rFonts w:ascii="宋体" w:hAnsi="宋体" w:cs="宋体" w:eastAsia="宋体" w:hint="default"/>
                <w:spacing w:val="-2"/>
                <w:sz w:val="18"/>
                <w:szCs w:val="18"/>
              </w:rPr>
              <w:t>重大遗漏，对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判断公司是 否符合法律 规定的发行 条件构成重 </w:t>
            </w:r>
            <w:r>
              <w:rPr>
                <w:rFonts w:ascii="宋体" w:hAnsi="宋体" w:cs="宋体" w:eastAsia="宋体" w:hint="default"/>
                <w:spacing w:val="-2"/>
                <w:sz w:val="18"/>
                <w:szCs w:val="18"/>
              </w:rPr>
              <w:t>大、实质影响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的，将依法以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公司股票二 级市场价格 回购首次公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4106"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开发行的全 </w:t>
            </w:r>
            <w:r>
              <w:rPr>
                <w:rFonts w:ascii="宋体" w:hAnsi="宋体" w:cs="宋体" w:eastAsia="宋体" w:hint="default"/>
                <w:spacing w:val="-2"/>
                <w:sz w:val="18"/>
                <w:szCs w:val="18"/>
              </w:rPr>
              <w:t>部新股。公司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公开募集及 上市文件中 如存在虚假 </w:t>
            </w:r>
            <w:r>
              <w:rPr>
                <w:rFonts w:ascii="宋体" w:hAnsi="宋体" w:cs="宋体" w:eastAsia="宋体" w:hint="default"/>
                <w:spacing w:val="-2"/>
                <w:sz w:val="18"/>
                <w:szCs w:val="18"/>
              </w:rPr>
              <w:t>记载、误导性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陈述或者重 </w:t>
            </w:r>
            <w:r>
              <w:rPr>
                <w:rFonts w:ascii="宋体" w:hAnsi="宋体" w:cs="宋体" w:eastAsia="宋体" w:hint="default"/>
                <w:spacing w:val="-2"/>
                <w:sz w:val="18"/>
                <w:szCs w:val="18"/>
              </w:rPr>
              <w:t>大遗漏，致使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投资者在证 券交易中遭 </w:t>
            </w:r>
            <w:r>
              <w:rPr>
                <w:rFonts w:ascii="宋体" w:hAnsi="宋体" w:cs="宋体" w:eastAsia="宋体" w:hint="default"/>
                <w:spacing w:val="-2"/>
                <w:sz w:val="18"/>
                <w:szCs w:val="18"/>
              </w:rPr>
              <w:t>受损失的，将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依法赔偿投 资者损失。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44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00" w:lineRule="auto"/>
              <w:ind w:left="23" w:right="137"/>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公司公开募 集及上市文 件中如有虚 假记载、误导 性陈述或者 重大遗漏，对 判断公司是 否符合法律 规定的发行 条件构成重 大、实质影响 的，将依法以 公司股票二 级市场价格 购回已转让 的原限售股 份。公司公开 募集及上市 文件中如存 在虚假记载、 误导性陈述 或者重大遗 漏，致使投资 者在证券交 易中遭受损 失的，公司控 股股东、实际 控制人将依 法赔偿投资 者损失。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4457"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0" w:lineRule="auto"/>
              <w:ind w:left="23" w:right="86"/>
              <w:jc w:val="both"/>
              <w:rPr>
                <w:rFonts w:ascii="宋体" w:hAnsi="宋体" w:cs="宋体" w:eastAsia="宋体" w:hint="default"/>
                <w:sz w:val="18"/>
                <w:szCs w:val="18"/>
              </w:rPr>
            </w:pPr>
            <w:r>
              <w:rPr>
                <w:rFonts w:ascii="宋体" w:hAnsi="宋体" w:cs="宋体" w:eastAsia="宋体" w:hint="default"/>
                <w:sz w:val="18"/>
                <w:szCs w:val="18"/>
              </w:rPr>
              <w:t>孙亚明</w:t>
            </w:r>
            <w:r>
              <w:rPr>
                <w:rFonts w:ascii="Times New Roman" w:hAnsi="Times New Roman" w:cs="Times New Roman" w:eastAsia="Times New Roman" w:hint="default"/>
                <w:sz w:val="18"/>
                <w:szCs w:val="18"/>
              </w:rPr>
              <w:t>;</w:t>
            </w:r>
            <w:r>
              <w:rPr>
                <w:rFonts w:ascii="宋体" w:hAnsi="宋体" w:cs="宋体" w:eastAsia="宋体" w:hint="default"/>
                <w:sz w:val="18"/>
                <w:szCs w:val="18"/>
              </w:rPr>
              <w:t>朱律 玮</w:t>
            </w:r>
            <w:r>
              <w:rPr>
                <w:rFonts w:ascii="Times New Roman" w:hAnsi="Times New Roman" w:cs="Times New Roman" w:eastAsia="Times New Roman" w:hint="default"/>
                <w:sz w:val="18"/>
                <w:szCs w:val="18"/>
              </w:rPr>
              <w:t>;</w:t>
            </w:r>
            <w:r>
              <w:rPr>
                <w:rFonts w:ascii="宋体" w:hAnsi="宋体" w:cs="宋体" w:eastAsia="宋体" w:hint="default"/>
                <w:sz w:val="18"/>
                <w:szCs w:val="18"/>
              </w:rPr>
              <w:t>李春青</w:t>
            </w:r>
            <w:r>
              <w:rPr>
                <w:rFonts w:ascii="Times New Roman" w:hAnsi="Times New Roman" w:cs="Times New Roman" w:eastAsia="Times New Roman" w:hint="default"/>
                <w:sz w:val="18"/>
                <w:szCs w:val="18"/>
              </w:rPr>
              <w:t>;</w:t>
            </w:r>
            <w:r>
              <w:rPr>
                <w:rFonts w:ascii="宋体" w:hAnsi="宋体" w:cs="宋体" w:eastAsia="宋体" w:hint="default"/>
                <w:sz w:val="18"/>
                <w:szCs w:val="18"/>
              </w:rPr>
              <w:t>徐 少璞</w:t>
            </w:r>
            <w:r>
              <w:rPr>
                <w:rFonts w:ascii="Times New Roman" w:hAnsi="Times New Roman" w:cs="Times New Roman" w:eastAsia="Times New Roman" w:hint="default"/>
                <w:sz w:val="18"/>
                <w:szCs w:val="18"/>
              </w:rPr>
              <w:t>;</w:t>
            </w:r>
            <w:r>
              <w:rPr>
                <w:rFonts w:ascii="宋体" w:hAnsi="宋体" w:cs="宋体" w:eastAsia="宋体" w:hint="default"/>
                <w:sz w:val="18"/>
                <w:szCs w:val="18"/>
              </w:rPr>
              <w:t>徐志东</w:t>
            </w:r>
            <w:r>
              <w:rPr>
                <w:rFonts w:ascii="Times New Roman" w:hAnsi="Times New Roman" w:cs="Times New Roman" w:eastAsia="Times New Roman" w:hint="default"/>
                <w:sz w:val="18"/>
                <w:szCs w:val="18"/>
              </w:rPr>
              <w:t>; </w:t>
            </w:r>
            <w:r>
              <w:rPr>
                <w:rFonts w:ascii="宋体" w:hAnsi="宋体" w:cs="宋体" w:eastAsia="宋体" w:hint="default"/>
                <w:sz w:val="18"/>
                <w:szCs w:val="18"/>
              </w:rPr>
              <w:t>陈世英</w:t>
            </w:r>
            <w:r>
              <w:rPr>
                <w:rFonts w:ascii="Times New Roman" w:hAnsi="Times New Roman" w:cs="Times New Roman" w:eastAsia="Times New Roman" w:hint="default"/>
                <w:sz w:val="18"/>
                <w:szCs w:val="18"/>
              </w:rPr>
              <w:t>;</w:t>
            </w:r>
            <w:r>
              <w:rPr>
                <w:rFonts w:ascii="宋体" w:hAnsi="宋体" w:cs="宋体" w:eastAsia="宋体" w:hint="default"/>
                <w:sz w:val="18"/>
                <w:szCs w:val="18"/>
              </w:rPr>
              <w:t>张志 勇</w:t>
            </w:r>
            <w:r>
              <w:rPr>
                <w:rFonts w:ascii="Times New Roman" w:hAnsi="Times New Roman" w:cs="Times New Roman" w:eastAsia="Times New Roman" w:hint="default"/>
                <w:sz w:val="18"/>
                <w:szCs w:val="18"/>
              </w:rPr>
              <w:t>;</w:t>
            </w:r>
            <w:r>
              <w:rPr>
                <w:rFonts w:ascii="宋体" w:hAnsi="宋体" w:cs="宋体" w:eastAsia="宋体" w:hint="default"/>
                <w:sz w:val="18"/>
                <w:szCs w:val="18"/>
              </w:rPr>
              <w:t>李琪</w:t>
            </w:r>
            <w:r>
              <w:rPr>
                <w:rFonts w:ascii="Times New Roman" w:hAnsi="Times New Roman" w:cs="Times New Roman" w:eastAsia="Times New Roman" w:hint="default"/>
                <w:sz w:val="18"/>
                <w:szCs w:val="18"/>
              </w:rPr>
              <w:t>;</w:t>
            </w:r>
            <w:r>
              <w:rPr>
                <w:rFonts w:ascii="宋体" w:hAnsi="宋体" w:cs="宋体" w:eastAsia="宋体" w:hint="default"/>
                <w:sz w:val="18"/>
                <w:szCs w:val="18"/>
              </w:rPr>
              <w:t>叶路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公司公开募 集及上市文 件中如存在 虚假记载、误 导性陈述或 者重大遗漏， 致使投资者 在证券交易 中遭受损失 的，公司董 事、监事和高 级管理人员 将依法赔偿 投资者损失。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267" w:hRule="exact"/>
        </w:trPr>
        <w:tc>
          <w:tcPr>
            <w:tcW w:w="2836"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00" w:lineRule="auto"/>
              <w:ind w:left="23" w:right="86"/>
              <w:jc w:val="both"/>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r>
              <w:rPr>
                <w:rFonts w:ascii="Times New Roman" w:hAnsi="Times New Roman" w:cs="Times New Roman" w:eastAsia="Times New Roman" w:hint="default"/>
                <w:sz w:val="18"/>
                <w:szCs w:val="18"/>
              </w:rPr>
              <w:t>;</w:t>
            </w:r>
            <w:r>
              <w:rPr>
                <w:rFonts w:ascii="宋体" w:hAnsi="宋体" w:cs="宋体" w:eastAsia="宋体" w:hint="default"/>
                <w:sz w:val="18"/>
                <w:szCs w:val="18"/>
              </w:rPr>
              <w:t>孙亚 明</w:t>
            </w:r>
            <w:r>
              <w:rPr>
                <w:rFonts w:ascii="Times New Roman" w:hAnsi="Times New Roman" w:cs="Times New Roman" w:eastAsia="Times New Roman" w:hint="default"/>
                <w:sz w:val="18"/>
                <w:szCs w:val="18"/>
              </w:rPr>
              <w:t>;</w:t>
            </w:r>
            <w:r>
              <w:rPr>
                <w:rFonts w:ascii="宋体" w:hAnsi="宋体" w:cs="宋体" w:eastAsia="宋体" w:hint="default"/>
                <w:sz w:val="18"/>
                <w:szCs w:val="18"/>
              </w:rPr>
              <w:t>朱律玮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所持东方通 股份在锁定 期满后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年内 减持的，每年 减持的股份 合计不超过 其所持有的 东方通股份 数的百分之 二十五，减持 价格不低于 发行价（如遇 除权除息，减 持价格进行 </w:t>
            </w:r>
            <w:r>
              <w:rPr>
                <w:rFonts w:ascii="宋体" w:hAnsi="宋体" w:cs="宋体" w:eastAsia="宋体" w:hint="default"/>
                <w:spacing w:val="-16"/>
                <w:sz w:val="18"/>
                <w:szCs w:val="18"/>
              </w:rPr>
              <w:t>相应调整），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且将提前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 交易日予以 公告。如未履 行上述承诺， 转让相关股 份所取得的 收益归东方 通所有。</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2019-01-28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22"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97" w:lineRule="auto"/>
              <w:ind w:left="23" w:right="137"/>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针对本公司 社会保险金 和住房公积 金存在补缴 的风险作出 </w:t>
            </w:r>
            <w:r>
              <w:rPr>
                <w:rFonts w:ascii="宋体" w:hAnsi="宋体" w:cs="宋体" w:eastAsia="宋体" w:hint="default"/>
                <w:spacing w:val="-2"/>
                <w:sz w:val="18"/>
                <w:szCs w:val="18"/>
              </w:rPr>
              <w:t>承诺：若公司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11906"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被追溯到任 何社会保障 法律法规和 住房公积金 执行情况，经 有关主管部 门认定需为 员工补缴社 会保险金或 住房公积金、 以及受到主 管部门处罚、 或任何利益 相关方以任 何方式提出 权利要求且 该等要求获 主管部门支 持，本人将无 条件全额承 担相关补缴、 处罚款项和 对利益相关 方的赔偿或 补偿款项，以 及公司因此 所支付的相 关费用。如本 人未能履行 已作出的《公 积金补缴承 </w:t>
            </w:r>
            <w:r>
              <w:rPr>
                <w:rFonts w:ascii="宋体" w:hAnsi="宋体" w:cs="宋体" w:eastAsia="宋体" w:hint="default"/>
                <w:spacing w:val="-16"/>
                <w:sz w:val="18"/>
                <w:szCs w:val="18"/>
              </w:rPr>
              <w:t>诺》，本人所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享有的当年 上市公司分 红收益将由 公司直接用 于补缴承诺 所涉公积金。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922"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97" w:lineRule="auto"/>
              <w:ind w:left="23" w:right="137"/>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就深圳市东 方通科技有 限公司相关 </w:t>
            </w:r>
            <w:r>
              <w:rPr>
                <w:rFonts w:ascii="宋体" w:hAnsi="宋体" w:cs="宋体" w:eastAsia="宋体" w:hint="default"/>
                <w:spacing w:val="-13"/>
                <w:sz w:val="18"/>
                <w:szCs w:val="18"/>
              </w:rPr>
              <w:t>事宜承诺：</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深</w:t>
            </w:r>
            <w:r>
              <w:rPr>
                <w:rFonts w:ascii="宋体" w:hAnsi="宋体" w:cs="宋体" w:eastAsia="宋体" w:hint="default"/>
                <w:sz w:val="18"/>
                <w:szCs w:val="18"/>
              </w:rPr>
              <w:t> 圳东方通自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559998pt;margin-top:72.47998pt;width:61.8pt;height:641.65pt;mso-position-horizontal-relative:page;mso-position-vertical-relative:page;z-index:-1034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12842"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日起，不再</w:t>
            </w:r>
            <w:r>
              <w:rPr>
                <w:rFonts w:ascii="宋体" w:hAnsi="宋体" w:cs="宋体" w:eastAsia="宋体" w:hint="default"/>
                <w:sz w:val="18"/>
                <w:szCs w:val="18"/>
              </w:rPr>
              <w:t> 以深圳市东 方通科技有 限公司（以下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深圳东 </w:t>
            </w:r>
            <w:r>
              <w:rPr>
                <w:rFonts w:ascii="宋体" w:hAnsi="宋体" w:cs="宋体" w:eastAsia="宋体" w:hint="default"/>
                <w:spacing w:val="-13"/>
                <w:sz w:val="18"/>
                <w:szCs w:val="18"/>
              </w:rPr>
              <w:t>方通</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）的名义</w:t>
            </w:r>
            <w:r>
              <w:rPr>
                <w:rFonts w:ascii="宋体" w:hAnsi="宋体" w:cs="宋体" w:eastAsia="宋体" w:hint="default"/>
                <w:sz w:val="18"/>
                <w:szCs w:val="18"/>
              </w:rPr>
              <w:t> 开展任何经 营活动；</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深圳东方通 的整体资产</w:t>
            </w:r>
          </w:p>
          <w:p>
            <w:pPr>
              <w:pStyle w:val="TableParagraph"/>
              <w:spacing w:line="316" w:lineRule="auto" w:before="24"/>
              <w:ind w:left="23" w:right="11"/>
              <w:jc w:val="left"/>
              <w:rPr>
                <w:rFonts w:ascii="宋体" w:hAnsi="宋体" w:cs="宋体" w:eastAsia="宋体" w:hint="default"/>
                <w:sz w:val="18"/>
                <w:szCs w:val="18"/>
              </w:rPr>
            </w:pPr>
            <w:r>
              <w:rPr>
                <w:rFonts w:ascii="宋体" w:hAnsi="宋体" w:cs="宋体" w:eastAsia="宋体" w:hint="default"/>
                <w:sz w:val="18"/>
                <w:szCs w:val="18"/>
              </w:rPr>
              <w:t>（包括债权、 债务）均已进 入北京东方 通科技发展 有限责任公 司，目前不存 在纠纷。深圳 东方通如有 任何在注销 前之尚未清 偿债务或者 潜在的、或有 的债务纠纷， 将由我们全 部承担。如深 圳东方通被 税务部门要 求补缴已免 征、减征的企 业所得税税 款，将由我三 </w:t>
            </w:r>
            <w:r>
              <w:rPr>
                <w:rFonts w:ascii="宋体" w:hAnsi="宋体" w:cs="宋体" w:eastAsia="宋体" w:hint="default"/>
                <w:spacing w:val="-13"/>
                <w:sz w:val="18"/>
                <w:szCs w:val="18"/>
              </w:rPr>
              <w:t>人全部承担。</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因未履行前 述承诺所获 收益和本人 所享有的上 市公司当年 现金分红收 益归公司所 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283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6"/>
                <w:sz w:val="20"/>
                <w:szCs w:val="20"/>
              </w:rPr>
              <w:pict>
                <v:group style="width:55.8pt;height:641.65pt;mso-position-horizontal-relative:char;mso-position-vertical-relative:line" coordorigin="0,0" coordsize="1116,12833">
                  <v:group style="position:absolute;left:0;top:0;width:1116;height:12833" coordorigin="0,0" coordsize="1116,12833">
                    <v:shape style="position:absolute;left:0;top:0;width:1116;height:12833" coordorigin="0,0" coordsize="1116,12833" path="m0,12833l1116,12833,1116,0,0,0,0,12833xe" filled="true" fillcolor="#ffffff" stroked="false">
                      <v:path arrowok="t"/>
                      <v:fill type="solid"/>
                    </v:shape>
                  </v:group>
                </v:group>
              </w:pict>
            </w:r>
            <w:r>
              <w:rPr>
                <w:rFonts w:ascii="Times New Roman" w:hAnsi="Times New Roman" w:cs="Times New Roman" w:eastAsia="Times New Roman" w:hint="default"/>
                <w:position w:val="-256"/>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97" w:lineRule="auto"/>
              <w:ind w:left="23" w:right="137"/>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朱德 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为保证发行 人控制权的 </w:t>
            </w:r>
            <w:r>
              <w:rPr>
                <w:rFonts w:ascii="宋体" w:hAnsi="宋体" w:cs="宋体" w:eastAsia="宋体" w:hint="default"/>
                <w:spacing w:val="-2"/>
                <w:sz w:val="18"/>
                <w:szCs w:val="18"/>
              </w:rPr>
              <w:t>稳定性，张齐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8162"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春与朱德生 夫妇于</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z w:val="18"/>
                <w:szCs w:val="18"/>
              </w:rPr>
            </w: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共同作出承 </w:t>
            </w:r>
            <w:r>
              <w:rPr>
                <w:rFonts w:ascii="宋体" w:hAnsi="宋体" w:cs="宋体" w:eastAsia="宋体" w:hint="default"/>
                <w:spacing w:val="-2"/>
                <w:sz w:val="18"/>
                <w:szCs w:val="18"/>
              </w:rPr>
              <w:t>诺：张齐春女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士如因个人 健康原因或 任何意外之 情形导致其 </w:t>
            </w:r>
            <w:r>
              <w:rPr>
                <w:rFonts w:ascii="宋体" w:hAnsi="宋体" w:cs="宋体" w:eastAsia="宋体" w:hint="default"/>
                <w:spacing w:val="-2"/>
                <w:sz w:val="18"/>
                <w:szCs w:val="18"/>
              </w:rPr>
              <w:t>不再具备《中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华人民共和 </w:t>
            </w:r>
            <w:r>
              <w:rPr>
                <w:rFonts w:ascii="宋体" w:hAnsi="宋体" w:cs="宋体" w:eastAsia="宋体" w:hint="default"/>
                <w:spacing w:val="-2"/>
                <w:sz w:val="18"/>
                <w:szCs w:val="18"/>
              </w:rPr>
              <w:t>国公司法》规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定的公司股 </w:t>
            </w:r>
            <w:r>
              <w:rPr>
                <w:rFonts w:ascii="宋体" w:hAnsi="宋体" w:cs="宋体" w:eastAsia="宋体" w:hint="default"/>
                <w:spacing w:val="-2"/>
                <w:sz w:val="18"/>
                <w:szCs w:val="18"/>
              </w:rPr>
              <w:t>东资格，则张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齐春女士在 东方通的股 东资格由张 齐春女士和 朱德生先生 之子朱海东 </w:t>
            </w:r>
            <w:r>
              <w:rPr>
                <w:rFonts w:ascii="宋体" w:hAnsi="宋体" w:cs="宋体" w:eastAsia="宋体" w:hint="default"/>
                <w:spacing w:val="-2"/>
                <w:sz w:val="18"/>
                <w:szCs w:val="18"/>
              </w:rPr>
              <w:t>先生继承，张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齐春女士在 东方通的全 部股份由朱 海东先生持 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5666"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97" w:lineRule="auto"/>
              <w:ind w:left="23" w:right="137"/>
              <w:jc w:val="left"/>
              <w:rPr>
                <w:rFonts w:ascii="宋体" w:hAnsi="宋体" w:cs="宋体" w:eastAsia="宋体" w:hint="default"/>
                <w:sz w:val="18"/>
                <w:szCs w:val="18"/>
              </w:rPr>
            </w:pPr>
            <w:r>
              <w:rPr>
                <w:rFonts w:ascii="宋体" w:hAnsi="宋体" w:cs="宋体" w:eastAsia="宋体" w:hint="default"/>
                <w:sz w:val="18"/>
                <w:szCs w:val="18"/>
              </w:rPr>
              <w:t>朱律玮</w:t>
            </w:r>
            <w:r>
              <w:rPr>
                <w:rFonts w:ascii="Times New Roman" w:hAnsi="Times New Roman" w:cs="Times New Roman" w:eastAsia="Times New Roman" w:hint="default"/>
                <w:sz w:val="18"/>
                <w:szCs w:val="18"/>
              </w:rPr>
              <w:t>;</w:t>
            </w:r>
            <w:r>
              <w:rPr>
                <w:rFonts w:ascii="宋体" w:hAnsi="宋体" w:cs="宋体" w:eastAsia="宋体" w:hint="default"/>
                <w:sz w:val="18"/>
                <w:szCs w:val="18"/>
              </w:rPr>
              <w:t>李春 青</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东方通及其 子公司现有 各项专利、软 件著作权、核 心技术，不存 在潜在纠纷 或风险隐患； 本人与曾任 职其他单位 不存在竞业 禁止协议或 保密协议；本 人对东方通 及其子公司 作为现有各 项专利、软件 著作权的申 请人</w:t>
            </w:r>
            <w:r>
              <w:rPr>
                <w:rFonts w:ascii="Times New Roman" w:hAnsi="Times New Roman" w:cs="Times New Roman" w:eastAsia="Times New Roman" w:hint="default"/>
                <w:sz w:val="18"/>
                <w:szCs w:val="18"/>
              </w:rPr>
              <w:t>/</w:t>
            </w:r>
            <w:r>
              <w:rPr>
                <w:rFonts w:ascii="宋体" w:hAnsi="宋体" w:cs="宋体" w:eastAsia="宋体" w:hint="default"/>
                <w:sz w:val="18"/>
                <w:szCs w:val="18"/>
              </w:rPr>
              <w:t>所有人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3482"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无任何异议。 如本人未能 履行已作出 的承诺，因未 履行承诺所 获收益和本 人所享有的 上市公司当 年现金分红 收益归公司 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385"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4"/>
              <w:ind w:left="23" w:right="137"/>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如本人未能 履行已作出 </w:t>
            </w:r>
            <w:r>
              <w:rPr>
                <w:rFonts w:ascii="宋体" w:hAnsi="宋体" w:cs="宋体" w:eastAsia="宋体" w:hint="default"/>
                <w:spacing w:val="-2"/>
                <w:sz w:val="18"/>
                <w:szCs w:val="18"/>
              </w:rPr>
              <w:t>的《关于避免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同业竞争的 </w:t>
            </w:r>
            <w:r>
              <w:rPr>
                <w:rFonts w:ascii="宋体" w:hAnsi="宋体" w:cs="宋体" w:eastAsia="宋体" w:hint="default"/>
                <w:spacing w:val="-28"/>
                <w:sz w:val="18"/>
                <w:szCs w:val="18"/>
              </w:rPr>
              <w:t>承诺》、《关于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规范和减少 关联交易的 </w:t>
            </w:r>
            <w:r>
              <w:rPr>
                <w:rFonts w:ascii="宋体" w:hAnsi="宋体" w:cs="宋体" w:eastAsia="宋体" w:hint="default"/>
                <w:spacing w:val="-28"/>
                <w:sz w:val="18"/>
                <w:szCs w:val="18"/>
              </w:rPr>
              <w:t>承诺》、《关于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深圳市东方 通科技有限 公司相关事 </w:t>
            </w:r>
            <w:r>
              <w:rPr>
                <w:rFonts w:ascii="宋体" w:hAnsi="宋体" w:cs="宋体" w:eastAsia="宋体" w:hint="default"/>
                <w:spacing w:val="-16"/>
                <w:sz w:val="18"/>
                <w:szCs w:val="18"/>
              </w:rPr>
              <w:t>宜的承诺》、</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《关于张齐 春所持股份 继承的承 </w:t>
            </w:r>
            <w:r>
              <w:rPr>
                <w:rFonts w:ascii="宋体" w:hAnsi="宋体" w:cs="宋体" w:eastAsia="宋体" w:hint="default"/>
                <w:spacing w:val="-16"/>
                <w:sz w:val="18"/>
                <w:szCs w:val="18"/>
              </w:rPr>
              <w:t>诺》，因未履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行前述承诺 所获收益和 本人所享有 的上市公司 当年现金分 红收益归公 </w:t>
            </w:r>
            <w:r>
              <w:rPr>
                <w:rFonts w:ascii="宋体" w:hAnsi="宋体" w:cs="宋体" w:eastAsia="宋体" w:hint="default"/>
                <w:spacing w:val="-2"/>
                <w:sz w:val="18"/>
                <w:szCs w:val="18"/>
              </w:rPr>
              <w:t>司所有；如本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人未能履行 </w:t>
            </w:r>
            <w:r>
              <w:rPr>
                <w:rFonts w:ascii="宋体" w:hAnsi="宋体" w:cs="宋体" w:eastAsia="宋体" w:hint="default"/>
                <w:spacing w:val="-2"/>
                <w:sz w:val="18"/>
                <w:szCs w:val="18"/>
              </w:rPr>
              <w:t>已作出的《公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积金补缴承 </w:t>
            </w:r>
            <w:r>
              <w:rPr>
                <w:rFonts w:ascii="宋体" w:hAnsi="宋体" w:cs="宋体" w:eastAsia="宋体" w:hint="default"/>
                <w:spacing w:val="-16"/>
                <w:sz w:val="18"/>
                <w:szCs w:val="18"/>
              </w:rPr>
              <w:t>诺》，本人所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享有的当年 公司分红收 益将由公司 直接用于补 缴承诺所涉 公积金。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5081"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60"/>
              <w:ind w:left="23" w:right="86"/>
              <w:jc w:val="left"/>
              <w:rPr>
                <w:rFonts w:ascii="宋体" w:hAnsi="宋体" w:cs="宋体" w:eastAsia="宋体" w:hint="default"/>
                <w:sz w:val="18"/>
                <w:szCs w:val="18"/>
              </w:rPr>
            </w:pPr>
            <w:r>
              <w:rPr>
                <w:rFonts w:ascii="宋体" w:hAnsi="宋体" w:cs="宋体" w:eastAsia="宋体" w:hint="default"/>
                <w:sz w:val="18"/>
                <w:szCs w:val="18"/>
              </w:rPr>
              <w:t>朱律玮</w:t>
            </w:r>
            <w:r>
              <w:rPr>
                <w:rFonts w:ascii="Times New Roman" w:hAnsi="Times New Roman" w:cs="Times New Roman" w:eastAsia="Times New Roman" w:hint="default"/>
                <w:sz w:val="18"/>
                <w:szCs w:val="18"/>
              </w:rPr>
              <w:t>;</w:t>
            </w:r>
            <w:r>
              <w:rPr>
                <w:rFonts w:ascii="宋体" w:hAnsi="宋体" w:cs="宋体" w:eastAsia="宋体" w:hint="default"/>
                <w:sz w:val="18"/>
                <w:szCs w:val="18"/>
              </w:rPr>
              <w:t>孙亚 明</w:t>
            </w:r>
            <w:r>
              <w:rPr>
                <w:rFonts w:ascii="Times New Roman" w:hAnsi="Times New Roman" w:cs="Times New Roman" w:eastAsia="Times New Roman" w:hint="default"/>
                <w:sz w:val="18"/>
                <w:szCs w:val="18"/>
              </w:rPr>
              <w:t>;</w:t>
            </w:r>
            <w:r>
              <w:rPr>
                <w:rFonts w:ascii="宋体" w:hAnsi="宋体" w:cs="宋体" w:eastAsia="宋体" w:hint="default"/>
                <w:sz w:val="18"/>
                <w:szCs w:val="18"/>
              </w:rPr>
              <w:t>李春青</w:t>
            </w:r>
            <w:r>
              <w:rPr>
                <w:rFonts w:ascii="Times New Roman" w:hAnsi="Times New Roman" w:cs="Times New Roman" w:eastAsia="Times New Roman" w:hint="default"/>
                <w:sz w:val="18"/>
                <w:szCs w:val="18"/>
              </w:rPr>
              <w:t>;</w:t>
            </w:r>
            <w:r>
              <w:rPr>
                <w:rFonts w:ascii="宋体" w:hAnsi="宋体" w:cs="宋体" w:eastAsia="宋体" w:hint="default"/>
                <w:sz w:val="18"/>
                <w:szCs w:val="18"/>
              </w:rPr>
              <w:t>徐 志东</w:t>
            </w:r>
            <w:r>
              <w:rPr>
                <w:rFonts w:ascii="Times New Roman" w:hAnsi="Times New Roman" w:cs="Times New Roman" w:eastAsia="Times New Roman" w:hint="default"/>
                <w:sz w:val="18"/>
                <w:szCs w:val="18"/>
              </w:rPr>
              <w:t>;</w:t>
            </w:r>
            <w:r>
              <w:rPr>
                <w:rFonts w:ascii="宋体" w:hAnsi="宋体" w:cs="宋体" w:eastAsia="宋体" w:hint="default"/>
                <w:sz w:val="18"/>
                <w:szCs w:val="18"/>
              </w:rPr>
              <w:t>陈世英</w:t>
            </w:r>
            <w:r>
              <w:rPr>
                <w:rFonts w:ascii="Times New Roman" w:hAnsi="Times New Roman" w:cs="Times New Roman" w:eastAsia="Times New Roman" w:hint="default"/>
                <w:sz w:val="18"/>
                <w:szCs w:val="18"/>
              </w:rPr>
              <w:t>; </w:t>
            </w:r>
            <w:r>
              <w:rPr>
                <w:rFonts w:ascii="宋体" w:hAnsi="宋体" w:cs="宋体" w:eastAsia="宋体" w:hint="default"/>
                <w:sz w:val="18"/>
                <w:szCs w:val="18"/>
              </w:rPr>
              <w:t>徐少璞</w:t>
            </w:r>
            <w:r>
              <w:rPr>
                <w:rFonts w:ascii="Times New Roman" w:hAnsi="Times New Roman" w:cs="Times New Roman" w:eastAsia="Times New Roman" w:hint="default"/>
                <w:sz w:val="18"/>
                <w:szCs w:val="18"/>
              </w:rPr>
              <w:t>;</w:t>
            </w:r>
            <w:r>
              <w:rPr>
                <w:rFonts w:ascii="宋体" w:hAnsi="宋体" w:cs="宋体" w:eastAsia="宋体" w:hint="default"/>
                <w:sz w:val="18"/>
                <w:szCs w:val="18"/>
              </w:rPr>
              <w:t>东华 软件股份公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left"/>
              <w:rPr>
                <w:rFonts w:ascii="宋体" w:hAnsi="宋体" w:cs="宋体" w:eastAsia="宋体" w:hint="default"/>
                <w:sz w:val="18"/>
                <w:szCs w:val="18"/>
              </w:rPr>
            </w:pPr>
            <w:r>
              <w:rPr>
                <w:rFonts w:ascii="宋体" w:hAnsi="宋体" w:cs="宋体" w:eastAsia="宋体" w:hint="default"/>
                <w:sz w:val="18"/>
                <w:szCs w:val="18"/>
              </w:rPr>
              <w:t>如本人未能 履行已作出</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《关于避免 同业竞争的 </w:t>
            </w:r>
            <w:r>
              <w:rPr>
                <w:rFonts w:ascii="宋体" w:hAnsi="宋体" w:cs="宋体" w:eastAsia="宋体" w:hint="default"/>
                <w:spacing w:val="-28"/>
                <w:sz w:val="18"/>
                <w:szCs w:val="18"/>
              </w:rPr>
              <w:t>承诺》、《关于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规范和减少 关联交易的 </w:t>
            </w:r>
            <w:r>
              <w:rPr>
                <w:rFonts w:ascii="宋体" w:hAnsi="宋体" w:cs="宋体" w:eastAsia="宋体" w:hint="default"/>
                <w:spacing w:val="-28"/>
                <w:sz w:val="18"/>
                <w:szCs w:val="18"/>
              </w:rPr>
              <w:t>承诺》、《股份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锁定承诺》等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承诺，因未履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行承诺所获 收益和本人 所享有公司 当年现金分 红收益归公 司所有。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11"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87"/>
              <w:jc w:val="both"/>
              <w:rPr>
                <w:rFonts w:ascii="宋体" w:hAnsi="宋体" w:cs="宋体" w:eastAsia="宋体" w:hint="default"/>
                <w:sz w:val="18"/>
                <w:szCs w:val="18"/>
              </w:rPr>
            </w:pPr>
            <w:r>
              <w:rPr>
                <w:rFonts w:ascii="宋体" w:hAnsi="宋体" w:cs="宋体" w:eastAsia="宋体" w:hint="default"/>
                <w:sz w:val="18"/>
                <w:szCs w:val="18"/>
              </w:rPr>
              <w:t>北京东方通 科技股份有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公司承诺不 为激励对象 依本激励计 划获取有关 权益提供贷 款以及其他 任何形式的 </w:t>
            </w:r>
            <w:r>
              <w:rPr>
                <w:rFonts w:ascii="宋体" w:hAnsi="宋体" w:cs="宋体" w:eastAsia="宋体" w:hint="default"/>
                <w:spacing w:val="-2"/>
                <w:sz w:val="18"/>
                <w:szCs w:val="18"/>
              </w:rPr>
              <w:t>财务资助，包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括为其贷款 提供担保。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4" w:lineRule="auto"/>
              <w:ind w:left="23" w:right="185"/>
              <w:jc w:val="left"/>
              <w:rPr>
                <w:rFonts w:ascii="宋体" w:hAnsi="宋体" w:cs="宋体" w:eastAsia="宋体" w:hint="default"/>
                <w:sz w:val="18"/>
                <w:szCs w:val="18"/>
              </w:rPr>
            </w:pPr>
            <w:r>
              <w:rPr>
                <w:rFonts w:ascii="宋体" w:hAnsi="宋体" w:cs="宋体" w:eastAsia="宋体" w:hint="default"/>
                <w:sz w:val="18"/>
                <w:szCs w:val="18"/>
              </w:rPr>
              <w:t>激励计划实 施期间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5354"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3" w:right="187"/>
              <w:jc w:val="both"/>
              <w:rPr>
                <w:rFonts w:ascii="宋体" w:hAnsi="宋体" w:cs="宋体" w:eastAsia="宋体" w:hint="default"/>
                <w:sz w:val="18"/>
                <w:szCs w:val="18"/>
              </w:rPr>
            </w:pPr>
            <w:r>
              <w:rPr>
                <w:rFonts w:ascii="宋体" w:hAnsi="宋体" w:cs="宋体" w:eastAsia="宋体" w:hint="default"/>
                <w:sz w:val="18"/>
                <w:szCs w:val="18"/>
              </w:rPr>
              <w:t>北京东方通 科技股份有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本次使用闲 置募集资金 临时补充的 流动资金仅 限于与主营 业务相关的 生产经营使 </w:t>
            </w:r>
            <w:r>
              <w:rPr>
                <w:rFonts w:ascii="宋体" w:hAnsi="宋体" w:cs="宋体" w:eastAsia="宋体" w:hint="default"/>
                <w:spacing w:val="-2"/>
                <w:sz w:val="18"/>
                <w:szCs w:val="18"/>
              </w:rPr>
              <w:t>用，不会通过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直接或间接 的安排用于 </w:t>
            </w:r>
            <w:r>
              <w:rPr>
                <w:rFonts w:ascii="宋体" w:hAnsi="宋体" w:cs="宋体" w:eastAsia="宋体" w:hint="default"/>
                <w:spacing w:val="-2"/>
                <w:sz w:val="18"/>
                <w:szCs w:val="18"/>
              </w:rPr>
              <w:t>新股配售、申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购，或用于股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票及其衍生 </w:t>
            </w:r>
            <w:r>
              <w:rPr>
                <w:rFonts w:ascii="宋体" w:hAnsi="宋体" w:cs="宋体" w:eastAsia="宋体" w:hint="default"/>
                <w:spacing w:val="-2"/>
                <w:sz w:val="18"/>
                <w:szCs w:val="18"/>
              </w:rPr>
              <w:t>品种、可转换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公司债券等 </w:t>
            </w:r>
            <w:r>
              <w:rPr>
                <w:rFonts w:ascii="宋体" w:hAnsi="宋体" w:cs="宋体" w:eastAsia="宋体" w:hint="default"/>
                <w:spacing w:val="-2"/>
                <w:sz w:val="18"/>
                <w:szCs w:val="18"/>
              </w:rPr>
              <w:t>的交易。本次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闲置募集资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4106"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金的使用没 有与募集资 金投资项目 的实施计划 </w:t>
            </w:r>
            <w:r>
              <w:rPr>
                <w:rFonts w:ascii="宋体" w:hAnsi="宋体" w:cs="宋体" w:eastAsia="宋体" w:hint="default"/>
                <w:spacing w:val="-2"/>
                <w:sz w:val="18"/>
                <w:szCs w:val="18"/>
              </w:rPr>
              <w:t>相抵触，不影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响募集资金 投资项目的 </w:t>
            </w:r>
            <w:r>
              <w:rPr>
                <w:rFonts w:ascii="宋体" w:hAnsi="宋体" w:cs="宋体" w:eastAsia="宋体" w:hint="default"/>
                <w:spacing w:val="-2"/>
                <w:sz w:val="18"/>
                <w:szCs w:val="18"/>
              </w:rPr>
              <w:t>正常进行，不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存在变相改 变募集资金 投向和损害 股东利益的 情况。</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641"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87"/>
              <w:jc w:val="left"/>
              <w:rPr>
                <w:rFonts w:ascii="宋体" w:hAnsi="宋体" w:cs="宋体" w:eastAsia="宋体" w:hint="default"/>
                <w:sz w:val="18"/>
                <w:szCs w:val="18"/>
              </w:rPr>
            </w:pPr>
            <w:r>
              <w:rPr>
                <w:rFonts w:ascii="宋体" w:hAnsi="宋体" w:cs="宋体" w:eastAsia="宋体" w:hint="default"/>
                <w:sz w:val="18"/>
                <w:szCs w:val="18"/>
              </w:rPr>
              <w:t>东华软件股 份公司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12" w:lineRule="exact" w:before="23"/>
              <w:ind w:left="23"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日起三 个月内，根据 中国证监会 和深圳证券 交易所的有 关规定，东华 软件拟通过 证券公司、基 金管理公司 定向资产管 理等方式增 持公司股份， 合计增持总 金额不超过 人民币 </w:t>
            </w:r>
            <w:r>
              <w:rPr>
                <w:rFonts w:ascii="Times New Roman" w:hAnsi="Times New Roman" w:cs="Times New Roman" w:eastAsia="Times New Roman" w:hint="default"/>
                <w:sz w:val="18"/>
                <w:szCs w:val="18"/>
              </w:rPr>
              <w:t>21,000,000</w:t>
            </w:r>
          </w:p>
          <w:p>
            <w:pPr>
              <w:pStyle w:val="TableParagraph"/>
              <w:spacing w:line="316" w:lineRule="auto" w:before="39"/>
              <w:ind w:left="23" w:right="19"/>
              <w:jc w:val="left"/>
              <w:rPr>
                <w:rFonts w:ascii="宋体" w:hAnsi="宋体" w:cs="宋体" w:eastAsia="宋体" w:hint="default"/>
                <w:sz w:val="18"/>
                <w:szCs w:val="18"/>
              </w:rPr>
            </w:pPr>
            <w:r>
              <w:rPr>
                <w:rFonts w:ascii="宋体" w:hAnsi="宋体" w:cs="宋体" w:eastAsia="宋体" w:hint="default"/>
                <w:spacing w:val="-2"/>
                <w:sz w:val="18"/>
                <w:szCs w:val="18"/>
              </w:rPr>
              <w:t>元，增持所需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的资金来源 为其自筹获 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2016-04-08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06"/>
        <w:gridCol w:w="1178"/>
        <w:gridCol w:w="1181"/>
        <w:gridCol w:w="1181"/>
        <w:gridCol w:w="1178"/>
        <w:gridCol w:w="1181"/>
        <w:gridCol w:w="1183"/>
        <w:gridCol w:w="1176"/>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4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96" w:right="47"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94" w:right="38"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1"/>
              <w:jc w:val="left"/>
              <w:rPr>
                <w:rFonts w:ascii="宋体" w:hAnsi="宋体" w:cs="宋体" w:eastAsia="宋体" w:hint="default"/>
                <w:sz w:val="18"/>
                <w:szCs w:val="18"/>
              </w:rPr>
            </w:pPr>
            <w:r>
              <w:rPr>
                <w:rFonts w:ascii="宋体" w:hAnsi="宋体" w:cs="宋体" w:eastAsia="宋体" w:hint="default"/>
                <w:sz w:val="18"/>
                <w:szCs w:val="18"/>
              </w:rPr>
              <w:t>北京惠捷朗科 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1" w:right="0"/>
              <w:jc w:val="left"/>
              <w:rPr>
                <w:rFonts w:ascii="Times New Roman" w:hAnsi="Times New Roman" w:cs="Times New Roman" w:eastAsia="Times New Roman" w:hint="default"/>
                <w:sz w:val="18"/>
                <w:szCs w:val="18"/>
              </w:rPr>
            </w:pPr>
            <w:r>
              <w:rPr>
                <w:rFonts w:ascii="Times New Roman"/>
                <w:sz w:val="18"/>
              </w:rPr>
              <w:t>3,680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3,747.69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40"/>
              <w:jc w:val="left"/>
              <w:rPr>
                <w:rFonts w:ascii="宋体" w:hAnsi="宋体" w:cs="宋体" w:eastAsia="宋体" w:hint="default"/>
                <w:sz w:val="18"/>
                <w:szCs w:val="18"/>
              </w:rPr>
            </w:pPr>
            <w:r>
              <w:rPr>
                <w:rFonts w:ascii="宋体" w:hAnsi="宋体" w:cs="宋体" w:eastAsia="宋体" w:hint="default"/>
                <w:sz w:val="18"/>
                <w:szCs w:val="18"/>
              </w:rPr>
              <w:t>信会师报字 </w:t>
            </w:r>
            <w:r>
              <w:rPr>
                <w:rFonts w:ascii="Times New Roman" w:hAnsi="Times New Roman" w:cs="Times New Roman" w:eastAsia="Times New Roman" w:hint="default"/>
                <w:sz w:val="18"/>
                <w:szCs w:val="18"/>
              </w:rPr>
              <w:t>[2014]</w:t>
            </w:r>
            <w:r>
              <w:rPr>
                <w:rFonts w:ascii="宋体" w:hAnsi="宋体" w:cs="宋体" w:eastAsia="宋体" w:hint="default"/>
                <w:sz w:val="18"/>
                <w:szCs w:val="18"/>
              </w:rPr>
              <w:t>第 </w:t>
            </w:r>
            <w:r>
              <w:rPr>
                <w:rFonts w:ascii="Times New Roman" w:hAnsi="Times New Roman" w:cs="Times New Roman" w:eastAsia="Times New Roman" w:hint="default"/>
                <w:sz w:val="18"/>
                <w:szCs w:val="18"/>
              </w:rPr>
              <w:t>211205</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w:t>
            </w:r>
          </w:p>
        </w:tc>
      </w:tr>
    </w:tbl>
    <w:p>
      <w:pPr>
        <w:pStyle w:val="BodyText"/>
        <w:spacing w:line="240" w:lineRule="auto" w:before="49"/>
        <w:ind w:right="0"/>
        <w:jc w:val="left"/>
      </w:pPr>
      <w:r>
        <w:rPr/>
        <w:t>公司股东、交易对手方对公司或相关资产年度经营业绩作出的承诺情况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94" w:firstLine="360"/>
        <w:jc w:val="both"/>
        <w:rPr>
          <w:rFonts w:ascii="Times New Roman" w:hAnsi="Times New Roman" w:cs="Times New Roman" w:eastAsia="Times New Roman" w:hint="default"/>
        </w:rPr>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日，中国证券监督管理委员会以《关于核准北京东方通科技股份有限公司向李健等发行股份购买资产 </w:t>
      </w:r>
      <w:r>
        <w:rPr>
          <w:spacing w:val="-4"/>
        </w:rPr>
        <w:t>并募集配套资金的批复》（证监许可</w:t>
      </w:r>
      <w:r>
        <w:rPr>
          <w:rFonts w:ascii="Times New Roman" w:hAnsi="Times New Roman" w:cs="Times New Roman" w:eastAsia="Times New Roman" w:hint="default"/>
          <w:spacing w:val="-4"/>
        </w:rPr>
        <w:t>[2014]1354</w:t>
      </w:r>
      <w:r>
        <w:rPr>
          <w:rFonts w:ascii="Times New Roman" w:hAnsi="Times New Roman" w:cs="Times New Roman" w:eastAsia="Times New Roman" w:hint="default"/>
          <w:spacing w:val="34"/>
        </w:rPr>
        <w:t> </w:t>
      </w:r>
      <w:r>
        <w:rPr>
          <w:spacing w:val="-1"/>
        </w:rPr>
        <w:t>号）核准北京东方通科技股份有限公司（以下简称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）向李健等四人</w:t>
      </w:r>
      <w:r>
        <w:rPr>
          <w:spacing w:val="-81"/>
        </w:rPr>
        <w:t> </w:t>
      </w:r>
      <w:r>
        <w:rPr>
          <w:spacing w:val="-81"/>
        </w:rPr>
      </w:r>
      <w:r>
        <w:rPr/>
        <w:t>发行</w:t>
      </w:r>
      <w:r>
        <w:rPr>
          <w:spacing w:val="-47"/>
        </w:rPr>
        <w:t> </w:t>
      </w:r>
      <w:r>
        <w:rPr>
          <w:rFonts w:ascii="Times New Roman" w:hAnsi="Times New Roman" w:cs="Times New Roman" w:eastAsia="Times New Roman" w:hint="default"/>
        </w:rPr>
        <w:t>4,480,000</w:t>
      </w:r>
      <w:r>
        <w:rPr>
          <w:rFonts w:ascii="Times New Roman" w:hAnsi="Times New Roman" w:cs="Times New Roman" w:eastAsia="Times New Roman" w:hint="default"/>
          <w:spacing w:val="-1"/>
        </w:rPr>
        <w:t> </w:t>
      </w:r>
      <w:r>
        <w:rPr/>
        <w:t>股股票，并募集配套资金不超过</w:t>
      </w:r>
      <w:r>
        <w:rPr>
          <w:spacing w:val="-47"/>
        </w:rPr>
        <w:t> </w:t>
      </w:r>
      <w:r>
        <w:rPr>
          <w:rFonts w:ascii="Times New Roman" w:hAnsi="Times New Roman" w:cs="Times New Roman" w:eastAsia="Times New Roman" w:hint="default"/>
        </w:rPr>
        <w:t>14,000</w:t>
      </w:r>
      <w:r>
        <w:rPr>
          <w:rFonts w:ascii="Times New Roman" w:hAnsi="Times New Roman" w:cs="Times New Roman" w:eastAsia="Times New Roman" w:hint="default"/>
          <w:spacing w:val="-1"/>
        </w:rPr>
        <w:t> </w:t>
      </w:r>
      <w:r>
        <w:rPr/>
        <w:t>万元，以购买北京惠捷朗科技有限公司（以下简称</w:t>
      </w:r>
      <w:r>
        <w:rPr>
          <w:rFonts w:ascii="Times New Roman" w:hAnsi="Times New Roman" w:cs="Times New Roman" w:eastAsia="Times New Roman" w:hint="default"/>
        </w:rPr>
        <w:t>“</w:t>
      </w:r>
      <w:r>
        <w:rPr/>
        <w:t>惠捷朗</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p>
    <w:p>
      <w:pPr>
        <w:pStyle w:val="BodyText"/>
        <w:spacing w:line="300" w:lineRule="auto" w:before="13"/>
        <w:ind w:right="150"/>
        <w:jc w:val="left"/>
      </w:pPr>
      <w:r>
        <w:rPr>
          <w:spacing w:val="-3"/>
        </w:rPr>
        <w:t>股权。</w:t>
      </w:r>
      <w:r>
        <w:rPr>
          <w:rFonts w:ascii="Times New Roman" w:hAnsi="Times New Roman" w:cs="Times New Roman" w:eastAsia="Times New Roman" w:hint="default"/>
          <w:spacing w:val="-3"/>
        </w:rPr>
        <w:t>2014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日，本公司向李健等发行的</w:t>
      </w:r>
      <w:r>
        <w:rPr>
          <w:spacing w:val="-49"/>
        </w:rPr>
        <w:t> </w:t>
      </w:r>
      <w:r>
        <w:rPr>
          <w:rFonts w:ascii="Times New Roman" w:hAnsi="Times New Roman" w:cs="Times New Roman" w:eastAsia="Times New Roman" w:hint="default"/>
        </w:rPr>
        <w:t>4,480,000</w:t>
      </w:r>
      <w:r>
        <w:rPr>
          <w:rFonts w:ascii="Times New Roman" w:hAnsi="Times New Roman" w:cs="Times New Roman" w:eastAsia="Times New Roman" w:hint="default"/>
          <w:spacing w:val="-5"/>
        </w:rPr>
        <w:t> </w:t>
      </w:r>
      <w:r>
        <w:rPr/>
        <w:t>股股票在中国证券登记结算有限责任公司深圳分公司办理了股 权登记手续。</w:t>
      </w:r>
    </w:p>
    <w:p>
      <w:pPr>
        <w:pStyle w:val="BodyText"/>
        <w:spacing w:line="357" w:lineRule="auto" w:before="72"/>
        <w:ind w:left="512" w:right="234"/>
        <w:jc w:val="left"/>
      </w:pPr>
      <w:r>
        <w:rPr/>
        <w:t>交易对方李健、王晋敏、王熙春、李飚做出的关于惠捷朗的业绩补偿承诺 若标的公司自本次重大资产重组利润补偿期限内任一会计年度实现的扣除非经常性损益后归属于母公司所有者净利润</w:t>
      </w:r>
    </w:p>
    <w:p>
      <w:pPr>
        <w:pStyle w:val="BodyText"/>
        <w:spacing w:line="224" w:lineRule="exact"/>
        <w:ind w:right="0"/>
        <w:jc w:val="left"/>
      </w:pPr>
      <w:r>
        <w:rPr/>
        <w:t>低于利润承诺数，则李健、王晋敏、王熙春、李飚应向本公司做出补偿，具体补偿安排如下：</w:t>
      </w:r>
    </w:p>
    <w:p>
      <w:pPr>
        <w:pStyle w:val="BodyText"/>
        <w:spacing w:line="240" w:lineRule="auto" w:before="117"/>
        <w:ind w:left="512" w:right="0"/>
        <w:jc w:val="left"/>
      </w:pPr>
      <w:r>
        <w:rPr>
          <w:rFonts w:ascii="Times New Roman" w:hAnsi="Times New Roman" w:cs="Times New Roman" w:eastAsia="Times New Roman" w:hint="default"/>
        </w:rPr>
        <w:t>1</w:t>
      </w:r>
      <w:r>
        <w:rPr/>
        <w:t>．盈利承诺期限</w:t>
      </w:r>
    </w:p>
    <w:p>
      <w:pPr>
        <w:pStyle w:val="BodyText"/>
        <w:spacing w:line="240" w:lineRule="auto" w:before="103"/>
        <w:ind w:left="512" w:right="0"/>
        <w:jc w:val="left"/>
      </w:pPr>
      <w:r>
        <w:rPr/>
        <w:t>盈利承诺期限为自交割日起的连续</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个会计年度（含交割</w:t>
      </w:r>
      <w:r>
        <w:rPr>
          <w:spacing w:val="-3"/>
        </w:rPr>
        <w:t>日</w:t>
      </w:r>
      <w:r>
        <w:rPr/>
        <w:t>当年的会计年度</w:t>
      </w:r>
      <w:r>
        <w:rPr>
          <w:spacing w:val="-92"/>
        </w:rPr>
        <w:t>）</w:t>
      </w:r>
      <w:r>
        <w:rPr/>
        <w:t>，即</w:t>
      </w:r>
      <w:r>
        <w:rPr>
          <w:spacing w:val="-45"/>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年</w:t>
      </w:r>
      <w:r>
        <w:rPr/>
        <w:t>度</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年度。</w:t>
      </w:r>
    </w:p>
    <w:p>
      <w:pPr>
        <w:pStyle w:val="BodyText"/>
        <w:spacing w:line="240" w:lineRule="auto" w:before="101"/>
        <w:ind w:left="512" w:right="0"/>
        <w:jc w:val="left"/>
      </w:pPr>
      <w:r>
        <w:rPr>
          <w:rFonts w:ascii="Times New Roman" w:hAnsi="Times New Roman" w:cs="Times New Roman" w:eastAsia="Times New Roman" w:hint="default"/>
        </w:rPr>
        <w:t>2</w:t>
      </w:r>
      <w:r>
        <w:rPr/>
        <w:t>．盈利预测数额的确定</w:t>
      </w:r>
    </w:p>
    <w:p>
      <w:pPr>
        <w:pStyle w:val="BodyText"/>
        <w:spacing w:line="300" w:lineRule="auto" w:before="103"/>
        <w:ind w:right="152" w:firstLine="359"/>
        <w:jc w:val="both"/>
      </w:pPr>
      <w:r>
        <w:rPr/>
        <w:t>交易对方承诺惠捷朗</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spacing w:val="-4"/>
        </w:rPr>
        <w:t>年度、</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
        </w:rPr>
        <w:t> </w:t>
      </w:r>
      <w:r>
        <w:rPr>
          <w:spacing w:val="-4"/>
        </w:rPr>
        <w:t>年度、</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
        </w:rPr>
        <w:t> </w:t>
      </w:r>
      <w:r>
        <w:rPr/>
        <w:t>年度对应的净利润分别为</w:t>
      </w:r>
      <w:r>
        <w:rPr>
          <w:spacing w:val="-45"/>
        </w:rPr>
        <w:t> </w:t>
      </w:r>
      <w:r>
        <w:rPr>
          <w:rFonts w:ascii="Times New Roman" w:hAnsi="Times New Roman" w:cs="Times New Roman" w:eastAsia="Times New Roman" w:hint="default"/>
        </w:rPr>
        <w:t>2,860</w:t>
      </w:r>
      <w:r>
        <w:rPr>
          <w:rFonts w:ascii="Times New Roman" w:hAnsi="Times New Roman" w:cs="Times New Roman" w:eastAsia="Times New Roman" w:hint="default"/>
          <w:spacing w:val="1"/>
        </w:rPr>
        <w:t> </w:t>
      </w:r>
      <w:r>
        <w:rPr>
          <w:spacing w:val="-4"/>
        </w:rPr>
        <w:t>万元、</w:t>
      </w:r>
      <w:r>
        <w:rPr>
          <w:rFonts w:ascii="Times New Roman" w:hAnsi="Times New Roman" w:cs="Times New Roman" w:eastAsia="Times New Roman" w:hint="default"/>
          <w:spacing w:val="-4"/>
        </w:rPr>
        <w:t>3,680</w:t>
      </w:r>
      <w:r>
        <w:rPr>
          <w:rFonts w:ascii="Times New Roman" w:hAnsi="Times New Roman" w:cs="Times New Roman" w:eastAsia="Times New Roman" w:hint="default"/>
          <w:spacing w:val="1"/>
        </w:rPr>
        <w:t> </w:t>
      </w:r>
      <w:r>
        <w:rPr/>
        <w:t>万元和</w:t>
      </w:r>
      <w:r>
        <w:rPr>
          <w:spacing w:val="-45"/>
        </w:rPr>
        <w:t> </w:t>
      </w:r>
      <w:r>
        <w:rPr>
          <w:rFonts w:ascii="Times New Roman" w:hAnsi="Times New Roman" w:cs="Times New Roman" w:eastAsia="Times New Roman" w:hint="default"/>
        </w:rPr>
        <w:t>4,660</w:t>
      </w:r>
      <w:r>
        <w:rPr>
          <w:rFonts w:ascii="Times New Roman" w:hAnsi="Times New Roman" w:cs="Times New Roman" w:eastAsia="Times New Roman" w:hint="default"/>
          <w:spacing w:val="1"/>
        </w:rPr>
        <w:t> </w:t>
      </w:r>
      <w:r>
        <w:rPr>
          <w:spacing w:val="-5"/>
        </w:rPr>
        <w:t>万元，净利</w:t>
      </w:r>
      <w:r>
        <w:rPr/>
        <w:t> 润为扣除非经常性损益后归属于母公司股东的净利润。</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2" w:right="23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本期通过并购新增子公司北京数字天堂信息科技有限责任公司；本期通过新设成立全资子公司东方通科技无锡有限公</w:t>
      </w:r>
    </w:p>
    <w:p>
      <w:pPr>
        <w:pStyle w:val="BodyText"/>
        <w:spacing w:line="240" w:lineRule="auto" w:before="2"/>
        <w:ind w:right="0"/>
        <w:jc w:val="left"/>
      </w:pPr>
      <w:r>
        <w:rPr/>
        <w:t>司。</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乐超军，刘文豪</w:t>
            </w:r>
          </w:p>
        </w:tc>
      </w:tr>
    </w:tbl>
    <w:p>
      <w:pPr>
        <w:pStyle w:val="BodyText"/>
        <w:spacing w:line="240" w:lineRule="auto" w:before="49"/>
        <w:ind w:right="0"/>
        <w:jc w:val="left"/>
      </w:pPr>
      <w:r>
        <w:rPr/>
        <w:t>是否改聘会计师事务所</w:t>
      </w:r>
    </w:p>
    <w:p>
      <w:pPr>
        <w:pStyle w:val="BodyText"/>
        <w:spacing w:line="338" w:lineRule="auto" w:before="117"/>
        <w:ind w:right="527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40" w:lineRule="auto" w:before="43"/>
        <w:ind w:left="513" w:right="2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报告期内，公司因非公开发行股票事项，聘请国信证券股份有限公司为保荐承销机构，报告期内尚未支付相关费用。</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2" w:right="0"/>
        <w:jc w:val="left"/>
      </w:pPr>
      <w:r>
        <w:rPr/>
        <w:t>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日第二届董事会第二十次会议审议通过了《关于公司</w:t>
      </w:r>
      <w:r>
        <w:rPr>
          <w:rFonts w:ascii="Times New Roman" w:hAnsi="Times New Roman" w:cs="Times New Roman" w:eastAsia="Times New Roman" w:hint="default"/>
        </w:rPr>
        <w:t>&lt;</w:t>
      </w:r>
      <w:r>
        <w:rPr/>
        <w:t>第一期股票期权激励计划（草案）及其摘</w:t>
      </w:r>
    </w:p>
    <w:p>
      <w:pPr>
        <w:pStyle w:val="BodyText"/>
        <w:spacing w:line="240" w:lineRule="auto" w:before="62"/>
        <w:ind w:right="0"/>
        <w:jc w:val="left"/>
      </w:pPr>
      <w:r>
        <w:rPr/>
        <w:t>要</w:t>
      </w:r>
      <w:r>
        <w:rPr>
          <w:rFonts w:ascii="Times New Roman" w:hAnsi="Times New Roman" w:cs="Times New Roman" w:eastAsia="Times New Roman" w:hint="default"/>
          <w:spacing w:val="-1"/>
        </w:rPr>
        <w:t>&gt;</w:t>
      </w:r>
      <w:r>
        <w:rPr/>
        <w:t>的议案</w:t>
      </w:r>
      <w:r>
        <w:rPr>
          <w:spacing w:val="-92"/>
        </w:rPr>
        <w:t>》</w:t>
      </w:r>
      <w:r>
        <w:rPr/>
        <w:t>，并经公司</w:t>
      </w:r>
      <w:r>
        <w:rPr>
          <w:spacing w:val="-45"/>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年</w:t>
      </w:r>
      <w:r>
        <w:rPr/>
        <w:t>第二次临时股东大会审议通过。</w:t>
      </w:r>
    </w:p>
    <w:p>
      <w:pPr>
        <w:pStyle w:val="BodyText"/>
        <w:spacing w:line="240" w:lineRule="auto" w:before="101"/>
        <w:ind w:left="512"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日，公司第二届董事会第二十一次会议，审议通过了《关于公司</w:t>
      </w:r>
      <w:r>
        <w:rPr>
          <w:rFonts w:ascii="Times New Roman" w:hAnsi="Times New Roman" w:cs="Times New Roman" w:eastAsia="Times New Roman" w:hint="default"/>
        </w:rPr>
        <w:t>&lt;</w:t>
      </w:r>
      <w:r>
        <w:rPr/>
        <w:t>第一期股票期权激励计划</w:t>
      </w:r>
      <w:r>
        <w:rPr>
          <w:rFonts w:ascii="Times New Roman" w:hAnsi="Times New Roman" w:cs="Times New Roman" w:eastAsia="Times New Roman" w:hint="default"/>
        </w:rPr>
        <w:t>&gt;</w:t>
      </w:r>
      <w:r>
        <w:rPr/>
        <w:t>首次授予期</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权相关事项的议案</w:t>
      </w:r>
      <w:r>
        <w:rPr>
          <w:spacing w:val="-92"/>
        </w:rPr>
        <w:t>》</w:t>
      </w:r>
      <w:r>
        <w:rPr>
          <w:spacing w:val="-27"/>
        </w:rPr>
        <w:t>，</w:t>
      </w:r>
      <w:r>
        <w:rPr/>
        <w:t>同意授予</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6</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名激励对象</w:t>
      </w:r>
      <w:r>
        <w:rPr>
          <w:spacing w:val="-2"/>
        </w:rPr>
        <w:t> </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万份</w:t>
      </w:r>
      <w:r>
        <w:rPr>
          <w:spacing w:val="-3"/>
        </w:rPr>
        <w:t>股</w:t>
      </w:r>
      <w:r>
        <w:rPr/>
        <w:t>票期权</w:t>
      </w:r>
      <w:r>
        <w:rPr>
          <w:spacing w:val="-27"/>
        </w:rPr>
        <w:t>，</w:t>
      </w:r>
      <w:r>
        <w:rPr/>
        <w:t>并根据股东大会的授权</w:t>
      </w:r>
      <w:r>
        <w:rPr>
          <w:spacing w:val="-27"/>
        </w:rPr>
        <w:t>，</w:t>
      </w:r>
      <w:r>
        <w:rPr/>
        <w:t>董事会确定第一期股票期权</w:t>
      </w:r>
    </w:p>
    <w:p>
      <w:pPr>
        <w:pStyle w:val="BodyText"/>
        <w:spacing w:line="240" w:lineRule="auto" w:before="62"/>
        <w:ind w:right="0"/>
        <w:jc w:val="left"/>
      </w:pPr>
      <w:r>
        <w:rPr/>
        <w:t>激励计划首次授予期权的授予日为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8 </w:t>
      </w:r>
      <w:r>
        <w:rPr/>
        <w:t>日。本次授予的股票期权的行权价格</w:t>
      </w:r>
      <w:r>
        <w:rPr>
          <w:spacing w:val="-46"/>
        </w:rPr>
        <w:t> </w:t>
      </w:r>
      <w:r>
        <w:rPr>
          <w:rFonts w:ascii="Times New Roman" w:hAnsi="Times New Roman" w:cs="Times New Roman" w:eastAsia="Times New Roman" w:hint="default"/>
        </w:rPr>
        <w:t>63.69 </w:t>
      </w:r>
      <w:r>
        <w:rPr/>
        <w:t>元。</w:t>
      </w:r>
    </w:p>
    <w:p>
      <w:pPr>
        <w:pStyle w:val="BodyText"/>
        <w:spacing w:line="300" w:lineRule="auto" w:before="103"/>
        <w:ind w:right="160" w:firstLine="360"/>
        <w:jc w:val="left"/>
      </w:pPr>
      <w:r>
        <w:rPr/>
        <w:t>以上议案详见分别于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19 </w:t>
      </w:r>
      <w:r>
        <w:rPr/>
        <w:t>日及</w:t>
      </w:r>
      <w:r>
        <w:rPr>
          <w:spacing w:val="-46"/>
        </w:rPr>
        <w:t> </w:t>
      </w: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9 </w:t>
      </w:r>
      <w:r>
        <w:rPr/>
        <w:t>月</w:t>
      </w:r>
      <w:r>
        <w:rPr>
          <w:spacing w:val="-48"/>
        </w:rPr>
        <w:t> </w:t>
      </w:r>
      <w:r>
        <w:rPr>
          <w:rFonts w:ascii="Times New Roman" w:hAnsi="Times New Roman" w:cs="Times New Roman" w:eastAsia="Times New Roman" w:hint="default"/>
        </w:rPr>
        <w:t>8 </w:t>
      </w:r>
      <w:r>
        <w:rPr/>
        <w:t>日在指定信息披露网站巨潮资讯网上披露的相关公告（公告编 </w:t>
      </w:r>
      <w:r>
        <w:rPr>
          <w:spacing w:val="-9"/>
        </w:rPr>
        <w:t>号：</w:t>
      </w:r>
      <w:r>
        <w:rPr>
          <w:rFonts w:ascii="Times New Roman" w:hAnsi="Times New Roman" w:cs="Times New Roman" w:eastAsia="Times New Roman" w:hint="default"/>
          <w:spacing w:val="-9"/>
        </w:rPr>
        <w:t>2015-069</w:t>
      </w:r>
      <w:r>
        <w:rPr>
          <w:spacing w:val="-9"/>
        </w:rPr>
        <w:t>、</w:t>
      </w:r>
      <w:r>
        <w:rPr>
          <w:rFonts w:ascii="Times New Roman" w:hAnsi="Times New Roman" w:cs="Times New Roman" w:eastAsia="Times New Roman" w:hint="default"/>
          <w:spacing w:val="-9"/>
        </w:rPr>
        <w:t>2015-076</w:t>
      </w:r>
      <w:r>
        <w:rPr>
          <w:spacing w:val="-9"/>
        </w:rPr>
        <w:t>）。</w:t>
      </w:r>
      <w:r>
        <w:rPr/>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公司报告期不存在承包情况。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86"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租赁情况说明</w:t>
      </w:r>
    </w:p>
    <w:p>
      <w:pPr>
        <w:pStyle w:val="BodyText"/>
        <w:spacing w:line="300" w:lineRule="auto" w:before="43"/>
        <w:ind w:right="184" w:firstLine="360"/>
        <w:jc w:val="left"/>
      </w:pPr>
      <w:r>
        <w:rPr>
          <w:rFonts w:ascii="Times New Roman" w:hAnsi="Times New Roman" w:cs="Times New Roman" w:eastAsia="Times New Roman" w:hint="default"/>
        </w:rPr>
        <w:t>1</w:t>
      </w:r>
      <w:r>
        <w:rPr/>
        <w:t>、根据本公司与北京信息基础设施建设股份有限公司签署的《中关村瀚海国际大厦写字楼租赁合同》及其补充协议， 本公司续租中关村瀚海国际大厦</w:t>
      </w:r>
      <w:r>
        <w:rPr>
          <w:spacing w:val="-46"/>
        </w:rPr>
        <w:t> </w:t>
      </w:r>
      <w:r>
        <w:rPr>
          <w:rFonts w:ascii="Times New Roman" w:hAnsi="Times New Roman" w:cs="Times New Roman" w:eastAsia="Times New Roman" w:hint="default"/>
        </w:rPr>
        <w:t>3 </w:t>
      </w:r>
      <w:r>
        <w:rPr/>
        <w:t>层</w:t>
      </w:r>
      <w:r>
        <w:rPr>
          <w:spacing w:val="-48"/>
        </w:rPr>
        <w:t> </w:t>
      </w:r>
      <w:r>
        <w:rPr>
          <w:rFonts w:ascii="Times New Roman" w:hAnsi="Times New Roman" w:cs="Times New Roman" w:eastAsia="Times New Roman" w:hint="default"/>
        </w:rPr>
        <w:t>305 </w:t>
      </w:r>
      <w:r>
        <w:rPr/>
        <w:t>室，用于办公。该房产建筑面积</w:t>
      </w:r>
      <w:r>
        <w:rPr>
          <w:spacing w:val="-46"/>
        </w:rPr>
        <w:t> </w:t>
      </w:r>
      <w:r>
        <w:rPr>
          <w:rFonts w:ascii="Times New Roman" w:hAnsi="Times New Roman" w:cs="Times New Roman" w:eastAsia="Times New Roman" w:hint="default"/>
        </w:rPr>
        <w:t>1292.13 </w:t>
      </w:r>
      <w:r>
        <w:rPr/>
        <w:t>㎡，租期自</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8"/>
        </w:rPr>
        <w:t> </w:t>
      </w:r>
      <w:r>
        <w:rPr>
          <w:rFonts w:ascii="Times New Roman" w:hAnsi="Times New Roman" w:cs="Times New Roman" w:eastAsia="Times New Roman" w:hint="default"/>
        </w:rPr>
        <w:t>1 </w:t>
      </w:r>
      <w:r>
        <w:rPr/>
        <w:t>日至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p>
    <w:p>
      <w:pPr>
        <w:pStyle w:val="BodyText"/>
        <w:spacing w:line="340" w:lineRule="auto" w:before="13"/>
        <w:ind w:left="512" w:right="187" w:hanging="361"/>
        <w:jc w:val="left"/>
      </w:pPr>
      <w:r>
        <w:rPr>
          <w:rFonts w:ascii="Times New Roman" w:hAnsi="Times New Roman" w:cs="Times New Roman" w:eastAsia="Times New Roman" w:hint="default"/>
        </w:rPr>
        <w:t>10 </w:t>
      </w:r>
      <w:r>
        <w:rPr/>
        <w:t>月</w:t>
      </w:r>
      <w:r>
        <w:rPr>
          <w:spacing w:val="-48"/>
        </w:rPr>
        <w:t> </w:t>
      </w:r>
      <w:r>
        <w:rPr>
          <w:rFonts w:ascii="Times New Roman" w:hAnsi="Times New Roman" w:cs="Times New Roman" w:eastAsia="Times New Roman" w:hint="default"/>
        </w:rPr>
        <w:t>31 </w:t>
      </w:r>
      <w:r>
        <w:rPr/>
        <w:t>日止，共</w:t>
      </w:r>
      <w:r>
        <w:rPr>
          <w:spacing w:val="-48"/>
        </w:rPr>
        <w:t> </w:t>
      </w:r>
      <w:r>
        <w:rPr>
          <w:rFonts w:ascii="Times New Roman" w:hAnsi="Times New Roman" w:cs="Times New Roman" w:eastAsia="Times New Roman" w:hint="default"/>
        </w:rPr>
        <w:t>3 </w:t>
      </w:r>
      <w:r>
        <w:rPr/>
        <w:t>年，每月租金</w:t>
      </w:r>
      <w:r>
        <w:rPr>
          <w:spacing w:val="-46"/>
        </w:rPr>
        <w:t> </w:t>
      </w:r>
      <w:r>
        <w:rPr>
          <w:rFonts w:ascii="Times New Roman" w:hAnsi="Times New Roman" w:cs="Times New Roman" w:eastAsia="Times New Roman" w:hint="default"/>
        </w:rPr>
        <w:t>216162.58 </w:t>
      </w:r>
      <w:r>
        <w:rPr/>
        <w:t>元，按季付。 </w:t>
      </w:r>
      <w:r>
        <w:rPr>
          <w:spacing w:val="-4"/>
        </w:rPr>
        <w:t>本公司与自然人刘星星签订《广州市房屋租赁合同》，承租其位于天河区林和西街</w:t>
      </w:r>
      <w:r>
        <w:rPr>
          <w:spacing w:val="-39"/>
        </w:rPr>
        <w:t> </w:t>
      </w:r>
      <w:r>
        <w:rPr>
          <w:rFonts w:ascii="Times New Roman" w:hAnsi="Times New Roman" w:cs="Times New Roman" w:eastAsia="Times New Roman" w:hint="default"/>
          <w:spacing w:val="-1"/>
        </w:rPr>
        <w:t>167</w:t>
      </w:r>
      <w:r>
        <w:rPr>
          <w:rFonts w:ascii="Times New Roman" w:hAnsi="Times New Roman" w:cs="Times New Roman" w:eastAsia="Times New Roman" w:hint="default"/>
          <w:spacing w:val="7"/>
        </w:rPr>
        <w:t> </w:t>
      </w:r>
      <w:r>
        <w:rPr/>
        <w:t>号</w:t>
      </w:r>
      <w:r>
        <w:rPr>
          <w:spacing w:val="-41"/>
        </w:rPr>
        <w:t> </w:t>
      </w:r>
      <w:r>
        <w:rPr>
          <w:rFonts w:ascii="Times New Roman" w:hAnsi="Times New Roman" w:cs="Times New Roman" w:eastAsia="Times New Roman" w:hint="default"/>
          <w:spacing w:val="-4"/>
        </w:rPr>
        <w:t>1411</w:t>
      </w:r>
      <w:r>
        <w:rPr>
          <w:spacing w:val="-4"/>
        </w:rPr>
        <w:t>、</w:t>
      </w:r>
      <w:r>
        <w:rPr>
          <w:rFonts w:ascii="Times New Roman" w:hAnsi="Times New Roman" w:cs="Times New Roman" w:eastAsia="Times New Roman" w:hint="default"/>
          <w:spacing w:val="-4"/>
        </w:rPr>
        <w:t>1412</w:t>
      </w:r>
      <w:r>
        <w:rPr>
          <w:rFonts w:ascii="Times New Roman" w:hAnsi="Times New Roman" w:cs="Times New Roman" w:eastAsia="Times New Roman" w:hint="default"/>
          <w:spacing w:val="7"/>
        </w:rPr>
        <w:t> </w:t>
      </w:r>
      <w:r>
        <w:rPr>
          <w:spacing w:val="-3"/>
        </w:rPr>
        <w:t>房号的房产，用于</w:t>
      </w:r>
    </w:p>
    <w:p>
      <w:pPr>
        <w:pStyle w:val="BodyText"/>
        <w:spacing w:line="228" w:lineRule="exact"/>
        <w:ind w:right="0"/>
        <w:jc w:val="left"/>
        <w:rPr>
          <w:rFonts w:ascii="Times New Roman" w:hAnsi="Times New Roman" w:cs="Times New Roman" w:eastAsia="Times New Roman" w:hint="default"/>
        </w:rPr>
      </w:pPr>
      <w:r>
        <w:rPr/>
        <w:t>办公。该房产建筑面积</w:t>
      </w:r>
      <w:r>
        <w:rPr>
          <w:spacing w:val="-47"/>
        </w:rPr>
        <w:t> </w:t>
      </w:r>
      <w:r>
        <w:rPr>
          <w:rFonts w:ascii="Times New Roman" w:hAnsi="Times New Roman" w:cs="Times New Roman" w:eastAsia="Times New Roman" w:hint="default"/>
        </w:rPr>
        <w:t>103</w:t>
      </w:r>
      <w:r>
        <w:rPr>
          <w:rFonts w:ascii="Times New Roman" w:hAnsi="Times New Roman" w:cs="Times New Roman" w:eastAsia="Times New Roman" w:hint="default"/>
          <w:spacing w:val="-1"/>
        </w:rPr>
        <w:t> </w:t>
      </w:r>
      <w:r>
        <w:rPr/>
        <w:t>㎡，</w:t>
      </w:r>
      <w:r>
        <w:rPr>
          <w:rFonts w:ascii="Times New Roman" w:hAnsi="Times New Roman" w:cs="Times New Roman" w:eastAsia="Times New Roman" w:hint="default"/>
        </w:rPr>
        <w:t>014</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日至</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月租金为</w:t>
      </w:r>
      <w:r>
        <w:rPr>
          <w:spacing w:val="-47"/>
        </w:rPr>
        <w:t> </w:t>
      </w:r>
      <w:r>
        <w:rPr>
          <w:rFonts w:ascii="Times New Roman" w:hAnsi="Times New Roman" w:cs="Times New Roman" w:eastAsia="Times New Roman" w:hint="default"/>
        </w:rPr>
        <w:t>11900</w:t>
      </w:r>
      <w:r>
        <w:rPr>
          <w:rFonts w:ascii="Times New Roman" w:hAnsi="Times New Roman" w:cs="Times New Roman" w:eastAsia="Times New Roman" w:hint="default"/>
          <w:spacing w:val="-1"/>
        </w:rPr>
        <w:t> </w:t>
      </w:r>
      <w:r>
        <w:rPr/>
        <w:t>元整，租金按月支付。</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8</w:t>
      </w:r>
    </w:p>
    <w:p>
      <w:pPr>
        <w:pStyle w:val="BodyText"/>
        <w:spacing w:line="240" w:lineRule="auto" w:before="62"/>
        <w:ind w:right="0"/>
        <w:jc w:val="left"/>
      </w:pPr>
      <w:r>
        <w:rPr/>
        <w:t>日至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日，月租金为</w:t>
      </w:r>
      <w:r>
        <w:rPr>
          <w:spacing w:val="-47"/>
        </w:rPr>
        <w:t> </w:t>
      </w:r>
      <w:r>
        <w:rPr>
          <w:rFonts w:ascii="Times New Roman" w:hAnsi="Times New Roman" w:cs="Times New Roman" w:eastAsia="Times New Roman" w:hint="default"/>
        </w:rPr>
        <w:t>11900</w:t>
      </w:r>
      <w:r>
        <w:rPr>
          <w:rFonts w:ascii="Times New Roman" w:hAnsi="Times New Roman" w:cs="Times New Roman" w:eastAsia="Times New Roman" w:hint="default"/>
          <w:spacing w:val="-1"/>
        </w:rPr>
        <w:t> </w:t>
      </w:r>
      <w:r>
        <w:rPr/>
        <w:t>元整，按月支付。</w:t>
      </w:r>
    </w:p>
    <w:p>
      <w:pPr>
        <w:pStyle w:val="BodyText"/>
        <w:spacing w:line="300" w:lineRule="auto" w:before="101"/>
        <w:ind w:right="98" w:firstLine="360"/>
        <w:jc w:val="left"/>
      </w:pPr>
      <w:r>
        <w:rPr>
          <w:rFonts w:ascii="Times New Roman" w:hAnsi="Times New Roman" w:cs="Times New Roman" w:eastAsia="Times New Roman" w:hint="default"/>
          <w:spacing w:val="-8"/>
        </w:rPr>
        <w:t>2</w:t>
      </w:r>
      <w:r>
        <w:rPr>
          <w:spacing w:val="-8"/>
        </w:rPr>
        <w:t>、</w:t>
      </w:r>
      <w:r>
        <w:rPr>
          <w:rFonts w:ascii="Times New Roman" w:hAnsi="Times New Roman" w:cs="Times New Roman" w:eastAsia="Times New Roman" w:hint="default"/>
          <w:spacing w:val="-8"/>
        </w:rPr>
        <w:t>2015</w:t>
      </w:r>
      <w:r>
        <w:rPr>
          <w:rFonts w:ascii="Times New Roman" w:hAnsi="Times New Roman" w:cs="Times New Roman" w:eastAsia="Times New Roman" w:hint="default"/>
          <w:spacing w:val="7"/>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spacing w:val="-7"/>
        </w:rPr>
        <w:t>日，成都东方通科技有限责任公司与成都高投置业有限公司（出租方）、成都天府软件园有限公司（受</w:t>
      </w:r>
      <w:r>
        <w:rPr/>
        <w:t> 托管理方）签订天府软件园房屋租赁协议，承租成都高新区天府大道中段</w:t>
      </w:r>
      <w:r>
        <w:rPr>
          <w:spacing w:val="-48"/>
        </w:rPr>
        <w:t> </w:t>
      </w:r>
      <w:r>
        <w:rPr>
          <w:rFonts w:ascii="Times New Roman" w:hAnsi="Times New Roman" w:cs="Times New Roman" w:eastAsia="Times New Roman" w:hint="default"/>
        </w:rPr>
        <w:t>1268</w:t>
      </w:r>
      <w:r>
        <w:rPr>
          <w:rFonts w:ascii="Times New Roman" w:hAnsi="Times New Roman" w:cs="Times New Roman" w:eastAsia="Times New Roman" w:hint="default"/>
          <w:spacing w:val="-2"/>
        </w:rPr>
        <w:t> </w:t>
      </w:r>
      <w:r>
        <w:rPr/>
        <w:t>号（天府软件园</w:t>
      </w:r>
      <w:r>
        <w:rPr>
          <w:spacing w:val="-48"/>
        </w:rPr>
        <w:t> </w:t>
      </w:r>
      <w:r>
        <w:rPr>
          <w:rFonts w:ascii="Times New Roman" w:hAnsi="Times New Roman" w:cs="Times New Roman" w:eastAsia="Times New Roman" w:hint="default"/>
        </w:rPr>
        <w:t>E</w:t>
      </w:r>
      <w:r>
        <w:rPr>
          <w:rFonts w:ascii="Times New Roman" w:hAnsi="Times New Roman" w:cs="Times New Roman" w:eastAsia="Times New Roman" w:hint="default"/>
          <w:spacing w:val="-2"/>
        </w:rPr>
        <w:t> </w:t>
      </w:r>
      <w:r>
        <w:rPr/>
        <w:t>区</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号楼）</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层</w:t>
      </w:r>
      <w:r>
        <w:rPr>
          <w:spacing w:val="-50"/>
        </w:rPr>
        <w:t> </w:t>
      </w:r>
      <w:r>
        <w:rPr>
          <w:rFonts w:ascii="Times New Roman" w:hAnsi="Times New Roman" w:cs="Times New Roman" w:eastAsia="Times New Roman" w:hint="default"/>
        </w:rPr>
        <w:t>27</w:t>
      </w:r>
      <w:r>
        <w:rPr/>
        <w:t>、</w:t>
      </w:r>
      <w:r>
        <w:rPr>
          <w:rFonts w:ascii="Times New Roman" w:hAnsi="Times New Roman" w:cs="Times New Roman" w:eastAsia="Times New Roman" w:hint="default"/>
        </w:rPr>
        <w:t>28</w:t>
      </w:r>
      <w:r>
        <w:rPr/>
        <w:t>、 </w:t>
      </w:r>
      <w:r>
        <w:rPr>
          <w:rFonts w:ascii="Times New Roman" w:hAnsi="Times New Roman" w:cs="Times New Roman" w:eastAsia="Times New Roman" w:hint="default"/>
          <w:spacing w:val="-5"/>
        </w:rPr>
        <w:t>29</w:t>
      </w:r>
      <w:r>
        <w:rPr>
          <w:spacing w:val="-5"/>
        </w:rPr>
        <w:t>、</w:t>
      </w:r>
      <w:r>
        <w:rPr>
          <w:rFonts w:ascii="Times New Roman" w:hAnsi="Times New Roman" w:cs="Times New Roman" w:eastAsia="Times New Roman" w:hint="default"/>
          <w:spacing w:val="-5"/>
        </w:rPr>
        <w:t>30</w:t>
      </w:r>
      <w:r>
        <w:rPr>
          <w:rFonts w:ascii="Times New Roman" w:hAnsi="Times New Roman" w:cs="Times New Roman" w:eastAsia="Times New Roman" w:hint="default"/>
        </w:rPr>
        <w:t> </w:t>
      </w:r>
      <w:r>
        <w:rPr>
          <w:spacing w:val="-4"/>
        </w:rPr>
        <w:t>号房间，用于科研、办公。该房产建筑面积</w:t>
      </w:r>
      <w:r>
        <w:rPr>
          <w:spacing w:val="-46"/>
        </w:rPr>
        <w:t> </w:t>
      </w:r>
      <w:r>
        <w:rPr>
          <w:rFonts w:ascii="Times New Roman" w:hAnsi="Times New Roman" w:cs="Times New Roman" w:eastAsia="Times New Roman" w:hint="default"/>
        </w:rPr>
        <w:t>842.25 </w:t>
      </w:r>
      <w:r>
        <w:rPr>
          <w:spacing w:val="-5"/>
        </w:rPr>
        <w:t>㎡，租期自</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15 </w:t>
      </w:r>
      <w:r>
        <w:rPr/>
        <w:t>日至</w:t>
      </w:r>
      <w:r>
        <w:rPr>
          <w:spacing w:val="-46"/>
        </w:rPr>
        <w:t> </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spacing w:val="-6"/>
        </w:rPr>
        <w:t>日止，共</w:t>
      </w:r>
      <w:r>
        <w:rPr>
          <w:spacing w:val="-46"/>
        </w:rPr>
        <w:t> </w:t>
      </w:r>
      <w:r>
        <w:rPr>
          <w:rFonts w:ascii="Times New Roman" w:hAnsi="Times New Roman" w:cs="Times New Roman" w:eastAsia="Times New Roman" w:hint="default"/>
        </w:rPr>
        <w:t>1.9 </w:t>
      </w:r>
      <w:r>
        <w:rPr>
          <w:spacing w:val="-3"/>
        </w:rPr>
        <w:t>年，</w:t>
      </w:r>
      <w:r>
        <w:rPr/>
      </w:r>
    </w:p>
    <w:p>
      <w:pPr>
        <w:pStyle w:val="BodyText"/>
        <w:spacing w:line="240" w:lineRule="auto" w:before="13"/>
        <w:ind w:left="151" w:right="0"/>
        <w:jc w:val="left"/>
      </w:pPr>
      <w:r>
        <w:rPr/>
        <w:t>每月租金</w:t>
      </w:r>
      <w:r>
        <w:rPr>
          <w:spacing w:val="-51"/>
        </w:rPr>
        <w:t> </w:t>
      </w:r>
      <w:r>
        <w:rPr>
          <w:rFonts w:ascii="Times New Roman" w:hAnsi="Times New Roman" w:cs="Times New Roman" w:eastAsia="Times New Roman" w:hint="default"/>
        </w:rPr>
        <w:t>42112.5</w:t>
      </w:r>
      <w:r>
        <w:rPr>
          <w:rFonts w:ascii="Times New Roman" w:hAnsi="Times New Roman" w:cs="Times New Roman" w:eastAsia="Times New Roman" w:hint="default"/>
          <w:spacing w:val="-5"/>
        </w:rPr>
        <w:t> </w:t>
      </w:r>
      <w:r>
        <w:rPr/>
        <w:t>元，按季付。</w:t>
      </w:r>
    </w:p>
    <w:p>
      <w:pPr>
        <w:pStyle w:val="BodyText"/>
        <w:spacing w:line="240" w:lineRule="auto" w:before="103"/>
        <w:ind w:left="511"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日，上海东方通泰软件科技有限公司与上海市北高新（集团）有限公司签订《市北高新技术服务业园</w:t>
      </w:r>
    </w:p>
    <w:p>
      <w:pPr>
        <w:pStyle w:val="BodyText"/>
        <w:spacing w:line="240" w:lineRule="auto" w:before="62"/>
        <w:ind w:left="151" w:right="0"/>
        <w:jc w:val="left"/>
        <w:rPr>
          <w:rFonts w:ascii="Times New Roman" w:hAnsi="Times New Roman" w:cs="Times New Roman" w:eastAsia="Times New Roman" w:hint="default"/>
        </w:rPr>
      </w:pPr>
      <w:r>
        <w:rPr/>
        <w:t>区房屋租赁合同</w:t>
      </w:r>
      <w:r>
        <w:rPr>
          <w:spacing w:val="-92"/>
        </w:rPr>
        <w:t>》</w:t>
      </w:r>
      <w:r>
        <w:rPr>
          <w:spacing w:val="-13"/>
        </w:rPr>
        <w:t>，</w:t>
      </w:r>
      <w:r>
        <w:rPr/>
        <w:t>承租该公司位于上海市闸北江场三路</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6</w:t>
      </w:r>
      <w:r>
        <w:rPr>
          <w:spacing w:val="-15"/>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层</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30</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室</w:t>
      </w:r>
      <w:r>
        <w:rPr>
          <w:spacing w:val="-13"/>
        </w:rPr>
        <w:t>，</w:t>
      </w:r>
      <w:r>
        <w:rPr/>
        <w:t>用于</w:t>
      </w:r>
      <w:r>
        <w:rPr>
          <w:spacing w:val="-3"/>
        </w:rPr>
        <w:t>研</w:t>
      </w:r>
      <w:r>
        <w:rPr/>
        <w:t>发经营</w:t>
      </w:r>
      <w:r>
        <w:rPr>
          <w:spacing w:val="-13"/>
        </w:rPr>
        <w:t>，</w:t>
      </w:r>
      <w:r>
        <w:rPr/>
        <w:t>该房屋建筑面积</w:t>
      </w:r>
      <w:r>
        <w:rPr>
          <w:spacing w:val="-45"/>
        </w:rPr>
        <w:t> </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70</w:t>
      </w:r>
      <w:r>
        <w:rPr>
          <w:rFonts w:ascii="Times New Roman" w:hAnsi="Times New Roman" w:cs="Times New Roman" w:eastAsia="Times New Roman" w:hint="default"/>
          <w:spacing w:val="-2"/>
        </w:rPr>
        <w:t>.31</w:t>
      </w:r>
      <w:r>
        <w:rPr>
          <w:rFonts w:ascii="Times New Roman" w:hAnsi="Times New Roman" w:cs="Times New Roman" w:eastAsia="Times New Roman" w:hint="default"/>
        </w:rPr>
      </w:r>
    </w:p>
    <w:p>
      <w:pPr>
        <w:pStyle w:val="BodyText"/>
        <w:spacing w:line="240" w:lineRule="auto" w:before="62"/>
        <w:ind w:left="151" w:right="0"/>
        <w:jc w:val="left"/>
      </w:pPr>
      <w:r>
        <w:rPr/>
        <w:t>㎡，租期自</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日起至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日止。</w:t>
      </w:r>
      <w:r>
        <w:rPr>
          <w:rFonts w:ascii="Times New Roman" w:hAnsi="Times New Roman" w:cs="Times New Roman" w:eastAsia="Times New Roman" w:hint="default"/>
        </w:rPr>
        <w:t>2010 </w:t>
      </w:r>
      <w:r>
        <w:rPr/>
        <w:t>年前三个月为装修期，免租金；</w:t>
      </w:r>
      <w:r>
        <w:rPr>
          <w:rFonts w:ascii="Times New Roman" w:hAnsi="Times New Roman" w:cs="Times New Roman" w:eastAsia="Times New Roman" w:hint="default"/>
        </w:rPr>
        <w:t>2010 </w:t>
      </w:r>
      <w:r>
        <w:rPr/>
        <w:t>年</w:t>
      </w:r>
      <w:r>
        <w:rPr>
          <w:spacing w:val="-48"/>
        </w:rPr>
        <w:t> </w:t>
      </w:r>
      <w:r>
        <w:rPr>
          <w:rFonts w:ascii="Times New Roman" w:hAnsi="Times New Roman" w:cs="Times New Roman" w:eastAsia="Times New Roman" w:hint="default"/>
        </w:rPr>
        <w:t>4 </w:t>
      </w:r>
      <w:r>
        <w:rPr/>
        <w:t>月</w:t>
      </w:r>
      <w:r>
        <w:rPr>
          <w:spacing w:val="-48"/>
        </w:rPr>
        <w:t> </w:t>
      </w:r>
      <w:r>
        <w:rPr>
          <w:rFonts w:ascii="Times New Roman" w:hAnsi="Times New Roman" w:cs="Times New Roman" w:eastAsia="Times New Roman" w:hint="default"/>
        </w:rPr>
        <w:t>1 </w:t>
      </w:r>
      <w:r>
        <w:rPr/>
        <w:t>日至</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p>
    <w:p>
      <w:pPr>
        <w:pStyle w:val="BodyText"/>
        <w:spacing w:line="240" w:lineRule="auto" w:before="62"/>
        <w:ind w:left="151" w:right="0"/>
        <w:jc w:val="left"/>
      </w:pP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日止，日租金</w:t>
      </w:r>
      <w:r>
        <w:rPr>
          <w:spacing w:val="-46"/>
        </w:rPr>
        <w:t> </w:t>
      </w:r>
      <w:r>
        <w:rPr>
          <w:rFonts w:ascii="Times New Roman" w:hAnsi="Times New Roman" w:cs="Times New Roman" w:eastAsia="Times New Roman" w:hint="default"/>
        </w:rPr>
        <w:t>1.80 </w:t>
      </w:r>
      <w:r>
        <w:rPr/>
        <w:t>元</w:t>
      </w:r>
      <w:r>
        <w:rPr>
          <w:rFonts w:ascii="Times New Roman" w:hAnsi="Times New Roman" w:cs="Times New Roman" w:eastAsia="Times New Roman" w:hint="default"/>
        </w:rPr>
        <w:t>/</w:t>
      </w:r>
      <w:r>
        <w:rPr/>
        <w:t>㎡；</w:t>
      </w: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日止，日租金</w:t>
      </w:r>
      <w:r>
        <w:rPr>
          <w:spacing w:val="-48"/>
        </w:rPr>
        <w:t> </w:t>
      </w:r>
      <w:r>
        <w:rPr>
          <w:rFonts w:ascii="Times New Roman" w:hAnsi="Times New Roman" w:cs="Times New Roman" w:eastAsia="Times New Roman" w:hint="default"/>
        </w:rPr>
        <w:t>2.20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㎡。租金按季预付。</w:t>
      </w:r>
    </w:p>
    <w:p>
      <w:pPr>
        <w:pStyle w:val="BodyText"/>
        <w:spacing w:line="240" w:lineRule="auto" w:before="103"/>
        <w:ind w:left="510" w:right="0"/>
        <w:jc w:val="left"/>
      </w:pPr>
      <w:r>
        <w:rPr>
          <w:rFonts w:ascii="Times New Roman" w:hAnsi="Times New Roman" w:cs="Times New Roman" w:eastAsia="Times New Roman" w:hint="default"/>
          <w:spacing w:val="1"/>
        </w:rPr>
        <w:t>4</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日，北</w:t>
      </w:r>
      <w:r>
        <w:rPr>
          <w:spacing w:val="-3"/>
        </w:rPr>
        <w:t>京</w:t>
      </w:r>
      <w:r>
        <w:rPr/>
        <w:t>惠捷朗科技有限公司与中国城乡建设发展有限公司签署《中城写字楼租赁合同</w:t>
      </w:r>
      <w:r>
        <w:rPr>
          <w:spacing w:val="-92"/>
        </w:rPr>
        <w:t>》</w:t>
      </w:r>
      <w:r>
        <w:rPr/>
        <w:t>，承租该</w:t>
      </w:r>
    </w:p>
    <w:p>
      <w:pPr>
        <w:pStyle w:val="BodyText"/>
        <w:spacing w:line="240" w:lineRule="auto" w:before="62"/>
        <w:ind w:left="150" w:right="0"/>
        <w:jc w:val="left"/>
      </w:pPr>
      <w:r>
        <w:rPr/>
        <w:t>公司位于北京市海淀区花园路</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号院四号楼（中城写字楼）</w:t>
      </w:r>
      <w:r>
        <w:rPr>
          <w:rFonts w:ascii="Times New Roman" w:hAnsi="Times New Roman" w:cs="Times New Roman" w:eastAsia="Times New Roman" w:hint="default"/>
        </w:rPr>
        <w:t>503</w:t>
      </w:r>
      <w:r>
        <w:rPr>
          <w:rFonts w:ascii="Times New Roman" w:hAnsi="Times New Roman" w:cs="Times New Roman" w:eastAsia="Times New Roman" w:hint="default"/>
          <w:spacing w:val="-1"/>
        </w:rPr>
        <w:t> </w:t>
      </w:r>
      <w:r>
        <w:rPr/>
        <w:t>室，用于办公。该房产租赁面积</w:t>
      </w:r>
      <w:r>
        <w:rPr>
          <w:spacing w:val="-47"/>
        </w:rPr>
        <w:t> </w:t>
      </w:r>
      <w:r>
        <w:rPr>
          <w:rFonts w:ascii="Times New Roman" w:hAnsi="Times New Roman" w:cs="Times New Roman" w:eastAsia="Times New Roman" w:hint="default"/>
        </w:rPr>
        <w:t>302.15</w:t>
      </w:r>
      <w:r>
        <w:rPr>
          <w:rFonts w:ascii="Times New Roman" w:hAnsi="Times New Roman" w:cs="Times New Roman" w:eastAsia="Times New Roman" w:hint="default"/>
          <w:spacing w:val="-1"/>
        </w:rPr>
        <w:t> </w:t>
      </w:r>
      <w:r>
        <w:rPr/>
        <w:t>㎡，租期自</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p>
    <w:p>
      <w:pPr>
        <w:pStyle w:val="BodyText"/>
        <w:spacing w:line="240" w:lineRule="auto" w:before="62"/>
        <w:ind w:left="150" w:right="0"/>
        <w:jc w:val="left"/>
      </w:pP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w:t>
      </w:r>
      <w:r>
        <w:rPr>
          <w:spacing w:val="-48"/>
        </w:rPr>
        <w:t> </w:t>
      </w:r>
      <w:r>
        <w:rPr>
          <w:rFonts w:ascii="Times New Roman" w:hAnsi="Times New Roman" w:cs="Times New Roman" w:eastAsia="Times New Roman" w:hint="default"/>
        </w:rPr>
        <w:t>10 </w:t>
      </w:r>
      <w:r>
        <w:rPr/>
        <w:t>日至次年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8"/>
        </w:rPr>
        <w:t> </w:t>
      </w:r>
      <w:r>
        <w:rPr>
          <w:rFonts w:ascii="Times New Roman" w:hAnsi="Times New Roman" w:cs="Times New Roman" w:eastAsia="Times New Roman" w:hint="default"/>
        </w:rPr>
        <w:t>9 </w:t>
      </w:r>
      <w:r>
        <w:rPr/>
        <w:t>日止，日租金</w:t>
      </w:r>
      <w:r>
        <w:rPr>
          <w:spacing w:val="-46"/>
        </w:rPr>
        <w:t> </w:t>
      </w:r>
      <w:r>
        <w:rPr>
          <w:rFonts w:ascii="Times New Roman" w:hAnsi="Times New Roman" w:cs="Times New Roman" w:eastAsia="Times New Roman" w:hint="default"/>
        </w:rPr>
        <w:t>5.60 </w:t>
      </w:r>
      <w:r>
        <w:rPr/>
        <w:t>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月租金</w:t>
      </w:r>
      <w:r>
        <w:rPr>
          <w:spacing w:val="-46"/>
        </w:rPr>
        <w:t> </w:t>
      </w:r>
      <w:r>
        <w:rPr>
          <w:rFonts w:ascii="Times New Roman" w:hAnsi="Times New Roman" w:cs="Times New Roman" w:eastAsia="Times New Roman" w:hint="default"/>
        </w:rPr>
        <w:t>51,466.22 </w:t>
      </w:r>
      <w:r>
        <w:rPr/>
        <w:t>元，每</w:t>
      </w:r>
      <w:r>
        <w:rPr>
          <w:spacing w:val="-48"/>
        </w:rPr>
        <w:t> </w:t>
      </w:r>
      <w:r>
        <w:rPr>
          <w:rFonts w:ascii="Times New Roman" w:hAnsi="Times New Roman" w:cs="Times New Roman" w:eastAsia="Times New Roman" w:hint="default"/>
        </w:rPr>
        <w:t>3 </w:t>
      </w:r>
      <w:r>
        <w:rPr/>
        <w:t>个月预付。</w:t>
      </w:r>
    </w:p>
    <w:p>
      <w:pPr>
        <w:pStyle w:val="BodyText"/>
        <w:spacing w:line="240" w:lineRule="auto" w:before="101"/>
        <w:ind w:left="510"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w:t>
      </w:r>
      <w:r>
        <w:rPr>
          <w:spacing w:val="-13"/>
        </w:rPr>
        <w:t>，</w:t>
      </w:r>
      <w:r>
        <w:rPr/>
        <w:t>北京惠</w:t>
      </w:r>
      <w:r>
        <w:rPr>
          <w:spacing w:val="-3"/>
        </w:rPr>
        <w:t>捷</w:t>
      </w:r>
      <w:r>
        <w:rPr/>
        <w:t>朗科技有限公司与中国城乡建设发展有限公司签</w:t>
      </w:r>
      <w:r>
        <w:rPr>
          <w:spacing w:val="-13"/>
        </w:rPr>
        <w:t>署</w:t>
      </w:r>
      <w:r>
        <w:rPr/>
        <w:t>《中城写字楼租赁合同</w:t>
      </w:r>
      <w:r>
        <w:rPr>
          <w:spacing w:val="-92"/>
        </w:rPr>
        <w:t>》</w:t>
      </w:r>
      <w:r>
        <w:rPr>
          <w:spacing w:val="-13"/>
        </w:rPr>
        <w:t>，</w:t>
      </w:r>
      <w:r>
        <w:rPr/>
        <w:t>承租该公司</w:t>
      </w:r>
    </w:p>
    <w:p>
      <w:pPr>
        <w:pStyle w:val="BodyText"/>
        <w:spacing w:line="240" w:lineRule="auto" w:before="62"/>
        <w:ind w:left="150" w:right="0"/>
        <w:jc w:val="left"/>
        <w:rPr>
          <w:rFonts w:ascii="Times New Roman" w:hAnsi="Times New Roman" w:cs="Times New Roman" w:eastAsia="Times New Roman" w:hint="default"/>
        </w:rPr>
      </w:pPr>
      <w:r>
        <w:rPr/>
        <w:t>位于北京市海淀区花园路</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号院四号楼（中城写字楼）</w:t>
      </w:r>
      <w:r>
        <w:rPr>
          <w:rFonts w:ascii="Times New Roman" w:hAnsi="Times New Roman" w:cs="Times New Roman" w:eastAsia="Times New Roman" w:hint="default"/>
        </w:rPr>
        <w:t>503</w:t>
      </w:r>
      <w:r>
        <w:rPr>
          <w:rFonts w:ascii="Times New Roman" w:hAnsi="Times New Roman" w:cs="Times New Roman" w:eastAsia="Times New Roman" w:hint="default"/>
          <w:spacing w:val="-3"/>
        </w:rPr>
        <w:t> </w:t>
      </w:r>
      <w:r>
        <w:rPr/>
        <w:t>室，用于办公。该房产租赁面积</w:t>
      </w:r>
      <w:r>
        <w:rPr>
          <w:spacing w:val="-47"/>
        </w:rPr>
        <w:t> </w:t>
      </w:r>
      <w:r>
        <w:rPr>
          <w:rFonts w:ascii="Times New Roman" w:hAnsi="Times New Roman" w:cs="Times New Roman" w:eastAsia="Times New Roman" w:hint="default"/>
        </w:rPr>
        <w:t>302.15</w:t>
      </w:r>
      <w:r>
        <w:rPr>
          <w:rFonts w:ascii="Times New Roman" w:hAnsi="Times New Roman" w:cs="Times New Roman" w:eastAsia="Times New Roman" w:hint="default"/>
          <w:spacing w:val="-1"/>
        </w:rPr>
        <w:t> </w:t>
      </w:r>
      <w:r>
        <w:rPr/>
        <w:t>㎡，租期自</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spacing w:val="-9"/>
        </w:rPr>
        <w:t>11</w:t>
      </w:r>
      <w:r>
        <w:rPr>
          <w:rFonts w:ascii="Times New Roman" w:hAnsi="Times New Roman" w:cs="Times New Roman" w:eastAsia="Times New Roman" w:hint="default"/>
        </w:rPr>
      </w:r>
    </w:p>
    <w:p>
      <w:pPr>
        <w:pStyle w:val="BodyText"/>
        <w:spacing w:line="240" w:lineRule="auto" w:before="62"/>
        <w:ind w:left="150" w:right="0"/>
        <w:jc w:val="left"/>
      </w:pPr>
      <w:r>
        <w:rPr/>
        <w:t>月</w:t>
      </w:r>
      <w:r>
        <w:rPr>
          <w:spacing w:val="-46"/>
        </w:rPr>
        <w:t> </w:t>
      </w:r>
      <w:r>
        <w:rPr>
          <w:rFonts w:ascii="Times New Roman" w:hAnsi="Times New Roman" w:cs="Times New Roman" w:eastAsia="Times New Roman" w:hint="default"/>
        </w:rPr>
        <w:t>10 </w:t>
      </w:r>
      <w:r>
        <w:rPr/>
        <w:t>日至次年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8"/>
        </w:rPr>
        <w:t> </w:t>
      </w:r>
      <w:r>
        <w:rPr>
          <w:rFonts w:ascii="Times New Roman" w:hAnsi="Times New Roman" w:cs="Times New Roman" w:eastAsia="Times New Roman" w:hint="default"/>
        </w:rPr>
        <w:t>9 </w:t>
      </w:r>
      <w:r>
        <w:rPr/>
        <w:t>日止，日租金</w:t>
      </w:r>
      <w:r>
        <w:rPr>
          <w:spacing w:val="-46"/>
        </w:rPr>
        <w:t> </w:t>
      </w:r>
      <w:r>
        <w:rPr>
          <w:rFonts w:ascii="Times New Roman" w:hAnsi="Times New Roman" w:cs="Times New Roman" w:eastAsia="Times New Roman" w:hint="default"/>
        </w:rPr>
        <w:t>6.0 </w:t>
      </w:r>
      <w:r>
        <w:rPr/>
        <w:t>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月租金</w:t>
      </w:r>
      <w:r>
        <w:rPr>
          <w:spacing w:val="-48"/>
        </w:rPr>
        <w:t> </w:t>
      </w:r>
      <w:r>
        <w:rPr>
          <w:rFonts w:ascii="Times New Roman" w:hAnsi="Times New Roman" w:cs="Times New Roman" w:eastAsia="Times New Roman" w:hint="default"/>
        </w:rPr>
        <w:t>55142.38 </w:t>
      </w:r>
      <w:r>
        <w:rPr/>
        <w:t>元，每</w:t>
      </w:r>
      <w:r>
        <w:rPr>
          <w:spacing w:val="-48"/>
        </w:rPr>
        <w:t> </w:t>
      </w:r>
      <w:r>
        <w:rPr>
          <w:rFonts w:ascii="Times New Roman" w:hAnsi="Times New Roman" w:cs="Times New Roman" w:eastAsia="Times New Roman" w:hint="default"/>
        </w:rPr>
        <w:t>3 </w:t>
      </w:r>
      <w:r>
        <w:rPr/>
        <w:t>个月预付。</w:t>
      </w:r>
    </w:p>
    <w:p>
      <w:pPr>
        <w:pStyle w:val="BodyText"/>
        <w:spacing w:line="240" w:lineRule="auto" w:before="103"/>
        <w:ind w:left="510" w:right="0"/>
        <w:jc w:val="left"/>
      </w:pPr>
      <w:r>
        <w:rPr>
          <w:rFonts w:ascii="Times New Roman" w:hAnsi="Times New Roman" w:cs="Times New Roman" w:eastAsia="Times New Roman" w:hint="default"/>
          <w:spacing w:val="1"/>
        </w:rPr>
        <w:t>5</w:t>
      </w:r>
      <w:r>
        <w:rPr>
          <w:spacing w:val="-8"/>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r>
        <w:rPr>
          <w:spacing w:val="-8"/>
        </w:rPr>
        <w:t>，</w:t>
      </w:r>
      <w:r>
        <w:rPr/>
        <w:t>北京</w:t>
      </w:r>
      <w:r>
        <w:rPr>
          <w:spacing w:val="-3"/>
        </w:rPr>
        <w:t>数</w:t>
      </w:r>
      <w:r>
        <w:rPr/>
        <w:t>字天堂信息科技有限责任是与北京市糖业烟酒公司签</w:t>
      </w:r>
      <w:r>
        <w:rPr>
          <w:spacing w:val="-8"/>
        </w:rPr>
        <w:t>署</w:t>
      </w:r>
      <w:r>
        <w:rPr/>
        <w:t>《房屋租赁合同</w:t>
      </w:r>
      <w:r>
        <w:rPr>
          <w:spacing w:val="-92"/>
        </w:rPr>
        <w:t>》</w:t>
      </w:r>
      <w:r>
        <w:rPr>
          <w:spacing w:val="-8"/>
        </w:rPr>
        <w:t>，</w:t>
      </w:r>
      <w:r>
        <w:rPr/>
        <w:t>承租该公司位</w:t>
      </w:r>
    </w:p>
    <w:p>
      <w:pPr>
        <w:pStyle w:val="BodyText"/>
        <w:spacing w:line="240" w:lineRule="auto" w:before="62"/>
        <w:ind w:left="149" w:right="0"/>
        <w:jc w:val="left"/>
        <w:rPr>
          <w:rFonts w:ascii="Times New Roman" w:hAnsi="Times New Roman" w:cs="Times New Roman" w:eastAsia="Times New Roman" w:hint="default"/>
        </w:rPr>
      </w:pPr>
      <w:r>
        <w:rPr/>
        <w:t>于北京市海淀区皂君庙乙</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号楼</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号楼，用于办公。该房产租赁面积</w:t>
      </w:r>
      <w:r>
        <w:rPr>
          <w:spacing w:val="-46"/>
        </w:rPr>
        <w:t> </w:t>
      </w:r>
      <w:r>
        <w:rPr>
          <w:rFonts w:ascii="Times New Roman" w:hAnsi="Times New Roman" w:cs="Times New Roman" w:eastAsia="Times New Roman" w:hint="default"/>
        </w:rPr>
        <w:t>460</w:t>
      </w:r>
      <w:r>
        <w:rPr>
          <w:rFonts w:ascii="Times New Roman" w:hAnsi="Times New Roman" w:cs="Times New Roman" w:eastAsia="Times New Roman" w:hint="default"/>
          <w:spacing w:val="-1"/>
        </w:rPr>
        <w:t> </w:t>
      </w:r>
      <w:r>
        <w:rPr/>
        <w:t>㎡，租期自</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17</w:t>
      </w:r>
    </w:p>
    <w:p>
      <w:pPr>
        <w:pStyle w:val="BodyText"/>
        <w:spacing w:line="240" w:lineRule="auto" w:before="62"/>
        <w:ind w:left="149" w:right="0"/>
        <w:jc w:val="left"/>
      </w:pPr>
      <w:r>
        <w:rPr/>
        <w:t>日止，租金为</w:t>
      </w:r>
      <w:r>
        <w:rPr>
          <w:spacing w:val="-49"/>
        </w:rPr>
        <w:t> </w:t>
      </w:r>
      <w:r>
        <w:rPr>
          <w:rFonts w:ascii="Times New Roman" w:hAnsi="Times New Roman" w:cs="Times New Roman" w:eastAsia="Times New Roman" w:hint="default"/>
        </w:rPr>
        <w:t>240000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年，租金支付方式为半年付。</w:t>
      </w:r>
    </w:p>
    <w:p>
      <w:pPr>
        <w:pStyle w:val="BodyText"/>
        <w:spacing w:line="240" w:lineRule="auto" w:before="103"/>
        <w:ind w:left="509"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spacing w:val="-2"/>
        </w:rPr>
        <w:t>0</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日，北京数</w:t>
      </w:r>
      <w:r>
        <w:rPr>
          <w:spacing w:val="-3"/>
        </w:rPr>
        <w:t>字</w:t>
      </w:r>
      <w:r>
        <w:rPr/>
        <w:t>天堂信息有限责任公司与北京糖业烟酒集团有限公司房屋管理站签署《房屋租赁合同</w:t>
      </w:r>
      <w:r>
        <w:rPr>
          <w:spacing w:val="-92"/>
        </w:rPr>
        <w:t>》</w:t>
      </w:r>
      <w:r>
        <w:rPr/>
        <w:t>，</w:t>
      </w:r>
    </w:p>
    <w:p>
      <w:pPr>
        <w:pStyle w:val="BodyText"/>
        <w:spacing w:line="240" w:lineRule="auto" w:before="62"/>
        <w:ind w:left="149" w:right="0"/>
        <w:jc w:val="left"/>
        <w:rPr>
          <w:rFonts w:ascii="Times New Roman" w:hAnsi="Times New Roman" w:cs="Times New Roman" w:eastAsia="Times New Roman" w:hint="default"/>
        </w:rPr>
      </w:pPr>
      <w:r>
        <w:rPr/>
        <w:t>承租该公司位于北京市海淀区四道口路皂君庙乙</w:t>
      </w:r>
      <w:r>
        <w:rPr>
          <w:spacing w:val="-46"/>
        </w:rPr>
        <w:t> </w:t>
      </w:r>
      <w:r>
        <w:rPr>
          <w:rFonts w:ascii="Times New Roman" w:hAnsi="Times New Roman" w:cs="Times New Roman" w:eastAsia="Times New Roman" w:hint="default"/>
        </w:rPr>
        <w:t>2 </w:t>
      </w:r>
      <w:r>
        <w:rPr/>
        <w:t>号院第四幢平房，用于办公。该房产租赁面积</w:t>
      </w:r>
      <w:r>
        <w:rPr>
          <w:spacing w:val="-46"/>
        </w:rPr>
        <w:t> </w:t>
      </w:r>
      <w:r>
        <w:rPr>
          <w:rFonts w:ascii="Times New Roman" w:hAnsi="Times New Roman" w:cs="Times New Roman" w:eastAsia="Times New Roman" w:hint="default"/>
        </w:rPr>
        <w:t>460 </w:t>
      </w:r>
      <w:r>
        <w:rPr/>
        <w:t>㎡，租期自</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p>
    <w:p>
      <w:pPr>
        <w:pStyle w:val="BodyText"/>
        <w:spacing w:line="240" w:lineRule="auto" w:before="62"/>
        <w:ind w:left="149" w:right="0"/>
        <w:jc w:val="left"/>
      </w:pPr>
      <w:r>
        <w:rPr/>
        <w:t>月</w:t>
      </w:r>
      <w:r>
        <w:rPr>
          <w:spacing w:val="-46"/>
        </w:rPr>
        <w:t> </w:t>
      </w:r>
      <w:r>
        <w:rPr>
          <w:rFonts w:ascii="Times New Roman" w:hAnsi="Times New Roman" w:cs="Times New Roman" w:eastAsia="Times New Roman" w:hint="default"/>
        </w:rPr>
        <w:t>18 </w:t>
      </w:r>
      <w:r>
        <w:rPr/>
        <w:t>日至</w:t>
      </w:r>
      <w:r>
        <w:rPr>
          <w:spacing w:val="-46"/>
        </w:rPr>
        <w:t> </w:t>
      </w: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9 </w:t>
      </w:r>
      <w:r>
        <w:rPr/>
        <w:t>月</w:t>
      </w:r>
      <w:r>
        <w:rPr>
          <w:spacing w:val="-48"/>
        </w:rPr>
        <w:t> </w:t>
      </w:r>
      <w:r>
        <w:rPr>
          <w:rFonts w:ascii="Times New Roman" w:hAnsi="Times New Roman" w:cs="Times New Roman" w:eastAsia="Times New Roman" w:hint="default"/>
        </w:rPr>
        <w:t>17 </w:t>
      </w:r>
      <w:r>
        <w:rPr/>
        <w:t>日止。</w:t>
      </w: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9 </w:t>
      </w:r>
      <w:r>
        <w:rPr/>
        <w:t>月</w:t>
      </w:r>
      <w:r>
        <w:rPr>
          <w:spacing w:val="-48"/>
        </w:rPr>
        <w:t> </w:t>
      </w:r>
      <w:r>
        <w:rPr>
          <w:rFonts w:ascii="Times New Roman" w:hAnsi="Times New Roman" w:cs="Times New Roman" w:eastAsia="Times New Roman" w:hint="default"/>
        </w:rPr>
        <w:t>18 </w:t>
      </w:r>
      <w:r>
        <w:rPr/>
        <w:t>日</w:t>
      </w:r>
      <w:r>
        <w:rPr>
          <w:rFonts w:ascii="Times New Roman" w:hAnsi="Times New Roman" w:cs="Times New Roman" w:eastAsia="Times New Roman" w:hint="default"/>
        </w:rPr>
        <w:t>-2016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17 </w:t>
      </w:r>
      <w:r>
        <w:rPr/>
        <w:t>日，</w:t>
      </w:r>
      <w:r>
        <w:rPr>
          <w:spacing w:val="-4"/>
        </w:rPr>
        <w:t> </w:t>
      </w:r>
      <w:r>
        <w:rPr/>
        <w:t>租金为</w:t>
      </w:r>
      <w:r>
        <w:rPr>
          <w:spacing w:val="-48"/>
        </w:rPr>
        <w:t> </w:t>
      </w:r>
      <w:r>
        <w:rPr>
          <w:rFonts w:ascii="Times New Roman" w:hAnsi="Times New Roman" w:cs="Times New Roman" w:eastAsia="Times New Roman" w:hint="default"/>
        </w:rPr>
        <w:t>400000 </w:t>
      </w:r>
      <w:r>
        <w:rPr/>
        <w:t>元</w:t>
      </w:r>
      <w:r>
        <w:rPr>
          <w:rFonts w:ascii="Times New Roman" w:hAnsi="Times New Roman" w:cs="Times New Roman" w:eastAsia="Times New Roman" w:hint="default"/>
        </w:rPr>
        <w:t>/</w:t>
      </w:r>
      <w:r>
        <w:rPr/>
        <w:t>年，租金支付方式为半年付。</w:t>
      </w:r>
    </w:p>
    <w:p>
      <w:pPr>
        <w:pStyle w:val="BodyText"/>
        <w:spacing w:line="240" w:lineRule="auto" w:before="101"/>
        <w:ind w:left="509"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spacing w:val="-2"/>
        </w:rPr>
        <w:t>0</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w:t>
      </w:r>
      <w:r>
        <w:rPr>
          <w:spacing w:val="-92"/>
        </w:rPr>
        <w:t>，</w:t>
      </w:r>
      <w:r>
        <w:rPr/>
        <w:t>北京数字</w:t>
      </w:r>
      <w:r>
        <w:rPr>
          <w:spacing w:val="-3"/>
        </w:rPr>
        <w:t>天</w:t>
      </w:r>
      <w:r>
        <w:rPr/>
        <w:t>堂信息科技有限责任公司与广州市仙华房地产开发有限公司签</w:t>
      </w:r>
      <w:r>
        <w:rPr>
          <w:spacing w:val="-92"/>
        </w:rPr>
        <w:t>署</w:t>
      </w:r>
      <w:r>
        <w:rPr/>
        <w:t>《广州市房屋租赁合同</w:t>
      </w:r>
      <w:r>
        <w:rPr>
          <w:spacing w:val="-89"/>
        </w:rPr>
        <w:t>》</w:t>
      </w:r>
      <w:r>
        <w:rPr/>
        <w:t>，</w:t>
      </w:r>
    </w:p>
    <w:p>
      <w:pPr>
        <w:pStyle w:val="BodyText"/>
        <w:spacing w:line="240" w:lineRule="auto" w:before="62"/>
        <w:ind w:left="149" w:right="0"/>
        <w:jc w:val="left"/>
      </w:pPr>
      <w:r>
        <w:rPr/>
        <w:t>承租该公司位于广州市天河区天河北路</w:t>
      </w:r>
      <w:r>
        <w:rPr>
          <w:spacing w:val="-46"/>
        </w:rPr>
        <w:t> </w:t>
      </w:r>
      <w:r>
        <w:rPr>
          <w:rFonts w:ascii="Times New Roman" w:hAnsi="Times New Roman" w:cs="Times New Roman" w:eastAsia="Times New Roman" w:hint="default"/>
        </w:rPr>
        <w:t>906 </w:t>
      </w:r>
      <w:r>
        <w:rPr/>
        <w:t>号</w:t>
      </w:r>
      <w:r>
        <w:rPr>
          <w:spacing w:val="-48"/>
        </w:rPr>
        <w:t> </w:t>
      </w:r>
      <w:r>
        <w:rPr>
          <w:rFonts w:ascii="Times New Roman" w:hAnsi="Times New Roman" w:cs="Times New Roman" w:eastAsia="Times New Roman" w:hint="default"/>
        </w:rPr>
        <w:t>2206 </w:t>
      </w:r>
      <w:r>
        <w:rPr/>
        <w:t>号房，用于办公。该房产租赁面积</w:t>
      </w:r>
      <w:r>
        <w:rPr>
          <w:spacing w:val="-46"/>
        </w:rPr>
        <w:t> </w:t>
      </w:r>
      <w:r>
        <w:rPr>
          <w:rFonts w:ascii="Times New Roman" w:hAnsi="Times New Roman" w:cs="Times New Roman" w:eastAsia="Times New Roman" w:hint="default"/>
        </w:rPr>
        <w:t>128.63 </w:t>
      </w:r>
      <w:r>
        <w:rPr/>
        <w:t>㎡，租期自</w:t>
      </w:r>
      <w:r>
        <w:rPr>
          <w:spacing w:val="-46"/>
        </w:rPr>
        <w:t> </w:t>
      </w: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2 </w:t>
      </w:r>
      <w:r>
        <w:rPr/>
        <w:t>月</w:t>
      </w:r>
      <w:r>
        <w:rPr>
          <w:spacing w:val="-48"/>
        </w:rPr>
        <w:t> </w:t>
      </w:r>
      <w:r>
        <w:rPr>
          <w:rFonts w:ascii="Times New Roman" w:hAnsi="Times New Roman" w:cs="Times New Roman" w:eastAsia="Times New Roman" w:hint="default"/>
        </w:rPr>
        <w:t>1 </w:t>
      </w:r>
      <w:r>
        <w:rPr/>
        <w:t>日</w:t>
      </w:r>
    </w:p>
    <w:p>
      <w:pPr>
        <w:pStyle w:val="BodyText"/>
        <w:spacing w:line="240" w:lineRule="auto" w:before="62"/>
        <w:ind w:left="149" w:right="0"/>
        <w:jc w:val="left"/>
      </w:pPr>
      <w:r>
        <w:rPr/>
        <w:t>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日至。租金按月结算，每月租金为</w:t>
      </w:r>
      <w:r>
        <w:rPr>
          <w:spacing w:val="-46"/>
        </w:rPr>
        <w:t> </w:t>
      </w:r>
      <w:r>
        <w:rPr>
          <w:rFonts w:ascii="Times New Roman" w:hAnsi="Times New Roman" w:cs="Times New Roman" w:eastAsia="Times New Roman" w:hint="default"/>
        </w:rPr>
        <w:t>10290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left="149" w:right="0"/>
        <w:jc w:val="left"/>
      </w:pPr>
      <w:r>
        <w:rPr/>
        <w:t>为公司带来的损益达到公司报告期利润总额</w:t>
      </w:r>
      <w:r>
        <w:rPr>
          <w:spacing w:val="-45"/>
        </w:rPr>
        <w:t> </w:t>
      </w:r>
      <w:r>
        <w:rPr>
          <w:rFonts w:ascii="Times New Roman" w:hAnsi="Times New Roman" w:cs="Times New Roman" w:eastAsia="Times New Roman" w:hint="default"/>
        </w:rPr>
        <w:t>10%</w:t>
      </w:r>
      <w:r>
        <w:rPr/>
        <w:t>以上的项目</w:t>
      </w:r>
    </w:p>
    <w:p>
      <w:pPr>
        <w:pStyle w:val="BodyText"/>
        <w:spacing w:line="240" w:lineRule="auto" w:before="101"/>
        <w:ind w:left="149"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32"/>
          <w:pgSz w:w="11910" w:h="16840"/>
          <w:pgMar w:footer="982" w:header="745" w:top="1060" w:bottom="1180" w:left="980" w:right="940"/>
          <w:pgNumType w:start="74"/>
        </w:sectPr>
      </w:pPr>
    </w:p>
    <w:p>
      <w:pPr>
        <w:spacing w:line="240" w:lineRule="auto" w:before="9"/>
        <w:rPr>
          <w:rFonts w:ascii="宋体" w:hAnsi="宋体" w:cs="宋体" w:eastAsia="宋体" w:hint="default"/>
          <w:sz w:val="25"/>
          <w:szCs w:val="25"/>
        </w:rPr>
      </w:pPr>
    </w:p>
    <w:p>
      <w:pPr>
        <w:pStyle w:val="BodyText"/>
        <w:spacing w:line="240" w:lineRule="auto" w:before="44"/>
        <w:ind w:right="101"/>
        <w:jc w:val="left"/>
      </w:pPr>
      <w:r>
        <w:rPr/>
        <w:t>公司报告期不存在担保情况。</w:t>
      </w:r>
    </w:p>
    <w:p>
      <w:pPr>
        <w:spacing w:line="240" w:lineRule="auto" w:before="0"/>
        <w:rPr>
          <w:rFonts w:ascii="宋体" w:hAnsi="宋体" w:cs="宋体" w:eastAsia="宋体" w:hint="default"/>
          <w:sz w:val="18"/>
          <w:szCs w:val="18"/>
        </w:rPr>
      </w:pPr>
    </w:p>
    <w:p>
      <w:pPr>
        <w:pStyle w:val="Heading3"/>
        <w:spacing w:line="240" w:lineRule="auto" w:before="120"/>
        <w:ind w:right="101"/>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3"/>
        <w:rPr>
          <w:rFonts w:ascii="宋体" w:hAnsi="宋体" w:cs="宋体" w:eastAsia="宋体" w:hint="default"/>
          <w:sz w:val="21"/>
          <w:szCs w:val="21"/>
        </w:rPr>
      </w:pPr>
    </w:p>
    <w:p>
      <w:pPr>
        <w:pStyle w:val="Heading3"/>
        <w:spacing w:line="240" w:lineRule="auto"/>
        <w:ind w:right="101"/>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101"/>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0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101"/>
        <w:jc w:val="left"/>
        <w:rPr>
          <w:b w:val="0"/>
          <w:bCs w:val="0"/>
        </w:rPr>
      </w:pPr>
      <w:bookmarkStart w:name="十七、其他重大事项的说明" w:id="94"/>
      <w:bookmarkEnd w:id="94"/>
      <w:r>
        <w:rPr>
          <w:b w:val="0"/>
          <w:bCs w:val="0"/>
        </w:rPr>
      </w:r>
      <w:r>
        <w:rPr/>
        <w:t>十七、其他重大事项的说明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left="153" w:right="101" w:firstLine="422"/>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日，公司</w:t>
      </w:r>
      <w:r>
        <w:rPr>
          <w:rFonts w:ascii="Times New Roman" w:hAnsi="Times New Roman" w:cs="Times New Roman" w:eastAsia="Times New Roman" w:hint="default"/>
        </w:rPr>
        <w:t>2015</w:t>
      </w:r>
      <w:r>
        <w:rPr/>
        <w:t>年第一次临时股东大会审议通过了《关于公司符合非公开发行股票条件的议案》等的相关议 </w:t>
      </w:r>
      <w:r>
        <w:rPr>
          <w:spacing w:val="-1"/>
        </w:rPr>
        <w:t>案，本次非公开发行股票募集资金不超过人民币</w:t>
      </w:r>
      <w:r>
        <w:rPr>
          <w:rFonts w:ascii="Times New Roman" w:hAnsi="Times New Roman" w:cs="Times New Roman" w:eastAsia="Times New Roman" w:hint="default"/>
          <w:spacing w:val="-1"/>
        </w:rPr>
        <w:t>825,426,738.24</w:t>
      </w:r>
      <w:r>
        <w:rPr>
          <w:spacing w:val="-1"/>
        </w:rPr>
        <w:t>元，本次募集资金扣除发行费用后拟用于收购微智信业</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股权及补充上市公司流动资金，其中收购微智信业</w:t>
      </w:r>
      <w:r>
        <w:rPr>
          <w:rFonts w:ascii="Times New Roman" w:hAnsi="Times New Roman" w:cs="Times New Roman" w:eastAsia="Times New Roman" w:hint="default"/>
        </w:rPr>
        <w:t>100%</w:t>
      </w:r>
      <w:r>
        <w:rPr/>
        <w:t>股权项目投入募集资金</w:t>
      </w:r>
      <w:r>
        <w:rPr>
          <w:rFonts w:ascii="Times New Roman" w:hAnsi="Times New Roman" w:cs="Times New Roman" w:eastAsia="Times New Roman" w:hint="default"/>
        </w:rPr>
        <w:t>58,100</w:t>
      </w:r>
      <w:r>
        <w:rPr/>
        <w:t>万元，剩余部分补充上市公司流动资 金。</w:t>
      </w:r>
    </w:p>
    <w:p>
      <w:pPr>
        <w:pStyle w:val="BodyText"/>
        <w:spacing w:line="240" w:lineRule="auto" w:before="72"/>
        <w:ind w:left="575" w:right="101"/>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日，公司在指定媒体披露了关于收到《中国证监会行政许可申请受理通知书》（</w:t>
      </w:r>
      <w:r>
        <w:rPr>
          <w:rFonts w:ascii="Times New Roman" w:hAnsi="Times New Roman" w:cs="Times New Roman" w:eastAsia="Times New Roman" w:hint="default"/>
        </w:rPr>
        <w:t>151224</w:t>
      </w:r>
      <w:r>
        <w:rPr/>
        <w:t>号）的公告。</w:t>
      </w:r>
    </w:p>
    <w:p>
      <w:pPr>
        <w:pStyle w:val="BodyText"/>
        <w:spacing w:line="300" w:lineRule="auto" w:before="103"/>
        <w:ind w:left="153" w:right="101" w:firstLine="42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日，中国证券监督管理委员会发行审核委员会对公司非公开发行股票的申请进行了审核。根据审核结果， 公司本次非公开发行股票的申请获得通过。</w:t>
      </w:r>
    </w:p>
    <w:p>
      <w:pPr>
        <w:pStyle w:val="BodyText"/>
        <w:spacing w:line="240" w:lineRule="auto" w:before="70"/>
        <w:ind w:left="575" w:right="101"/>
        <w:jc w:val="left"/>
      </w:pPr>
      <w:r>
        <w:rPr/>
        <w:t>目前，公司尚未收到中国证监会的书面核准文件。</w:t>
      </w:r>
    </w:p>
    <w:p>
      <w:pPr>
        <w:spacing w:line="240" w:lineRule="auto" w:before="3"/>
        <w:rPr>
          <w:rFonts w:ascii="宋体" w:hAnsi="宋体" w:cs="宋体" w:eastAsia="宋体" w:hint="default"/>
          <w:sz w:val="25"/>
          <w:szCs w:val="25"/>
        </w:rPr>
      </w:pPr>
    </w:p>
    <w:p>
      <w:pPr>
        <w:pStyle w:val="Heading2"/>
        <w:spacing w:line="240" w:lineRule="auto"/>
        <w:ind w:right="101"/>
        <w:jc w:val="left"/>
        <w:rPr>
          <w:b w:val="0"/>
          <w:bCs w:val="0"/>
        </w:rPr>
      </w:pPr>
      <w:bookmarkStart w:name="十八、公司子公司重大事项" w:id="95"/>
      <w:bookmarkEnd w:id="95"/>
      <w:r>
        <w:rPr>
          <w:b w:val="0"/>
          <w:bCs w:val="0"/>
        </w:rPr>
      </w:r>
      <w:r>
        <w:rPr/>
        <w:t>十八、公司子公司重大事项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01"/>
        <w:jc w:val="left"/>
        <w:rPr>
          <w:b w:val="0"/>
          <w:bCs w:val="0"/>
        </w:rPr>
      </w:pPr>
      <w:bookmarkStart w:name="十九、社会责任情况" w:id="96"/>
      <w:bookmarkEnd w:id="96"/>
      <w:r>
        <w:rPr>
          <w:b w:val="0"/>
          <w:bCs w:val="0"/>
        </w:rPr>
      </w:r>
      <w:r>
        <w:rPr/>
        <w:t>十九、社会责任情况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01"/>
        <w:jc w:val="left"/>
        <w:rPr>
          <w:b w:val="0"/>
          <w:bCs w:val="0"/>
        </w:rPr>
      </w:pPr>
      <w:bookmarkStart w:name="二十、公司债券相关情况" w:id="97"/>
      <w:bookmarkEnd w:id="97"/>
      <w:r>
        <w:rPr>
          <w:b w:val="0"/>
          <w:bCs w:val="0"/>
        </w:rPr>
      </w:r>
      <w:r>
        <w:rPr/>
        <w:t>二十、公司债券相关情况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115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5" w:footer="982" w:top="1060" w:bottom="118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3" w:right="0"/>
        <w:jc w:val="left"/>
        <w:rPr>
          <w:b w:val="0"/>
          <w:bCs w:val="0"/>
        </w:rPr>
      </w:pPr>
      <w:bookmarkStart w:name="_TOC_250005" w:id="98"/>
      <w:bookmarkStart w:name="第六节 股份变动及股东情况" w:id="99"/>
      <w:r>
        <w:rPr>
          <w:b w:val="0"/>
          <w:bCs w:val="0"/>
        </w:rPr>
      </w:r>
      <w:r>
        <w:rPr/>
        <w:t>第六节</w:t>
      </w:r>
      <w:r>
        <w:rPr>
          <w:spacing w:val="-4"/>
        </w:rPr>
        <w:t> </w:t>
      </w:r>
      <w:r>
        <w:rPr/>
        <w:t>股份变动及股东情况</w:t>
      </w:r>
      <w:bookmarkEnd w:id="98"/>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7"/>
        <w:gridCol w:w="823"/>
        <w:gridCol w:w="823"/>
        <w:gridCol w:w="823"/>
        <w:gridCol w:w="821"/>
        <w:gridCol w:w="823"/>
        <w:gridCol w:w="821"/>
        <w:gridCol w:w="823"/>
        <w:gridCol w:w="794"/>
        <w:gridCol w:w="792"/>
      </w:tblGrid>
      <w:tr>
        <w:trPr>
          <w:trHeight w:val="403" w:hRule="exact"/>
        </w:trPr>
        <w:tc>
          <w:tcPr>
            <w:tcW w:w="2227" w:type="dxa"/>
            <w:tcBorders>
              <w:top w:val="single" w:sz="4" w:space="0" w:color="000000"/>
              <w:left w:val="single" w:sz="4" w:space="0" w:color="000000"/>
              <w:bottom w:val="nil" w:sz="6" w:space="0" w:color="auto"/>
              <w:right w:val="single" w:sz="4" w:space="0" w:color="000000"/>
            </w:tcBorders>
            <w:shd w:val="clear" w:color="auto" w:fill="D4D4D4"/>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3" w:hRule="exact"/>
        </w:trPr>
        <w:tc>
          <w:tcPr>
            <w:tcW w:w="2227" w:type="dxa"/>
            <w:tcBorders>
              <w:top w:val="nil" w:sz="6" w:space="0" w:color="auto"/>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0" w:hRule="exact"/>
        </w:trPr>
        <w:tc>
          <w:tcPr>
            <w:tcW w:w="2227"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21" w:type="dxa"/>
            <w:vMerge/>
            <w:tcBorders>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21" w:type="dxa"/>
            <w:vMerge/>
            <w:tcBorders>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794" w:type="dxa"/>
            <w:vMerge/>
            <w:tcBorders>
              <w:left w:val="single" w:sz="4" w:space="0" w:color="000000"/>
              <w:bottom w:val="single" w:sz="4" w:space="0" w:color="000000"/>
              <w:right w:val="single" w:sz="4" w:space="0" w:color="000000"/>
            </w:tcBorders>
            <w:shd w:val="clear" w:color="auto" w:fill="D4D4D4"/>
          </w:tcPr>
          <w:p>
            <w:pPr/>
          </w:p>
        </w:tc>
        <w:tc>
          <w:tcPr>
            <w:tcW w:w="792"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38,574,88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75.00%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4,480,000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-29,427,3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18,107,58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56,682,46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49.19%</w:t>
            </w:r>
          </w:p>
        </w:tc>
      </w:tr>
      <w:tr>
        <w:trPr>
          <w:trHeight w:val="394" w:hRule="exact"/>
        </w:trPr>
        <w:tc>
          <w:tcPr>
            <w:tcW w:w="22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38,574,88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75.00%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4,480,000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-29,427,3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18,107,58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56,682,46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49.19%</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11,990,34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23.31%</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11,990,34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-17,326,5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-5,336,18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6,654,168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5.78%</w:t>
            </w:r>
          </w:p>
        </w:tc>
      </w:tr>
      <w:tr>
        <w:trPr>
          <w:trHeight w:val="394" w:hRule="exact"/>
        </w:trPr>
        <w:tc>
          <w:tcPr>
            <w:tcW w:w="22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26,584,53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51.69%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4,480,000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31,064,53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-12,100,7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23,443,76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50,028,29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43.42%</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12,858,29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25.00%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1,696,969</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29,427,30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45,679,53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58,537,83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50.81%</w:t>
            </w:r>
          </w:p>
        </w:tc>
      </w:tr>
      <w:tr>
        <w:trPr>
          <w:trHeight w:val="394" w:hRule="exact"/>
        </w:trPr>
        <w:tc>
          <w:tcPr>
            <w:tcW w:w="22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12,858,29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25.00%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1,696,969</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29,427,30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45,679,53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58,537,83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50.81%</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51,433,18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6,176,969</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57,610,15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63,787,11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115,220,3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2" w:right="0"/>
        <w:jc w:val="left"/>
      </w:pPr>
      <w:r>
        <w:rPr>
          <w:rFonts w:ascii="Times New Roman" w:hAnsi="Times New Roman" w:cs="Times New Roman" w:eastAsia="Times New Roman" w:hint="default"/>
        </w:rPr>
        <w:t>1.</w:t>
      </w:r>
      <w:r>
        <w:rPr/>
        <w:t>根据公司</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年第二次临时股东大会决议和中国证券监督管理委员会《关于核准北京东方通科技股份有限公司向李</w:t>
      </w:r>
    </w:p>
    <w:p>
      <w:pPr>
        <w:pStyle w:val="BodyText"/>
        <w:spacing w:line="240" w:lineRule="auto" w:before="62"/>
        <w:ind w:right="0"/>
        <w:jc w:val="left"/>
      </w:pPr>
      <w:r>
        <w:rPr/>
        <w:t>健等发行股份购买资产并募集配套资金的批复</w:t>
      </w:r>
      <w:r>
        <w:rPr>
          <w:spacing w:val="-113"/>
        </w:rPr>
        <w:t>》</w:t>
      </w:r>
      <w:r>
        <w:rPr/>
        <w:t>（证监许可</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5</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spacing w:val="-22"/>
        </w:rPr>
        <w:t>）</w:t>
      </w:r>
      <w:r>
        <w:rPr/>
        <w:t>核准</w:t>
      </w:r>
      <w:r>
        <w:rPr>
          <w:spacing w:val="-22"/>
        </w:rPr>
        <w:t>，</w:t>
      </w:r>
      <w:r>
        <w:rPr/>
        <w:t>东方</w:t>
      </w:r>
      <w:r>
        <w:rPr>
          <w:spacing w:val="-3"/>
        </w:rPr>
        <w:t>通</w:t>
      </w:r>
      <w:r>
        <w:rPr/>
        <w:t>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日在中国证</w:t>
      </w:r>
      <w:r>
        <w:rPr>
          <w:spacing w:val="-3"/>
        </w:rPr>
        <w:t>券</w:t>
      </w:r>
      <w:r>
        <w:rPr/>
        <w:t>登</w:t>
      </w:r>
    </w:p>
    <w:p>
      <w:pPr>
        <w:pStyle w:val="BodyText"/>
        <w:spacing w:line="240" w:lineRule="auto" w:before="62"/>
        <w:ind w:right="0"/>
        <w:jc w:val="left"/>
        <w:rPr>
          <w:rFonts w:ascii="Times New Roman" w:hAnsi="Times New Roman" w:cs="Times New Roman" w:eastAsia="Times New Roman" w:hint="default"/>
        </w:rPr>
      </w:pPr>
      <w:r>
        <w:rPr/>
        <w:t>记结算有限责任公司深圳分公司办理新增股份</w:t>
      </w:r>
      <w:r>
        <w:rPr>
          <w:spacing w:val="-51"/>
        </w:rPr>
        <w:t> </w:t>
      </w:r>
      <w:r>
        <w:rPr>
          <w:rFonts w:ascii="Times New Roman" w:hAnsi="Times New Roman" w:cs="Times New Roman" w:eastAsia="Times New Roman" w:hint="default"/>
        </w:rPr>
        <w:t>448</w:t>
      </w:r>
      <w:r>
        <w:rPr>
          <w:rFonts w:ascii="Times New Roman" w:hAnsi="Times New Roman" w:cs="Times New Roman" w:eastAsia="Times New Roman" w:hint="default"/>
          <w:spacing w:val="-5"/>
        </w:rPr>
        <w:t> </w:t>
      </w:r>
      <w:r>
        <w:rPr/>
        <w:t>万股的登记手续，</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日，上述股份完成上市手续。</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w:t>
      </w:r>
    </w:p>
    <w:p>
      <w:pPr>
        <w:pStyle w:val="BodyText"/>
        <w:spacing w:line="240" w:lineRule="auto" w:before="62"/>
        <w:ind w:right="0"/>
        <w:jc w:val="left"/>
      </w:pPr>
      <w:r>
        <w:rPr/>
        <w:t>月</w:t>
      </w:r>
      <w:r>
        <w:rPr>
          <w:spacing w:val="-6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日</w:t>
      </w:r>
      <w:r>
        <w:rPr>
          <w:spacing w:val="-92"/>
        </w:rPr>
        <w:t>，</w:t>
      </w:r>
      <w:r>
        <w:rPr/>
        <w:t>东方通在中国证券登记结算有限责任公司深圳分公司就本次配套融资发行的</w:t>
      </w:r>
      <w:r>
        <w:rPr>
          <w:spacing w:val="-6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96</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股股份办理了股权登记手</w:t>
      </w:r>
      <w:r>
        <w:rPr>
          <w:spacing w:val="-3"/>
        </w:rPr>
        <w:t>续</w:t>
      </w:r>
      <w:r>
        <w:rPr/>
        <w:t>，</w:t>
      </w:r>
    </w:p>
    <w:p>
      <w:pPr>
        <w:pStyle w:val="BodyText"/>
        <w:spacing w:line="240" w:lineRule="auto" w:before="62"/>
        <w:ind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日，上述股份完成上市手续。上述事宜完成后，公司总股本变更为</w:t>
      </w:r>
      <w:r>
        <w:rPr>
          <w:spacing w:val="-47"/>
        </w:rPr>
        <w:t> </w:t>
      </w:r>
      <w:r>
        <w:rPr>
          <w:rFonts w:ascii="Times New Roman" w:hAnsi="Times New Roman" w:cs="Times New Roman" w:eastAsia="Times New Roman" w:hint="default"/>
        </w:rPr>
        <w:t>57,610,150</w:t>
      </w:r>
      <w:r>
        <w:rPr>
          <w:rFonts w:ascii="Times New Roman" w:hAnsi="Times New Roman" w:cs="Times New Roman" w:eastAsia="Times New Roman" w:hint="default"/>
          <w:spacing w:val="-1"/>
        </w:rPr>
        <w:t> </w:t>
      </w:r>
      <w:r>
        <w:rPr/>
        <w:t>股。</w:t>
      </w:r>
    </w:p>
    <w:p>
      <w:pPr>
        <w:pStyle w:val="BodyText"/>
        <w:spacing w:line="240" w:lineRule="auto" w:before="103"/>
        <w:ind w:left="512" w:right="0"/>
        <w:jc w:val="left"/>
      </w:pPr>
      <w:r>
        <w:rPr>
          <w:rFonts w:ascii="Times New Roman" w:hAnsi="Times New Roman" w:cs="Times New Roman" w:eastAsia="Times New Roman" w:hint="default"/>
        </w:rPr>
        <w:t>2.</w:t>
      </w:r>
      <w:r>
        <w:rPr/>
        <w:t>经公司第二届董事会第十五次会议、第二次监事会第九次会议及公司</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spacing w:val="-3"/>
        </w:rPr>
        <w:t>年度股东大会审议，公司</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年度利润分</w:t>
      </w:r>
    </w:p>
    <w:p>
      <w:pPr>
        <w:pStyle w:val="BodyText"/>
        <w:spacing w:line="240" w:lineRule="auto" w:before="62"/>
        <w:ind w:right="0"/>
        <w:jc w:val="left"/>
      </w:pPr>
      <w:r>
        <w:rPr/>
        <w:t>配和资本公积金转增股本方案如下：以公司现有总股本</w:t>
      </w:r>
      <w:r>
        <w:rPr>
          <w:spacing w:val="-49"/>
        </w:rPr>
        <w:t> </w:t>
      </w:r>
      <w:r>
        <w:rPr>
          <w:rFonts w:ascii="Times New Roman" w:hAnsi="Times New Roman" w:cs="Times New Roman" w:eastAsia="Times New Roman" w:hint="default"/>
        </w:rPr>
        <w:t>57,610,150</w:t>
      </w:r>
      <w:r>
        <w:rPr>
          <w:rFonts w:ascii="Times New Roman" w:hAnsi="Times New Roman" w:cs="Times New Roman" w:eastAsia="Times New Roman" w:hint="default"/>
          <w:spacing w:val="-3"/>
        </w:rPr>
        <w:t> </w:t>
      </w:r>
      <w:r>
        <w:rPr>
          <w:spacing w:val="-3"/>
        </w:rPr>
        <w:t>股为基数，向全体股东每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w:t>
      </w:r>
      <w:r>
        <w:rPr>
          <w:spacing w:val="-49"/>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3"/>
        </w:rPr>
        <w:t> </w:t>
      </w:r>
      <w:r>
        <w:rPr/>
        <w:t>元人民币现金</w:t>
      </w:r>
    </w:p>
    <w:p>
      <w:pPr>
        <w:pStyle w:val="BodyText"/>
        <w:spacing w:line="240" w:lineRule="auto" w:before="62"/>
        <w:ind w:right="0"/>
        <w:jc w:val="left"/>
      </w:pPr>
      <w:r>
        <w:rPr/>
        <w:t>（含税</w:t>
      </w:r>
      <w:r>
        <w:rPr>
          <w:spacing w:val="-92"/>
        </w:rPr>
        <w:t>）</w:t>
      </w:r>
      <w:r>
        <w:rPr>
          <w:spacing w:val="-10"/>
        </w:rPr>
        <w:t>；</w:t>
      </w:r>
      <w:r>
        <w:rPr/>
        <w:t>同时</w:t>
      </w:r>
      <w:r>
        <w:rPr>
          <w:spacing w:val="-10"/>
        </w:rPr>
        <w:t>，</w:t>
      </w:r>
      <w:r>
        <w:rPr/>
        <w:t>以资本公积</w:t>
      </w:r>
      <w:r>
        <w:rPr>
          <w:spacing w:val="2"/>
        </w:rPr>
        <w:t>金</w:t>
      </w:r>
      <w:r>
        <w:rPr/>
        <w:t>向全体股东每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3"/>
        </w:rPr>
        <w:t>转</w:t>
      </w:r>
      <w:r>
        <w:rPr/>
        <w:t>增</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10"/>
        </w:rPr>
        <w:t>。</w:t>
      </w:r>
      <w:r>
        <w:rPr/>
        <w:t>分红前本公司总股</w:t>
      </w:r>
      <w:r>
        <w:rPr>
          <w:spacing w:val="-3"/>
        </w:rPr>
        <w:t>本</w:t>
      </w:r>
      <w:r>
        <w:rPr/>
        <w:t>为</w:t>
      </w:r>
      <w:r>
        <w:rPr>
          <w:spacing w:val="-45"/>
        </w:rPr>
        <w:t> </w:t>
      </w:r>
      <w:r>
        <w:rPr>
          <w:rFonts w:ascii="Times New Roman" w:hAnsi="Times New Roman" w:cs="Times New Roman" w:eastAsia="Times New Roman" w:hint="default"/>
          <w:spacing w:val="1"/>
        </w:rPr>
        <w:t>57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10"/>
        </w:rPr>
        <w:t>，</w:t>
      </w:r>
      <w:r>
        <w:rPr/>
        <w:t>分红后总</w:t>
      </w:r>
      <w:r>
        <w:rPr>
          <w:spacing w:val="-3"/>
        </w:rPr>
        <w:t>股</w:t>
      </w:r>
      <w:r>
        <w:rPr/>
        <w:t>本</w:t>
      </w:r>
    </w:p>
    <w:p>
      <w:pPr>
        <w:pStyle w:val="BodyText"/>
        <w:spacing w:line="240" w:lineRule="auto" w:before="62"/>
        <w:ind w:right="0"/>
        <w:jc w:val="left"/>
      </w:pPr>
      <w:r>
        <w:rPr/>
        <w:t>增至</w:t>
      </w:r>
      <w:r>
        <w:rPr>
          <w:spacing w:val="-50"/>
        </w:rPr>
        <w:t> </w:t>
      </w:r>
      <w:r>
        <w:rPr>
          <w:rFonts w:ascii="Times New Roman" w:hAnsi="Times New Roman" w:cs="Times New Roman" w:eastAsia="Times New Roman" w:hint="default"/>
        </w:rPr>
        <w:t>115,220,300</w:t>
      </w:r>
      <w:r>
        <w:rPr>
          <w:rFonts w:ascii="Times New Roman" w:hAnsi="Times New Roman" w:cs="Times New Roman" w:eastAsia="Times New Roman" w:hint="default"/>
          <w:spacing w:val="-5"/>
        </w:rPr>
        <w:t> </w:t>
      </w:r>
      <w:r>
        <w:rPr/>
        <w:t>股。</w:t>
      </w:r>
    </w:p>
    <w:p>
      <w:pPr>
        <w:pStyle w:val="BodyText"/>
        <w:spacing w:line="240" w:lineRule="auto" w:before="101"/>
        <w:ind w:left="512" w:right="0"/>
        <w:jc w:val="left"/>
      </w:pPr>
      <w:r>
        <w:rPr>
          <w:rFonts w:ascii="Times New Roman" w:hAnsi="Times New Roman" w:cs="Times New Roman" w:eastAsia="Times New Roman" w:hint="default"/>
        </w:rPr>
        <w:t>3.2015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3"/>
        </w:rPr>
        <w:t>日，公司发起人股东东华软件股份公司、盈富泰克创业投资有限公司等共计</w:t>
      </w:r>
      <w:r>
        <w:rPr>
          <w:spacing w:val="-44"/>
        </w:rPr>
        <w:t> </w:t>
      </w:r>
      <w:r>
        <w:rPr>
          <w:rFonts w:ascii="Times New Roman" w:hAnsi="Times New Roman" w:cs="Times New Roman" w:eastAsia="Times New Roman" w:hint="default"/>
        </w:rPr>
        <w:t>36</w:t>
      </w:r>
      <w:r>
        <w:rPr>
          <w:rFonts w:ascii="Times New Roman" w:hAnsi="Times New Roman" w:cs="Times New Roman" w:eastAsia="Times New Roman" w:hint="default"/>
          <w:spacing w:val="2"/>
        </w:rPr>
        <w:t> </w:t>
      </w:r>
      <w:r>
        <w:rPr/>
        <w:t>名股东持有的首次公开</w:t>
      </w:r>
    </w:p>
    <w:p>
      <w:pPr>
        <w:pStyle w:val="BodyText"/>
        <w:spacing w:line="240" w:lineRule="auto" w:before="62"/>
        <w:ind w:right="0"/>
        <w:jc w:val="left"/>
      </w:pPr>
      <w:r>
        <w:rPr/>
        <w:t>发行股票的限售股份销定承诺到期，可上市流通。</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日，本次解除限售股份上市流通。本次解禁限售股份数量</w:t>
      </w:r>
    </w:p>
    <w:p>
      <w:pPr>
        <w:pStyle w:val="BodyText"/>
        <w:spacing w:line="240" w:lineRule="auto" w:before="62"/>
        <w:ind w:right="0"/>
        <w:jc w:val="left"/>
      </w:pPr>
      <w:r>
        <w:rPr>
          <w:rFonts w:ascii="Times New Roman" w:hAnsi="Times New Roman" w:cs="Times New Roman" w:eastAsia="Times New Roman" w:hint="default"/>
        </w:rPr>
        <w:t>30,516,050</w:t>
      </w:r>
      <w:r>
        <w:rPr>
          <w:rFonts w:ascii="Times New Roman" w:hAnsi="Times New Roman" w:cs="Times New Roman" w:eastAsia="Times New Roman" w:hint="default"/>
          <w:spacing w:val="-3"/>
        </w:rPr>
        <w:t> </w:t>
      </w:r>
      <w:r>
        <w:rPr/>
        <w:t>股，占总股本的</w:t>
      </w:r>
      <w:r>
        <w:rPr>
          <w:spacing w:val="-48"/>
        </w:rPr>
        <w:t> </w:t>
      </w:r>
      <w:r>
        <w:rPr>
          <w:rFonts w:ascii="Times New Roman" w:hAnsi="Times New Roman" w:cs="Times New Roman" w:eastAsia="Times New Roman" w:hint="default"/>
        </w:rPr>
        <w:t>26.4850%</w:t>
      </w:r>
      <w:r>
        <w:rPr/>
        <w:t>；于解禁日实际可上市流通数量为</w:t>
      </w:r>
      <w:r>
        <w:rPr>
          <w:spacing w:val="-48"/>
        </w:rPr>
        <w:t> </w:t>
      </w:r>
      <w:r>
        <w:rPr>
          <w:rFonts w:ascii="Times New Roman" w:hAnsi="Times New Roman" w:cs="Times New Roman" w:eastAsia="Times New Roman" w:hint="default"/>
        </w:rPr>
        <w:t>27,703,941</w:t>
      </w:r>
      <w:r>
        <w:rPr>
          <w:rFonts w:ascii="Times New Roman" w:hAnsi="Times New Roman" w:cs="Times New Roman" w:eastAsia="Times New Roman" w:hint="default"/>
          <w:spacing w:val="-3"/>
        </w:rPr>
        <w:t> </w:t>
      </w:r>
      <w:r>
        <w:rPr/>
        <w:t>股，占总股本的</w:t>
      </w:r>
      <w:r>
        <w:rPr>
          <w:spacing w:val="-48"/>
        </w:rPr>
        <w:t> </w:t>
      </w:r>
      <w:r>
        <w:rPr>
          <w:rFonts w:ascii="Times New Roman" w:hAnsi="Times New Roman" w:cs="Times New Roman" w:eastAsia="Times New Roman" w:hint="default"/>
        </w:rPr>
        <w:t>24.0443%</w:t>
      </w:r>
      <w:r>
        <w:rPr/>
        <w:t>。</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230" w:firstLine="36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、鉴于公司发起人股东杨桦先生辞去公司监事职务，其直接持有公司股票 </w:t>
      </w:r>
      <w:r>
        <w:rPr>
          <w:rFonts w:ascii="Times New Roman" w:hAnsi="Times New Roman" w:cs="Times New Roman" w:eastAsia="Times New Roman" w:hint="default"/>
        </w:rPr>
        <w:t>1,088,746 </w:t>
      </w:r>
      <w:r>
        <w:rPr/>
        <w:t>股，占公司总股本的</w:t>
      </w:r>
      <w:r>
        <w:rPr>
          <w:spacing w:val="-49"/>
        </w:rPr>
        <w:t> </w:t>
      </w:r>
      <w:r>
        <w:rPr>
          <w:rFonts w:ascii="Times New Roman" w:hAnsi="Times New Roman" w:cs="Times New Roman" w:eastAsia="Times New Roman" w:hint="default"/>
        </w:rPr>
        <w:t>0.9449%</w:t>
      </w:r>
      <w:r>
        <w:rPr/>
        <w:t>。 根据相关法律、法规及相关承诺，杨桦先生于申报离职后半年内不转让其所持有的东方通股份。其辞职申请已于</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p>
    <w:p>
      <w:pPr>
        <w:pStyle w:val="BodyText"/>
        <w:spacing w:line="340" w:lineRule="auto" w:before="13"/>
        <w:ind w:right="4328"/>
        <w:jc w:val="left"/>
      </w:pPr>
      <w:r>
        <w:rPr/>
        <w:t>月</w:t>
      </w:r>
      <w:r>
        <w:rPr>
          <w:spacing w:val="-46"/>
        </w:rPr>
        <w:t> </w:t>
      </w:r>
      <w:r>
        <w:rPr>
          <w:rFonts w:ascii="Times New Roman" w:hAnsi="Times New Roman" w:cs="Times New Roman" w:eastAsia="Times New Roman" w:hint="default"/>
        </w:rPr>
        <w:t>7 </w:t>
      </w:r>
      <w:r>
        <w:rPr/>
        <w:t>日在公司</w:t>
      </w:r>
      <w:r>
        <w:rPr>
          <w:spacing w:val="-48"/>
        </w:rPr>
        <w:t> </w:t>
      </w:r>
      <w:r>
        <w:rPr>
          <w:rFonts w:ascii="Times New Roman" w:hAnsi="Times New Roman" w:cs="Times New Roman" w:eastAsia="Times New Roman" w:hint="default"/>
        </w:rPr>
        <w:t>2015 </w:t>
      </w:r>
      <w:r>
        <w:rPr/>
        <w:t>年第二次临时股东大会选举产生新任监事后生效。 股份变动的批准情况</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2" w:right="0"/>
        <w:jc w:val="left"/>
      </w:pPr>
      <w:r>
        <w:rPr>
          <w:rFonts w:ascii="Times New Roman" w:hAnsi="Times New Roman" w:cs="Times New Roman" w:eastAsia="Times New Roman" w:hint="default"/>
        </w:rPr>
        <w:t>1.</w:t>
      </w:r>
      <w:r>
        <w:rPr/>
        <w:t>根据公司</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年第二次临时股东大会决议和中国证券监督管理委员会《关于核准北京东方通科技股份有限公司向李</w:t>
      </w:r>
    </w:p>
    <w:p>
      <w:pPr>
        <w:pStyle w:val="BodyText"/>
        <w:spacing w:line="240" w:lineRule="auto" w:before="62"/>
        <w:ind w:right="0"/>
        <w:jc w:val="left"/>
      </w:pPr>
      <w:r>
        <w:rPr/>
        <w:t>健等发行股份购买资产并募集配套资金的批复</w:t>
      </w:r>
      <w:r>
        <w:rPr>
          <w:spacing w:val="-113"/>
        </w:rPr>
        <w:t>》</w:t>
      </w:r>
      <w:r>
        <w:rPr/>
        <w:t>（证监许可</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5</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spacing w:val="-22"/>
        </w:rPr>
        <w:t>）</w:t>
      </w:r>
      <w:r>
        <w:rPr/>
        <w:t>核准</w:t>
      </w:r>
      <w:r>
        <w:rPr>
          <w:spacing w:val="-22"/>
        </w:rPr>
        <w:t>，</w:t>
      </w:r>
      <w:r>
        <w:rPr/>
        <w:t>东方</w:t>
      </w:r>
      <w:r>
        <w:rPr>
          <w:spacing w:val="-3"/>
        </w:rPr>
        <w:t>通</w:t>
      </w:r>
      <w:r>
        <w:rPr/>
        <w:t>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日在中国证</w:t>
      </w:r>
      <w:r>
        <w:rPr>
          <w:spacing w:val="-3"/>
        </w:rPr>
        <w:t>券</w:t>
      </w:r>
      <w:r>
        <w:rPr/>
        <w:t>登</w:t>
      </w:r>
    </w:p>
    <w:p>
      <w:pPr>
        <w:pStyle w:val="BodyText"/>
        <w:spacing w:line="240" w:lineRule="auto" w:before="62"/>
        <w:ind w:right="0"/>
        <w:jc w:val="left"/>
        <w:rPr>
          <w:rFonts w:ascii="Times New Roman" w:hAnsi="Times New Roman" w:cs="Times New Roman" w:eastAsia="Times New Roman" w:hint="default"/>
        </w:rPr>
      </w:pPr>
      <w:r>
        <w:rPr/>
        <w:t>记结算有限责任公司深圳分公司办理新增股份</w:t>
      </w:r>
      <w:r>
        <w:rPr>
          <w:spacing w:val="-51"/>
        </w:rPr>
        <w:t> </w:t>
      </w:r>
      <w:r>
        <w:rPr>
          <w:rFonts w:ascii="Times New Roman" w:hAnsi="Times New Roman" w:cs="Times New Roman" w:eastAsia="Times New Roman" w:hint="default"/>
        </w:rPr>
        <w:t>448</w:t>
      </w:r>
      <w:r>
        <w:rPr>
          <w:rFonts w:ascii="Times New Roman" w:hAnsi="Times New Roman" w:cs="Times New Roman" w:eastAsia="Times New Roman" w:hint="default"/>
          <w:spacing w:val="-5"/>
        </w:rPr>
        <w:t> </w:t>
      </w:r>
      <w:r>
        <w:rPr/>
        <w:t>万股的登记手续，</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日，上述股份完成上市手续。</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w:t>
      </w:r>
    </w:p>
    <w:p>
      <w:pPr>
        <w:pStyle w:val="BodyText"/>
        <w:spacing w:line="240" w:lineRule="auto" w:before="62"/>
        <w:ind w:right="0"/>
        <w:jc w:val="left"/>
      </w:pPr>
      <w:r>
        <w:rPr/>
        <w:t>月</w:t>
      </w:r>
      <w:r>
        <w:rPr>
          <w:spacing w:val="-6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日</w:t>
      </w:r>
      <w:r>
        <w:rPr>
          <w:spacing w:val="-92"/>
        </w:rPr>
        <w:t>，</w:t>
      </w:r>
      <w:r>
        <w:rPr/>
        <w:t>东方通在中国证券登记结算有限责任公司深圳分公司就本次配套融资发行的</w:t>
      </w:r>
      <w:r>
        <w:rPr>
          <w:spacing w:val="-6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96</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股股份办理了股权登记手</w:t>
      </w:r>
      <w:r>
        <w:rPr>
          <w:spacing w:val="-3"/>
        </w:rPr>
        <w:t>续</w:t>
      </w:r>
      <w:r>
        <w:rPr/>
        <w:t>，</w:t>
      </w:r>
    </w:p>
    <w:p>
      <w:pPr>
        <w:pStyle w:val="BodyText"/>
        <w:spacing w:line="240" w:lineRule="auto" w:before="62"/>
        <w:ind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日，上述股份完成上市手续。上述事宜完成后，公司总股本变更为</w:t>
      </w:r>
      <w:r>
        <w:rPr>
          <w:spacing w:val="-47"/>
        </w:rPr>
        <w:t> </w:t>
      </w:r>
      <w:r>
        <w:rPr>
          <w:rFonts w:ascii="Times New Roman" w:hAnsi="Times New Roman" w:cs="Times New Roman" w:eastAsia="Times New Roman" w:hint="default"/>
        </w:rPr>
        <w:t>57,610,150</w:t>
      </w:r>
      <w:r>
        <w:rPr>
          <w:rFonts w:ascii="Times New Roman" w:hAnsi="Times New Roman" w:cs="Times New Roman" w:eastAsia="Times New Roman" w:hint="default"/>
          <w:spacing w:val="-1"/>
        </w:rPr>
        <w:t> </w:t>
      </w:r>
      <w:r>
        <w:rPr/>
        <w:t>股。</w:t>
      </w:r>
    </w:p>
    <w:p>
      <w:pPr>
        <w:pStyle w:val="BodyText"/>
        <w:spacing w:line="240" w:lineRule="auto" w:before="103"/>
        <w:ind w:left="512" w:right="0"/>
        <w:jc w:val="left"/>
      </w:pPr>
      <w:r>
        <w:rPr>
          <w:rFonts w:ascii="Times New Roman" w:hAnsi="Times New Roman" w:cs="Times New Roman" w:eastAsia="Times New Roman" w:hint="default"/>
        </w:rPr>
        <w:t>2.</w:t>
      </w:r>
      <w:r>
        <w:rPr/>
        <w:t>经公司第二届董事会第十五次会议、第二次监事会第九次会议及公司</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spacing w:val="-3"/>
        </w:rPr>
        <w:t>年度股东大会审议，公司</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年度利润分</w:t>
      </w:r>
    </w:p>
    <w:p>
      <w:pPr>
        <w:pStyle w:val="BodyText"/>
        <w:spacing w:line="240" w:lineRule="auto" w:before="62"/>
        <w:ind w:right="0"/>
        <w:jc w:val="left"/>
      </w:pPr>
      <w:r>
        <w:rPr/>
        <w:t>配和资本公积金转增股本方案如下：以公司现有总股本</w:t>
      </w:r>
      <w:r>
        <w:rPr>
          <w:spacing w:val="-49"/>
        </w:rPr>
        <w:t> </w:t>
      </w:r>
      <w:r>
        <w:rPr>
          <w:rFonts w:ascii="Times New Roman" w:hAnsi="Times New Roman" w:cs="Times New Roman" w:eastAsia="Times New Roman" w:hint="default"/>
        </w:rPr>
        <w:t>57,610,150</w:t>
      </w:r>
      <w:r>
        <w:rPr>
          <w:rFonts w:ascii="Times New Roman" w:hAnsi="Times New Roman" w:cs="Times New Roman" w:eastAsia="Times New Roman" w:hint="default"/>
          <w:spacing w:val="-3"/>
        </w:rPr>
        <w:t> </w:t>
      </w:r>
      <w:r>
        <w:rPr>
          <w:spacing w:val="-3"/>
        </w:rPr>
        <w:t>股为基数，向全体股东每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w:t>
      </w:r>
      <w:r>
        <w:rPr>
          <w:spacing w:val="-49"/>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3"/>
        </w:rPr>
        <w:t> </w:t>
      </w:r>
      <w:r>
        <w:rPr/>
        <w:t>元人民币现金</w:t>
      </w:r>
    </w:p>
    <w:p>
      <w:pPr>
        <w:pStyle w:val="BodyText"/>
        <w:spacing w:line="240" w:lineRule="auto" w:before="62"/>
        <w:ind w:right="0"/>
        <w:jc w:val="left"/>
      </w:pPr>
      <w:r>
        <w:rPr/>
        <w:t>（含税</w:t>
      </w:r>
      <w:r>
        <w:rPr>
          <w:spacing w:val="-92"/>
        </w:rPr>
        <w:t>）</w:t>
      </w:r>
      <w:r>
        <w:rPr>
          <w:spacing w:val="-10"/>
        </w:rPr>
        <w:t>；</w:t>
      </w:r>
      <w:r>
        <w:rPr/>
        <w:t>同时</w:t>
      </w:r>
      <w:r>
        <w:rPr>
          <w:spacing w:val="-10"/>
        </w:rPr>
        <w:t>，</w:t>
      </w:r>
      <w:r>
        <w:rPr/>
        <w:t>以资本公积</w:t>
      </w:r>
      <w:r>
        <w:rPr>
          <w:spacing w:val="2"/>
        </w:rPr>
        <w:t>金</w:t>
      </w:r>
      <w:r>
        <w:rPr/>
        <w:t>向全体股东每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3"/>
        </w:rPr>
        <w:t>转</w:t>
      </w:r>
      <w:r>
        <w:rPr/>
        <w:t>增</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10"/>
        </w:rPr>
        <w:t>。</w:t>
      </w:r>
      <w:r>
        <w:rPr/>
        <w:t>分红前本公司总股</w:t>
      </w:r>
      <w:r>
        <w:rPr>
          <w:spacing w:val="-3"/>
        </w:rPr>
        <w:t>本</w:t>
      </w:r>
      <w:r>
        <w:rPr/>
        <w:t>为</w:t>
      </w:r>
      <w:r>
        <w:rPr>
          <w:spacing w:val="-45"/>
        </w:rPr>
        <w:t> </w:t>
      </w:r>
      <w:r>
        <w:rPr>
          <w:rFonts w:ascii="Times New Roman" w:hAnsi="Times New Roman" w:cs="Times New Roman" w:eastAsia="Times New Roman" w:hint="default"/>
          <w:spacing w:val="1"/>
        </w:rPr>
        <w:t>57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10"/>
        </w:rPr>
        <w:t>，</w:t>
      </w:r>
      <w:r>
        <w:rPr/>
        <w:t>分红后总</w:t>
      </w:r>
      <w:r>
        <w:rPr>
          <w:spacing w:val="-3"/>
        </w:rPr>
        <w:t>股</w:t>
      </w:r>
      <w:r>
        <w:rPr/>
        <w:t>本</w:t>
      </w:r>
    </w:p>
    <w:p>
      <w:pPr>
        <w:pStyle w:val="BodyText"/>
        <w:spacing w:line="240" w:lineRule="auto" w:before="62"/>
        <w:ind w:right="0"/>
        <w:jc w:val="left"/>
      </w:pPr>
      <w:r>
        <w:rPr/>
        <w:t>增至</w:t>
      </w:r>
      <w:r>
        <w:rPr>
          <w:spacing w:val="-50"/>
        </w:rPr>
        <w:t> </w:t>
      </w:r>
      <w:r>
        <w:rPr>
          <w:rFonts w:ascii="Times New Roman" w:hAnsi="Times New Roman" w:cs="Times New Roman" w:eastAsia="Times New Roman" w:hint="default"/>
        </w:rPr>
        <w:t>115,220,300</w:t>
      </w:r>
      <w:r>
        <w:rPr>
          <w:rFonts w:ascii="Times New Roman" w:hAnsi="Times New Roman" w:cs="Times New Roman" w:eastAsia="Times New Roman" w:hint="default"/>
          <w:spacing w:val="-5"/>
        </w:rPr>
        <w:t> </w:t>
      </w:r>
      <w:r>
        <w:rPr/>
        <w:t>股。</w:t>
      </w:r>
    </w:p>
    <w:p>
      <w:pPr>
        <w:pStyle w:val="BodyText"/>
        <w:spacing w:line="300" w:lineRule="auto" w:before="101"/>
        <w:ind w:left="151" w:right="188" w:firstLine="360"/>
        <w:jc w:val="both"/>
      </w:pPr>
      <w:r>
        <w:rPr>
          <w:rFonts w:ascii="Times New Roman" w:hAnsi="Times New Roman" w:cs="Times New Roman" w:eastAsia="Times New Roman" w:hint="default"/>
        </w:rPr>
        <w:t>3.2015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3"/>
        </w:rPr>
        <w:t>日，公司发起人股东东华软件股份公司、盈富泰克创业投资有限公司等共计</w:t>
      </w:r>
      <w:r>
        <w:rPr>
          <w:spacing w:val="-44"/>
        </w:rPr>
        <w:t> </w:t>
      </w:r>
      <w:r>
        <w:rPr>
          <w:rFonts w:ascii="Times New Roman" w:hAnsi="Times New Roman" w:cs="Times New Roman" w:eastAsia="Times New Roman" w:hint="default"/>
        </w:rPr>
        <w:t>36</w:t>
      </w:r>
      <w:r>
        <w:rPr>
          <w:rFonts w:ascii="Times New Roman" w:hAnsi="Times New Roman" w:cs="Times New Roman" w:eastAsia="Times New Roman" w:hint="default"/>
          <w:spacing w:val="2"/>
        </w:rPr>
        <w:t> </w:t>
      </w:r>
      <w:r>
        <w:rPr/>
        <w:t>名股东持有的首次公开 </w:t>
      </w:r>
      <w:r>
        <w:rPr>
          <w:spacing w:val="-2"/>
        </w:rPr>
        <w:t>发行股票的限售股份销定承诺到期，可上市流通。公司向深交所、中国证券登记结算公司提交了股份上市流通的申请。</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04</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日，本次解除限售股份上市流通。本次解禁限售股份数量</w:t>
      </w:r>
      <w:r>
        <w:rPr>
          <w:spacing w:val="-47"/>
        </w:rPr>
        <w:t> </w:t>
      </w:r>
      <w:r>
        <w:rPr>
          <w:rFonts w:ascii="Times New Roman" w:hAnsi="Times New Roman" w:cs="Times New Roman" w:eastAsia="Times New Roman" w:hint="default"/>
        </w:rPr>
        <w:t>30,516,050</w:t>
      </w:r>
      <w:r>
        <w:rPr>
          <w:rFonts w:ascii="Times New Roman" w:hAnsi="Times New Roman" w:cs="Times New Roman" w:eastAsia="Times New Roman" w:hint="default"/>
          <w:spacing w:val="-1"/>
        </w:rPr>
        <w:t> </w:t>
      </w:r>
      <w:r>
        <w:rPr/>
        <w:t>股，占总股本的</w:t>
      </w:r>
      <w:r>
        <w:rPr>
          <w:spacing w:val="-47"/>
        </w:rPr>
        <w:t> </w:t>
      </w:r>
      <w:r>
        <w:rPr>
          <w:rFonts w:ascii="Times New Roman" w:hAnsi="Times New Roman" w:cs="Times New Roman" w:eastAsia="Times New Roman" w:hint="default"/>
        </w:rPr>
        <w:t>26.4850%</w:t>
      </w:r>
      <w:r>
        <w:rPr/>
        <w:t>；于解禁日实际 可上市流通数量为</w:t>
      </w:r>
      <w:r>
        <w:rPr>
          <w:spacing w:val="-47"/>
        </w:rPr>
        <w:t> </w:t>
      </w:r>
      <w:r>
        <w:rPr>
          <w:rFonts w:ascii="Times New Roman" w:hAnsi="Times New Roman" w:cs="Times New Roman" w:eastAsia="Times New Roman" w:hint="default"/>
        </w:rPr>
        <w:t>27,703,941</w:t>
      </w:r>
      <w:r>
        <w:rPr>
          <w:rFonts w:ascii="Times New Roman" w:hAnsi="Times New Roman" w:cs="Times New Roman" w:eastAsia="Times New Roman" w:hint="default"/>
          <w:spacing w:val="-3"/>
        </w:rPr>
        <w:t> </w:t>
      </w:r>
      <w:r>
        <w:rPr/>
        <w:t>股，占总股本的</w:t>
      </w:r>
      <w:r>
        <w:rPr>
          <w:spacing w:val="-47"/>
        </w:rPr>
        <w:t> </w:t>
      </w:r>
      <w:r>
        <w:rPr>
          <w:rFonts w:ascii="Times New Roman" w:hAnsi="Times New Roman" w:cs="Times New Roman" w:eastAsia="Times New Roman" w:hint="default"/>
        </w:rPr>
        <w:t>24.0443%</w:t>
      </w:r>
      <w:r>
        <w:rPr/>
        <w:t>。</w:t>
      </w:r>
    </w:p>
    <w:p>
      <w:pPr>
        <w:pStyle w:val="BodyText"/>
        <w:spacing w:line="319" w:lineRule="auto" w:before="53"/>
        <w:ind w:left="151" w:right="0" w:firstLine="360"/>
        <w:jc w:val="left"/>
      </w:pPr>
      <w:r>
        <w:rPr>
          <w:rFonts w:ascii="Times New Roman" w:hAnsi="Times New Roman" w:cs="Times New Roman" w:eastAsia="Times New Roman" w:hint="default"/>
        </w:rPr>
        <w:t>4</w:t>
      </w:r>
      <w:r>
        <w:rPr/>
        <w:t>、鉴于公司发起人股东杨桦先生辞去公司监事职务，其直接持有公司股票 </w:t>
      </w:r>
      <w:r>
        <w:rPr>
          <w:rFonts w:ascii="Times New Roman" w:hAnsi="Times New Roman" w:cs="Times New Roman" w:eastAsia="Times New Roman" w:hint="default"/>
        </w:rPr>
        <w:t>1,088,746 </w:t>
      </w:r>
      <w:r>
        <w:rPr/>
        <w:t>股，占公司总股本的</w:t>
      </w:r>
      <w:r>
        <w:rPr>
          <w:spacing w:val="-48"/>
        </w:rPr>
        <w:t> </w:t>
      </w:r>
      <w:r>
        <w:rPr>
          <w:rFonts w:ascii="Times New Roman" w:hAnsi="Times New Roman" w:cs="Times New Roman" w:eastAsia="Times New Roman" w:hint="default"/>
        </w:rPr>
        <w:t>0.9449%</w:t>
      </w:r>
      <w:r>
        <w:rPr/>
        <w:t>。 </w:t>
      </w:r>
      <w:r>
        <w:rPr>
          <w:spacing w:val="-2"/>
        </w:rPr>
        <w:t>根据相关法律、法规及相关承诺，杨桦先生于申报离职后半年内不转让其所持有的东方通股份（其所持股份变更为高管锁定</w:t>
      </w:r>
      <w:r>
        <w:rPr>
          <w:spacing w:val="-63"/>
        </w:rPr>
        <w:t> </w:t>
      </w:r>
      <w:r>
        <w:rPr>
          <w:spacing w:val="-63"/>
        </w:rPr>
      </w:r>
      <w:r>
        <w:rPr>
          <w:spacing w:val="-7"/>
        </w:rPr>
        <w:t>股）。杨桦先生的辞职申请已于</w:t>
      </w:r>
      <w:r>
        <w:rPr>
          <w:spacing w:val="-44"/>
        </w:rPr>
        <w:t> </w:t>
      </w:r>
      <w:r>
        <w:rPr>
          <w:rFonts w:ascii="Times New Roman" w:hAnsi="Times New Roman" w:cs="Times New Roman" w:eastAsia="Times New Roman" w:hint="default"/>
        </w:rPr>
        <w:t>2015 </w:t>
      </w:r>
      <w:r>
        <w:rPr/>
        <w:t>年</w:t>
      </w:r>
      <w:r>
        <w:rPr>
          <w:spacing w:val="-44"/>
        </w:rPr>
        <w:t> </w:t>
      </w:r>
      <w:r>
        <w:rPr>
          <w:rFonts w:ascii="Times New Roman" w:hAnsi="Times New Roman" w:cs="Times New Roman" w:eastAsia="Times New Roman" w:hint="default"/>
        </w:rPr>
        <w:t>9 </w:t>
      </w:r>
      <w:r>
        <w:rPr/>
        <w:t>月</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1"/>
        </w:rPr>
        <w:t>日在公司</w:t>
      </w:r>
      <w:r>
        <w:rPr>
          <w:spacing w:val="-44"/>
        </w:rPr>
        <w:t> </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2"/>
        </w:rPr>
        <w:t> </w:t>
      </w:r>
      <w:r>
        <w:rPr>
          <w:spacing w:val="-1"/>
        </w:rPr>
        <w:t>年第二次临时股东大会选举产生新任监事后生效。</w:t>
      </w:r>
      <w:r>
        <w:rPr>
          <w:spacing w:val="-70"/>
        </w:rPr>
        <w:t> </w:t>
      </w:r>
      <w:r>
        <w:rPr>
          <w:spacing w:val="-70"/>
        </w:rPr>
      </w:r>
      <w:r>
        <w:rPr/>
        <w:t>股份变动的过户情况</w:t>
      </w:r>
    </w:p>
    <w:p>
      <w:pPr>
        <w:pStyle w:val="BodyText"/>
        <w:spacing w:line="240" w:lineRule="auto" w:before="55"/>
        <w:ind w:left="15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1" w:right="0"/>
        <w:jc w:val="left"/>
      </w:pPr>
      <w:r>
        <w:rPr>
          <w:rFonts w:ascii="Times New Roman" w:hAnsi="Times New Roman" w:cs="Times New Roman" w:eastAsia="Times New Roman" w:hint="default"/>
        </w:rPr>
        <w:t>1.</w:t>
      </w:r>
      <w:r>
        <w:rPr/>
        <w:t>根据公司</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年第二次临时股东大会决议和中国证券监督管理委员会《关于核准北京东方通科技股份有限公司向李</w:t>
      </w:r>
    </w:p>
    <w:p>
      <w:pPr>
        <w:pStyle w:val="BodyText"/>
        <w:spacing w:line="240" w:lineRule="auto" w:before="62"/>
        <w:ind w:left="151" w:right="0"/>
        <w:jc w:val="left"/>
      </w:pPr>
      <w:r>
        <w:rPr/>
        <w:t>健等发行股份购买资产并募集配套资金的批复</w:t>
      </w:r>
      <w:r>
        <w:rPr>
          <w:spacing w:val="-113"/>
        </w:rPr>
        <w:t>》</w:t>
      </w:r>
      <w:r>
        <w:rPr/>
        <w:t>（证监许可</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5</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spacing w:val="-22"/>
        </w:rPr>
        <w:t>）</w:t>
      </w:r>
      <w:r>
        <w:rPr/>
        <w:t>核准</w:t>
      </w:r>
      <w:r>
        <w:rPr>
          <w:spacing w:val="-22"/>
        </w:rPr>
        <w:t>，</w:t>
      </w:r>
      <w:r>
        <w:rPr/>
        <w:t>东方</w:t>
      </w:r>
      <w:r>
        <w:rPr>
          <w:spacing w:val="-3"/>
        </w:rPr>
        <w:t>通</w:t>
      </w:r>
      <w:r>
        <w:rPr/>
        <w:t>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日在中国证</w:t>
      </w:r>
      <w:r>
        <w:rPr>
          <w:spacing w:val="-3"/>
        </w:rPr>
        <w:t>券</w:t>
      </w:r>
      <w:r>
        <w:rPr/>
        <w:t>登</w:t>
      </w:r>
    </w:p>
    <w:p>
      <w:pPr>
        <w:pStyle w:val="BodyText"/>
        <w:spacing w:line="240" w:lineRule="auto" w:before="62"/>
        <w:ind w:left="151" w:right="0"/>
        <w:jc w:val="left"/>
        <w:rPr>
          <w:rFonts w:ascii="Times New Roman" w:hAnsi="Times New Roman" w:cs="Times New Roman" w:eastAsia="Times New Roman" w:hint="default"/>
        </w:rPr>
      </w:pPr>
      <w:r>
        <w:rPr/>
        <w:t>记结算有限责任公司深圳分公司办理新增股份</w:t>
      </w:r>
      <w:r>
        <w:rPr>
          <w:spacing w:val="-51"/>
        </w:rPr>
        <w:t> </w:t>
      </w:r>
      <w:r>
        <w:rPr>
          <w:rFonts w:ascii="Times New Roman" w:hAnsi="Times New Roman" w:cs="Times New Roman" w:eastAsia="Times New Roman" w:hint="default"/>
        </w:rPr>
        <w:t>448</w:t>
      </w:r>
      <w:r>
        <w:rPr>
          <w:rFonts w:ascii="Times New Roman" w:hAnsi="Times New Roman" w:cs="Times New Roman" w:eastAsia="Times New Roman" w:hint="default"/>
          <w:spacing w:val="-5"/>
        </w:rPr>
        <w:t> </w:t>
      </w:r>
      <w:r>
        <w:rPr/>
        <w:t>万股的登记手续，</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日，上述股份完成上市手续。</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w:t>
      </w:r>
    </w:p>
    <w:p>
      <w:pPr>
        <w:pStyle w:val="BodyText"/>
        <w:spacing w:line="240" w:lineRule="auto" w:before="62"/>
        <w:ind w:left="151" w:right="0"/>
        <w:jc w:val="left"/>
      </w:pPr>
      <w:r>
        <w:rPr/>
        <w:t>月</w:t>
      </w:r>
      <w:r>
        <w:rPr>
          <w:spacing w:val="-6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日</w:t>
      </w:r>
      <w:r>
        <w:rPr>
          <w:spacing w:val="-92"/>
        </w:rPr>
        <w:t>，</w:t>
      </w:r>
      <w:r>
        <w:rPr/>
        <w:t>东方通在中国证券登记结算有限责任公司深圳分公司就本次配套融资发行的</w:t>
      </w:r>
      <w:r>
        <w:rPr>
          <w:spacing w:val="-6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96</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股股份办理了股权登记手</w:t>
      </w:r>
      <w:r>
        <w:rPr>
          <w:spacing w:val="-3"/>
        </w:rPr>
        <w:t>续</w:t>
      </w:r>
      <w:r>
        <w:rPr/>
        <w:t>，</w:t>
      </w:r>
    </w:p>
    <w:p>
      <w:pPr>
        <w:pStyle w:val="BodyText"/>
        <w:spacing w:line="240" w:lineRule="auto" w:before="62"/>
        <w:ind w:left="151"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日，上述股份完成上市手续。上述事宜完成后，公司总股本变更为</w:t>
      </w:r>
      <w:r>
        <w:rPr>
          <w:spacing w:val="-47"/>
        </w:rPr>
        <w:t> </w:t>
      </w:r>
      <w:r>
        <w:rPr>
          <w:rFonts w:ascii="Times New Roman" w:hAnsi="Times New Roman" w:cs="Times New Roman" w:eastAsia="Times New Roman" w:hint="default"/>
        </w:rPr>
        <w:t>57,610,150</w:t>
      </w:r>
      <w:r>
        <w:rPr>
          <w:rFonts w:ascii="Times New Roman" w:hAnsi="Times New Roman" w:cs="Times New Roman" w:eastAsia="Times New Roman" w:hint="default"/>
          <w:spacing w:val="-1"/>
        </w:rPr>
        <w:t> </w:t>
      </w:r>
      <w:r>
        <w:rPr/>
        <w:t>股。</w:t>
      </w:r>
    </w:p>
    <w:p>
      <w:pPr>
        <w:pStyle w:val="BodyText"/>
        <w:spacing w:line="240" w:lineRule="auto" w:before="103"/>
        <w:ind w:left="511" w:right="0"/>
        <w:jc w:val="left"/>
      </w:pPr>
      <w:r>
        <w:rPr>
          <w:rFonts w:ascii="Times New Roman" w:hAnsi="Times New Roman" w:cs="Times New Roman" w:eastAsia="Times New Roman" w:hint="default"/>
        </w:rPr>
        <w:t>2.</w:t>
      </w:r>
      <w:r>
        <w:rPr/>
        <w:t>经公司第二届董事会第十五次会议、第二次监事会第九次会议及公司</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spacing w:val="-3"/>
        </w:rPr>
        <w:t>年度股东大会审议，公司</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年度利润分</w:t>
      </w:r>
    </w:p>
    <w:p>
      <w:pPr>
        <w:pStyle w:val="BodyText"/>
        <w:spacing w:line="240" w:lineRule="auto" w:before="62"/>
        <w:ind w:left="151" w:right="0"/>
        <w:jc w:val="left"/>
      </w:pPr>
      <w:r>
        <w:rPr/>
        <w:t>配和资本公积金转增股本方案如下：以公司现有总股本</w:t>
      </w:r>
      <w:r>
        <w:rPr>
          <w:spacing w:val="-49"/>
        </w:rPr>
        <w:t> </w:t>
      </w:r>
      <w:r>
        <w:rPr>
          <w:rFonts w:ascii="Times New Roman" w:hAnsi="Times New Roman" w:cs="Times New Roman" w:eastAsia="Times New Roman" w:hint="default"/>
        </w:rPr>
        <w:t>57,610,150</w:t>
      </w:r>
      <w:r>
        <w:rPr>
          <w:rFonts w:ascii="Times New Roman" w:hAnsi="Times New Roman" w:cs="Times New Roman" w:eastAsia="Times New Roman" w:hint="default"/>
          <w:spacing w:val="-3"/>
        </w:rPr>
        <w:t> </w:t>
      </w:r>
      <w:r>
        <w:rPr>
          <w:spacing w:val="-3"/>
        </w:rPr>
        <w:t>股为基数，向全体股东每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w:t>
      </w:r>
      <w:r>
        <w:rPr>
          <w:spacing w:val="-49"/>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3"/>
        </w:rPr>
        <w:t> </w:t>
      </w:r>
      <w:r>
        <w:rPr/>
        <w:t>元人民币现金</w:t>
      </w:r>
    </w:p>
    <w:p>
      <w:pPr>
        <w:pStyle w:val="BodyText"/>
        <w:spacing w:line="240" w:lineRule="auto" w:before="62"/>
        <w:ind w:left="151" w:right="0"/>
        <w:jc w:val="left"/>
      </w:pPr>
      <w:r>
        <w:rPr/>
        <w:t>（含税</w:t>
      </w:r>
      <w:r>
        <w:rPr>
          <w:spacing w:val="-92"/>
        </w:rPr>
        <w:t>）</w:t>
      </w:r>
      <w:r>
        <w:rPr>
          <w:spacing w:val="-10"/>
        </w:rPr>
        <w:t>；</w:t>
      </w:r>
      <w:r>
        <w:rPr/>
        <w:t>同时</w:t>
      </w:r>
      <w:r>
        <w:rPr>
          <w:spacing w:val="-10"/>
        </w:rPr>
        <w:t>，</w:t>
      </w:r>
      <w:r>
        <w:rPr/>
        <w:t>以资本公积</w:t>
      </w:r>
      <w:r>
        <w:rPr>
          <w:spacing w:val="2"/>
        </w:rPr>
        <w:t>金</w:t>
      </w:r>
      <w:r>
        <w:rPr/>
        <w:t>向全体股东每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3"/>
        </w:rPr>
        <w:t>转</w:t>
      </w:r>
      <w:r>
        <w:rPr/>
        <w:t>增</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10"/>
        </w:rPr>
        <w:t>。</w:t>
      </w:r>
      <w:r>
        <w:rPr/>
        <w:t>分红前本公司总股</w:t>
      </w:r>
      <w:r>
        <w:rPr>
          <w:spacing w:val="-3"/>
        </w:rPr>
        <w:t>本</w:t>
      </w:r>
      <w:r>
        <w:rPr/>
        <w:t>为</w:t>
      </w:r>
      <w:r>
        <w:rPr>
          <w:spacing w:val="-45"/>
        </w:rPr>
        <w:t> </w:t>
      </w:r>
      <w:r>
        <w:rPr>
          <w:rFonts w:ascii="Times New Roman" w:hAnsi="Times New Roman" w:cs="Times New Roman" w:eastAsia="Times New Roman" w:hint="default"/>
          <w:spacing w:val="1"/>
        </w:rPr>
        <w:t>57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10"/>
        </w:rPr>
        <w:t>，</w:t>
      </w:r>
      <w:r>
        <w:rPr/>
        <w:t>分红后总</w:t>
      </w:r>
      <w:r>
        <w:rPr>
          <w:spacing w:val="-3"/>
        </w:rPr>
        <w:t>股</w:t>
      </w:r>
      <w:r>
        <w:rPr/>
        <w:t>本</w:t>
      </w:r>
    </w:p>
    <w:p>
      <w:pPr>
        <w:pStyle w:val="BodyText"/>
        <w:spacing w:line="338" w:lineRule="auto" w:before="62"/>
        <w:ind w:left="151" w:right="455"/>
        <w:jc w:val="left"/>
      </w:pPr>
      <w:r>
        <w:rPr/>
        <w:t>增至</w:t>
      </w:r>
      <w:r>
        <w:rPr>
          <w:spacing w:val="-46"/>
        </w:rPr>
        <w:t> </w:t>
      </w:r>
      <w:r>
        <w:rPr>
          <w:rFonts w:ascii="Times New Roman" w:hAnsi="Times New Roman" w:cs="Times New Roman" w:eastAsia="Times New Roman" w:hint="default"/>
        </w:rPr>
        <w:t>115,220,300 </w:t>
      </w:r>
      <w:r>
        <w:rPr/>
        <w:t>股。上述权益分派事宜于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16 </w:t>
      </w:r>
      <w:r>
        <w:rPr/>
        <w:t>日实施完成，公司总股本变更为</w:t>
      </w:r>
      <w:r>
        <w:rPr>
          <w:spacing w:val="-46"/>
        </w:rPr>
        <w:t> </w:t>
      </w:r>
      <w:r>
        <w:rPr>
          <w:rFonts w:ascii="Times New Roman" w:hAnsi="Times New Roman" w:cs="Times New Roman" w:eastAsia="Times New Roman" w:hint="default"/>
        </w:rPr>
        <w:t>115,220,300 </w:t>
      </w:r>
      <w:r>
        <w:rPr/>
        <w:t>股。 股份变动对最近一年和最近一期基本每股收益和稀释每股收益、归属于公司普通股股东的每股净资产等财务指标的影响</w:t>
      </w:r>
    </w:p>
    <w:p>
      <w:pPr>
        <w:pStyle w:val="BodyText"/>
        <w:spacing w:line="240" w:lineRule="auto" w:before="43"/>
        <w:ind w:left="15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1" w:right="0"/>
        <w:jc w:val="left"/>
      </w:pPr>
      <w:r>
        <w:rPr/>
        <w:t>报告期内，总股本从</w:t>
      </w:r>
      <w:r>
        <w:rPr>
          <w:spacing w:val="-48"/>
        </w:rPr>
        <w:t> </w:t>
      </w:r>
      <w:r>
        <w:rPr>
          <w:rFonts w:ascii="Times New Roman" w:hAnsi="Times New Roman" w:cs="Times New Roman" w:eastAsia="Times New Roman" w:hint="default"/>
        </w:rPr>
        <w:t>5,761.02</w:t>
      </w:r>
      <w:r>
        <w:rPr>
          <w:rFonts w:ascii="Times New Roman" w:hAnsi="Times New Roman" w:cs="Times New Roman" w:eastAsia="Times New Roman" w:hint="default"/>
          <w:spacing w:val="-4"/>
        </w:rPr>
        <w:t> </w:t>
      </w:r>
      <w:r>
        <w:rPr/>
        <w:t>万股增加到</w:t>
      </w:r>
      <w:r>
        <w:rPr>
          <w:spacing w:val="-48"/>
        </w:rPr>
        <w:t> </w:t>
      </w:r>
      <w:r>
        <w:rPr>
          <w:rFonts w:ascii="Times New Roman" w:hAnsi="Times New Roman" w:cs="Times New Roman" w:eastAsia="Times New Roman" w:hint="default"/>
        </w:rPr>
        <w:t>11,522.03</w:t>
      </w:r>
      <w:r>
        <w:rPr>
          <w:rFonts w:ascii="Times New Roman" w:hAnsi="Times New Roman" w:cs="Times New Roman" w:eastAsia="Times New Roman" w:hint="default"/>
          <w:spacing w:val="-2"/>
        </w:rPr>
        <w:t> </w:t>
      </w:r>
      <w:r>
        <w:rPr/>
        <w:t>万股，本报告期基本每股收益</w:t>
      </w:r>
      <w:r>
        <w:rPr>
          <w:spacing w:val="-48"/>
        </w:rPr>
        <w:t> </w:t>
      </w:r>
      <w:r>
        <w:rPr>
          <w:rFonts w:ascii="Times New Roman" w:hAnsi="Times New Roman" w:cs="Times New Roman" w:eastAsia="Times New Roman" w:hint="default"/>
        </w:rPr>
        <w:t>0.6135</w:t>
      </w:r>
      <w:r>
        <w:rPr>
          <w:rFonts w:ascii="Times New Roman" w:hAnsi="Times New Roman" w:cs="Times New Roman" w:eastAsia="Times New Roman" w:hint="default"/>
          <w:spacing w:val="-2"/>
        </w:rPr>
        <w:t> </w:t>
      </w:r>
      <w:r>
        <w:rPr/>
        <w:t>元，稀释每股收益</w:t>
      </w:r>
      <w:r>
        <w:rPr>
          <w:spacing w:val="-48"/>
        </w:rPr>
        <w:t> </w:t>
      </w:r>
      <w:r>
        <w:rPr>
          <w:rFonts w:ascii="Times New Roman" w:hAnsi="Times New Roman" w:cs="Times New Roman" w:eastAsia="Times New Roman" w:hint="default"/>
        </w:rPr>
        <w:t>0.6081</w:t>
      </w:r>
      <w:r>
        <w:rPr>
          <w:rFonts w:ascii="Times New Roman" w:hAnsi="Times New Roman" w:cs="Times New Roman" w:eastAsia="Times New Roman" w:hint="default"/>
          <w:spacing w:val="-2"/>
        </w:rPr>
        <w:t> </w:t>
      </w:r>
      <w:r>
        <w:rPr>
          <w:spacing w:val="-3"/>
        </w:rPr>
        <w:t>元，</w:t>
      </w:r>
      <w:r>
        <w:rPr/>
      </w:r>
    </w:p>
    <w:p>
      <w:pPr>
        <w:pStyle w:val="BodyText"/>
        <w:spacing w:line="240" w:lineRule="auto" w:before="62"/>
        <w:ind w:left="151" w:right="0"/>
        <w:jc w:val="left"/>
      </w:pPr>
      <w:r>
        <w:rPr/>
        <w:t>归属于上市公司股东的每股净资产</w:t>
      </w:r>
      <w:r>
        <w:rPr>
          <w:spacing w:val="-47"/>
        </w:rPr>
        <w:t> </w:t>
      </w:r>
      <w:r>
        <w:rPr>
          <w:rFonts w:ascii="Times New Roman" w:hAnsi="Times New Roman" w:cs="Times New Roman" w:eastAsia="Times New Roman" w:hint="default"/>
        </w:rPr>
        <w:t>7.30</w:t>
      </w:r>
      <w:r>
        <w:rPr>
          <w:rFonts w:ascii="Times New Roman" w:hAnsi="Times New Roman" w:cs="Times New Roman" w:eastAsia="Times New Roman" w:hint="default"/>
          <w:spacing w:val="-1"/>
        </w:rPr>
        <w:t> </w:t>
      </w:r>
      <w:r>
        <w:rPr/>
        <w:t>元；根据相关会计准则的规定，按最新股本调整后上年同期基本每股收及稀释每股</w:t>
      </w:r>
    </w:p>
    <w:p>
      <w:pPr>
        <w:pStyle w:val="BodyText"/>
        <w:spacing w:line="338" w:lineRule="auto" w:before="62"/>
        <w:ind w:left="151" w:right="4609"/>
        <w:jc w:val="left"/>
      </w:pPr>
      <w:r>
        <w:rPr/>
        <w:t>收益均为</w:t>
      </w:r>
      <w:r>
        <w:rPr>
          <w:spacing w:val="-49"/>
        </w:rPr>
        <w:t> </w:t>
      </w:r>
      <w:r>
        <w:rPr>
          <w:rFonts w:ascii="Times New Roman" w:hAnsi="Times New Roman" w:cs="Times New Roman" w:eastAsia="Times New Roman" w:hint="default"/>
        </w:rPr>
        <w:t>0.5611</w:t>
      </w:r>
      <w:r>
        <w:rPr>
          <w:rFonts w:ascii="Times New Roman" w:hAnsi="Times New Roman" w:cs="Times New Roman" w:eastAsia="Times New Roman" w:hint="default"/>
          <w:spacing w:val="-3"/>
        </w:rPr>
        <w:t> </w:t>
      </w:r>
      <w:r>
        <w:rPr/>
        <w:t>元，归属于上市公司股东的每股净资产</w:t>
      </w:r>
      <w:r>
        <w:rPr>
          <w:spacing w:val="-49"/>
        </w:rPr>
        <w:t> </w:t>
      </w:r>
      <w:r>
        <w:rPr>
          <w:rFonts w:ascii="Times New Roman" w:hAnsi="Times New Roman" w:cs="Times New Roman" w:eastAsia="Times New Roman" w:hint="default"/>
        </w:rPr>
        <w:t>13.56</w:t>
      </w:r>
      <w:r>
        <w:rPr>
          <w:rFonts w:ascii="Times New Roman" w:hAnsi="Times New Roman" w:cs="Times New Roman" w:eastAsia="Times New Roman" w:hint="default"/>
          <w:spacing w:val="-3"/>
        </w:rPr>
        <w:t> </w:t>
      </w:r>
      <w:r>
        <w:rPr/>
        <w:t>元。 公司认为必要或证券监管机构要求披露的其他内容</w:t>
      </w:r>
    </w:p>
    <w:p>
      <w:pPr>
        <w:pStyle w:val="BodyText"/>
        <w:spacing w:line="240" w:lineRule="auto" w:before="43"/>
        <w:ind w:left="15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1"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4"/>
        </w:rPr>
        <w:t>日，公司</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年第一次临时股东大会审议通过了《关于公司符合非公开发行股票条件的议案》等的相关</w:t>
      </w:r>
    </w:p>
    <w:p>
      <w:pPr>
        <w:pStyle w:val="BodyText"/>
        <w:spacing w:line="240" w:lineRule="auto" w:before="62"/>
        <w:ind w:left="151" w:right="0"/>
        <w:jc w:val="left"/>
      </w:pPr>
      <w:r>
        <w:rPr/>
        <w:t>议案，本次非公开发行股票募集资金不超过人民币</w:t>
      </w:r>
      <w:r>
        <w:rPr>
          <w:spacing w:val="-49"/>
        </w:rPr>
        <w:t> </w:t>
      </w:r>
      <w:r>
        <w:rPr>
          <w:rFonts w:ascii="Times New Roman" w:hAnsi="Times New Roman" w:cs="Times New Roman" w:eastAsia="Times New Roman" w:hint="default"/>
        </w:rPr>
        <w:t>825,426,738.24</w:t>
      </w:r>
      <w:r>
        <w:rPr>
          <w:rFonts w:ascii="Times New Roman" w:hAnsi="Times New Roman" w:cs="Times New Roman" w:eastAsia="Times New Roman" w:hint="default"/>
          <w:spacing w:val="-3"/>
        </w:rPr>
        <w:t> </w:t>
      </w:r>
      <w:r>
        <w:rPr/>
        <w:t>元，本次募集资金扣除发行费用后拟用于收购微智信业</w:t>
      </w:r>
    </w:p>
    <w:p>
      <w:pPr>
        <w:pStyle w:val="BodyText"/>
        <w:spacing w:line="240" w:lineRule="auto" w:before="62"/>
        <w:ind w:left="151" w:right="0"/>
        <w:jc w:val="left"/>
      </w:pPr>
      <w:r>
        <w:rPr>
          <w:rFonts w:ascii="Times New Roman" w:hAnsi="Times New Roman" w:cs="Times New Roman" w:eastAsia="Times New Roman" w:hint="default"/>
        </w:rPr>
        <w:t>100%</w:t>
      </w:r>
      <w:r>
        <w:rPr/>
        <w:t>股权及补充上市公司流动资金，其中收购微智信业</w:t>
      </w:r>
      <w:r>
        <w:rPr>
          <w:spacing w:val="-47"/>
        </w:rPr>
        <w:t> </w:t>
      </w:r>
      <w:r>
        <w:rPr>
          <w:rFonts w:ascii="Times New Roman" w:hAnsi="Times New Roman" w:cs="Times New Roman" w:eastAsia="Times New Roman" w:hint="default"/>
        </w:rPr>
        <w:t>100%</w:t>
      </w:r>
      <w:r>
        <w:rPr/>
        <w:t>股权项目投入募集资金</w:t>
      </w:r>
      <w:r>
        <w:rPr>
          <w:spacing w:val="-47"/>
        </w:rPr>
        <w:t> </w:t>
      </w:r>
      <w:r>
        <w:rPr>
          <w:rFonts w:ascii="Times New Roman" w:hAnsi="Times New Roman" w:cs="Times New Roman" w:eastAsia="Times New Roman" w:hint="default"/>
        </w:rPr>
        <w:t>58,100</w:t>
      </w:r>
      <w:r>
        <w:rPr>
          <w:rFonts w:ascii="Times New Roman" w:hAnsi="Times New Roman" w:cs="Times New Roman" w:eastAsia="Times New Roman" w:hint="default"/>
          <w:spacing w:val="-3"/>
        </w:rPr>
        <w:t> </w:t>
      </w:r>
      <w:r>
        <w:rPr/>
        <w:t>万元，剩余部分补充上市公司</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流动资金。</w:t>
      </w:r>
    </w:p>
    <w:p>
      <w:pPr>
        <w:pStyle w:val="BodyText"/>
        <w:spacing w:line="240" w:lineRule="auto" w:before="117"/>
        <w:ind w:left="512"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日，公司在指</w:t>
      </w:r>
      <w:r>
        <w:rPr>
          <w:spacing w:val="-3"/>
        </w:rPr>
        <w:t>定</w:t>
      </w:r>
      <w:r>
        <w:rPr/>
        <w:t>媒体披露了关于收到《中国证监会行政许可申请受理通知书</w:t>
      </w:r>
      <w:r>
        <w:rPr>
          <w:spacing w:val="-89"/>
        </w:rPr>
        <w:t>》</w:t>
      </w:r>
      <w:r>
        <w:rPr/>
        <w:t>（</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号）的公告。</w:t>
      </w:r>
    </w:p>
    <w:p>
      <w:pPr>
        <w:pStyle w:val="BodyText"/>
        <w:spacing w:line="300" w:lineRule="auto" w:before="101"/>
        <w:ind w:right="93" w:firstLine="36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spacing w:val="-3"/>
        </w:rPr>
        <w:t>日，中国证券监督管理委员会发行审核委员会对公司非公开发行股票的申请进行了审核。根据审核结果，</w:t>
      </w:r>
      <w:r>
        <w:rPr/>
        <w:t> 公司本次非公开发行股票的申请获得通过。</w:t>
      </w:r>
    </w:p>
    <w:p>
      <w:pPr>
        <w:pStyle w:val="BodyText"/>
        <w:spacing w:line="240" w:lineRule="auto" w:before="72"/>
        <w:ind w:left="512" w:right="0"/>
        <w:jc w:val="left"/>
      </w:pPr>
      <w:r>
        <w:rPr/>
        <w:t>目前，公司尚未收到中国证监会的书面核准文件。</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92"/>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713" w:hRule="exact"/>
        </w:trPr>
        <w:tc>
          <w:tcPr>
            <w:tcW w:w="14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4,829,440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4,829,440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3"/>
              <w:jc w:val="left"/>
              <w:rPr>
                <w:rFonts w:ascii="宋体" w:hAnsi="宋体" w:cs="宋体" w:eastAsia="宋体" w:hint="default"/>
                <w:sz w:val="18"/>
                <w:szCs w:val="18"/>
              </w:rPr>
            </w:pPr>
            <w:r>
              <w:rPr>
                <w:rFonts w:ascii="宋体" w:hAnsi="宋体" w:cs="宋体" w:eastAsia="宋体" w:hint="default"/>
                <w:sz w:val="18"/>
                <w:szCs w:val="18"/>
              </w:rPr>
              <w:t>重大资产重组发 行股份购买资产</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王晋敏</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3,951,360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3,951,360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重大资产重组发 行股份购买资产</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李飚</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3"/>
              <w:jc w:val="left"/>
              <w:rPr>
                <w:rFonts w:ascii="宋体" w:hAnsi="宋体" w:cs="宋体" w:eastAsia="宋体" w:hint="default"/>
                <w:sz w:val="18"/>
                <w:szCs w:val="18"/>
              </w:rPr>
            </w:pPr>
            <w:r>
              <w:rPr>
                <w:rFonts w:ascii="宋体" w:hAnsi="宋体" w:cs="宋体" w:eastAsia="宋体" w:hint="default"/>
                <w:sz w:val="18"/>
                <w:szCs w:val="18"/>
              </w:rPr>
              <w:t>重大资产重组发 行股份购买资产</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王熙春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重大资产重组发 行股份购买资产</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2"/>
              <w:jc w:val="left"/>
              <w:rPr>
                <w:rFonts w:ascii="宋体" w:hAnsi="宋体" w:cs="宋体" w:eastAsia="宋体" w:hint="default"/>
                <w:sz w:val="18"/>
                <w:szCs w:val="18"/>
              </w:rPr>
            </w:pPr>
            <w:r>
              <w:rPr>
                <w:rFonts w:ascii="宋体" w:hAnsi="宋体" w:cs="宋体" w:eastAsia="宋体" w:hint="default"/>
                <w:sz w:val="18"/>
                <w:szCs w:val="18"/>
              </w:rPr>
              <w:t>东华软件股份公 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4,436,112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2,218,056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4,436,112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6,654,168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2"/>
              <w:jc w:val="left"/>
              <w:rPr>
                <w:rFonts w:ascii="宋体" w:hAnsi="宋体" w:cs="宋体" w:eastAsia="宋体" w:hint="default"/>
                <w:sz w:val="18"/>
                <w:szCs w:val="18"/>
              </w:rPr>
            </w:pPr>
            <w:r>
              <w:rPr>
                <w:rFonts w:ascii="宋体" w:hAnsi="宋体" w:cs="宋体" w:eastAsia="宋体" w:hint="default"/>
                <w:sz w:val="18"/>
                <w:szCs w:val="18"/>
              </w:rPr>
              <w:t>盈富泰克创业投 资有限公司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4,065,793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8,131,586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4,065,793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
              <w:jc w:val="left"/>
              <w:rPr>
                <w:rFonts w:ascii="宋体" w:hAnsi="宋体" w:cs="宋体" w:eastAsia="宋体" w:hint="default"/>
                <w:sz w:val="18"/>
                <w:szCs w:val="18"/>
              </w:rPr>
            </w:pPr>
            <w:r>
              <w:rPr>
                <w:rFonts w:ascii="宋体" w:hAnsi="宋体" w:cs="宋体" w:eastAsia="宋体" w:hint="default"/>
                <w:sz w:val="18"/>
                <w:szCs w:val="18"/>
              </w:rPr>
              <w:t>涌金实业（集团） 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3,488,443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6,976,886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3,488,443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牛合庆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2,726,936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1,363,468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2,726,936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4,090,404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陈实</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1,018,377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2,036,754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1,018,377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袁光顺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682,775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1,365,550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682,775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杨桦</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624,373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1,248,746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1,713,119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1,088,746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555,671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1,111,342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555,671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刘亦君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522,343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1,044,686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522,343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李绪兰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385,749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771,498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385,749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佟南燕</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352,497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704,994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352,497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李嘉</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348,215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696,430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348,215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224,197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448,394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224,197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李灿峰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170,694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341,388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170,694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张庆碧</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170,694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341,388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170,694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苏桂平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154,300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308,600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154,300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101,375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202,750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101,375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74,141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148,282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74,141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63,224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126,448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63,224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李彦清</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53,503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107,006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53,503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张升平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50,147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100,294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50,147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查文宇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85,714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李晓钢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85,714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张鑫</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85,714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朱木林</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34,293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68,586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34,293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26,964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26,964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刘邦涛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44,438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邓鹏飞</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38,574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吴雪萍</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38,574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代卫兴</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34,948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9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34,794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9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王金先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33,406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9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牛林涛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16,163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32,326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16,163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9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徐洪波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32,172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9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付东普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31,168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9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栾玉梅</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21,448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93"/>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20,630,311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30,516,050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30,679,057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20,793,318</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607"/>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1"/>
        <w:gridCol w:w="1294"/>
        <w:gridCol w:w="1296"/>
        <w:gridCol w:w="1294"/>
        <w:gridCol w:w="1296"/>
        <w:gridCol w:w="1296"/>
        <w:gridCol w:w="1682"/>
      </w:tblGrid>
      <w:tr>
        <w:trPr>
          <w:trHeight w:val="714" w:hRule="exact"/>
        </w:trPr>
        <w:tc>
          <w:tcPr>
            <w:tcW w:w="14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102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重大资产重组发 行股份及支付现 金购买资产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63.63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4,480,000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重大资产重组募 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82.50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1,696,969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1,696,969</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9"/>
        <w:ind w:right="0"/>
        <w:jc w:val="left"/>
      </w:pPr>
      <w:r>
        <w:rPr/>
        <w:t>报告期内证券发行（不含优先股）情况的说明</w:t>
      </w:r>
    </w:p>
    <w:p>
      <w:pPr>
        <w:pStyle w:val="BodyText"/>
        <w:spacing w:line="300" w:lineRule="auto" w:before="115"/>
        <w:ind w:right="150" w:firstLine="419"/>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日，中国证券监督管理委员会以《关于核准北京东方通科技股份有限公司向李健等发行股份购买资产并 </w:t>
      </w:r>
      <w:r>
        <w:rPr>
          <w:spacing w:val="-2"/>
        </w:rPr>
        <w:t>募集配套资金的批复》（证监许可</w:t>
      </w:r>
      <w:r>
        <w:rPr>
          <w:rFonts w:ascii="Times New Roman" w:hAnsi="Times New Roman" w:cs="Times New Roman" w:eastAsia="Times New Roman" w:hint="default"/>
          <w:spacing w:val="-2"/>
        </w:rPr>
        <w:t>[2014]1354</w:t>
      </w:r>
      <w:r>
        <w:rPr>
          <w:spacing w:val="-2"/>
        </w:rPr>
        <w:t>号）核准本公司向李健等发行</w:t>
      </w:r>
      <w:r>
        <w:rPr>
          <w:rFonts w:ascii="Times New Roman" w:hAnsi="Times New Roman" w:cs="Times New Roman" w:eastAsia="Times New Roman" w:hint="default"/>
          <w:spacing w:val="-2"/>
        </w:rPr>
        <w:t>4,480,000</w:t>
      </w:r>
      <w:r>
        <w:rPr>
          <w:spacing w:val="-2"/>
        </w:rPr>
        <w:t>股股票以购买惠捷朗</w:t>
      </w:r>
      <w:r>
        <w:rPr>
          <w:rFonts w:ascii="Times New Roman" w:hAnsi="Times New Roman" w:cs="Times New Roman" w:eastAsia="Times New Roman" w:hint="default"/>
          <w:spacing w:val="-2"/>
        </w:rPr>
        <w:t>100%</w:t>
      </w:r>
      <w:r>
        <w:rPr>
          <w:spacing w:val="-2"/>
        </w:rPr>
        <w:t>股权，并非公</w:t>
      </w:r>
      <w:r>
        <w:rPr>
          <w:spacing w:val="-48"/>
        </w:rPr>
        <w:t> </w:t>
      </w:r>
      <w:r>
        <w:rPr>
          <w:spacing w:val="-48"/>
        </w:rPr>
      </w:r>
      <w:r>
        <w:rPr/>
        <w:t>开发行股票募集配套资金不超过</w:t>
      </w:r>
      <w:r>
        <w:rPr>
          <w:rFonts w:ascii="Times New Roman" w:hAnsi="Times New Roman" w:cs="Times New Roman" w:eastAsia="Times New Roman" w:hint="default"/>
        </w:rPr>
        <w:t>14,000</w:t>
      </w:r>
      <w:r>
        <w:rPr/>
        <w:t>万元。</w:t>
      </w:r>
    </w:p>
    <w:p>
      <w:pPr>
        <w:pStyle w:val="BodyText"/>
        <w:spacing w:line="300" w:lineRule="auto" w:before="13"/>
        <w:ind w:right="155" w:firstLine="419"/>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日，东方通在中国证券登记结算有限责任公司深圳分公司办理了新增股份</w:t>
      </w:r>
      <w:r>
        <w:rPr>
          <w:spacing w:val="16"/>
        </w:rPr>
        <w:t> </w:t>
      </w:r>
      <w:r>
        <w:rPr>
          <w:rFonts w:ascii="Times New Roman" w:hAnsi="Times New Roman" w:cs="Times New Roman" w:eastAsia="Times New Roman" w:hint="default"/>
        </w:rPr>
        <w:t>448</w:t>
      </w:r>
      <w:r>
        <w:rPr/>
        <w:t>万股的登记手续，发行价 格为 </w:t>
      </w:r>
      <w:r>
        <w:rPr>
          <w:rFonts w:ascii="Times New Roman" w:hAnsi="Times New Roman" w:cs="Times New Roman" w:eastAsia="Times New Roman" w:hint="default"/>
        </w:rPr>
        <w:t>63.63</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日，上述股份完成上市手续。</w:t>
      </w:r>
    </w:p>
    <w:p>
      <w:pPr>
        <w:pStyle w:val="BodyText"/>
        <w:spacing w:line="300" w:lineRule="auto" w:before="13"/>
        <w:ind w:left="153" w:right="150" w:firstLine="419"/>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19</w:t>
      </w:r>
      <w:r>
        <w:rPr>
          <w:spacing w:val="-1"/>
        </w:rPr>
        <w:t>日，东方通在中国证券登记结算有限责任公司深圳分公司就本次配套融资发行的</w:t>
      </w:r>
      <w:r>
        <w:rPr>
          <w:rFonts w:ascii="Times New Roman" w:hAnsi="Times New Roman" w:cs="Times New Roman" w:eastAsia="Times New Roman" w:hint="default"/>
          <w:spacing w:val="-1"/>
        </w:rPr>
        <w:t>1,696,969</w:t>
      </w:r>
      <w:r>
        <w:rPr>
          <w:spacing w:val="-1"/>
        </w:rPr>
        <w:t>股股份办理了股</w:t>
      </w:r>
      <w:r>
        <w:rPr/>
        <w:t> 权登记手续，发行价格为</w:t>
      </w:r>
      <w:r>
        <w:rPr>
          <w:rFonts w:ascii="Times New Roman" w:hAnsi="Times New Roman" w:cs="Times New Roman" w:eastAsia="Times New Roman" w:hint="default"/>
        </w:rPr>
        <w:t>82.50/</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日，上述股份完成上市手续。</w:t>
      </w:r>
    </w:p>
    <w:p>
      <w:pPr>
        <w:spacing w:after="0" w:line="300" w:lineRule="auto"/>
        <w:jc w:val="both"/>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0" w:firstLine="420"/>
        <w:jc w:val="left"/>
      </w:pPr>
      <w:r>
        <w:rPr>
          <w:rFonts w:ascii="Times New Roman" w:hAnsi="Times New Roman" w:cs="Times New Roman" w:eastAsia="Times New Roman" w:hint="default"/>
        </w:rPr>
        <w:t>1.</w:t>
      </w:r>
      <w:r>
        <w:rPr/>
        <w:t>根据公司</w:t>
      </w:r>
      <w:r>
        <w:rPr>
          <w:rFonts w:ascii="Times New Roman" w:hAnsi="Times New Roman" w:cs="Times New Roman" w:eastAsia="Times New Roman" w:hint="default"/>
        </w:rPr>
        <w:t>2014</w:t>
      </w:r>
      <w:r>
        <w:rPr/>
        <w:t>年第二次临时股东大会决议和中国证券监督管理委员会《关于核准北京东方通科技股份有限公司向李</w:t>
      </w:r>
      <w:r>
        <w:rPr>
          <w:spacing w:val="2"/>
        </w:rPr>
        <w:t> </w:t>
      </w:r>
      <w:r>
        <w:rPr/>
        <w:t>健等发行股份购买资产并募集配套资金的批复》（证监许可</w:t>
      </w:r>
      <w:r>
        <w:rPr>
          <w:rFonts w:ascii="Times New Roman" w:hAnsi="Times New Roman" w:cs="Times New Roman" w:eastAsia="Times New Roman" w:hint="default"/>
        </w:rPr>
        <w:t>[2014]1354</w:t>
      </w:r>
      <w:r>
        <w:rPr/>
        <w:t>号）核准，东方通于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日在中国证券登记 </w:t>
      </w:r>
      <w:r>
        <w:rPr>
          <w:spacing w:val="-2"/>
        </w:rPr>
        <w:t>结算有限责任公司深圳分公司办理新增股份</w:t>
      </w:r>
      <w:r>
        <w:rPr>
          <w:rFonts w:ascii="Times New Roman" w:hAnsi="Times New Roman" w:cs="Times New Roman" w:eastAsia="Times New Roman" w:hint="default"/>
          <w:spacing w:val="-2"/>
        </w:rPr>
        <w:t>448</w:t>
      </w:r>
      <w:r>
        <w:rPr>
          <w:spacing w:val="-2"/>
        </w:rPr>
        <w:t>万股的登记手续，</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日，上述股份完成上市手续。</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w:t>
      </w:r>
      <w:r>
        <w:rPr>
          <w:spacing w:val="-58"/>
        </w:rPr>
        <w:t> </w:t>
      </w:r>
      <w:r>
        <w:rPr/>
        <w:t>东方通在中国证券登记结算有限责任公司深圳分公司就本次配套融资发行的</w:t>
      </w:r>
      <w:r>
        <w:rPr>
          <w:rFonts w:ascii="Times New Roman" w:hAnsi="Times New Roman" w:cs="Times New Roman" w:eastAsia="Times New Roman" w:hint="default"/>
        </w:rPr>
        <w:t>1,696,969</w:t>
      </w:r>
      <w:r>
        <w:rPr/>
        <w:t>股股份办理了股权登记手续，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月</w:t>
      </w:r>
      <w:r>
        <w:rPr>
          <w:rFonts w:ascii="Times New Roman" w:hAnsi="Times New Roman" w:cs="Times New Roman" w:eastAsia="Times New Roman" w:hint="default"/>
        </w:rPr>
        <w:t>28</w:t>
      </w:r>
      <w:r>
        <w:rPr/>
        <w:t>日，上述股份完成上市手续。上述事宜完成后，公司总股本变更为</w:t>
      </w:r>
      <w:r>
        <w:rPr>
          <w:rFonts w:ascii="Times New Roman" w:hAnsi="Times New Roman" w:cs="Times New Roman" w:eastAsia="Times New Roman" w:hint="default"/>
        </w:rPr>
        <w:t>57,610,150</w:t>
      </w:r>
      <w:r>
        <w:rPr/>
        <w:t>股。</w:t>
      </w:r>
    </w:p>
    <w:p>
      <w:pPr>
        <w:pStyle w:val="BodyText"/>
        <w:spacing w:line="300" w:lineRule="auto" w:before="13"/>
        <w:ind w:right="188" w:firstLine="420"/>
        <w:jc w:val="both"/>
      </w:pPr>
      <w:r>
        <w:rPr>
          <w:rFonts w:ascii="Times New Roman" w:hAnsi="Times New Roman" w:cs="Times New Roman" w:eastAsia="Times New Roman" w:hint="default"/>
        </w:rPr>
        <w:t>2.</w:t>
      </w:r>
      <w:r>
        <w:rPr/>
        <w:t>经公司第二届董事会第十五次会议、第二次监事会第九次会议及公司</w:t>
      </w:r>
      <w:r>
        <w:rPr>
          <w:rFonts w:ascii="Times New Roman" w:hAnsi="Times New Roman" w:cs="Times New Roman" w:eastAsia="Times New Roman" w:hint="default"/>
        </w:rPr>
        <w:t>2014</w:t>
      </w:r>
      <w:r>
        <w:rPr/>
        <w:t>年度股东大会审议，公司</w:t>
      </w:r>
      <w:r>
        <w:rPr>
          <w:rFonts w:ascii="Times New Roman" w:hAnsi="Times New Roman" w:cs="Times New Roman" w:eastAsia="Times New Roman" w:hint="default"/>
        </w:rPr>
        <w:t>2014</w:t>
      </w:r>
      <w:r>
        <w:rPr/>
        <w:t>年度利润分</w:t>
      </w:r>
      <w:r>
        <w:rPr>
          <w:spacing w:val="2"/>
        </w:rPr>
        <w:t> </w:t>
      </w:r>
      <w:r>
        <w:rPr>
          <w:spacing w:val="-3"/>
        </w:rPr>
        <w:t>配和资本公积金转增股本方案如下：以公司现有总股本</w:t>
      </w:r>
      <w:r>
        <w:rPr>
          <w:rFonts w:ascii="Times New Roman" w:hAnsi="Times New Roman" w:cs="Times New Roman" w:eastAsia="Times New Roman" w:hint="default"/>
          <w:spacing w:val="-3"/>
        </w:rPr>
        <w:t>57,610,150</w:t>
      </w:r>
      <w:r>
        <w:rPr>
          <w:spacing w:val="-3"/>
        </w:rPr>
        <w:t>股为基数，向全体股东每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2.000000</w:t>
      </w:r>
      <w:r>
        <w:rPr>
          <w:spacing w:val="-3"/>
        </w:rPr>
        <w:t>元人民币现金（含</w:t>
      </w:r>
      <w:r>
        <w:rPr>
          <w:spacing w:val="-31"/>
        </w:rPr>
        <w:t> </w:t>
      </w:r>
      <w:r>
        <w:rPr>
          <w:spacing w:val="-31"/>
        </w:rPr>
      </w:r>
      <w:r>
        <w:rPr/>
        <w:t>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10.000000</w:t>
      </w:r>
      <w:r>
        <w:rPr/>
        <w:t>股。分红前本公司总股本为</w:t>
      </w:r>
      <w:r>
        <w:rPr>
          <w:rFonts w:ascii="Times New Roman" w:hAnsi="Times New Roman" w:cs="Times New Roman" w:eastAsia="Times New Roman" w:hint="default"/>
        </w:rPr>
        <w:t>57,610,150</w:t>
      </w:r>
      <w:r>
        <w:rPr/>
        <w:t>股，分红后总股本增至</w:t>
      </w:r>
      <w:r>
        <w:rPr>
          <w:spacing w:val="23"/>
        </w:rPr>
        <w:t> </w:t>
      </w:r>
      <w:r>
        <w:rPr>
          <w:spacing w:val="23"/>
        </w:rPr>
      </w:r>
      <w:r>
        <w:rPr>
          <w:rFonts w:ascii="Times New Roman" w:hAnsi="Times New Roman" w:cs="Times New Roman" w:eastAsia="Times New Roman" w:hint="default"/>
        </w:rPr>
        <w:t>115,220,300</w:t>
      </w:r>
      <w:r>
        <w:rPr/>
        <w:t>股。</w:t>
      </w:r>
    </w:p>
    <w:p>
      <w:pPr>
        <w:pStyle w:val="BodyText"/>
        <w:spacing w:line="300" w:lineRule="auto" w:before="13"/>
        <w:ind w:right="188" w:firstLine="419"/>
        <w:jc w:val="both"/>
      </w:pPr>
      <w:r>
        <w:rPr>
          <w:rFonts w:ascii="Times New Roman" w:hAnsi="Times New Roman" w:cs="Times New Roman" w:eastAsia="Times New Roman" w:hint="default"/>
        </w:rPr>
        <w:t>3.2015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日，公司发起人股东东华软件股份公司、盈富泰克创业投资有限公司等共计</w:t>
      </w:r>
      <w:r>
        <w:rPr>
          <w:rFonts w:ascii="Times New Roman" w:hAnsi="Times New Roman" w:cs="Times New Roman" w:eastAsia="Times New Roman" w:hint="default"/>
        </w:rPr>
        <w:t>36</w:t>
      </w:r>
      <w:r>
        <w:rPr/>
        <w:t>名股东持有的首次公开发 </w:t>
      </w:r>
      <w:r>
        <w:rPr>
          <w:spacing w:val="6"/>
        </w:rPr>
        <w:t>行股票的限售股份销定承诺到期，可上市流通。</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30</w:t>
      </w:r>
      <w:r>
        <w:rPr>
          <w:spacing w:val="6"/>
        </w:rPr>
        <w:t>日，本次解除限售股份上市流通。本次解禁限售股份数量</w:t>
      </w:r>
      <w:r>
        <w:rPr>
          <w:spacing w:val="-61"/>
        </w:rPr>
        <w:t> </w:t>
      </w:r>
      <w:r>
        <w:rPr>
          <w:rFonts w:ascii="Times New Roman" w:hAnsi="Times New Roman" w:cs="Times New Roman" w:eastAsia="Times New Roman" w:hint="default"/>
        </w:rPr>
        <w:t>30,516,050</w:t>
      </w:r>
      <w:r>
        <w:rPr/>
        <w:t>股，占总股本的</w:t>
      </w:r>
      <w:r>
        <w:rPr>
          <w:rFonts w:ascii="Times New Roman" w:hAnsi="Times New Roman" w:cs="Times New Roman" w:eastAsia="Times New Roman" w:hint="default"/>
        </w:rPr>
        <w:t>26.4850%</w:t>
      </w:r>
      <w:r>
        <w:rPr/>
        <w:t>；于解禁日实际可上市流通数量为</w:t>
      </w:r>
      <w:r>
        <w:rPr>
          <w:rFonts w:ascii="Times New Roman" w:hAnsi="Times New Roman" w:cs="Times New Roman" w:eastAsia="Times New Roman" w:hint="default"/>
        </w:rPr>
        <w:t>27,703,941</w:t>
      </w:r>
      <w:r>
        <w:rPr/>
        <w:t>股，占总股本的</w:t>
      </w:r>
      <w:r>
        <w:rPr>
          <w:rFonts w:ascii="Times New Roman" w:hAnsi="Times New Roman" w:cs="Times New Roman" w:eastAsia="Times New Roman" w:hint="default"/>
        </w:rPr>
        <w:t>24.0443%</w:t>
      </w:r>
      <w:r>
        <w:rPr/>
        <w:t>。</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pict>
          <v:shape style="position:absolute;margin-left:449.157013pt;margin-top:17.711733pt;width:85.7pt;height:82pt;mso-position-horizontal-relative:page;mso-position-vertical-relative:paragraph;z-index:-10348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2.399994pt;margin-top:17.711733pt;width:52.45pt;height:82pt;mso-position-horizontal-relative:page;mso-position-vertical-relative:paragraph;z-index:-1034848" coordorigin="9648,354" coordsize="1049,1640">
            <v:group style="position:absolute;left:9648;top:354;width:1049;height:1640" coordorigin="9648,354" coordsize="1049,1640">
              <v:shape style="position:absolute;left:9648;top:354;width:1049;height:1640" coordorigin="9648,354" coordsize="1049,1640" path="m9648,1993l10697,1993,10697,354,9648,354,9648,1993xe" filled="true" fillcolor="#ffffff" stroked="false">
                <v:path arrowok="t"/>
                <v:fill type="solid"/>
              </v:shape>
            </v:group>
            <v:group style="position:absolute;left:9670;top:978;width:1004;height:392" coordorigin="9670,978" coordsize="1004,392">
              <v:shape style="position:absolute;left:9670;top:978;width:1004;height:392" coordorigin="9670,978" coordsize="1004,392" path="m9670,1369l10673,1369,10673,978,9670,978,9670,1369xe" filled="true" fillcolor="#ffffff" stroked="false">
                <v:path arrowok="t"/>
                <v:fill type="solid"/>
              </v:shape>
            </v:group>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62"/>
        <w:gridCol w:w="749"/>
        <w:gridCol w:w="750"/>
        <w:gridCol w:w="824"/>
        <w:gridCol w:w="334"/>
        <w:gridCol w:w="456"/>
        <w:gridCol w:w="828"/>
        <w:gridCol w:w="797"/>
        <w:gridCol w:w="311"/>
        <w:gridCol w:w="1038"/>
        <w:gridCol w:w="290"/>
        <w:gridCol w:w="502"/>
        <w:gridCol w:w="557"/>
      </w:tblGrid>
      <w:tr>
        <w:trPr>
          <w:trHeight w:val="1656" w:hRule="exact"/>
        </w:trPr>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7,095</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32" w:right="0"/>
              <w:jc w:val="left"/>
              <w:rPr>
                <w:rFonts w:ascii="Times New Roman" w:hAnsi="Times New Roman" w:cs="Times New Roman" w:eastAsia="Times New Roman" w:hint="default"/>
                <w:sz w:val="18"/>
                <w:szCs w:val="18"/>
              </w:rPr>
            </w:pPr>
            <w:r>
              <w:rPr>
                <w:rFonts w:ascii="Times New Roman"/>
                <w:sz w:val="18"/>
              </w:rPr>
              <w:t>12,916</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2" w:type="dxa"/>
            <w:tcBorders>
              <w:top w:val="single" w:sz="4" w:space="0" w:color="000000"/>
              <w:left w:val="single" w:sz="4" w:space="0" w:color="000000"/>
              <w:bottom w:val="single" w:sz="4" w:space="0" w:color="000000"/>
              <w:right w:val="nil" w:sz="6" w:space="0" w:color="auto"/>
            </w:tcBorders>
          </w:tcPr>
          <w:p>
            <w:pPr/>
          </w:p>
        </w:tc>
        <w:tc>
          <w:tcPr>
            <w:tcW w:w="5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6" w:type="dxa"/>
            <w:gridSpan w:val="1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28"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11"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4D4D4"/>
          </w:tcPr>
          <w:p>
            <w:pPr/>
          </w:p>
        </w:tc>
        <w:tc>
          <w:tcPr>
            <w:tcW w:w="1411" w:type="dxa"/>
            <w:gridSpan w:val="2"/>
            <w:vMerge/>
            <w:tcBorders>
              <w:left w:val="single" w:sz="4" w:space="0" w:color="000000"/>
              <w:bottom w:val="single" w:sz="4" w:space="0" w:color="000000"/>
              <w:right w:val="single" w:sz="4" w:space="0" w:color="000000"/>
            </w:tcBorders>
            <w:shd w:val="clear" w:color="auto" w:fill="D4D4D4"/>
          </w:tcPr>
          <w:p>
            <w:pPr/>
          </w:p>
        </w:tc>
        <w:tc>
          <w:tcPr>
            <w:tcW w:w="750" w:type="dxa"/>
            <w:vMerge/>
            <w:tcBorders>
              <w:left w:val="single" w:sz="4" w:space="0" w:color="000000"/>
              <w:bottom w:val="single" w:sz="4" w:space="0" w:color="000000"/>
              <w:right w:val="single" w:sz="4" w:space="0" w:color="000000"/>
            </w:tcBorders>
            <w:shd w:val="clear" w:color="auto" w:fill="D4D4D4"/>
          </w:tcPr>
          <w:p>
            <w:pPr/>
          </w:p>
        </w:tc>
        <w:tc>
          <w:tcPr>
            <w:tcW w:w="824" w:type="dxa"/>
            <w:vMerge/>
            <w:tcBorders>
              <w:left w:val="single" w:sz="4" w:space="0" w:color="000000"/>
              <w:bottom w:val="single" w:sz="4" w:space="0" w:color="000000"/>
              <w:right w:val="single" w:sz="4" w:space="0" w:color="000000"/>
            </w:tcBorders>
            <w:shd w:val="clear" w:color="auto" w:fill="D4D4D4"/>
          </w:tcPr>
          <w:p>
            <w:pPr/>
          </w:p>
        </w:tc>
        <w:tc>
          <w:tcPr>
            <w:tcW w:w="790" w:type="dxa"/>
            <w:gridSpan w:val="2"/>
            <w:vMerge/>
            <w:tcBorders>
              <w:left w:val="single" w:sz="4" w:space="0" w:color="000000"/>
              <w:bottom w:val="single" w:sz="4" w:space="0" w:color="000000"/>
              <w:right w:val="single" w:sz="4" w:space="0" w:color="000000"/>
            </w:tcBorders>
            <w:shd w:val="clear" w:color="auto" w:fill="D4D4D4"/>
          </w:tcPr>
          <w:p>
            <w:pPr/>
          </w:p>
        </w:tc>
        <w:tc>
          <w:tcPr>
            <w:tcW w:w="828"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19,249,02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9,624,512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Times New Roman" w:hAnsi="Times New Roman" w:cs="Times New Roman" w:eastAsia="Times New Roman" w:hint="default"/>
                <w:sz w:val="18"/>
                <w:szCs w:val="18"/>
              </w:rPr>
            </w:pPr>
            <w:r>
              <w:rPr>
                <w:rFonts w:ascii="Times New Roman"/>
                <w:spacing w:val="-1"/>
                <w:sz w:val="18"/>
              </w:rPr>
              <w:t>19,249,02</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东华软件股份公 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7,050,168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5,228,112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pacing w:val="-1"/>
                <w:sz w:val="18"/>
              </w:rPr>
              <w:t>6,654,168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396,000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4,829,440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4,829,440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Times New Roman" w:hAnsi="Times New Roman" w:cs="Times New Roman" w:eastAsia="Times New Roman" w:hint="default"/>
                <w:sz w:val="18"/>
                <w:szCs w:val="18"/>
              </w:rPr>
            </w:pPr>
            <w:r>
              <w:rPr>
                <w:rFonts w:ascii="Times New Roman"/>
                <w:spacing w:val="-1"/>
                <w:sz w:val="18"/>
              </w:rPr>
              <w:t>4,829,440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4,756,670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2,378,335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1"/>
              <w:jc w:val="right"/>
              <w:rPr>
                <w:rFonts w:ascii="Times New Roman" w:hAnsi="Times New Roman" w:cs="Times New Roman" w:eastAsia="Times New Roman" w:hint="default"/>
                <w:sz w:val="18"/>
                <w:szCs w:val="18"/>
              </w:rPr>
            </w:pPr>
            <w:r>
              <w:rPr>
                <w:rFonts w:ascii="Times New Roman"/>
                <w:spacing w:val="-1"/>
                <w:sz w:val="18"/>
              </w:rPr>
              <w:t>4,756,670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1,820,000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盈富泰克创业投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4,616,400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550,607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4,616,400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1"/>
        <w:gridCol w:w="787"/>
        <w:gridCol w:w="787"/>
        <w:gridCol w:w="790"/>
        <w:gridCol w:w="785"/>
        <w:gridCol w:w="840"/>
        <w:gridCol w:w="1349"/>
        <w:gridCol w:w="1349"/>
      </w:tblGrid>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孙亚明</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4,569,966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2,284,983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4,569,966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3,880,000</w:t>
            </w: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招商银行股份有 限公司－富国低 碳环保混合型证 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3.85%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3" w:right="0"/>
              <w:jc w:val="left"/>
              <w:rPr>
                <w:rFonts w:ascii="Times New Roman" w:hAnsi="Times New Roman" w:cs="Times New Roman" w:eastAsia="Times New Roman" w:hint="default"/>
                <w:sz w:val="18"/>
                <w:szCs w:val="18"/>
              </w:rPr>
            </w:pPr>
            <w:r>
              <w:rPr>
                <w:rFonts w:ascii="Times New Roman"/>
                <w:sz w:val="18"/>
              </w:rPr>
              <w:t>4,433,490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4,433,490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4,285,438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2,142,719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4,285,438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1,280,000</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牛合庆</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4,125,971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1,399,035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4,090,404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35,567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3,200,000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王晋敏</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3,951,360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3,951,360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3,951,360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6" w:type="dxa"/>
            <w:gridSpan w:val="7"/>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6" w:type="dxa"/>
            <w:gridSpan w:val="7"/>
            <w:tcBorders>
              <w:top w:val="single" w:sz="4" w:space="0" w:color="000000"/>
              <w:left w:val="single" w:sz="9" w:space="0" w:color="D4D4D4"/>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张齐春与朱海东为母子关系，为公司实际控制人。</w:t>
            </w:r>
          </w:p>
        </w:tc>
      </w:tr>
      <w:tr>
        <w:trPr>
          <w:trHeight w:val="402"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4D4D4"/>
          </w:tcPr>
          <w:p>
            <w:pPr/>
          </w:p>
        </w:tc>
        <w:tc>
          <w:tcPr>
            <w:tcW w:w="269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880"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880" w:type="dxa"/>
            <w:gridSpan w:val="2"/>
            <w:vMerge/>
            <w:tcBorders>
              <w:left w:val="single" w:sz="4" w:space="0" w:color="000000"/>
              <w:bottom w:val="nil" w:sz="6" w:space="0" w:color="auto"/>
              <w:right w:val="single" w:sz="4" w:space="0" w:color="000000"/>
            </w:tcBorders>
            <w:shd w:val="clear" w:color="auto" w:fill="D4D4D4"/>
          </w:tcPr>
          <w:p>
            <w:pPr/>
          </w:p>
        </w:tc>
        <w:tc>
          <w:tcPr>
            <w:tcW w:w="3989" w:type="dxa"/>
            <w:gridSpan w:val="5"/>
            <w:vMerge/>
            <w:tcBorders>
              <w:left w:val="single" w:sz="4" w:space="0" w:color="000000"/>
              <w:bottom w:val="nil" w:sz="6" w:space="0" w:color="auto"/>
              <w:right w:val="single" w:sz="4" w:space="0" w:color="000000"/>
            </w:tcBorders>
            <w:shd w:val="clear" w:color="auto" w:fill="D4D4D4"/>
          </w:tcPr>
          <w:p>
            <w:pP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盈富泰克创业投资有限公司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4,616,400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4,616,400</w:t>
            </w:r>
          </w:p>
        </w:tc>
      </w:tr>
      <w:tr>
        <w:trPr>
          <w:trHeight w:val="715"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招商银行股份有限公司－富国低碳 环保混合型证券投资基金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4,433,490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4,433,490</w:t>
            </w:r>
          </w:p>
        </w:tc>
      </w:tr>
      <w:tr>
        <w:trPr>
          <w:trHeight w:val="71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 新兴产业股票型证券投资基金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2,106,668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2,106,668</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1,865,000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1,865,000</w:t>
            </w:r>
          </w:p>
        </w:tc>
      </w:tr>
      <w:tr>
        <w:trPr>
          <w:trHeight w:val="71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交通银行股份有限公司－易方达科 讯混合型证券投资基金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1,862,027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1,862,027</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陈实</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全国社保基金六零一组合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1,740,701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1,740,701</w:t>
            </w:r>
          </w:p>
        </w:tc>
      </w:tr>
      <w:tr>
        <w:trPr>
          <w:trHeight w:val="715"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兴业银行股份有限公司－中邮战略 新兴产业混合型证券投资基金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1,650,000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全国社保基金四零六组合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1,598,698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1,598,698</w:t>
            </w:r>
          </w:p>
        </w:tc>
      </w:tr>
      <w:tr>
        <w:trPr>
          <w:trHeight w:val="1027"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both"/>
              <w:rPr>
                <w:rFonts w:ascii="宋体" w:hAnsi="宋体" w:cs="宋体" w:eastAsia="宋体" w:hint="default"/>
                <w:sz w:val="18"/>
                <w:szCs w:val="18"/>
              </w:rPr>
            </w:pPr>
            <w:r>
              <w:rPr>
                <w:rFonts w:ascii="宋体" w:hAnsi="宋体" w:cs="宋体" w:eastAsia="宋体" w:hint="default"/>
                <w:sz w:val="18"/>
                <w:szCs w:val="18"/>
              </w:rPr>
              <w:t>中国工商银行股份有限公司－易方 达新常态灵活配置混合型证券投资 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1,578,008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1,578,008</w:t>
            </w:r>
          </w:p>
        </w:tc>
      </w:tr>
      <w:tr>
        <w:trPr>
          <w:trHeight w:val="1963"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6"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
                <w:sz w:val="18"/>
                <w:szCs w:val="18"/>
              </w:rPr>
              <w:t>招商银行股份有限公司－富国低碳环保混合型证券投资基金、中国工商银行股份有限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公司－富国新兴产业股票型证券投资基金，同属富国基金管理有限公司旗下证券基 </w:t>
            </w:r>
            <w:r>
              <w:rPr>
                <w:rFonts w:ascii="宋体" w:hAnsi="宋体" w:cs="宋体" w:eastAsia="宋体" w:hint="default"/>
                <w:spacing w:val="-1"/>
                <w:sz w:val="18"/>
                <w:szCs w:val="18"/>
              </w:rPr>
              <w:t>金；交通银行股份有限公司－易方达科讯混合型证券投资基金、中国工商银行股份有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限公司－易方达新常态灵活配置混合型证券投资基金，同属易方达基金管理有限公司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旗下证券基金。除此之外，上述股东之间未知是否存在关联关系或属于《上市公司股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东持股变动信息披露管理办法》规定的一致行动人。</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879"/>
        <w:gridCol w:w="6686"/>
      </w:tblGrid>
      <w:tr>
        <w:trPr>
          <w:trHeight w:val="334" w:hRule="exact"/>
        </w:trPr>
        <w:tc>
          <w:tcPr>
            <w:tcW w:w="2879" w:type="dxa"/>
            <w:tcBorders>
              <w:top w:val="nil" w:sz="6" w:space="0" w:color="auto"/>
              <w:left w:val="nil" w:sz="6" w:space="0" w:color="auto"/>
              <w:bottom w:val="single" w:sz="4" w:space="0" w:color="000000"/>
              <w:right w:val="nil" w:sz="6" w:space="0" w:color="auto"/>
            </w:tcBorders>
          </w:tcPr>
          <w:p>
            <w:pPr/>
          </w:p>
        </w:tc>
        <w:tc>
          <w:tcPr>
            <w:tcW w:w="6686" w:type="dxa"/>
            <w:tcBorders>
              <w:top w:val="nil" w:sz="6" w:space="0" w:color="auto"/>
              <w:left w:val="nil" w:sz="6" w:space="0" w:color="auto"/>
              <w:bottom w:val="single" w:sz="4" w:space="0" w:color="000000"/>
              <w:right w:val="nil" w:sz="6" w:space="0" w:color="auto"/>
            </w:tcBorders>
          </w:tcPr>
          <w:p>
            <w:pPr/>
          </w:p>
        </w:tc>
      </w:tr>
      <w:tr>
        <w:trPr>
          <w:trHeight w:val="715" w:hRule="exact"/>
        </w:trPr>
        <w:tc>
          <w:tcPr>
            <w:tcW w:w="28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pict>
          <v:group style="position:absolute;margin-left:55.200001pt;margin-top:-52.67831pt;width:484.8pt;height:.1pt;mso-position-horizontal-relative:page;mso-position-vertical-relative:paragraph;z-index:-1034824" coordorigin="1104,-1054" coordsize="9696,2">
            <v:shape style="position:absolute;left:1104;top:-1054;width:9696;height:2" coordorigin="1104,-1054" coordsize="9696,0" path="m1104,-1054l10800,-1054e" filled="false" stroked="true" strokeweight=".72pt" strokecolor="#000000">
              <v:path arrowok="t"/>
            </v:shape>
            <w10:wrap type="none"/>
          </v:group>
        </w:pict>
      </w: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14"/>
        <w:jc w:val="left"/>
      </w:pPr>
      <w:r>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44"/>
        <w:ind w:left="0" w:right="160"/>
        <w:jc w:val="right"/>
      </w:pPr>
      <w:r>
        <w:rPr/>
        <w:pict>
          <v:shape style="position:absolute;margin-left:56.400002pt;margin-top:-96.609291pt;width:479.05pt;height:152.3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30"/>
                    <w:gridCol w:w="411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9"/>
                          <w:jc w:val="left"/>
                          <w:rPr>
                            <w:rFonts w:ascii="宋体" w:hAnsi="宋体" w:cs="宋体" w:eastAsia="宋体" w:hint="default"/>
                            <w:sz w:val="18"/>
                            <w:szCs w:val="18"/>
                          </w:rPr>
                        </w:pPr>
                        <w:r>
                          <w:rPr>
                            <w:rFonts w:ascii="宋体" w:hAnsi="宋体" w:cs="宋体" w:eastAsia="宋体" w:hint="default"/>
                            <w:spacing w:val="-4"/>
                            <w:sz w:val="18"/>
                            <w:szCs w:val="18"/>
                          </w:rPr>
                          <w:t>张齐春女士，现任公司董事长。朱海东先生，</w:t>
                        </w:r>
                        <w:r>
                          <w:rPr>
                            <w:rFonts w:ascii="Times New Roman" w:hAnsi="Times New Roman" w:cs="Times New Roman" w:eastAsia="Times New Roman" w:hint="default"/>
                            <w:spacing w:val="-4"/>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月起任职于北京长策天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成公关策划有限公司。现任本公司董事。朱曼女士，现任公司董事，副总经理</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44"/>
        <w:ind w:right="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0"/>
      <w:bookmarkEnd w:id="11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44"/>
        <w:ind w:left="0" w:right="162"/>
        <w:jc w:val="right"/>
      </w:pPr>
      <w:r>
        <w:rPr/>
        <w:pict>
          <v:shape style="position:absolute;margin-left:56.400002pt;margin-top:-96.608276pt;width:479.2pt;height:136.7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6"/>
                    <w:gridCol w:w="2122"/>
                    <w:gridCol w:w="4121"/>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29"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张齐春女士，现任公司董事长。朱海东先生，</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月起任职于北京长策天 成公关策划有限公司。现任本公司董事。朱曼女士，现任公司董事，副总经理</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44"/>
        <w:ind w:right="0"/>
        <w:jc w:val="left"/>
      </w:pPr>
      <w:r>
        <w:rPr/>
        <w:t>实际控制人报告期内变更</w:t>
      </w:r>
    </w:p>
    <w:p>
      <w:pPr>
        <w:pStyle w:val="BodyText"/>
        <w:spacing w:line="348"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5" w:footer="982" w:top="106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8"/>
          <w:szCs w:val="28"/>
        </w:rPr>
      </w:pPr>
    </w:p>
    <w:p>
      <w:pPr>
        <w:spacing w:line="3630" w:lineRule="exact"/>
        <w:ind w:left="1355"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592325" cy="2305050"/>
            <wp:effectExtent l="0" t="0" r="0" b="0"/>
            <wp:docPr id="47" name="image21.jpeg" descr="?"/>
            <wp:cNvGraphicFramePr>
              <a:graphicFrameLocks noChangeAspect="1"/>
            </wp:cNvGraphicFramePr>
            <a:graphic>
              <a:graphicData uri="http://schemas.openxmlformats.org/drawingml/2006/picture">
                <pic:pic>
                  <pic:nvPicPr>
                    <pic:cNvPr id="48" name="image21.jpeg"/>
                    <pic:cNvPicPr/>
                  </pic:nvPicPr>
                  <pic:blipFill>
                    <a:blip r:embed="rId33" cstate="print"/>
                    <a:stretch>
                      <a:fillRect/>
                    </a:stretch>
                  </pic:blipFill>
                  <pic:spPr>
                    <a:xfrm>
                      <a:off x="0" y="0"/>
                      <a:ext cx="4592325" cy="2305050"/>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11"/>
        <w:rPr>
          <w:rFonts w:ascii="宋体" w:hAnsi="宋体" w:cs="宋体" w:eastAsia="宋体" w:hint="default"/>
          <w:sz w:val="14"/>
          <w:szCs w:val="14"/>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4" w:right="0"/>
        <w:jc w:val="left"/>
        <w:rPr>
          <w:b w:val="0"/>
          <w:bCs w:val="0"/>
        </w:rPr>
      </w:pPr>
      <w:bookmarkStart w:name="_TOC_250004" w:id="113"/>
      <w:bookmarkStart w:name="第七节 优先股相关情况" w:id="114"/>
      <w:r>
        <w:rPr>
          <w:b w:val="0"/>
          <w:bCs w:val="0"/>
        </w:rPr>
      </w:r>
      <w:r>
        <w:rPr/>
        <w:t>第七节</w:t>
      </w:r>
      <w:r>
        <w:rPr>
          <w:spacing w:val="-6"/>
        </w:rPr>
        <w:t> </w:t>
      </w:r>
      <w:r>
        <w:rPr/>
        <w:t>优先股相关情况</w:t>
      </w:r>
      <w:bookmarkEnd w:id="113"/>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TOC_250003" w:id="115"/>
      <w:bookmarkStart w:name="第八节 董事、监事、高级管理人员和员工情况" w:id="116"/>
      <w:r>
        <w:rPr>
          <w:b w:val="0"/>
          <w:bCs w:val="0"/>
        </w:rPr>
      </w:r>
      <w:r>
        <w:rPr/>
        <w:t>第八节</w:t>
      </w:r>
      <w:r>
        <w:rPr>
          <w:spacing w:val="-9"/>
        </w:rPr>
        <w:t> </w:t>
      </w:r>
      <w:r>
        <w:rPr/>
        <w:t>董事、监事、高级管理人员和员工情况</w:t>
      </w:r>
      <w:bookmarkEnd w:id="11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71.483002pt;margin-top:32.975616pt;width:63.6pt;height:50.9pt;mso-position-horizontal-relative:page;mso-position-vertical-relative:paragraph;z-index:-103472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9,624,512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9,624,512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19,249,02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2,378,335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2,378,335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4,756,670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2,142,719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2,142,719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4,285,438</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74,372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148,744</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孙亚明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2,284,983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2,284,983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4,569,966</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740,908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740,908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1,481,816</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田琳燕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624,373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624,373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1,088,746</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财务总 监，董事 会秘书， 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85,713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171,426</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徐志东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290,546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290,546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581,092</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陈世英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68,586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137,172</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162,863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162,863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325,726</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18,477,91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18,477,91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36,795,82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18"/>
      <w:bookmarkEnd w:id="118"/>
      <w:r>
        <w:rPr>
          <w:b w:val="0"/>
          <w:bCs w:val="0"/>
        </w:rPr>
      </w: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任职情况" w:id="119"/>
      <w:bookmarkEnd w:id="119"/>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240" w:lineRule="auto" w:before="115"/>
        <w:ind w:left="572" w:right="0"/>
        <w:jc w:val="left"/>
      </w:pPr>
      <w:r>
        <w:rPr/>
        <w:t>（一）董事会成员：</w:t>
      </w:r>
    </w:p>
    <w:p>
      <w:pPr>
        <w:pStyle w:val="BodyText"/>
        <w:spacing w:line="300" w:lineRule="auto" w:before="76"/>
        <w:ind w:right="130" w:firstLine="419"/>
        <w:jc w:val="left"/>
      </w:pPr>
      <w:r>
        <w:rPr>
          <w:rFonts w:ascii="Times New Roman" w:hAnsi="Times New Roman" w:cs="Times New Roman" w:eastAsia="Times New Roman" w:hint="default"/>
        </w:rPr>
        <w:t>1.</w:t>
      </w:r>
      <w:r>
        <w:rPr/>
        <w:t>张齐春女士，女，</w:t>
      </w:r>
      <w:r>
        <w:rPr>
          <w:rFonts w:ascii="Times New Roman" w:hAnsi="Times New Roman" w:cs="Times New Roman" w:eastAsia="Times New Roman" w:hint="default"/>
        </w:rPr>
        <w:t>1939</w:t>
      </w:r>
      <w:r>
        <w:rPr/>
        <w:t>年</w:t>
      </w:r>
      <w:r>
        <w:rPr>
          <w:rFonts w:ascii="Times New Roman" w:hAnsi="Times New Roman" w:cs="Times New Roman" w:eastAsia="Times New Roman" w:hint="default"/>
        </w:rPr>
        <w:t>2</w:t>
      </w:r>
      <w:r>
        <w:rPr/>
        <w:t>月出生，中国国籍，无境外永久居留权，毕业于成都电讯工程学院（现电子科技大学）， 本科学历，学士学位。</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月至今任北京核高基副董事长。近五年均在本公司任职，现任公司董事长。</w:t>
      </w:r>
    </w:p>
    <w:p>
      <w:pPr>
        <w:spacing w:after="0" w:line="30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90" w:firstLine="419"/>
        <w:jc w:val="both"/>
      </w:pPr>
      <w:r>
        <w:rPr>
          <w:rFonts w:ascii="Times New Roman" w:hAnsi="Times New Roman" w:cs="Times New Roman" w:eastAsia="Times New Roman" w:hint="default"/>
          <w:spacing w:val="-1"/>
        </w:rPr>
        <w:t>2.</w:t>
      </w:r>
      <w:r>
        <w:rPr>
          <w:spacing w:val="-1"/>
        </w:rPr>
        <w:t>朱律玮先生，男，</w:t>
      </w:r>
      <w:r>
        <w:rPr>
          <w:rFonts w:ascii="Times New Roman" w:hAnsi="Times New Roman" w:cs="Times New Roman" w:eastAsia="Times New Roman" w:hint="default"/>
          <w:spacing w:val="-1"/>
        </w:rPr>
        <w:t>1968</w:t>
      </w:r>
      <w:r>
        <w:rPr>
          <w:spacing w:val="-1"/>
        </w:rPr>
        <w:t>年</w:t>
      </w:r>
      <w:r>
        <w:rPr>
          <w:rFonts w:ascii="Times New Roman" w:hAnsi="Times New Roman" w:cs="Times New Roman" w:eastAsia="Times New Roman" w:hint="default"/>
          <w:spacing w:val="-1"/>
        </w:rPr>
        <w:t>3</w:t>
      </w:r>
      <w:r>
        <w:rPr>
          <w:spacing w:val="-1"/>
        </w:rPr>
        <w:t>月出生，中国国籍，无境外永久居留权，毕业于大连海事大学计算机及应用专业，本科学</w:t>
      </w:r>
      <w:r>
        <w:rPr/>
        <w:t> 历，学士学位。现任中国科学院大学兼职教授。近五年均在本公司任职，现任公司副董事长。</w:t>
      </w:r>
    </w:p>
    <w:p>
      <w:pPr>
        <w:pStyle w:val="BodyText"/>
        <w:spacing w:line="300" w:lineRule="auto" w:before="31"/>
        <w:ind w:right="277" w:firstLine="419"/>
        <w:jc w:val="both"/>
      </w:pPr>
      <w:r>
        <w:rPr>
          <w:rFonts w:ascii="Times New Roman" w:hAnsi="Times New Roman" w:cs="Times New Roman" w:eastAsia="Times New Roman" w:hint="default"/>
        </w:rPr>
        <w:t>3.</w:t>
      </w:r>
      <w:r>
        <w:rPr/>
        <w:t>朱海东先生，男，</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10</w:t>
      </w:r>
      <w:r>
        <w:rPr/>
        <w:t>月出生，中国国籍，无境外永久居留权，毕业于中国科技经营管理大学外贸英语专业大 专学历。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月起任职于北京长策天成公关策划有限公司。现任本公司董事。</w:t>
      </w:r>
    </w:p>
    <w:p>
      <w:pPr>
        <w:pStyle w:val="BodyText"/>
        <w:spacing w:line="300" w:lineRule="auto" w:before="13"/>
        <w:ind w:right="190" w:firstLine="419"/>
        <w:jc w:val="both"/>
      </w:pPr>
      <w:r>
        <w:rPr>
          <w:rFonts w:ascii="Times New Roman" w:hAnsi="Times New Roman" w:cs="Times New Roman" w:eastAsia="Times New Roman" w:hint="default"/>
          <w:spacing w:val="-1"/>
        </w:rPr>
        <w:t>4.</w:t>
      </w:r>
      <w:r>
        <w:rPr>
          <w:spacing w:val="-1"/>
        </w:rPr>
        <w:t>朱曼女士，女，</w:t>
      </w:r>
      <w:r>
        <w:rPr>
          <w:rFonts w:ascii="Times New Roman" w:hAnsi="Times New Roman" w:cs="Times New Roman" w:eastAsia="Times New Roman" w:hint="default"/>
          <w:spacing w:val="-1"/>
        </w:rPr>
        <w:t>1967</w:t>
      </w:r>
      <w:r>
        <w:rPr>
          <w:spacing w:val="-1"/>
        </w:rPr>
        <w:t>年</w:t>
      </w:r>
      <w:r>
        <w:rPr>
          <w:rFonts w:ascii="Times New Roman" w:hAnsi="Times New Roman" w:cs="Times New Roman" w:eastAsia="Times New Roman" w:hint="default"/>
          <w:spacing w:val="-1"/>
        </w:rPr>
        <w:t>6</w:t>
      </w:r>
      <w:r>
        <w:rPr>
          <w:spacing w:val="-1"/>
        </w:rPr>
        <w:t>月出生，中国国籍，无境外永久居留权，毕业于湖南财政经济学院财会专业，大专学历。近</w:t>
      </w:r>
      <w:r>
        <w:rPr/>
        <w:t> 五年均在本公司任职，现任公司董事，副总经理。</w:t>
      </w:r>
    </w:p>
    <w:p>
      <w:pPr>
        <w:pStyle w:val="BodyText"/>
        <w:spacing w:line="300" w:lineRule="auto" w:before="31"/>
        <w:ind w:right="190" w:firstLine="419"/>
        <w:jc w:val="both"/>
      </w:pPr>
      <w:r>
        <w:rPr>
          <w:rFonts w:ascii="Times New Roman" w:hAnsi="Times New Roman" w:cs="Times New Roman" w:eastAsia="Times New Roman" w:hint="default"/>
          <w:spacing w:val="-1"/>
        </w:rPr>
        <w:t>5.</w:t>
      </w:r>
      <w:r>
        <w:rPr>
          <w:spacing w:val="-1"/>
        </w:rPr>
        <w:t>薛向东先生，男，</w:t>
      </w:r>
      <w:r>
        <w:rPr>
          <w:rFonts w:ascii="Times New Roman" w:hAnsi="Times New Roman" w:cs="Times New Roman" w:eastAsia="Times New Roman" w:hint="default"/>
          <w:spacing w:val="-1"/>
        </w:rPr>
        <w:t>1959</w:t>
      </w:r>
      <w:r>
        <w:rPr>
          <w:spacing w:val="-1"/>
        </w:rPr>
        <w:t>年</w:t>
      </w:r>
      <w:r>
        <w:rPr>
          <w:rFonts w:ascii="Times New Roman" w:hAnsi="Times New Roman" w:cs="Times New Roman" w:eastAsia="Times New Roman" w:hint="default"/>
          <w:spacing w:val="-1"/>
        </w:rPr>
        <w:t>2</w:t>
      </w:r>
      <w:r>
        <w:rPr>
          <w:spacing w:val="-1"/>
        </w:rPr>
        <w:t>月出生，中国国籍，无境外永久居留权，毕业于湖南大学计算机科学系，本科学历，学士</w:t>
      </w:r>
      <w:r>
        <w:rPr/>
        <w:t> 学位。</w:t>
      </w:r>
      <w:r>
        <w:rPr>
          <w:rFonts w:ascii="Times New Roman" w:hAnsi="Times New Roman" w:cs="Times New Roman" w:eastAsia="Times New Roman" w:hint="default"/>
        </w:rPr>
        <w:t>2006</w:t>
      </w:r>
      <w:r>
        <w:rPr/>
        <w:t>年起至今，任东华软件股份公司董事长。现任公司董事。</w:t>
      </w:r>
    </w:p>
    <w:p>
      <w:pPr>
        <w:pStyle w:val="BodyText"/>
        <w:spacing w:line="300" w:lineRule="auto" w:before="13"/>
        <w:ind w:left="153" w:right="196" w:firstLine="371"/>
        <w:jc w:val="both"/>
      </w:pPr>
      <w:r>
        <w:rPr>
          <w:rFonts w:ascii="Times New Roman" w:hAnsi="Times New Roman" w:cs="Times New Roman" w:eastAsia="Times New Roman" w:hint="default"/>
        </w:rPr>
        <w:t>6.</w:t>
      </w:r>
      <w:r>
        <w:rPr/>
        <w:t>李琪女士，女，</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8</w:t>
      </w:r>
      <w:r>
        <w:rPr/>
        <w:t>月出生，中国国籍，无境外永久居留权，毕业于北京师范大学，中国注册会计师，注册资产 </w:t>
      </w:r>
      <w:r>
        <w:rPr>
          <w:spacing w:val="-2"/>
        </w:rPr>
        <w:t>评估师。</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2012</w:t>
      </w:r>
      <w:r>
        <w:rPr>
          <w:spacing w:val="-2"/>
        </w:rPr>
        <w:t>年任汉华评值有限公司中国业务部总经理、董事，现任中发国际资产评估有限公司董事、总经理，并</w:t>
      </w:r>
      <w:r>
        <w:rPr>
          <w:spacing w:val="-63"/>
        </w:rPr>
        <w:t> </w:t>
      </w:r>
      <w:r>
        <w:rPr>
          <w:spacing w:val="-63"/>
        </w:rPr>
      </w:r>
      <w:r>
        <w:rPr/>
        <w:t>担任本公司独立董事。</w:t>
      </w:r>
    </w:p>
    <w:p>
      <w:pPr>
        <w:pStyle w:val="BodyText"/>
        <w:spacing w:line="314" w:lineRule="auto" w:before="31"/>
        <w:ind w:left="153" w:right="190" w:firstLine="419"/>
        <w:jc w:val="both"/>
      </w:pPr>
      <w:r>
        <w:rPr>
          <w:rFonts w:ascii="Times New Roman" w:hAnsi="Times New Roman" w:cs="Times New Roman" w:eastAsia="Times New Roman" w:hint="default"/>
          <w:spacing w:val="-1"/>
        </w:rPr>
        <w:t>7.</w:t>
      </w:r>
      <w:r>
        <w:rPr>
          <w:spacing w:val="-1"/>
        </w:rPr>
        <w:t>叶路先生，男，</w:t>
      </w:r>
      <w:r>
        <w:rPr>
          <w:rFonts w:ascii="Times New Roman" w:hAnsi="Times New Roman" w:cs="Times New Roman" w:eastAsia="Times New Roman" w:hint="default"/>
          <w:spacing w:val="-1"/>
        </w:rPr>
        <w:t>1944</w:t>
      </w:r>
      <w:r>
        <w:rPr>
          <w:spacing w:val="-1"/>
        </w:rPr>
        <w:t>年</w:t>
      </w:r>
      <w:r>
        <w:rPr>
          <w:rFonts w:ascii="Times New Roman" w:hAnsi="Times New Roman" w:cs="Times New Roman" w:eastAsia="Times New Roman" w:hint="default"/>
          <w:spacing w:val="-1"/>
        </w:rPr>
        <w:t>8</w:t>
      </w:r>
      <w:r>
        <w:rPr>
          <w:spacing w:val="-1"/>
        </w:rPr>
        <w:t>月出生，中国国籍，无境外永久居留权，毕业于清华大学，兼职教授、博士生导师。</w:t>
      </w:r>
      <w:r>
        <w:rPr>
          <w:rFonts w:ascii="Times New Roman" w:hAnsi="Times New Roman" w:cs="Times New Roman" w:eastAsia="Times New Roman" w:hint="default"/>
          <w:spacing w:val="-1"/>
        </w:rPr>
        <w:t>1994</w:t>
      </w:r>
      <w:r>
        <w:rPr>
          <w:spacing w:val="-1"/>
        </w:rPr>
        <w:t>年</w:t>
      </w:r>
      <w:r>
        <w:rPr/>
        <w:t> </w:t>
      </w:r>
      <w:r>
        <w:rPr>
          <w:spacing w:val="-2"/>
        </w:rPr>
        <w:t>至今任国防科技大学教授及博士生导师；现任北京理工大学兼职教授及博士生导师、中国发展战略学研究会副理事长、中国</w:t>
      </w:r>
      <w:r>
        <w:rPr>
          <w:spacing w:val="-63"/>
        </w:rPr>
        <w:t> </w:t>
      </w:r>
      <w:r>
        <w:rPr>
          <w:spacing w:val="-63"/>
        </w:rPr>
      </w:r>
      <w:r>
        <w:rPr>
          <w:spacing w:val="-2"/>
        </w:rPr>
        <w:t>信息产业商会副会长、中国计算机用户协会副理事长、工业与信息化部电子发展基金项目评审组成员、国家发改委信息安全</w:t>
      </w:r>
      <w:r>
        <w:rPr>
          <w:spacing w:val="-63"/>
        </w:rPr>
        <w:t> </w:t>
      </w:r>
      <w:r>
        <w:rPr>
          <w:spacing w:val="-63"/>
        </w:rPr>
      </w:r>
      <w:r>
        <w:rPr>
          <w:spacing w:val="-2"/>
        </w:rPr>
        <w:t>专项项目评审组成员，同时兼任飞天诚信科技股份有限公司独立董事、上海众恒信息产业股份有限公司独立董事，并担任本</w:t>
      </w:r>
      <w:r>
        <w:rPr>
          <w:spacing w:val="-63"/>
        </w:rPr>
        <w:t> </w:t>
      </w:r>
      <w:r>
        <w:rPr>
          <w:spacing w:val="-63"/>
        </w:rPr>
      </w:r>
      <w:r>
        <w:rPr/>
        <w:t>公司独立董事。</w:t>
      </w:r>
    </w:p>
    <w:p>
      <w:pPr>
        <w:pStyle w:val="BodyText"/>
        <w:spacing w:line="309" w:lineRule="auto" w:before="20"/>
        <w:ind w:left="153" w:right="185" w:firstLine="419"/>
        <w:jc w:val="both"/>
      </w:pPr>
      <w:r>
        <w:rPr>
          <w:rFonts w:ascii="Times New Roman" w:hAnsi="Times New Roman" w:cs="Times New Roman" w:eastAsia="Times New Roman" w:hint="default"/>
        </w:rPr>
        <w:t>8.</w:t>
      </w:r>
      <w:r>
        <w:rPr/>
        <w:t>甘培忠先生，男，</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5</w:t>
      </w:r>
      <w:r>
        <w:rPr/>
        <w:t>月出生，中国国籍，无境外居留权，毕业于北京大学，法学博士，北京大学法学院教授、 </w:t>
      </w:r>
      <w:r>
        <w:rPr>
          <w:spacing w:val="-2"/>
        </w:rPr>
        <w:t>博士生导师，北京大学企业与公司法研究中心主任，北京大学经济法研究所副所长。社会兼职主要有：最高人民法院咨询委</w:t>
      </w:r>
      <w:r>
        <w:rPr>
          <w:spacing w:val="-65"/>
        </w:rPr>
        <w:t> </w:t>
      </w:r>
      <w:r>
        <w:rPr>
          <w:spacing w:val="-65"/>
        </w:rPr>
      </w:r>
      <w:r>
        <w:rPr>
          <w:spacing w:val="-2"/>
        </w:rPr>
        <w:t>员，最高人民法院案例指导工作专家委员会委员，中国证券法学研究会副会长，中国经济法学研究会常务理事，北京市检察</w:t>
      </w:r>
      <w:r>
        <w:rPr>
          <w:spacing w:val="-65"/>
        </w:rPr>
        <w:t> </w:t>
      </w:r>
      <w:r>
        <w:rPr>
          <w:spacing w:val="-65"/>
        </w:rPr>
      </w:r>
      <w:r>
        <w:rPr/>
        <w:t>院第二分院专家咨询委员，河北省廊坊市中级人民法院专家咨询委员，深圳国际仲裁院仲裁员</w:t>
      </w:r>
      <w:r>
        <w:rPr>
          <w:rFonts w:ascii="Times New Roman" w:hAnsi="Times New Roman" w:cs="Times New Roman" w:eastAsia="Times New Roman" w:hint="default"/>
        </w:rPr>
        <w:t>,</w:t>
      </w:r>
      <w:r>
        <w:rPr/>
        <w:t>北京市华鹏律师事务所兼职 律师。同时兼任北京博彦科技股份有限公司、北京华宇软件股份有限公司独立董事。并担任本公司独立董事。</w:t>
      </w:r>
    </w:p>
    <w:p>
      <w:pPr>
        <w:spacing w:line="240" w:lineRule="auto" w:before="9"/>
        <w:rPr>
          <w:rFonts w:ascii="宋体" w:hAnsi="宋体" w:cs="宋体" w:eastAsia="宋体" w:hint="default"/>
          <w:sz w:val="25"/>
          <w:szCs w:val="25"/>
        </w:rPr>
      </w:pPr>
    </w:p>
    <w:p>
      <w:pPr>
        <w:pStyle w:val="BodyText"/>
        <w:spacing w:line="240" w:lineRule="auto"/>
        <w:ind w:left="573" w:right="0"/>
        <w:jc w:val="left"/>
      </w:pPr>
      <w:r>
        <w:rPr/>
        <w:t>（二）监事会成员：</w:t>
      </w:r>
    </w:p>
    <w:p>
      <w:pPr>
        <w:pStyle w:val="BodyText"/>
        <w:spacing w:line="300" w:lineRule="auto" w:before="76"/>
        <w:ind w:left="153" w:right="190" w:firstLine="419"/>
        <w:jc w:val="both"/>
      </w:pPr>
      <w:r>
        <w:rPr>
          <w:rFonts w:ascii="Times New Roman" w:hAnsi="Times New Roman" w:cs="Times New Roman" w:eastAsia="Times New Roman" w:hint="default"/>
          <w:spacing w:val="-1"/>
        </w:rPr>
        <w:t>1.</w:t>
      </w:r>
      <w:r>
        <w:rPr>
          <w:spacing w:val="-1"/>
        </w:rPr>
        <w:t>李春青先生，男，</w:t>
      </w:r>
      <w:r>
        <w:rPr>
          <w:rFonts w:ascii="Times New Roman" w:hAnsi="Times New Roman" w:cs="Times New Roman" w:eastAsia="Times New Roman" w:hint="default"/>
          <w:spacing w:val="-1"/>
        </w:rPr>
        <w:t>1965</w:t>
      </w:r>
      <w:r>
        <w:rPr>
          <w:spacing w:val="-1"/>
        </w:rPr>
        <w:t>年</w:t>
      </w:r>
      <w:r>
        <w:rPr>
          <w:rFonts w:ascii="Times New Roman" w:hAnsi="Times New Roman" w:cs="Times New Roman" w:eastAsia="Times New Roman" w:hint="default"/>
          <w:spacing w:val="-1"/>
        </w:rPr>
        <w:t>4</w:t>
      </w:r>
      <w:r>
        <w:rPr>
          <w:spacing w:val="-1"/>
        </w:rPr>
        <w:t>月出生，中国国籍，无境外永久居留权，毕业于大连理工大学计算机科学与应用专业，研</w:t>
      </w:r>
      <w:r>
        <w:rPr/>
        <w:t> 究生学历，硕士学位，高级工程师。近五年均在本公司任职，现任公司监事会主席。</w:t>
      </w:r>
    </w:p>
    <w:p>
      <w:pPr>
        <w:pStyle w:val="BodyText"/>
        <w:spacing w:line="300" w:lineRule="auto" w:before="31"/>
        <w:ind w:left="153" w:right="196" w:firstLine="419"/>
        <w:jc w:val="both"/>
      </w:pPr>
      <w:r>
        <w:rPr>
          <w:rFonts w:ascii="Times New Roman" w:hAnsi="Times New Roman" w:cs="Times New Roman" w:eastAsia="Times New Roman" w:hint="default"/>
          <w:spacing w:val="-1"/>
        </w:rPr>
        <w:t>2.</w:t>
      </w:r>
      <w:r>
        <w:rPr>
          <w:spacing w:val="-1"/>
        </w:rPr>
        <w:t>田琳燕女士，女</w:t>
      </w:r>
      <w:r>
        <w:rPr>
          <w:rFonts w:ascii="Times New Roman" w:hAnsi="Times New Roman" w:cs="Times New Roman" w:eastAsia="Times New Roman" w:hint="default"/>
          <w:spacing w:val="-1"/>
        </w:rPr>
        <w:t>1978</w:t>
      </w:r>
      <w:r>
        <w:rPr>
          <w:spacing w:val="-1"/>
        </w:rPr>
        <w:t>年</w:t>
      </w:r>
      <w:r>
        <w:rPr>
          <w:rFonts w:ascii="Times New Roman" w:hAnsi="Times New Roman" w:cs="Times New Roman" w:eastAsia="Times New Roman" w:hint="default"/>
          <w:spacing w:val="-1"/>
        </w:rPr>
        <w:t>8</w:t>
      </w:r>
      <w:r>
        <w:rPr>
          <w:spacing w:val="-1"/>
        </w:rPr>
        <w:t>月出生，中国国籍，无境外永久居留权，毕业于中国科学院心理研究所在职研究生，应用心</w:t>
      </w:r>
      <w:r>
        <w:rPr/>
        <w:t> 里学人力资源管理与开发专业。</w:t>
      </w:r>
      <w:r>
        <w:rPr>
          <w:rFonts w:ascii="Times New Roman" w:hAnsi="Times New Roman" w:cs="Times New Roman" w:eastAsia="Times New Roman" w:hint="default"/>
        </w:rPr>
        <w:t>2009-2012</w:t>
      </w:r>
      <w:r>
        <w:rPr/>
        <w:t>，任北京宣爱智能模拟技术有限公司人力行政经理；</w:t>
      </w:r>
      <w:r>
        <w:rPr>
          <w:rFonts w:ascii="Times New Roman" w:hAnsi="Times New Roman" w:cs="Times New Roman" w:eastAsia="Times New Roman" w:hint="default"/>
        </w:rPr>
        <w:t>2012</w:t>
      </w:r>
      <w:r>
        <w:rPr/>
        <w:t>至今，任公司人力行政 总监。</w:t>
      </w:r>
    </w:p>
    <w:p>
      <w:pPr>
        <w:pStyle w:val="BodyText"/>
        <w:spacing w:line="300" w:lineRule="auto" w:before="31"/>
        <w:ind w:left="153" w:right="277" w:firstLine="419"/>
        <w:jc w:val="both"/>
      </w:pPr>
      <w:r>
        <w:rPr>
          <w:rFonts w:ascii="Times New Roman" w:hAnsi="Times New Roman" w:cs="Times New Roman" w:eastAsia="Times New Roman" w:hint="default"/>
        </w:rPr>
        <w:t>3.</w:t>
      </w:r>
      <w:r>
        <w:rPr/>
        <w:t>张志勇先生，男，</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12</w:t>
      </w:r>
      <w:r>
        <w:rPr/>
        <w:t>月出生，中国国籍，无境外永久居留权，毕业于天津轻工业学院财务会计专业，大专学 历。近五年均在本公司任职，现任商务部经理，并担任本公司职工代表监事。</w:t>
      </w:r>
    </w:p>
    <w:p>
      <w:pPr>
        <w:spacing w:line="240" w:lineRule="auto" w:before="3"/>
        <w:rPr>
          <w:rFonts w:ascii="宋体" w:hAnsi="宋体" w:cs="宋体" w:eastAsia="宋体" w:hint="default"/>
          <w:sz w:val="26"/>
          <w:szCs w:val="26"/>
        </w:rPr>
      </w:pPr>
    </w:p>
    <w:p>
      <w:pPr>
        <w:pStyle w:val="BodyText"/>
        <w:spacing w:line="240" w:lineRule="auto"/>
        <w:ind w:left="573" w:right="0"/>
        <w:jc w:val="left"/>
      </w:pPr>
      <w:r>
        <w:rPr/>
        <w:t>（三）高级管理人员：</w:t>
      </w:r>
    </w:p>
    <w:p>
      <w:pPr>
        <w:pStyle w:val="BodyText"/>
        <w:spacing w:line="240" w:lineRule="auto" w:before="76"/>
        <w:ind w:left="573" w:right="0"/>
        <w:jc w:val="left"/>
      </w:pPr>
      <w:r>
        <w:rPr>
          <w:rFonts w:ascii="Times New Roman" w:hAnsi="Times New Roman" w:cs="Times New Roman" w:eastAsia="Times New Roman" w:hint="default"/>
          <w:spacing w:val="-5"/>
        </w:rPr>
        <w:t>1.</w:t>
      </w:r>
      <w:r>
        <w:rPr>
          <w:spacing w:val="-5"/>
        </w:rPr>
        <w:t>沈惠中先生，男，</w:t>
      </w:r>
      <w:r>
        <w:rPr>
          <w:rFonts w:ascii="Times New Roman" w:hAnsi="Times New Roman" w:cs="Times New Roman" w:eastAsia="Times New Roman" w:hint="default"/>
          <w:spacing w:val="-5"/>
        </w:rPr>
        <w:t>1970</w:t>
      </w:r>
      <w:r>
        <w:rPr>
          <w:spacing w:val="-5"/>
        </w:rPr>
        <w:t>年</w:t>
      </w:r>
      <w:r>
        <w:rPr>
          <w:rFonts w:ascii="Times New Roman" w:hAnsi="Times New Roman" w:cs="Times New Roman" w:eastAsia="Times New Roman" w:hint="default"/>
          <w:spacing w:val="-5"/>
        </w:rPr>
        <w:t>6</w:t>
      </w:r>
      <w:r>
        <w:rPr>
          <w:spacing w:val="-5"/>
        </w:rPr>
        <w:t>月出生，中国国籍，中国香港特别行政区永久居民，毕业于香港中文大学（信息工程专业），</w:t>
      </w:r>
    </w:p>
    <w:p>
      <w:pPr>
        <w:pStyle w:val="BodyText"/>
        <w:spacing w:line="240" w:lineRule="auto" w:before="62"/>
        <w:ind w:left="153" w:right="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年，任普元信息技术有限责任公司，董事长兼总经理，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月至今，任公司总经理。</w:t>
      </w:r>
    </w:p>
    <w:p>
      <w:pPr>
        <w:pStyle w:val="BodyText"/>
        <w:spacing w:line="300" w:lineRule="auto" w:before="62"/>
        <w:ind w:left="153" w:right="190" w:firstLine="419"/>
        <w:jc w:val="both"/>
      </w:pPr>
      <w:r>
        <w:rPr>
          <w:rFonts w:ascii="Times New Roman" w:hAnsi="Times New Roman" w:cs="Times New Roman" w:eastAsia="Times New Roman" w:hint="default"/>
          <w:spacing w:val="-1"/>
        </w:rPr>
        <w:t>2.</w:t>
      </w:r>
      <w:r>
        <w:rPr>
          <w:spacing w:val="-1"/>
        </w:rPr>
        <w:t>徐少璞先生，男，</w:t>
      </w:r>
      <w:r>
        <w:rPr>
          <w:rFonts w:ascii="Times New Roman" w:hAnsi="Times New Roman" w:cs="Times New Roman" w:eastAsia="Times New Roman" w:hint="default"/>
          <w:spacing w:val="-1"/>
        </w:rPr>
        <w:t>1971</w:t>
      </w:r>
      <w:r>
        <w:rPr>
          <w:spacing w:val="-1"/>
        </w:rPr>
        <w:t>年</w:t>
      </w:r>
      <w:r>
        <w:rPr>
          <w:rFonts w:ascii="Times New Roman" w:hAnsi="Times New Roman" w:cs="Times New Roman" w:eastAsia="Times New Roman" w:hint="default"/>
          <w:spacing w:val="-1"/>
        </w:rPr>
        <w:t>5</w:t>
      </w:r>
      <w:r>
        <w:rPr>
          <w:spacing w:val="-1"/>
        </w:rPr>
        <w:t>月出生，中国国籍，无境外永久居留权，毕业于哈尔滨工业大学会计专业，本科学历，学</w:t>
      </w:r>
      <w:r>
        <w:rPr/>
        <w:t> 士学位，中国注册会计师，高级会计师。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月，任首安工业消防股份有限公司财务总监。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月起在本公 司任职，现任本公司副总经理，同时担任本公司财务总监、董事会秘书。</w:t>
      </w:r>
    </w:p>
    <w:p>
      <w:pPr>
        <w:pStyle w:val="BodyText"/>
        <w:spacing w:line="240" w:lineRule="auto" w:before="31"/>
        <w:ind w:left="573" w:right="0"/>
        <w:jc w:val="left"/>
      </w:pPr>
      <w:r>
        <w:rPr>
          <w:rFonts w:ascii="Times New Roman" w:hAnsi="Times New Roman" w:cs="Times New Roman" w:eastAsia="Times New Roman" w:hint="default"/>
        </w:rPr>
        <w:t>3.</w:t>
      </w:r>
      <w:r>
        <w:rPr/>
        <w:t>朱曼女士，副总经理，详见本节</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5”</w:t>
      </w:r>
      <w:r>
        <w:rPr/>
        <w:t>介绍。</w:t>
      </w:r>
    </w:p>
    <w:p>
      <w:pPr>
        <w:pStyle w:val="BodyText"/>
        <w:spacing w:line="319" w:lineRule="auto" w:before="62"/>
        <w:ind w:left="153" w:right="189" w:firstLine="419"/>
        <w:jc w:val="left"/>
      </w:pPr>
      <w:r>
        <w:rPr>
          <w:rFonts w:ascii="Times New Roman" w:hAnsi="Times New Roman" w:cs="Times New Roman" w:eastAsia="Times New Roman" w:hint="default"/>
          <w:spacing w:val="-1"/>
        </w:rPr>
        <w:t>4.</w:t>
      </w:r>
      <w:r>
        <w:rPr>
          <w:spacing w:val="-1"/>
        </w:rPr>
        <w:t>陈世英先生，男，</w:t>
      </w:r>
      <w:r>
        <w:rPr>
          <w:rFonts w:ascii="Times New Roman" w:hAnsi="Times New Roman" w:cs="Times New Roman" w:eastAsia="Times New Roman" w:hint="default"/>
          <w:spacing w:val="-1"/>
        </w:rPr>
        <w:t>1976</w:t>
      </w:r>
      <w:r>
        <w:rPr>
          <w:spacing w:val="-1"/>
        </w:rPr>
        <w:t>年</w:t>
      </w:r>
      <w:r>
        <w:rPr>
          <w:rFonts w:ascii="Times New Roman" w:hAnsi="Times New Roman" w:cs="Times New Roman" w:eastAsia="Times New Roman" w:hint="default"/>
          <w:spacing w:val="-1"/>
        </w:rPr>
        <w:t>4</w:t>
      </w:r>
      <w:r>
        <w:rPr>
          <w:spacing w:val="-1"/>
        </w:rPr>
        <w:t>月出生，中国国籍，无境外永久居留权，毕业于西安电子科技大学应用数学专业，本科学</w:t>
      </w:r>
      <w:r>
        <w:rPr/>
        <w:t> 历，学士学位。</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月，任</w:t>
      </w:r>
      <w:r>
        <w:rPr>
          <w:rFonts w:ascii="Times New Roman" w:hAnsi="Times New Roman" w:cs="Times New Roman" w:eastAsia="Times New Roman" w:hint="default"/>
        </w:rPr>
        <w:t>IBM</w:t>
      </w:r>
      <w:r>
        <w:rPr/>
        <w:t>公司资深销售经理；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月至今，本公司任职，现任公司副总经理。 在股东单位任职情况</w:t>
      </w:r>
    </w:p>
    <w:p>
      <w:pPr>
        <w:pStyle w:val="BodyText"/>
        <w:spacing w:line="240" w:lineRule="auto" w:before="55"/>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6"/>
        <w:gridCol w:w="3230"/>
        <w:gridCol w:w="1078"/>
        <w:gridCol w:w="1212"/>
        <w:gridCol w:w="1346"/>
        <w:gridCol w:w="1486"/>
      </w:tblGrid>
      <w:tr>
        <w:trPr>
          <w:trHeight w:val="714" w:hRule="exact"/>
        </w:trPr>
        <w:tc>
          <w:tcPr>
            <w:tcW w:w="12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16"/>
        <w:gridCol w:w="3230"/>
        <w:gridCol w:w="1078"/>
        <w:gridCol w:w="1212"/>
        <w:gridCol w:w="1346"/>
        <w:gridCol w:w="1486"/>
      </w:tblGrid>
      <w:tr>
        <w:trPr>
          <w:trHeight w:val="401"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东华软件股份公司为公司持股</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以上股东，薛向东先生担任该公司的董事长。薛向东及其家族成员为东华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软件实际控制人。</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北京核高基软件有限公司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法定代表人、 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中国科学院大学工程管理与信息技术学 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兼职教授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 </w:t>
            </w:r>
            <w:r>
              <w:rPr>
                <w:rFonts w:ascii="宋体" w:hAnsi="宋体" w:cs="宋体" w:eastAsia="宋体" w:hint="default"/>
                <w:spacing w:val="2"/>
                <w:sz w:val="18"/>
                <w:szCs w:val="18"/>
              </w:rPr>
              <w:t> </w:t>
            </w:r>
            <w:r>
              <w:rPr>
                <w:rFonts w:ascii="宋体" w:hAnsi="宋体" w:cs="宋体" w:eastAsia="宋体" w:hint="default"/>
                <w:sz w:val="18"/>
                <w:szCs w:val="18"/>
              </w:rPr>
              <w:t>曼</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北京玉贝科技有限公司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中国科学院大学工程管理与信息技术学 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兼职教授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全国信息技术标准化委员会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北京长风信息技术产业联盟标准委员会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东方通科技无锡有限公司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北京东方通宇技术有限公司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北京数字天堂科技有限责任公司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北京数字天堂科技有限责任公司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北京数字天堂科技有限责任公司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中发国际资产评估有限公司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国防科技大学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教授及博士 生导师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北京理工大学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兼职教授及 博士生导师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中国发展战略学研究会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中国信息产业商会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中国计算机用户协会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上海众恒信息产业股份有限公司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北京大学法学院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北京大学企业与公司法研究中心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北京大学经济法研究所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最高人民法院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咨询委员</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最高人民法院案例指导工作专家委员会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中国证券法学研究会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中国经济法学研究会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北京市检察院第二分院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专家咨询委 员</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河北省廊坊市中级人民法院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专家咨询委 员</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北京博彦科技股份有限公司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合力东华（北京）科技有限公司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广州东华合创数码科技有限公司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北京卓讯科信技术有限公司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天津东华博雅软件有限公司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北京光明数据信息技术有限公司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0"/>
      <w:bookmarkEnd w:id="120"/>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260"/>
        <w:gridCol w:w="5309"/>
      </w:tblGrid>
      <w:tr>
        <w:trPr>
          <w:trHeight w:val="1055"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4"/>
                <w:sz w:val="18"/>
                <w:szCs w:val="18"/>
              </w:rPr>
              <w:t>在公司任职的董事、监事和高级管理人员的报酬按照公司董事会《薪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酬与考核委员会议事规则》的规定，结合其经营绩效、工作能力、 岗位职级等考核确定并发放。</w:t>
            </w:r>
          </w:p>
        </w:tc>
      </w:tr>
      <w:tr>
        <w:trPr>
          <w:trHeight w:val="1051"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5"/>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5"/>
              <w:ind w:left="4" w:right="67"/>
              <w:jc w:val="both"/>
              <w:rPr>
                <w:rFonts w:ascii="宋体" w:hAnsi="宋体" w:cs="宋体" w:eastAsia="宋体" w:hint="default"/>
                <w:sz w:val="18"/>
                <w:szCs w:val="18"/>
              </w:rPr>
            </w:pPr>
            <w:r>
              <w:rPr>
                <w:rFonts w:ascii="宋体" w:hAnsi="宋体" w:cs="宋体" w:eastAsia="宋体" w:hint="default"/>
                <w:sz w:val="18"/>
                <w:szCs w:val="18"/>
              </w:rPr>
              <w:t>外部董事不在公司领取薪酬。在公司任职的董事、监事不另外支付 津贴。独立董事津贴根据经股东大会审议通过的《独立董事津贴管 理办法》相关规定进行支付。</w:t>
            </w:r>
          </w:p>
        </w:tc>
      </w:tr>
      <w:tr>
        <w:trPr>
          <w:trHeight w:val="1048"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5"/>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5"/>
              <w:ind w:left="4" w:right="67"/>
              <w:jc w:val="both"/>
              <w:rPr>
                <w:rFonts w:ascii="宋体" w:hAnsi="宋体" w:cs="宋体" w:eastAsia="宋体" w:hint="default"/>
                <w:sz w:val="18"/>
                <w:szCs w:val="18"/>
              </w:rPr>
            </w:pPr>
            <w:r>
              <w:rPr>
                <w:rFonts w:ascii="宋体" w:hAnsi="宋体" w:cs="宋体" w:eastAsia="宋体" w:hint="default"/>
                <w:sz w:val="18"/>
                <w:szCs w:val="18"/>
              </w:rPr>
              <w:t>依据公司盈利水平及董事、监事、高级管理人员的职责履行情况并 结合年度绩效完成情况综合确定。其中独董领用津贴，不享受公司 其他薪金保险等待遇。</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t>公司报告期内董事、监事和高级管理人员报酬情况</w:t>
      </w:r>
    </w:p>
    <w:p>
      <w:pPr>
        <w:pStyle w:val="BodyText"/>
        <w:spacing w:line="240" w:lineRule="auto" w:before="115"/>
        <w:ind w:left="0" w:right="153"/>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孙亚明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35.99</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47.93</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44.73</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田琳燕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18.2</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1"/>
              <w:jc w:val="both"/>
              <w:rPr>
                <w:rFonts w:ascii="宋体" w:hAnsi="宋体" w:cs="宋体" w:eastAsia="宋体" w:hint="default"/>
                <w:sz w:val="18"/>
                <w:szCs w:val="18"/>
              </w:rPr>
            </w:pPr>
            <w:r>
              <w:rPr>
                <w:rFonts w:ascii="宋体" w:hAnsi="宋体" w:cs="宋体" w:eastAsia="宋体" w:hint="default"/>
                <w:sz w:val="18"/>
                <w:szCs w:val="18"/>
              </w:rPr>
              <w:t>副总经理，财务 总监，董事会秘 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50.89</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徐志东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陈世英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47.6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556.74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50"/>
        <w:ind w:right="-20"/>
        <w:jc w:val="left"/>
      </w:pPr>
      <w:r>
        <w:rPr/>
        <w:t>公司董事、监事、高级管理人员报告期内被授予的股权激励情况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pict>
          <v:shape style="position:absolute;margin-left:259.079987pt;margin-top:17.588713pt;width:58pt;height:66.5pt;mso-position-horizontal-relative:page;mso-position-vertical-relative:paragraph;z-index:-103470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单位：股</w:t>
      </w:r>
    </w:p>
    <w:p>
      <w:pPr>
        <w:spacing w:after="0" w:line="240" w:lineRule="auto"/>
        <w:jc w:val="left"/>
        <w:sectPr>
          <w:type w:val="continuous"/>
          <w:pgSz w:w="11910" w:h="16840"/>
          <w:pgMar w:top="1060" w:bottom="1180" w:left="980" w:right="980"/>
          <w:cols w:num="2" w:equalWidth="0">
            <w:col w:w="5193" w:space="3725"/>
            <w:col w:w="103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44"/>
        <w:ind w:left="0" w:right="162"/>
        <w:jc w:val="right"/>
      </w:pPr>
      <w:r>
        <w:rPr/>
        <w:pict>
          <v:shape style="position:absolute;margin-left:56.400002pt;margin-top:-163.689301pt;width:478.95pt;height:261.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69"/>
                    <w:gridCol w:w="871"/>
                    <w:gridCol w:w="871"/>
                    <w:gridCol w:w="869"/>
                    <w:gridCol w:w="869"/>
                    <w:gridCol w:w="871"/>
                    <w:gridCol w:w="869"/>
                    <w:gridCol w:w="871"/>
                    <w:gridCol w:w="869"/>
                    <w:gridCol w:w="871"/>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5"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5"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0"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67"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9" w:lineRule="auto"/>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86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63.69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86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63.69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陈世英</w:t>
                        </w:r>
                      </w:p>
                    </w:tc>
                    <w:tc>
                      <w:tcPr>
                        <w:tcW w:w="86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63.69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5" w:space="0" w:color="000000"/>
                        </w:tcBorders>
                        <w:shd w:val="clear" w:color="auto" w:fill="D4D4D4"/>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360,000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360,000</w:t>
                        </w:r>
                      </w:p>
                    </w:tc>
                  </w:tr>
                  <w:tr>
                    <w:trPr>
                      <w:trHeight w:val="2273" w:hRule="exact"/>
                    </w:trPr>
                    <w:tc>
                      <w:tcPr>
                        <w:tcW w:w="173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3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日第二届董事会第二十次会议审议通过了《关于公司</w:t>
                        </w:r>
                        <w:r>
                          <w:rPr>
                            <w:rFonts w:ascii="Times New Roman" w:hAnsi="Times New Roman" w:cs="Times New Roman" w:eastAsia="Times New Roman" w:hint="default"/>
                            <w:sz w:val="18"/>
                            <w:szCs w:val="18"/>
                          </w:rPr>
                          <w:t>&lt;</w:t>
                        </w:r>
                        <w:r>
                          <w:rPr>
                            <w:rFonts w:ascii="宋体" w:hAnsi="宋体" w:cs="宋体" w:eastAsia="宋体" w:hint="default"/>
                            <w:sz w:val="18"/>
                            <w:szCs w:val="18"/>
                          </w:rPr>
                          <w:t>第一期股票期权激励计</w:t>
                        </w:r>
                      </w:p>
                      <w:p>
                        <w:pPr>
                          <w:pStyle w:val="TableParagraph"/>
                          <w:spacing w:line="300" w:lineRule="auto" w:before="63"/>
                          <w:ind w:left="19" w:right="38"/>
                          <w:jc w:val="left"/>
                          <w:rPr>
                            <w:rFonts w:ascii="宋体" w:hAnsi="宋体" w:cs="宋体" w:eastAsia="宋体" w:hint="default"/>
                            <w:sz w:val="18"/>
                            <w:szCs w:val="18"/>
                          </w:rPr>
                        </w:pPr>
                        <w:r>
                          <w:rPr>
                            <w:rFonts w:ascii="宋体" w:hAnsi="宋体" w:cs="宋体" w:eastAsia="宋体" w:hint="default"/>
                            <w:spacing w:val="-6"/>
                            <w:sz w:val="18"/>
                            <w:szCs w:val="18"/>
                          </w:rPr>
                          <w:t>划（草案）及其摘要</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的议案》，并经公司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年第二次临时股东大会审议通过。</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86"/>
                            <w:sz w:val="18"/>
                            <w:szCs w:val="18"/>
                          </w:rPr>
                          <w:t> </w:t>
                        </w:r>
                        <w:r>
                          <w:rPr>
                            <w:rFonts w:ascii="宋体" w:hAnsi="宋体" w:cs="宋体" w:eastAsia="宋体" w:hint="default"/>
                            <w:sz w:val="18"/>
                            <w:szCs w:val="18"/>
                          </w:rPr>
                          <w:t>公司第二届董事会第二十一次会议，审议通过了《关于公司</w:t>
                        </w:r>
                        <w:r>
                          <w:rPr>
                            <w:rFonts w:ascii="Times New Roman" w:hAnsi="Times New Roman" w:cs="Times New Roman" w:eastAsia="Times New Roman" w:hint="default"/>
                            <w:sz w:val="18"/>
                            <w:szCs w:val="18"/>
                          </w:rPr>
                          <w:t>&lt;</w:t>
                        </w:r>
                        <w:r>
                          <w:rPr>
                            <w:rFonts w:ascii="宋体" w:hAnsi="宋体" w:cs="宋体" w:eastAsia="宋体" w:hint="default"/>
                            <w:sz w:val="18"/>
                            <w:szCs w:val="18"/>
                          </w:rPr>
                          <w:t>第一期股票期权激励计划</w:t>
                        </w:r>
                        <w:r>
                          <w:rPr>
                            <w:rFonts w:ascii="Times New Roman" w:hAnsi="Times New Roman" w:cs="Times New Roman" w:eastAsia="Times New Roman" w:hint="default"/>
                            <w:sz w:val="18"/>
                            <w:szCs w:val="18"/>
                          </w:rPr>
                          <w:t>&gt;</w:t>
                        </w:r>
                        <w:r>
                          <w:rPr>
                            <w:rFonts w:ascii="宋体" w:hAnsi="宋体" w:cs="宋体" w:eastAsia="宋体" w:hint="default"/>
                            <w:sz w:val="18"/>
                            <w:szCs w:val="18"/>
                          </w:rPr>
                          <w:t>首次授予期 </w:t>
                        </w:r>
                        <w:r>
                          <w:rPr>
                            <w:rFonts w:ascii="宋体" w:hAnsi="宋体" w:cs="宋体" w:eastAsia="宋体" w:hint="default"/>
                            <w:spacing w:val="-7"/>
                            <w:sz w:val="18"/>
                            <w:szCs w:val="18"/>
                          </w:rPr>
                          <w:t>权相关事项的议案》，同意授予</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261</w:t>
                        </w:r>
                        <w:r>
                          <w:rPr>
                            <w:rFonts w:ascii="Times New Roman" w:hAnsi="Times New Roman" w:cs="Times New Roman" w:eastAsia="Times New Roman" w:hint="default"/>
                            <w:sz w:val="18"/>
                            <w:szCs w:val="18"/>
                          </w:rPr>
                          <w:t> </w:t>
                        </w:r>
                        <w:r>
                          <w:rPr>
                            <w:rFonts w:ascii="宋体" w:hAnsi="宋体" w:cs="宋体" w:eastAsia="宋体" w:hint="default"/>
                            <w:sz w:val="18"/>
                            <w:szCs w:val="18"/>
                          </w:rPr>
                          <w:t>名激励对象 </w:t>
                        </w:r>
                        <w:r>
                          <w:rPr>
                            <w:rFonts w:ascii="Times New Roman" w:hAnsi="Times New Roman" w:cs="Times New Roman" w:eastAsia="Times New Roman" w:hint="default"/>
                            <w:spacing w:val="-1"/>
                            <w:sz w:val="18"/>
                            <w:szCs w:val="18"/>
                          </w:rPr>
                          <w:t>433.25</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万份股票期权，并根据股东大会的授权，董</w:t>
                        </w:r>
                      </w:p>
                      <w:p>
                        <w:pPr>
                          <w:pStyle w:val="TableParagraph"/>
                          <w:spacing w:line="240" w:lineRule="auto" w:before="13"/>
                          <w:ind w:left="19" w:right="0"/>
                          <w:jc w:val="left"/>
                          <w:rPr>
                            <w:rFonts w:ascii="宋体" w:hAnsi="宋体" w:cs="宋体" w:eastAsia="宋体" w:hint="default"/>
                            <w:sz w:val="18"/>
                            <w:szCs w:val="18"/>
                          </w:rPr>
                        </w:pPr>
                        <w:r>
                          <w:rPr>
                            <w:rFonts w:ascii="宋体" w:hAnsi="宋体" w:cs="宋体" w:eastAsia="宋体" w:hint="default"/>
                            <w:sz w:val="18"/>
                            <w:szCs w:val="18"/>
                          </w:rPr>
                          <w:t>事会确定第一期股票期权激励计划首次授予期权的授予日为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日。本次授予的股票期权</w:t>
                        </w:r>
                      </w:p>
                      <w:p>
                        <w:pPr>
                          <w:pStyle w:val="TableParagraph"/>
                          <w:spacing w:line="300" w:lineRule="auto" w:before="63"/>
                          <w:ind w:left="19" w:right="19"/>
                          <w:jc w:val="left"/>
                          <w:rPr>
                            <w:rFonts w:ascii="宋体" w:hAnsi="宋体" w:cs="宋体" w:eastAsia="宋体" w:hint="default"/>
                            <w:sz w:val="18"/>
                            <w:szCs w:val="18"/>
                          </w:rPr>
                        </w:pPr>
                        <w:r>
                          <w:rPr>
                            <w:rFonts w:ascii="宋体" w:hAnsi="宋体" w:cs="宋体" w:eastAsia="宋体" w:hint="default"/>
                            <w:sz w:val="18"/>
                            <w:szCs w:val="18"/>
                          </w:rPr>
                          <w:t>的行权价格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元。以上议案详见分别于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日在指定信息披露网 </w:t>
                        </w:r>
                        <w:r>
                          <w:rPr>
                            <w:rFonts w:ascii="宋体" w:hAnsi="宋体" w:cs="宋体" w:eastAsia="宋体" w:hint="default"/>
                            <w:spacing w:val="-5"/>
                            <w:sz w:val="18"/>
                            <w:szCs w:val="18"/>
                          </w:rPr>
                          <w:t>站巨潮资讯网上披露的相关公告（公告编号：</w:t>
                        </w:r>
                        <w:r>
                          <w:rPr>
                            <w:rFonts w:ascii="Times New Roman" w:hAnsi="Times New Roman" w:cs="Times New Roman" w:eastAsia="Times New Roman" w:hint="default"/>
                            <w:spacing w:val="-5"/>
                            <w:sz w:val="18"/>
                            <w:szCs w:val="18"/>
                          </w:rPr>
                          <w:t>2015-069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2015-076</w:t>
                        </w:r>
                        <w:r>
                          <w:rPr>
                            <w:rFonts w:ascii="宋体" w:hAnsi="宋体" w:cs="宋体" w:eastAsia="宋体" w:hint="default"/>
                            <w:spacing w:val="-5"/>
                            <w:sz w:val="18"/>
                            <w:szCs w:val="18"/>
                          </w:rPr>
                          <w:t>）。</w:t>
                        </w:r>
                        <w:r>
                          <w:rPr>
                            <w:rFonts w:ascii="宋体" w:hAnsi="宋体" w:cs="宋体" w:eastAsia="宋体" w:hint="default"/>
                            <w:sz w:val="18"/>
                            <w:szCs w:val="18"/>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26"/>
        <w:ind w:right="0"/>
        <w:jc w:val="left"/>
        <w:rPr>
          <w:b w:val="0"/>
          <w:bCs w:val="0"/>
        </w:rPr>
      </w:pPr>
      <w:bookmarkStart w:name="五、公司员工情况" w:id="121"/>
      <w:bookmarkEnd w:id="121"/>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2"/>
      <w:bookmarkEnd w:id="12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843"/>
              <w:jc w:val="right"/>
              <w:rPr>
                <w:rFonts w:ascii="宋体" w:hAnsi="宋体" w:cs="宋体" w:eastAsia="宋体" w:hint="default"/>
                <w:sz w:val="18"/>
                <w:szCs w:val="18"/>
              </w:rPr>
            </w:pPr>
            <w:r>
              <w:rPr>
                <w:rFonts w:ascii="宋体" w:hAnsi="宋体" w:cs="宋体" w:eastAsia="宋体" w:hint="default"/>
                <w:sz w:val="18"/>
                <w:szCs w:val="18"/>
              </w:rPr>
              <w:t>专业构成类别</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r>
      <w:tr>
        <w:trPr>
          <w:trHeight w:val="39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843"/>
              <w:jc w:val="right"/>
              <w:rPr>
                <w:rFonts w:ascii="宋体" w:hAnsi="宋体" w:cs="宋体" w:eastAsia="宋体" w:hint="default"/>
                <w:sz w:val="18"/>
                <w:szCs w:val="18"/>
              </w:rPr>
            </w:pPr>
            <w:r>
              <w:rPr>
                <w:rFonts w:ascii="宋体" w:hAnsi="宋体" w:cs="宋体" w:eastAsia="宋体" w:hint="default"/>
                <w:sz w:val="18"/>
                <w:szCs w:val="18"/>
              </w:rPr>
              <w:t>教育程度类别</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高中以下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r>
    </w:tbl>
    <w:p>
      <w:pPr>
        <w:spacing w:line="240" w:lineRule="auto" w:before="3"/>
        <w:rPr>
          <w:rFonts w:ascii="宋体" w:hAnsi="宋体" w:cs="宋体" w:eastAsia="宋体" w:hint="default"/>
          <w:b/>
          <w:bCs/>
          <w:sz w:val="19"/>
          <w:szCs w:val="19"/>
        </w:rPr>
      </w:pPr>
    </w:p>
    <w:p>
      <w:pPr>
        <w:pStyle w:val="Heading3"/>
        <w:spacing w:line="240" w:lineRule="auto" w:before="36"/>
        <w:ind w:right="101"/>
        <w:jc w:val="left"/>
        <w:rPr>
          <w:b w:val="0"/>
          <w:bCs w:val="0"/>
        </w:rPr>
      </w:pPr>
      <w:bookmarkStart w:name="2、薪酬政策" w:id="123"/>
      <w:bookmarkEnd w:id="12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1"/>
        <w:jc w:val="left"/>
      </w:pPr>
      <w:r>
        <w:rPr/>
        <w:t>以岗位价值评估为核心的薪酬体系： </w:t>
      </w:r>
      <w:r>
        <w:rPr>
          <w:spacing w:val="-2"/>
        </w:rPr>
        <w:t>公司薪酬政策采取通过岗位价值评估，明确公司各个岗位的相对价值，从而为个岗位的薪酬标准提供依据的原则，同时解决</w:t>
      </w:r>
      <w:r>
        <w:rPr>
          <w:spacing w:val="-63"/>
        </w:rPr>
        <w:t> </w:t>
      </w:r>
      <w:r>
        <w:rPr>
          <w:spacing w:val="-63"/>
        </w:rPr>
      </w:r>
      <w:r>
        <w:rPr/>
        <w:t>各岗位薪酬的内、外部公平性的问题。通过定期任职资格评审等环节，确定每个岗位对应的薪酬体系。</w:t>
      </w:r>
    </w:p>
    <w:p>
      <w:pPr>
        <w:spacing w:line="240" w:lineRule="auto" w:before="10"/>
        <w:rPr>
          <w:rFonts w:ascii="宋体" w:hAnsi="宋体" w:cs="宋体" w:eastAsia="宋体" w:hint="default"/>
          <w:sz w:val="22"/>
          <w:szCs w:val="22"/>
        </w:rPr>
      </w:pPr>
    </w:p>
    <w:p>
      <w:pPr>
        <w:pStyle w:val="Heading3"/>
        <w:spacing w:line="240" w:lineRule="auto"/>
        <w:ind w:right="101"/>
        <w:jc w:val="left"/>
        <w:rPr>
          <w:b w:val="0"/>
          <w:bCs w:val="0"/>
        </w:rPr>
      </w:pPr>
      <w:bookmarkStart w:name="3、培训计划" w:id="124"/>
      <w:bookmarkEnd w:id="12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1"/>
        <w:jc w:val="left"/>
      </w:pPr>
      <w:r>
        <w:rPr/>
        <w:t>以各岗位为中心的年度培训规划：</w:t>
      </w:r>
    </w:p>
    <w:p>
      <w:pPr>
        <w:pStyle w:val="BodyText"/>
        <w:spacing w:line="300" w:lineRule="auto" w:before="76"/>
        <w:ind w:right="155"/>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针对高层管理人员，通过攻读</w:t>
      </w:r>
      <w:r>
        <w:rPr>
          <w:rFonts w:ascii="Times New Roman" w:hAnsi="Times New Roman" w:cs="Times New Roman" w:eastAsia="Times New Roman" w:hint="default"/>
        </w:rPr>
        <w:t>EMBA</w:t>
      </w:r>
      <w:r>
        <w:rPr/>
        <w:t>、领导研修等方式，强化管理能力的系统学习，培养高层管理者的管理视野和开放心 态，熟悉经济规律和市场规则，提升经营管理能力和领导水平；</w:t>
      </w:r>
    </w:p>
    <w:p>
      <w:pPr>
        <w:pStyle w:val="BodyText"/>
        <w:spacing w:line="300" w:lineRule="auto" w:before="31"/>
        <w:ind w:right="10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spacing w:val="-2"/>
        </w:rPr>
        <w:t>针对中层人员，主要是开发他们的管理智慧，改进管理方式方法，提高其对下属的亲和力和指导能力，促使其与部下一起</w:t>
      </w:r>
      <w:r>
        <w:rPr>
          <w:spacing w:val="-86"/>
        </w:rPr>
        <w:t> </w:t>
      </w:r>
      <w:r>
        <w:rPr>
          <w:spacing w:val="-86"/>
        </w:rPr>
      </w:r>
      <w:r>
        <w:rPr/>
        <w:t>不断进步和成长；</w:t>
      </w:r>
    </w:p>
    <w:p>
      <w:pPr>
        <w:pStyle w:val="BodyText"/>
        <w:spacing w:line="300" w:lineRule="auto" w:before="31"/>
        <w:ind w:right="9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针对业务骨干，主要是提高技能、更新知识、开发其进取精神、创新能力和协作能力、提高员工的职业意识与职业素养， 提升其主动积极的工作态度与团队合作与沟通的能力，增强敬业精神与服务观念，加强其专业水准；</w:t>
      </w:r>
    </w:p>
    <w:p>
      <w:pPr>
        <w:pStyle w:val="BodyText"/>
        <w:spacing w:line="309" w:lineRule="auto" w:before="31"/>
        <w:ind w:right="173"/>
        <w:jc w:val="both"/>
      </w:pP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spacing w:val="-2"/>
        </w:rPr>
        <w:t>针对基层员工，主要根据工作说明书和工作规范的要求，开发其操作技能方面的潜力（提高熟练程度、降低错误率、争抢</w:t>
      </w:r>
      <w:r>
        <w:rPr>
          <w:spacing w:val="-85"/>
        </w:rPr>
        <w:t> </w:t>
      </w:r>
      <w:r>
        <w:rPr>
          <w:spacing w:val="-85"/>
        </w:rPr>
      </w:r>
      <w:r>
        <w:rPr>
          <w:spacing w:val="-2"/>
        </w:rPr>
        <w:t>迁移能力和具有一定创新能力），培养敬业精神、工作责任感和事业心，做好入司前，上岗中，工作后各项培训与培养工作</w:t>
      </w:r>
      <w:r>
        <w:rPr>
          <w:spacing w:val="-68"/>
        </w:rPr>
        <w:t> </w:t>
      </w:r>
      <w:r>
        <w:rPr>
          <w:spacing w:val="-68"/>
        </w:rPr>
      </w:r>
      <w:r>
        <w:rPr/>
        <w:t>计划，帮助他们度过适应期；</w:t>
      </w:r>
    </w:p>
    <w:p>
      <w:pPr>
        <w:spacing w:line="240" w:lineRule="auto" w:before="3"/>
        <w:rPr>
          <w:rFonts w:ascii="宋体" w:hAnsi="宋体" w:cs="宋体" w:eastAsia="宋体" w:hint="default"/>
          <w:sz w:val="23"/>
          <w:szCs w:val="23"/>
        </w:rPr>
      </w:pPr>
    </w:p>
    <w:p>
      <w:pPr>
        <w:pStyle w:val="Heading3"/>
        <w:spacing w:line="240" w:lineRule="auto"/>
        <w:ind w:right="101"/>
        <w:jc w:val="left"/>
        <w:rPr>
          <w:b w:val="0"/>
          <w:bCs w:val="0"/>
        </w:rPr>
      </w:pPr>
      <w:bookmarkStart w:name="4、劳务外包情况" w:id="125"/>
      <w:bookmarkEnd w:id="12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8"/>
        <w:jc w:val="center"/>
        <w:rPr>
          <w:b w:val="0"/>
          <w:bCs w:val="0"/>
        </w:rPr>
      </w:pPr>
      <w:bookmarkStart w:name="_TOC_250002" w:id="126"/>
      <w:bookmarkStart w:name="第九节 公司治理" w:id="127"/>
      <w:r>
        <w:rPr>
          <w:b w:val="0"/>
          <w:bCs w:val="0"/>
        </w:rPr>
      </w:r>
      <w:r>
        <w:rPr/>
        <w:t>第九节</w:t>
      </w:r>
      <w:r>
        <w:rPr>
          <w:spacing w:val="-4"/>
        </w:rPr>
        <w:t> </w:t>
      </w:r>
      <w:r>
        <w:rPr/>
        <w:t>公司治理</w:t>
      </w:r>
      <w:bookmarkEnd w:id="12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3" w:firstLine="419"/>
        <w:jc w:val="both"/>
      </w:pPr>
      <w:r>
        <w:rPr/>
        <w:t>报告期内，公司严格按照《公司法》、《证券法》、《上市公司信息披露管理办法》、《深圳证券交易所创业板股票 上市规则》</w:t>
      </w:r>
      <w:r>
        <w:rPr>
          <w:spacing w:val="-40"/>
        </w:rPr>
        <w:t> </w:t>
      </w:r>
      <w:r>
        <w:rPr/>
        <w:t>、</w:t>
      </w:r>
      <w:r>
        <w:rPr>
          <w:spacing w:val="-45"/>
        </w:rPr>
        <w:t> </w:t>
      </w:r>
      <w:r>
        <w:rPr/>
        <w:t>《深圳证券交易所创业板上市公司规范运作指引》等有关法律、法规、业务规则的有关规定，结合公司实际</w:t>
      </w:r>
      <w:r>
        <w:rPr/>
        <w:t> 情况，进一步完善公司规范运作管理制度，加强内部控制制度建设，不断规范公司运作，提高公司治理水平。</w:t>
      </w:r>
    </w:p>
    <w:p>
      <w:pPr>
        <w:pStyle w:val="BodyText"/>
        <w:spacing w:line="338" w:lineRule="auto" w:before="59"/>
        <w:ind w:left="572" w:right="0" w:hanging="421"/>
        <w:jc w:val="left"/>
      </w:pPr>
      <w:r>
        <w:rPr>
          <w:rFonts w:ascii="Times New Roman" w:hAnsi="Times New Roman" w:cs="Times New Roman" w:eastAsia="Times New Roman" w:hint="default"/>
        </w:rPr>
        <w:t>1</w:t>
      </w:r>
      <w:r>
        <w:rPr/>
        <w:t>、</w:t>
      </w:r>
      <w:r>
        <w:rPr>
          <w:spacing w:val="58"/>
        </w:rPr>
        <w:t> </w:t>
      </w:r>
      <w:r>
        <w:rPr/>
        <w:t>关于股东与股东大会</w:t>
      </w:r>
      <w:r>
        <w:rPr/>
        <w:t> 公司股东按照《公司章程》、《上市公司股东大会规则》的规定按其所持股份享有平等地位，并承担相应义务。公司</w:t>
      </w:r>
    </w:p>
    <w:p>
      <w:pPr>
        <w:pStyle w:val="BodyText"/>
        <w:spacing w:line="316" w:lineRule="auto" w:before="2"/>
        <w:ind w:left="153" w:right="93"/>
        <w:jc w:val="left"/>
      </w:pPr>
      <w:r>
        <w:rPr>
          <w:spacing w:val="-2"/>
        </w:rPr>
        <w:t>严格按照《公司法》、《上市公司股东大会规则》以及公司《章程》、《股东大会议事规则》和深圳证券交易所创业板的相</w:t>
      </w:r>
      <w:r>
        <w:rPr>
          <w:spacing w:val="-70"/>
        </w:rPr>
        <w:t> </w:t>
      </w:r>
      <w:r>
        <w:rPr>
          <w:spacing w:val="-70"/>
        </w:rPr>
      </w:r>
      <w:r>
        <w:rPr/>
        <w:t>关规定和要求，规范股东大会的召集、召开和表决程序。报告期内公司召开的股东大会均由董事会召集召开，董事长主持， </w:t>
      </w:r>
      <w:r>
        <w:rPr>
          <w:spacing w:val="-2"/>
        </w:rPr>
        <w:t>董事长不能主持的情况下，副董事长主持。公司治理结构能够保证所有股东，特别是中小股东享有平等地位，合法行使自己</w:t>
      </w:r>
      <w:r>
        <w:rPr>
          <w:spacing w:val="-65"/>
        </w:rPr>
        <w:t> </w:t>
      </w:r>
      <w:r>
        <w:rPr>
          <w:spacing w:val="-65"/>
        </w:rPr>
      </w:r>
      <w:r>
        <w:rPr>
          <w:spacing w:val="-2"/>
        </w:rPr>
        <w:t>的权利，保证了股东对公司重大事项的知情权、参与权、表决权。按照《公司法》、《公司章程》的规定应由股东大会审议</w:t>
      </w:r>
      <w:r>
        <w:rPr>
          <w:spacing w:val="-70"/>
        </w:rPr>
        <w:t> </w:t>
      </w:r>
      <w:r>
        <w:rPr>
          <w:spacing w:val="-70"/>
        </w:rPr>
      </w:r>
      <w:r>
        <w:rPr/>
        <w:t>的重大事项，均按照相应的权限审批后提交股东大会审议，不存在越权审批或先实施后审议的情况。</w:t>
      </w:r>
    </w:p>
    <w:p>
      <w:pPr>
        <w:pStyle w:val="BodyText"/>
        <w:spacing w:line="340" w:lineRule="auto" w:before="59"/>
        <w:ind w:left="573" w:right="0" w:hanging="421"/>
        <w:jc w:val="left"/>
      </w:pPr>
      <w:r>
        <w:rPr>
          <w:rFonts w:ascii="Times New Roman" w:hAnsi="Times New Roman" w:cs="Times New Roman" w:eastAsia="Times New Roman" w:hint="default"/>
        </w:rPr>
        <w:t>2</w:t>
      </w:r>
      <w:r>
        <w:rPr/>
        <w:t>、关于公司与控股股东 公司具有独立的业务经营能力及完备的运营体系，在业务、人员、资产、机构、财务上均独立于控股股东（实际控制</w:t>
      </w:r>
    </w:p>
    <w:p>
      <w:pPr>
        <w:pStyle w:val="BodyText"/>
        <w:spacing w:line="316" w:lineRule="auto"/>
        <w:ind w:left="153" w:right="190"/>
        <w:jc w:val="both"/>
      </w:pPr>
      <w:r>
        <w:rPr>
          <w:spacing w:val="-5"/>
        </w:rPr>
        <w:t>人），公司董事会、监事会和内部机构根据其议事规则或公司制度独立运作。公司控股股东能严格规范自己的行为，按照《上</w:t>
      </w:r>
      <w:r>
        <w:rPr>
          <w:spacing w:val="-82"/>
        </w:rPr>
        <w:t> </w:t>
      </w:r>
      <w:r>
        <w:rPr>
          <w:spacing w:val="-82"/>
        </w:rPr>
      </w:r>
      <w:r>
        <w:rPr>
          <w:spacing w:val="-2"/>
        </w:rPr>
        <w:t>市公司治理准则》、《深圳证券交易所创业板股票上市规则》、《深圳证券交易所创业板上市公司规范运作指引》、《公司</w:t>
      </w:r>
      <w:r>
        <w:rPr>
          <w:spacing w:val="-67"/>
        </w:rPr>
        <w:t> </w:t>
      </w:r>
      <w:r>
        <w:rPr>
          <w:spacing w:val="-67"/>
        </w:rPr>
      </w:r>
      <w:r>
        <w:rPr>
          <w:spacing w:val="-2"/>
        </w:rPr>
        <w:t>章程》等规定和要求，没有超越股东大会直接或间接干预公司经营活动。报告期内，公司没有为控股股东提供担保，未损害</w:t>
      </w:r>
      <w:r>
        <w:rPr>
          <w:spacing w:val="-67"/>
        </w:rPr>
        <w:t> </w:t>
      </w:r>
      <w:r>
        <w:rPr>
          <w:spacing w:val="-67"/>
        </w:rPr>
      </w:r>
      <w:r>
        <w:rPr/>
        <w:t>公司及其他股东的利益，亦不存在控股股东非经营性占用公司资金的行为。</w:t>
      </w:r>
    </w:p>
    <w:p>
      <w:pPr>
        <w:pStyle w:val="BodyText"/>
        <w:spacing w:line="340" w:lineRule="auto" w:before="57"/>
        <w:ind w:left="573" w:right="0" w:hanging="421"/>
        <w:jc w:val="left"/>
      </w:pPr>
      <w:r>
        <w:rPr>
          <w:rFonts w:ascii="Times New Roman" w:hAnsi="Times New Roman" w:cs="Times New Roman" w:eastAsia="Times New Roman" w:hint="default"/>
        </w:rPr>
        <w:t>3</w:t>
      </w:r>
      <w:r>
        <w:rPr/>
        <w:t>、关于董事和董事会 公司严格按照《公司法》、《公司章程》规定的选聘程序选举董事。董事会由</w:t>
      </w:r>
      <w:r>
        <w:rPr>
          <w:rFonts w:ascii="Times New Roman" w:hAnsi="Times New Roman" w:cs="Times New Roman" w:eastAsia="Times New Roman" w:hint="default"/>
        </w:rPr>
        <w:t>9</w:t>
      </w:r>
      <w:r>
        <w:rPr/>
        <w:t>人组成，其中</w:t>
      </w:r>
      <w:r>
        <w:rPr>
          <w:rFonts w:ascii="Times New Roman" w:hAnsi="Times New Roman" w:cs="Times New Roman" w:eastAsia="Times New Roman" w:hint="default"/>
        </w:rPr>
        <w:t>3</w:t>
      </w:r>
      <w:r>
        <w:rPr/>
        <w:t>人为独立董事。公司董</w:t>
      </w:r>
    </w:p>
    <w:p>
      <w:pPr>
        <w:pStyle w:val="BodyText"/>
        <w:spacing w:line="215" w:lineRule="exact"/>
        <w:ind w:left="153" w:right="0"/>
        <w:jc w:val="left"/>
      </w:pPr>
      <w:r>
        <w:rPr/>
        <w:t>事会人数和人员构成符合法律</w:t>
      </w:r>
      <w:r>
        <w:rPr>
          <w:spacing w:val="-36"/>
        </w:rPr>
        <w:t>、</w:t>
      </w:r>
      <w:r>
        <w:rPr/>
        <w:t>法规的要求</w:t>
      </w:r>
      <w:r>
        <w:rPr>
          <w:spacing w:val="-36"/>
        </w:rPr>
        <w:t>。</w:t>
      </w:r>
      <w:r>
        <w:rPr/>
        <w:t>各位董事能够</w:t>
      </w:r>
      <w:r>
        <w:rPr>
          <w:spacing w:val="2"/>
        </w:rPr>
        <w:t>依</w:t>
      </w:r>
      <w:r>
        <w:rPr>
          <w:spacing w:val="-36"/>
        </w:rPr>
        <w:t>据</w:t>
      </w:r>
      <w:r>
        <w:rPr/>
        <w:t>《公司章程</w:t>
      </w:r>
      <w:r>
        <w:rPr>
          <w:spacing w:val="-36"/>
        </w:rPr>
        <w:t>》</w:t>
      </w:r>
      <w:r>
        <w:rPr>
          <w:spacing w:val="-72"/>
        </w:rPr>
        <w:t>、</w:t>
      </w:r>
      <w:r>
        <w:rPr/>
        <w:t>《董事会议</w:t>
      </w:r>
      <w:r>
        <w:rPr>
          <w:spacing w:val="2"/>
        </w:rPr>
        <w:t>事</w:t>
      </w:r>
      <w:r>
        <w:rPr/>
        <w:t>规则</w:t>
      </w:r>
      <w:r>
        <w:rPr>
          <w:spacing w:val="-36"/>
        </w:rPr>
        <w:t>》</w:t>
      </w:r>
      <w:r>
        <w:rPr>
          <w:spacing w:val="-72"/>
        </w:rPr>
        <w:t>、</w:t>
      </w:r>
      <w:r>
        <w:rPr/>
        <w:t>《独立董事工作制度</w:t>
      </w:r>
      <w:r>
        <w:rPr>
          <w:spacing w:val="-34"/>
        </w:rPr>
        <w:t>》</w:t>
      </w:r>
      <w:r>
        <w:rPr/>
        <w:t>、</w:t>
      </w:r>
    </w:p>
    <w:p>
      <w:pPr>
        <w:pStyle w:val="BodyText"/>
        <w:spacing w:line="316" w:lineRule="auto" w:before="76"/>
        <w:ind w:left="153" w:right="190"/>
        <w:jc w:val="both"/>
      </w:pPr>
      <w:r>
        <w:rPr>
          <w:spacing w:val="-2"/>
        </w:rPr>
        <w:t>《深圳证券交易所创业板上市公司规范运作指引》等规定开展工作，以认真负责的态度出席董事会和股东大会，从公司和全</w:t>
      </w:r>
      <w:r>
        <w:rPr>
          <w:spacing w:val="-63"/>
        </w:rPr>
        <w:t> </w:t>
      </w:r>
      <w:r>
        <w:rPr>
          <w:spacing w:val="-63"/>
        </w:rPr>
      </w:r>
      <w:r>
        <w:rPr>
          <w:spacing w:val="-2"/>
        </w:rPr>
        <w:t>体股东的利益出发，忠实履行职责，积极参加有关培训，学习有关法律法规，促进董事会规范运作和科学决策。董事会会议</w:t>
      </w:r>
      <w:r>
        <w:rPr>
          <w:spacing w:val="-67"/>
        </w:rPr>
        <w:t> </w:t>
      </w:r>
      <w:r>
        <w:rPr>
          <w:spacing w:val="-67"/>
        </w:rPr>
      </w:r>
      <w:r>
        <w:rPr/>
        <w:t>程序符合规定，会议记录完整、真实，会议相关信息披露及时、准确、充分。</w:t>
      </w:r>
    </w:p>
    <w:p>
      <w:pPr>
        <w:pStyle w:val="BodyText"/>
        <w:spacing w:line="338" w:lineRule="auto" w:before="59"/>
        <w:ind w:left="573" w:right="0" w:hanging="421"/>
        <w:jc w:val="left"/>
      </w:pPr>
      <w:r>
        <w:rPr>
          <w:rFonts w:ascii="Times New Roman" w:hAnsi="Times New Roman" w:cs="Times New Roman" w:eastAsia="Times New Roman" w:hint="default"/>
        </w:rPr>
        <w:t>4</w:t>
      </w:r>
      <w:r>
        <w:rPr/>
        <w:t>、关于监事和监事会 公司严格按照《公司法》、《公司章程》规定的选聘程序选举监事，监事会设监事</w:t>
      </w:r>
      <w:r>
        <w:rPr>
          <w:rFonts w:ascii="Times New Roman" w:hAnsi="Times New Roman" w:cs="Times New Roman" w:eastAsia="Times New Roman" w:hint="default"/>
        </w:rPr>
        <w:t>3</w:t>
      </w:r>
      <w:r>
        <w:rPr/>
        <w:t>名，其中职工选举的监事</w:t>
      </w:r>
      <w:r>
        <w:rPr>
          <w:rFonts w:ascii="Times New Roman" w:hAnsi="Times New Roman" w:cs="Times New Roman" w:eastAsia="Times New Roman" w:hint="default"/>
        </w:rPr>
        <w:t>1</w:t>
      </w:r>
      <w:r>
        <w:rPr/>
        <w:t>名。公</w:t>
      </w:r>
    </w:p>
    <w:p>
      <w:pPr>
        <w:pStyle w:val="BodyText"/>
        <w:spacing w:line="217" w:lineRule="exact"/>
        <w:ind w:left="153" w:right="0"/>
        <w:jc w:val="left"/>
      </w:pPr>
      <w:r>
        <w:rPr/>
        <w:t>司监事会人数和人员构成符合法律、法规的要求。各位监事能够按照《公司章程》、《监事会议事规则》等规定的要求，以</w:t>
      </w:r>
    </w:p>
    <w:p>
      <w:pPr>
        <w:pStyle w:val="BodyText"/>
        <w:spacing w:line="316" w:lineRule="auto" w:before="76"/>
        <w:ind w:left="153" w:right="190"/>
        <w:jc w:val="both"/>
      </w:pPr>
      <w:r>
        <w:rPr>
          <w:spacing w:val="-2"/>
        </w:rPr>
        <w:t>认真负责的态度出席监事会，学习有关法律法规、积极参加相关业务培训，本着对全体股东尤其是中小股东负责的精神，对</w:t>
      </w:r>
      <w:r>
        <w:rPr>
          <w:spacing w:val="-64"/>
        </w:rPr>
        <w:t> </w:t>
      </w:r>
      <w:r>
        <w:rPr>
          <w:spacing w:val="-64"/>
        </w:rPr>
      </w:r>
      <w:r>
        <w:rPr>
          <w:spacing w:val="-2"/>
        </w:rPr>
        <w:t>公司重大事项、关联交易、财务状况以及董事和其他高级管理人员履行职责的合法、合规性进行监督并发表独立意见，维护</w:t>
      </w:r>
      <w:r>
        <w:rPr>
          <w:spacing w:val="-64"/>
        </w:rPr>
        <w:t> </w:t>
      </w:r>
      <w:r>
        <w:rPr>
          <w:spacing w:val="-64"/>
        </w:rPr>
      </w:r>
      <w:r>
        <w:rPr/>
        <w:t>公司及股东的合法权益。</w:t>
      </w:r>
    </w:p>
    <w:p>
      <w:pPr>
        <w:pStyle w:val="BodyText"/>
        <w:spacing w:line="340" w:lineRule="auto" w:before="59"/>
        <w:ind w:left="573" w:right="0" w:hanging="421"/>
        <w:jc w:val="left"/>
      </w:pPr>
      <w:r>
        <w:rPr>
          <w:rFonts w:ascii="Times New Roman" w:hAnsi="Times New Roman" w:cs="Times New Roman" w:eastAsia="Times New Roman" w:hint="default"/>
        </w:rPr>
        <w:t>5</w:t>
      </w:r>
      <w:r>
        <w:rPr/>
        <w:t>、关于绩效评价与激励约束机制 公司建立并逐步完善公正、透明的董事、监事、高级管理人员的绩效评价标准与激励约束机制；高级管理人员的聘任</w:t>
      </w:r>
    </w:p>
    <w:p>
      <w:pPr>
        <w:pStyle w:val="BodyText"/>
        <w:spacing w:line="240" w:lineRule="auto"/>
        <w:ind w:left="153" w:right="0"/>
        <w:jc w:val="left"/>
      </w:pPr>
      <w:r>
        <w:rPr/>
        <w:t>公开、透明，符合相关法律、法规的规定。</w:t>
      </w:r>
    </w:p>
    <w:p>
      <w:pPr>
        <w:pStyle w:val="BodyText"/>
        <w:spacing w:line="340" w:lineRule="auto" w:before="115"/>
        <w:ind w:left="573" w:right="0" w:hanging="421"/>
        <w:jc w:val="left"/>
      </w:pPr>
      <w:r>
        <w:rPr>
          <w:rFonts w:ascii="Times New Roman" w:hAnsi="Times New Roman" w:cs="Times New Roman" w:eastAsia="Times New Roman" w:hint="default"/>
        </w:rPr>
        <w:t>6</w:t>
      </w:r>
      <w:r>
        <w:rPr/>
        <w:t>、关于相关利益者 公司能够充分尊重和维护相关利益者的合法权益，积极与相关利益者合作，加强与各方的沟通和交流，实现社会、股</w:t>
      </w:r>
    </w:p>
    <w:p>
      <w:pPr>
        <w:pStyle w:val="BodyText"/>
        <w:spacing w:line="240" w:lineRule="auto"/>
        <w:ind w:left="153" w:right="0"/>
        <w:jc w:val="left"/>
      </w:pPr>
      <w:r>
        <w:rPr/>
        <w:t>东、公司、员工等各方利益的协调平衡，推动公司持续、稳定、健康发展。</w:t>
      </w:r>
    </w:p>
    <w:p>
      <w:pPr>
        <w:pStyle w:val="BodyText"/>
        <w:spacing w:line="338" w:lineRule="auto" w:before="117"/>
        <w:ind w:left="573" w:right="0" w:hanging="421"/>
        <w:jc w:val="left"/>
      </w:pPr>
      <w:r>
        <w:rPr>
          <w:rFonts w:ascii="Times New Roman" w:hAnsi="Times New Roman" w:cs="Times New Roman" w:eastAsia="Times New Roman" w:hint="default"/>
        </w:rPr>
        <w:t>7</w:t>
      </w:r>
      <w:r>
        <w:rPr/>
        <w:t>、关于信息披露与透明度 公司严格按照有关法律法规和《公司信息披露管理制度》的规定，加强信息披露事务管理，履行信息披露义务，并指</w:t>
      </w:r>
    </w:p>
    <w:p>
      <w:pPr>
        <w:spacing w:after="0" w:line="338"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9" w:lineRule="auto" w:before="44"/>
        <w:ind w:right="156"/>
        <w:jc w:val="both"/>
      </w:pPr>
      <w:r>
        <w:rPr/>
        <w:t>定《证券时报》、《中国证券报》、《上海证券报》、《证券日报》和中国证监会创业板指定信息披露网站（巨潮资讯网</w:t>
      </w:r>
      <w:r>
        <w:rPr>
          <w:spacing w:val="-11"/>
        </w:rPr>
        <w:t> </w:t>
      </w:r>
      <w:r>
        <w:rPr>
          <w:spacing w:val="-11"/>
        </w:rPr>
      </w:r>
      <w:hyperlink r:id="rId11">
        <w:r>
          <w:rPr>
            <w:rFonts w:ascii="Times New Roman" w:hAnsi="Times New Roman" w:cs="Times New Roman" w:eastAsia="Times New Roman" w:hint="default"/>
          </w:rPr>
          <w:t>www.cninfo.com.cn</w:t>
        </w:r>
      </w:hyperlink>
      <w:r>
        <w:rPr/>
        <w:t>）为公司信息披露报纸和网站，真实、准确、及时、完整的披露信息，确保所有投资者公平获取公司信</w:t>
      </w:r>
      <w:r>
        <w:rPr>
          <w:spacing w:val="-36"/>
        </w:rPr>
        <w:t> </w:t>
      </w:r>
      <w:r>
        <w:rPr>
          <w:spacing w:val="-36"/>
        </w:rPr>
      </w:r>
      <w:r>
        <w:rPr/>
        <w:t>息。</w:t>
      </w:r>
    </w:p>
    <w:p>
      <w:pPr>
        <w:pStyle w:val="BodyText"/>
        <w:spacing w:line="240" w:lineRule="auto" w:before="65"/>
        <w:ind w:right="0"/>
        <w:jc w:val="both"/>
      </w:pPr>
      <w:r>
        <w:rPr/>
        <w:t>公司治理的实际状况与中国证监会发布的有关上市公司治理的规范性文件是否存在重大差异</w:t>
      </w:r>
    </w:p>
    <w:p>
      <w:pPr>
        <w:pStyle w:val="BodyText"/>
        <w:spacing w:line="340" w:lineRule="auto" w:before="115"/>
        <w:ind w:right="257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29"/>
      <w:bookmarkEnd w:id="129"/>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公司控股股东为自然人，公司在资产、业务、人员、财务和机构等方面能够保证独立性、保持自主经营能力。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0"/>
        <w:jc w:val="both"/>
        <w:rPr>
          <w:b w:val="0"/>
          <w:bCs w:val="0"/>
        </w:rPr>
      </w:pPr>
      <w:bookmarkStart w:name="三、同业竞争情况" w:id="130"/>
      <w:bookmarkEnd w:id="130"/>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四、报告期内召开的年度股东大会和临时股东大会的有关情况" w:id="131"/>
      <w:bookmarkEnd w:id="131"/>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本报告期股东大会情况" w:id="132"/>
      <w:bookmarkEnd w:id="13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 </w:t>
            </w:r>
            <w:r>
              <w:rPr>
                <w:rFonts w:ascii="宋体" w:hAnsi="宋体" w:cs="宋体" w:eastAsia="宋体" w:hint="default"/>
                <w:spacing w:val="-11"/>
                <w:sz w:val="18"/>
                <w:szCs w:val="18"/>
              </w:rPr>
              <w:t>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2015-030</w:t>
            </w:r>
            <w:r>
              <w:rPr>
                <w:rFonts w:ascii="宋体" w:hAnsi="宋体" w:cs="宋体" w:eastAsia="宋体" w:hint="default"/>
                <w:sz w:val="18"/>
                <w:szCs w:val="18"/>
              </w:rPr>
              <w:t>）</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2015-050</w:t>
            </w:r>
            <w:r>
              <w:rPr>
                <w:rFonts w:ascii="宋体" w:hAnsi="宋体" w:cs="宋体" w:eastAsia="宋体" w:hint="default"/>
                <w:sz w:val="18"/>
                <w:szCs w:val="18"/>
              </w:rPr>
              <w:t>）</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2015-073</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表决权恢复的优先股股东请求召开临时股东大会" w:id="133"/>
      <w:bookmarkEnd w:id="13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5"/>
      <w:bookmarkEnd w:id="13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pt;height:20.1pt;mso-position-horizontal-relative:char;mso-position-vertical-relative:line" type="#_x0000_t202" filled="true" fillcolor="#d4d4d4" stroked="true" strokeweight=".48pt" strokecolor="#000000">
            <w10:anchorlock/>
            <v:textbox inset="0,0,0,0">
              <w:txbxContent>
                <w:p>
                  <w:pPr>
                    <w:pStyle w:val="BodyText"/>
                    <w:spacing w:line="240" w:lineRule="auto" w:before="49"/>
                    <w:ind w:left="-1" w:right="1"/>
                    <w:jc w:val="center"/>
                  </w:pPr>
                  <w:r>
                    <w:rPr/>
                    <w:t>独立董事出席董事会情况</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06"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49"/>
        <w:ind w:right="5494"/>
        <w:jc w:val="left"/>
      </w:pPr>
      <w:r>
        <w:rPr/>
        <w:t>连续两次未亲自出席董事会的说明 报告期内，没有独立董事连续两次未亲自出席董事会。</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独立董事对公司有关事项提出异议的情况" w:id="136"/>
      <w:bookmarkEnd w:id="13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5"/>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37"/>
      <w:bookmarkEnd w:id="13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7"/>
        <w:ind w:right="58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6" w:lineRule="auto" w:before="39"/>
        <w:ind w:right="0" w:firstLine="360"/>
        <w:jc w:val="left"/>
      </w:pPr>
      <w:r>
        <w:rPr>
          <w:spacing w:val="-12"/>
        </w:rPr>
        <w:t>报告期内，独立董事严格按照《公司法》、《证券法》、《关于在上市公司建立独立董事制度的指导意见》、《深圳证券交易</w:t>
      </w:r>
      <w:r>
        <w:rPr/>
        <w:t> </w:t>
      </w:r>
      <w:r>
        <w:rPr>
          <w:spacing w:val="-7"/>
        </w:rPr>
        <w:t>所创业板上市公司规范运作指引》、《关于加强社会公众股股东权益保护的若干规定》和《公司章程》、《独立董事工作细则》</w:t>
      </w:r>
      <w:r>
        <w:rPr>
          <w:spacing w:val="-62"/>
        </w:rPr>
        <w:t> </w:t>
      </w:r>
      <w:r>
        <w:rPr>
          <w:spacing w:val="-62"/>
        </w:rPr>
      </w:r>
      <w:r>
        <w:rPr>
          <w:spacing w:val="-2"/>
        </w:rPr>
        <w:t>等规定，忠实、勤勉、独立地履行了独立董事职责，积极出席公司股东大会和董事会，对公司的生产经营和业务发展提出了</w:t>
      </w:r>
      <w:r>
        <w:rPr>
          <w:spacing w:val="-65"/>
        </w:rPr>
        <w:t> </w:t>
      </w:r>
      <w:r>
        <w:rPr>
          <w:spacing w:val="-65"/>
        </w:rPr>
      </w:r>
      <w:r>
        <w:rPr/>
        <w:t>合理的建议，充分发挥了独立董事作用，维护了公司股东，尤其是中小股东的合法权益。</w:t>
      </w:r>
    </w:p>
    <w:p>
      <w:pPr>
        <w:pStyle w:val="BodyText"/>
        <w:spacing w:line="240" w:lineRule="auto" w:before="59"/>
        <w:ind w:left="512" w:right="0"/>
        <w:jc w:val="left"/>
      </w:pPr>
      <w:r>
        <w:rPr>
          <w:rFonts w:ascii="Times New Roman" w:hAnsi="Times New Roman" w:cs="Times New Roman" w:eastAsia="Times New Roman" w:hint="default"/>
        </w:rPr>
        <w:t>1.2015 </w:t>
      </w:r>
      <w:r>
        <w:rPr/>
        <w:t>年</w:t>
      </w:r>
      <w:r>
        <w:rPr>
          <w:spacing w:val="-48"/>
        </w:rPr>
        <w:t> </w:t>
      </w:r>
      <w:r>
        <w:rPr>
          <w:rFonts w:ascii="Times New Roman" w:hAnsi="Times New Roman" w:cs="Times New Roman" w:eastAsia="Times New Roman" w:hint="default"/>
        </w:rPr>
        <w:t>3 </w:t>
      </w:r>
      <w:r>
        <w:rPr/>
        <w:t>月</w:t>
      </w:r>
      <w:r>
        <w:rPr>
          <w:spacing w:val="-48"/>
        </w:rPr>
        <w:t> </w:t>
      </w:r>
      <w:r>
        <w:rPr>
          <w:rFonts w:ascii="Times New Roman" w:hAnsi="Times New Roman" w:cs="Times New Roman" w:eastAsia="Times New Roman" w:hint="default"/>
        </w:rPr>
        <w:t>10 </w:t>
      </w:r>
      <w:r>
        <w:rPr/>
        <w:t>日，独立董事对第二届董事会第十五次会议审议的《关于控股股东及其他关联方占用资金、公司对外</w:t>
      </w:r>
    </w:p>
    <w:p>
      <w:pPr>
        <w:pStyle w:val="BodyText"/>
        <w:spacing w:line="240" w:lineRule="auto" w:before="62"/>
        <w:ind w:right="0"/>
        <w:jc w:val="left"/>
      </w:pPr>
      <w:r>
        <w:rPr/>
        <w:t>担保情况</w:t>
      </w:r>
      <w:r>
        <w:rPr>
          <w:spacing w:val="-92"/>
        </w:rPr>
        <w:t>》</w:t>
      </w:r>
      <w:r>
        <w:rPr>
          <w:spacing w:val="-118"/>
        </w:rPr>
        <w:t>、</w:t>
      </w:r>
      <w:r>
        <w:rPr/>
        <w:t>《关于公司</w:t>
      </w:r>
      <w:r>
        <w:rPr>
          <w:spacing w:val="-45"/>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年</w:t>
      </w:r>
      <w:r>
        <w:rPr/>
        <w:t>关联交易事项</w:t>
      </w:r>
      <w:r>
        <w:rPr>
          <w:spacing w:val="-92"/>
        </w:rPr>
        <w:t>》</w:t>
      </w:r>
      <w:r>
        <w:rPr>
          <w:spacing w:val="-118"/>
        </w:rPr>
        <w:t>、</w:t>
      </w:r>
      <w:r>
        <w:rPr/>
        <w:t>《关于</w:t>
      </w:r>
      <w:r>
        <w:rPr>
          <w:spacing w:val="-45"/>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 </w:t>
      </w:r>
      <w:r>
        <w:rPr>
          <w:rFonts w:ascii="Times New Roman" w:hAnsi="Times New Roman" w:cs="Times New Roman" w:eastAsia="Times New Roman" w:hint="default"/>
          <w:spacing w:val="2"/>
        </w:rPr>
        <w:t> </w:t>
      </w:r>
      <w:r>
        <w:rPr>
          <w:spacing w:val="-3"/>
        </w:rPr>
        <w:t>年</w:t>
      </w:r>
      <w:r>
        <w:rPr/>
        <w:t>度利润分配及资本公积金转增方案</w:t>
      </w:r>
      <w:r>
        <w:rPr>
          <w:spacing w:val="-92"/>
        </w:rPr>
        <w:t>》</w:t>
      </w:r>
      <w:r>
        <w:rPr>
          <w:spacing w:val="-118"/>
        </w:rPr>
        <w:t>、</w:t>
      </w:r>
      <w:r>
        <w:rPr/>
        <w:t>《关于公司</w:t>
      </w:r>
      <w:r>
        <w:rPr>
          <w:spacing w:val="1"/>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年度内</w:t>
      </w:r>
    </w:p>
    <w:p>
      <w:pPr>
        <w:pStyle w:val="BodyText"/>
        <w:spacing w:line="240" w:lineRule="auto" w:before="62"/>
        <w:ind w:right="0"/>
        <w:jc w:val="left"/>
      </w:pPr>
      <w:r>
        <w:rPr/>
        <w:t>部控制评价报告</w:t>
      </w:r>
      <w:r>
        <w:rPr>
          <w:spacing w:val="-92"/>
        </w:rPr>
        <w:t>》</w:t>
      </w:r>
      <w:r>
        <w:rPr>
          <w:spacing w:val="-132"/>
        </w:rPr>
        <w:t>、</w:t>
      </w:r>
      <w:r>
        <w:rPr/>
        <w:t>《关于公司</w:t>
      </w:r>
      <w:r>
        <w:rPr>
          <w:spacing w:val="1"/>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 </w:t>
      </w:r>
      <w:r>
        <w:rPr>
          <w:rFonts w:ascii="Times New Roman" w:hAnsi="Times New Roman" w:cs="Times New Roman" w:eastAsia="Times New Roman" w:hint="default"/>
          <w:spacing w:val="2"/>
        </w:rPr>
        <w:t> </w:t>
      </w:r>
      <w:r>
        <w:rPr/>
        <w:t>年度募集资金存放与使</w:t>
      </w:r>
      <w:r>
        <w:rPr>
          <w:spacing w:val="-3"/>
        </w:rPr>
        <w:t>用</w:t>
      </w:r>
      <w:r>
        <w:rPr/>
        <w:t>情况专项报告</w:t>
      </w:r>
      <w:r>
        <w:rPr>
          <w:spacing w:val="-92"/>
        </w:rPr>
        <w:t>》</w:t>
      </w:r>
      <w:r>
        <w:rPr>
          <w:spacing w:val="-132"/>
        </w:rPr>
        <w:t>、</w:t>
      </w:r>
      <w:r>
        <w:rPr/>
        <w:t>《关于公司</w:t>
      </w:r>
      <w:r>
        <w:rPr>
          <w:spacing w:val="2"/>
        </w:rPr>
        <w:t>前</w:t>
      </w:r>
      <w:r>
        <w:rPr/>
        <w:t>次募集资金项目结项并永久补充</w:t>
      </w:r>
    </w:p>
    <w:p>
      <w:pPr>
        <w:pStyle w:val="BodyText"/>
        <w:spacing w:line="240" w:lineRule="auto" w:before="62"/>
        <w:ind w:right="0"/>
        <w:jc w:val="left"/>
      </w:pPr>
      <w:r>
        <w:rPr/>
        <w:t>流动资金</w:t>
      </w:r>
      <w:r>
        <w:rPr>
          <w:spacing w:val="-92"/>
        </w:rPr>
        <w:t>》、</w:t>
      </w:r>
      <w:r>
        <w:rPr/>
        <w:t>《关于续聘立信</w:t>
      </w:r>
      <w:r>
        <w:rPr>
          <w:spacing w:val="2"/>
        </w:rPr>
        <w:t>会</w:t>
      </w:r>
      <w:r>
        <w:rPr/>
        <w:t>计师事务所（特殊普通合伙）为公司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5  </w:t>
      </w:r>
      <w:r>
        <w:rPr/>
        <w:t>年度审计机构</w:t>
      </w:r>
      <w:r>
        <w:rPr>
          <w:spacing w:val="-3"/>
        </w:rPr>
        <w:t>》</w:t>
      </w:r>
      <w:r>
        <w:rPr/>
        <w:t>发表了同意的独立意见。</w:t>
      </w:r>
    </w:p>
    <w:p>
      <w:pPr>
        <w:pStyle w:val="BodyText"/>
        <w:spacing w:line="300" w:lineRule="auto" w:before="103"/>
        <w:ind w:right="99" w:firstLine="360"/>
        <w:jc w:val="left"/>
      </w:pPr>
      <w:r>
        <w:rPr>
          <w:rFonts w:ascii="Times New Roman" w:hAnsi="Times New Roman" w:cs="Times New Roman" w:eastAsia="Times New Roman" w:hint="default"/>
        </w:rPr>
        <w:t>2.2015</w:t>
      </w:r>
      <w:r>
        <w:rPr>
          <w:rFonts w:ascii="Times New Roman" w:hAnsi="Times New Roman" w:cs="Times New Roman" w:eastAsia="Times New Roman" w:hint="default"/>
          <w:spacing w:val="-12"/>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日，独立董事对第二届董事会第十六次会议涉及非公开发行股票的《公司本次非公开发行股票方案及非 </w:t>
      </w:r>
      <w:r>
        <w:rPr>
          <w:spacing w:val="-4"/>
        </w:rPr>
        <w:t>公开发行股票发行方案论证分析》、《公司关联方参与认购公司非公开发行股票》发表专项意见，对审议的《关于</w:t>
      </w:r>
      <w:r>
        <w:rPr>
          <w:rFonts w:ascii="Times New Roman" w:hAnsi="Times New Roman" w:cs="Times New Roman" w:eastAsia="Times New Roman" w:hint="default"/>
          <w:spacing w:val="-4"/>
        </w:rPr>
        <w:t>&lt;</w:t>
      </w:r>
      <w:r>
        <w:rPr>
          <w:spacing w:val="-4"/>
        </w:rPr>
        <w:t>公司未来</w:t>
      </w:r>
      <w:r>
        <w:rPr>
          <w:spacing w:val="-53"/>
        </w:rPr>
        <w:t> </w:t>
      </w:r>
      <w:r>
        <w:rPr>
          <w:spacing w:val="-1"/>
        </w:rPr>
        <w:t>三年股东回报规划（</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11"/>
        </w:rPr>
        <w:t> </w:t>
      </w:r>
      <w:r>
        <w:rPr>
          <w:spacing w:val="-1"/>
        </w:rPr>
        <w:t>年</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11"/>
        </w:rPr>
        <w:t> </w:t>
      </w:r>
      <w:r>
        <w:rPr>
          <w:spacing w:val="-2"/>
        </w:rPr>
        <w:t>年）</w:t>
      </w:r>
      <w:r>
        <w:rPr>
          <w:rFonts w:ascii="Times New Roman" w:hAnsi="Times New Roman" w:cs="Times New Roman" w:eastAsia="Times New Roman" w:hint="default"/>
          <w:spacing w:val="-2"/>
        </w:rPr>
        <w:t>&gt;</w:t>
      </w:r>
      <w:r>
        <w:rPr>
          <w:spacing w:val="-2"/>
        </w:rPr>
        <w:t>》发表了同意的独立意见，对《关于公司非公开发行股票涉及关联交易事项的议案》</w:t>
      </w:r>
      <w:r>
        <w:rPr>
          <w:spacing w:val="-86"/>
        </w:rPr>
        <w:t> </w:t>
      </w:r>
      <w:r>
        <w:rPr>
          <w:spacing w:val="-86"/>
        </w:rPr>
      </w:r>
      <w:r>
        <w:rPr/>
        <w:t>进行了事前认可，并发表独立意见。</w:t>
      </w:r>
    </w:p>
    <w:p>
      <w:pPr>
        <w:pStyle w:val="BodyText"/>
        <w:spacing w:line="300" w:lineRule="auto" w:before="70"/>
        <w:ind w:right="96" w:firstLine="360"/>
        <w:jc w:val="left"/>
      </w:pPr>
      <w:r>
        <w:rPr>
          <w:rFonts w:ascii="Times New Roman" w:hAnsi="Times New Roman" w:cs="Times New Roman" w:eastAsia="Times New Roman" w:hint="default"/>
          <w:spacing w:val="-1"/>
        </w:rPr>
        <w:t>3.2015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spacing w:val="-2"/>
        </w:rPr>
        <w:t>日，独立董事对第二届董事会第十七次会议审议的关于修订非公开发行股票相关事项进行了事前认可，</w:t>
      </w:r>
      <w:r>
        <w:rPr/>
        <w:t> 并发表了同意的独立意见。</w:t>
      </w:r>
    </w:p>
    <w:p>
      <w:pPr>
        <w:pStyle w:val="BodyText"/>
        <w:spacing w:line="300" w:lineRule="auto" w:before="72"/>
        <w:ind w:right="190" w:firstLine="360"/>
        <w:jc w:val="left"/>
      </w:pPr>
      <w:r>
        <w:rPr>
          <w:rFonts w:ascii="Times New Roman" w:hAnsi="Times New Roman" w:cs="Times New Roman" w:eastAsia="Times New Roman" w:hint="default"/>
        </w:rPr>
        <w:t>4.2015 </w:t>
      </w:r>
      <w:r>
        <w:rPr/>
        <w:t>年</w:t>
      </w:r>
      <w:r>
        <w:rPr>
          <w:spacing w:val="-48"/>
        </w:rPr>
        <w:t> </w:t>
      </w:r>
      <w:r>
        <w:rPr>
          <w:rFonts w:ascii="Times New Roman" w:hAnsi="Times New Roman" w:cs="Times New Roman" w:eastAsia="Times New Roman" w:hint="default"/>
        </w:rPr>
        <w:t>4 </w:t>
      </w:r>
      <w:r>
        <w:rPr/>
        <w:t>月</w:t>
      </w:r>
      <w:r>
        <w:rPr>
          <w:spacing w:val="-48"/>
        </w:rPr>
        <w:t> </w:t>
      </w:r>
      <w:r>
        <w:rPr>
          <w:rFonts w:ascii="Times New Roman" w:hAnsi="Times New Roman" w:cs="Times New Roman" w:eastAsia="Times New Roman" w:hint="default"/>
        </w:rPr>
        <w:t>24 </w:t>
      </w:r>
      <w:r>
        <w:rPr/>
        <w:t>日，独立董事对第二届董事会第十八次会议审议的《关于公司以自有资金购买北京数字天堂信息科技 有限责任公司</w:t>
      </w:r>
      <w:r>
        <w:rPr>
          <w:spacing w:val="-47"/>
        </w:rPr>
        <w:t> </w:t>
      </w:r>
      <w:r>
        <w:rPr>
          <w:rFonts w:ascii="Times New Roman" w:hAnsi="Times New Roman" w:cs="Times New Roman" w:eastAsia="Times New Roman" w:hint="default"/>
        </w:rPr>
        <w:t>100%</w:t>
      </w:r>
      <w:r>
        <w:rPr/>
        <w:t>股权的议案》发表了同意的独立意见。</w:t>
      </w:r>
    </w:p>
    <w:p>
      <w:pPr>
        <w:pStyle w:val="BodyText"/>
        <w:spacing w:line="300" w:lineRule="auto" w:before="53"/>
        <w:ind w:right="192" w:firstLine="360"/>
        <w:jc w:val="left"/>
      </w:pPr>
      <w:r>
        <w:rPr>
          <w:rFonts w:ascii="Times New Roman" w:hAnsi="Times New Roman" w:cs="Times New Roman" w:eastAsia="Times New Roman" w:hint="default"/>
        </w:rPr>
        <w:t>5.2015</w:t>
      </w:r>
      <w:r>
        <w:rPr>
          <w:rFonts w:ascii="Times New Roman" w:hAnsi="Times New Roman" w:cs="Times New Roman" w:eastAsia="Times New Roman" w:hint="default"/>
          <w:spacing w:val="5"/>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3"/>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spacing w:val="-3"/>
        </w:rPr>
        <w:t>日，独立董事对第二届董事会第十九次会议审议的</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spacing w:val="-3"/>
        </w:rPr>
        <w:t>年半年度报告，尤其是公司控股股东及其他关</w:t>
      </w:r>
      <w:r>
        <w:rPr/>
        <w:t> 联方资金占用和对外担保情况发表了独立意见。</w:t>
      </w:r>
    </w:p>
    <w:p>
      <w:pPr>
        <w:pStyle w:val="BodyText"/>
        <w:spacing w:line="300" w:lineRule="auto" w:before="70"/>
        <w:ind w:right="268" w:firstLine="360"/>
        <w:jc w:val="left"/>
      </w:pPr>
      <w:r>
        <w:rPr>
          <w:rFonts w:ascii="Times New Roman" w:hAnsi="Times New Roman" w:cs="Times New Roman" w:eastAsia="Times New Roman" w:hint="default"/>
        </w:rPr>
        <w:t>6.2015 </w:t>
      </w:r>
      <w:r>
        <w:rPr/>
        <w:t>年</w:t>
      </w:r>
      <w:r>
        <w:rPr>
          <w:spacing w:val="-48"/>
        </w:rPr>
        <w:t> </w:t>
      </w:r>
      <w:r>
        <w:rPr>
          <w:rFonts w:ascii="Times New Roman" w:hAnsi="Times New Roman" w:cs="Times New Roman" w:eastAsia="Times New Roman" w:hint="default"/>
        </w:rPr>
        <w:t>8 </w:t>
      </w:r>
      <w:r>
        <w:rPr/>
        <w:t>月</w:t>
      </w:r>
      <w:r>
        <w:rPr>
          <w:spacing w:val="-48"/>
        </w:rPr>
        <w:t> </w:t>
      </w:r>
      <w:r>
        <w:rPr>
          <w:rFonts w:ascii="Times New Roman" w:hAnsi="Times New Roman" w:cs="Times New Roman" w:eastAsia="Times New Roman" w:hint="default"/>
        </w:rPr>
        <w:t>19 </w:t>
      </w:r>
      <w:r>
        <w:rPr/>
        <w:t>日，独立董事对第二届董事会第二十次会议审议的《关于</w:t>
      </w:r>
      <w:r>
        <w:rPr>
          <w:rFonts w:ascii="Times New Roman" w:hAnsi="Times New Roman" w:cs="Times New Roman" w:eastAsia="Times New Roman" w:hint="default"/>
        </w:rPr>
        <w:t>&lt;</w:t>
      </w:r>
      <w:r>
        <w:rPr/>
        <w:t>北京东方通科技股份有限公司第一期股票 期权激励计划（草案）</w:t>
      </w:r>
      <w:r>
        <w:rPr>
          <w:rFonts w:ascii="Times New Roman" w:hAnsi="Times New Roman" w:cs="Times New Roman" w:eastAsia="Times New Roman" w:hint="default"/>
        </w:rPr>
        <w:t>&gt;</w:t>
      </w:r>
      <w:r>
        <w:rPr/>
        <w:t>》的独立意见。</w:t>
      </w:r>
    </w:p>
    <w:p>
      <w:pPr>
        <w:pStyle w:val="BodyText"/>
        <w:spacing w:line="240" w:lineRule="auto" w:before="53"/>
        <w:ind w:left="512" w:right="0"/>
        <w:jc w:val="left"/>
      </w:pPr>
      <w:r>
        <w:rPr>
          <w:rFonts w:ascii="Times New Roman" w:hAnsi="Times New Roman" w:cs="Times New Roman" w:eastAsia="Times New Roman" w:hint="default"/>
        </w:rPr>
        <w:t>7.2015</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日，独立董事对第二届董事会第二十一次会议审议的《关于公司</w:t>
      </w:r>
      <w:r>
        <w:rPr>
          <w:rFonts w:ascii="Times New Roman" w:hAnsi="Times New Roman" w:cs="Times New Roman" w:eastAsia="Times New Roman" w:hint="default"/>
        </w:rPr>
        <w:t>&lt;</w:t>
      </w:r>
      <w:r>
        <w:rPr/>
        <w:t>第一期股票期权激励计划</w:t>
      </w:r>
      <w:r>
        <w:rPr>
          <w:rFonts w:ascii="Times New Roman" w:hAnsi="Times New Roman" w:cs="Times New Roman" w:eastAsia="Times New Roman" w:hint="default"/>
        </w:rPr>
        <w:t>&gt;</w:t>
      </w:r>
      <w:r>
        <w:rPr/>
        <w:t>首次授予</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期权相关事项的议案》发表了独立意见。</w:t>
      </w:r>
    </w:p>
    <w:p>
      <w:pPr>
        <w:pStyle w:val="BodyText"/>
        <w:spacing w:line="300" w:lineRule="auto" w:before="117"/>
        <w:ind w:right="191" w:firstLine="360"/>
        <w:jc w:val="both"/>
      </w:pPr>
      <w:r>
        <w:rPr>
          <w:rFonts w:ascii="Times New Roman" w:hAnsi="Times New Roman" w:cs="Times New Roman" w:eastAsia="Times New Roman" w:hint="default"/>
        </w:rPr>
        <w:t>8.2015</w:t>
      </w:r>
      <w:r>
        <w:rPr>
          <w:rFonts w:ascii="Times New Roman" w:hAnsi="Times New Roman" w:cs="Times New Roman" w:eastAsia="Times New Roman" w:hint="default"/>
          <w:spacing w:val="-16"/>
        </w:rPr>
        <w:t> </w:t>
      </w:r>
      <w:r>
        <w:rPr/>
        <w:t>年</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月</w:t>
      </w:r>
      <w:r>
        <w:rPr>
          <w:spacing w:val="-62"/>
        </w:rPr>
        <w:t> </w:t>
      </w:r>
      <w:r>
        <w:rPr>
          <w:rFonts w:ascii="Times New Roman" w:hAnsi="Times New Roman" w:cs="Times New Roman" w:eastAsia="Times New Roman" w:hint="default"/>
        </w:rPr>
        <w:t>22</w:t>
      </w:r>
      <w:r>
        <w:rPr>
          <w:rFonts w:ascii="Times New Roman" w:hAnsi="Times New Roman" w:cs="Times New Roman" w:eastAsia="Times New Roman" w:hint="default"/>
          <w:spacing w:val="-16"/>
        </w:rPr>
        <w:t> </w:t>
      </w:r>
      <w:r>
        <w:rPr/>
        <w:t>日，独立董事对第二届董事会第二十二次会议审议的《关于修订公司非公开发行股票预案的议案》发 表了独立意见。</w:t>
      </w:r>
    </w:p>
    <w:p>
      <w:pPr>
        <w:pStyle w:val="BodyText"/>
        <w:spacing w:line="360" w:lineRule="auto" w:before="70"/>
        <w:ind w:left="512" w:right="3154"/>
        <w:jc w:val="left"/>
      </w:pPr>
      <w:r>
        <w:rPr/>
        <w:t>独立董事对公司的有关建议均被采纳。 报告期内，公司各位独立董事对董事会各项议案及公司其他事项没有提出异议。</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1" w:firstLine="360"/>
        <w:jc w:val="both"/>
      </w:pPr>
      <w:r>
        <w:rPr/>
        <w:t>公司董事会下设四个专门委员会，分别为：战略委员会、审计委员会、薪酬与考核委员会、提名委员会。</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 各专门委员会本着勤勉尽责的原则，按照有关法律、法规、规范性文件及公司各专门委员会工作细则的规定开展相关工作。</w:t>
      </w:r>
    </w:p>
    <w:p>
      <w:pPr>
        <w:pStyle w:val="BodyText"/>
        <w:spacing w:line="240" w:lineRule="auto" w:before="70"/>
        <w:ind w:left="512" w:right="0"/>
        <w:jc w:val="left"/>
      </w:pPr>
      <w:r>
        <w:rPr/>
        <w:t>报告期内，各专门委员会履职情况如下：</w:t>
      </w:r>
    </w:p>
    <w:p>
      <w:pPr>
        <w:pStyle w:val="BodyText"/>
        <w:spacing w:line="340" w:lineRule="auto" w:before="117"/>
        <w:ind w:left="512" w:right="179"/>
        <w:jc w:val="left"/>
      </w:pPr>
      <w:r>
        <w:rPr>
          <w:rFonts w:ascii="Times New Roman" w:hAnsi="Times New Roman" w:cs="Times New Roman" w:eastAsia="Times New Roman" w:hint="default"/>
        </w:rPr>
        <w:t>1.</w:t>
      </w:r>
      <w:r>
        <w:rPr/>
        <w:t>董事会战略委员会： </w:t>
      </w:r>
      <w:r>
        <w:rPr>
          <w:spacing w:val="-5"/>
        </w:rPr>
        <w:t>报告期内，公司董事会战略委员会按照《独立董事工作细则》、《董事会战略委员会工作细则》等相关制度的规定，了解</w:t>
      </w:r>
    </w:p>
    <w:p>
      <w:pPr>
        <w:pStyle w:val="BodyText"/>
        <w:spacing w:line="300" w:lineRule="auto"/>
        <w:ind w:right="181" w:hanging="1"/>
        <w:jc w:val="left"/>
      </w:pPr>
      <w:r>
        <w:rPr/>
        <w:t>公司的经营情况及发展状况，对公司</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8"/>
        </w:rPr>
        <w:t> </w:t>
      </w:r>
      <w:r>
        <w:rPr/>
        <w:t>年非公开发行股票的募集资金投资项目的可行性进行充分研究，对公司的战略规 划进行审核，积极研究符合公司发展方向的战略布局，为公司的健康、快速发展出谋划策。</w:t>
      </w:r>
    </w:p>
    <w:p>
      <w:pPr>
        <w:pStyle w:val="BodyText"/>
        <w:spacing w:line="340" w:lineRule="auto" w:before="70"/>
        <w:ind w:left="512" w:right="179"/>
        <w:jc w:val="left"/>
      </w:pPr>
      <w:r>
        <w:rPr>
          <w:rFonts w:ascii="Times New Roman" w:hAnsi="Times New Roman" w:cs="Times New Roman" w:eastAsia="Times New Roman" w:hint="default"/>
        </w:rPr>
        <w:t>2.</w:t>
      </w:r>
      <w:r>
        <w:rPr/>
        <w:t>董事会审计委员会： </w:t>
      </w:r>
      <w:r>
        <w:rPr>
          <w:spacing w:val="-5"/>
        </w:rPr>
        <w:t>报告期内，公司董事会审计委员会按照《独立董事工作细则》、《董事会审计委员会工作细则》等相关规定，积极履行职</w:t>
      </w:r>
    </w:p>
    <w:p>
      <w:pPr>
        <w:pStyle w:val="BodyText"/>
        <w:spacing w:line="309" w:lineRule="auto"/>
        <w:ind w:right="193"/>
        <w:jc w:val="both"/>
      </w:pPr>
      <w:r>
        <w:rPr>
          <w:spacing w:val="-2"/>
        </w:rPr>
        <w:t>责，仔细审阅相关资料，认真审议公司内审部门提交的内审报告及工作计划，对公司年度审计的相关事宜与审计机构进行沟</w:t>
      </w:r>
      <w:r>
        <w:rPr>
          <w:spacing w:val="-66"/>
        </w:rPr>
        <w:t> </w:t>
      </w:r>
      <w:r>
        <w:rPr>
          <w:spacing w:val="-66"/>
        </w:rPr>
      </w:r>
      <w:r>
        <w:rPr/>
        <w:t>通</w:t>
      </w:r>
      <w:r>
        <w:rPr>
          <w:rFonts w:ascii="Times New Roman" w:hAnsi="Times New Roman" w:cs="Times New Roman" w:eastAsia="Times New Roman" w:hint="default"/>
        </w:rPr>
        <w:t>,</w:t>
      </w:r>
      <w:r>
        <w:rPr/>
        <w:t>对续聘公司</w:t>
      </w:r>
      <w:r>
        <w:rPr>
          <w:spacing w:val="-7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年度审计机构提出建议，指导公司审计部在内部审计过程中应重点关注和检查的事项，督促公司内部控 制的有效执行。</w:t>
      </w:r>
    </w:p>
    <w:p>
      <w:pPr>
        <w:pStyle w:val="BodyText"/>
        <w:spacing w:line="338" w:lineRule="auto" w:before="65"/>
        <w:ind w:left="512" w:right="179"/>
        <w:jc w:val="left"/>
      </w:pPr>
      <w:r>
        <w:rPr>
          <w:rFonts w:ascii="Times New Roman" w:hAnsi="Times New Roman" w:cs="Times New Roman" w:eastAsia="Times New Roman" w:hint="default"/>
        </w:rPr>
        <w:t>3.</w:t>
      </w:r>
      <w:r>
        <w:rPr/>
        <w:t>董事会薪酬与考核委员会： </w:t>
      </w:r>
      <w:r>
        <w:rPr>
          <w:spacing w:val="-5"/>
        </w:rPr>
        <w:t>报告期内，公司董事会薪酬与考核委员会依照法律、法规以及《公司章程》、《董事会薪酬与考核委员会工作细则》的规</w:t>
      </w:r>
    </w:p>
    <w:p>
      <w:pPr>
        <w:pStyle w:val="BodyText"/>
        <w:spacing w:line="240" w:lineRule="auto" w:before="2"/>
        <w:ind w:right="0"/>
        <w:jc w:val="both"/>
      </w:pPr>
      <w:r>
        <w:rPr/>
        <w:t>定，对公司董事和高级管理人员的薪酬情况进行了考评，并对公司第一期股票期权激励计划进行了审核。</w:t>
      </w:r>
    </w:p>
    <w:p>
      <w:pPr>
        <w:pStyle w:val="BodyText"/>
        <w:spacing w:line="340" w:lineRule="auto" w:before="117"/>
        <w:ind w:left="512" w:right="6034"/>
        <w:jc w:val="left"/>
      </w:pPr>
      <w:r>
        <w:rPr>
          <w:rFonts w:ascii="Times New Roman" w:hAnsi="Times New Roman" w:cs="Times New Roman" w:eastAsia="Times New Roman" w:hint="default"/>
        </w:rPr>
        <w:t>4.</w:t>
      </w:r>
      <w:r>
        <w:rPr/>
        <w:t>董事会提名委员会： 报告期内，公司没有召开提名委员会会议。</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七、监事会工作情况" w:id="139"/>
      <w:bookmarkEnd w:id="139"/>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监事会在报告期内的监督活动是否发现公司存在风险</w:t>
      </w:r>
    </w:p>
    <w:p>
      <w:pPr>
        <w:pStyle w:val="BodyText"/>
        <w:spacing w:line="338" w:lineRule="auto" w:before="117"/>
        <w:ind w:right="639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3" w:firstLine="360"/>
        <w:jc w:val="both"/>
      </w:pPr>
      <w:r>
        <w:rPr>
          <w:spacing w:val="-2"/>
        </w:rPr>
        <w:t>报告期内，公司建立了高级管理人员的薪酬与公司业绩挂钩的绩效考核与激励约束机制，公司高级管理人员实行基本年</w:t>
      </w:r>
      <w:r>
        <w:rPr/>
        <w:t> 薪和年终绩效考核相结合的薪酬制度。</w:t>
      </w:r>
    </w:p>
    <w:p>
      <w:pPr>
        <w:pStyle w:val="BodyText"/>
        <w:spacing w:line="316" w:lineRule="auto" w:before="59"/>
        <w:ind w:right="193" w:firstLine="360"/>
        <w:jc w:val="both"/>
      </w:pPr>
      <w:r>
        <w:rPr>
          <w:spacing w:val="-2"/>
        </w:rPr>
        <w:t>根据公司年度经营目标完成情况以及高级管理人员的工作业绩，由董事会薪酬与考核委员会对高级管理人员进行年度绩</w:t>
      </w:r>
      <w:r>
        <w:rPr/>
        <w:t> 效考核，并监督薪酬制度执行情况。公司则根据绩效考核结果兑现其绩效年薪，并进行奖惩。</w:t>
      </w:r>
    </w:p>
    <w:p>
      <w:pPr>
        <w:pStyle w:val="BodyText"/>
        <w:spacing w:line="309" w:lineRule="auto" w:before="57"/>
        <w:ind w:right="193" w:firstLine="360"/>
        <w:jc w:val="both"/>
      </w:pPr>
      <w:r>
        <w:rPr>
          <w:spacing w:val="-2"/>
        </w:rPr>
        <w:t>根据实际经营发展的需要，公司于报告期内适时推出了《第一期股票期权激励计划》向公司高级管理人员、中层管理人</w:t>
      </w:r>
      <w:r>
        <w:rPr/>
        <w:t> 员以及核心骨干人员等</w:t>
      </w:r>
      <w:r>
        <w:rPr>
          <w:spacing w:val="-47"/>
        </w:rPr>
        <w:t> </w:t>
      </w:r>
      <w:r>
        <w:rPr>
          <w:rFonts w:ascii="Times New Roman" w:hAnsi="Times New Roman" w:cs="Times New Roman" w:eastAsia="Times New Roman" w:hint="default"/>
        </w:rPr>
        <w:t>261</w:t>
      </w:r>
      <w:r>
        <w:rPr>
          <w:rFonts w:ascii="Times New Roman" w:hAnsi="Times New Roman" w:cs="Times New Roman" w:eastAsia="Times New Roman" w:hint="default"/>
          <w:spacing w:val="-1"/>
        </w:rPr>
        <w:t> </w:t>
      </w:r>
      <w:r>
        <w:rPr/>
        <w:t>名激励对象授予</w:t>
      </w:r>
      <w:r>
        <w:rPr>
          <w:spacing w:val="-47"/>
        </w:rPr>
        <w:t> </w:t>
      </w:r>
      <w:r>
        <w:rPr>
          <w:rFonts w:ascii="Times New Roman" w:hAnsi="Times New Roman" w:cs="Times New Roman" w:eastAsia="Times New Roman" w:hint="default"/>
        </w:rPr>
        <w:t>433.25</w:t>
      </w:r>
      <w:r>
        <w:rPr>
          <w:rFonts w:ascii="Times New Roman" w:hAnsi="Times New Roman" w:cs="Times New Roman" w:eastAsia="Times New Roman" w:hint="default"/>
          <w:spacing w:val="43"/>
        </w:rPr>
        <w:t> </w:t>
      </w:r>
      <w:r>
        <w:rPr/>
        <w:t>万份股票期权。此次股权激励有利于公司有效调动管理层和员工的积极 性。</w:t>
      </w:r>
    </w:p>
    <w:p>
      <w:pPr>
        <w:spacing w:after="0" w:line="309" w:lineRule="auto"/>
        <w:jc w:val="both"/>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内部控制评价报告" w:id="141"/>
      <w:bookmarkEnd w:id="141"/>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2"/>
      <w:bookmarkEnd w:id="14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内控自我评价报告" w:id="143"/>
      <w:bookmarkEnd w:id="14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BodyText"/>
        <w:spacing w:line="240" w:lineRule="auto" w:before="44"/>
        <w:ind w:left="0" w:right="158"/>
        <w:jc w:val="right"/>
      </w:pPr>
      <w:r>
        <w:rPr/>
        <w:pict>
          <v:shape style="position:absolute;margin-left:259.677002pt;margin-top:-202.928299pt;width:275.2pt;height:331.6pt;mso-position-horizontal-relative:page;mso-position-vertical-relative:paragraph;z-index:-10345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9"/>
                      <w:szCs w:val="19"/>
                    </w:rPr>
                  </w:pPr>
                </w:p>
                <w:p>
                  <w:pPr>
                    <w:pStyle w:val="BodyText"/>
                    <w:spacing w:line="240" w:lineRule="auto"/>
                    <w:ind w:left="0" w:right="0" w:firstLine="1440"/>
                    <w:jc w:val="left"/>
                  </w:pPr>
                  <w:r>
                    <w:rPr/>
                    <w:t>准确的目标；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BodyText"/>
                    <w:spacing w:line="240" w:lineRule="auto"/>
                    <w:ind w:left="0" w:right="0"/>
                    <w:jc w:val="left"/>
                  </w:pPr>
                  <w:r>
                    <w:rPr/>
                    <w:t>重要缺陷之外的其他控制缺陷。</w:t>
                  </w:r>
                </w:p>
              </w:txbxContent>
            </v:textbox>
            <w10:wrap type="none"/>
          </v:shape>
        </w:pict>
      </w:r>
      <w:r>
        <w:rPr/>
        <w:pict>
          <v:shape style="position:absolute;margin-left:56.400002pt;margin-top:-355.208282pt;width:479.9pt;height:564.8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7"/>
                    <w:gridCol w:w="305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3189" w:type="dxa"/>
                        <w:tcBorders>
                          <w:top w:val="single" w:sz="6" w:space="0" w:color="auto"/>
                          <w:left w:val="single" w:sz="6" w:space="0" w:color="auto"/>
                          <w:bottom w:val="single" w:sz="6" w:space="0" w:color="auto"/>
                          <w:right w:val="single" w:sz="6" w:space="0" w:color="auto"/>
                        </w:tcBorders>
                      </w:tcPr>
                      <w:p>
                        <w:pPr/>
                      </w:p>
                    </w:tc>
                    <w:tc>
                      <w:tcPr>
                        <w:tcW w:w="3327" w:type="dxa"/>
                        <w:tcBorders>
                          <w:top w:val="single" w:sz="6" w:space="0" w:color="auto"/>
                          <w:left w:val="single" w:sz="6" w:space="0" w:color="auto"/>
                          <w:bottom w:val="single" w:sz="6" w:space="0" w:color="auto"/>
                          <w:right w:val="single" w:sz="6" w:space="0" w:color="auto"/>
                        </w:tcBorders>
                      </w:tcPr>
                      <w:p>
                        <w:pPr/>
                      </w:p>
                    </w:tc>
                    <w:tc>
                      <w:tcPr>
                        <w:tcW w:w="3053" w:type="dxa"/>
                        <w:tcBorders>
                          <w:top w:val="single" w:sz="6" w:space="0" w:color="auto"/>
                          <w:left w:val="single" w:sz="6" w:space="0" w:color="auto"/>
                          <w:bottom w:val="single" w:sz="6" w:space="0" w:color="auto"/>
                          <w:right w:val="single" w:sz="6" w:space="0" w:color="auto"/>
                        </w:tcBorders>
                      </w:tcPr>
                      <w:p>
                        <w:pPr/>
                      </w:p>
                    </w:tc>
                  </w:tr>
                  <w:tr>
                    <w:trPr>
                      <w:trHeight w:val="713" w:hRule="exact"/>
                    </w:trPr>
                    <w:tc>
                      <w:tcPr>
                        <w:tcW w:w="3189" w:type="dxa"/>
                        <w:tcBorders>
                          <w:top w:val="single" w:sz="6" w:space="0" w:color="auto"/>
                          <w:left w:val="single" w:sz="6" w:space="0" w:color="auto"/>
                          <w:bottom w:val="single" w:sz="6" w:space="0" w:color="auto"/>
                          <w:right w:val="single" w:sz="6" w:space="0" w:color="auto"/>
                        </w:tcBorders>
                      </w:tcPr>
                      <w:p>
                        <w:pPr/>
                      </w:p>
                    </w:tc>
                    <w:tc>
                      <w:tcPr>
                        <w:tcW w:w="3327" w:type="dxa"/>
                        <w:tcBorders>
                          <w:top w:val="single" w:sz="6" w:space="0" w:color="auto"/>
                          <w:left w:val="single" w:sz="6" w:space="0" w:color="auto"/>
                          <w:bottom w:val="single" w:sz="6" w:space="0" w:color="auto"/>
                          <w:right w:val="single" w:sz="6" w:space="0" w:color="auto"/>
                        </w:tcBorders>
                      </w:tcPr>
                      <w:p>
                        <w:pPr/>
                      </w:p>
                    </w:tc>
                    <w:tc>
                      <w:tcPr>
                        <w:tcW w:w="3053" w:type="dxa"/>
                        <w:tcBorders>
                          <w:top w:val="single" w:sz="6" w:space="0" w:color="auto"/>
                          <w:left w:val="single" w:sz="6" w:space="0" w:color="auto"/>
                          <w:bottom w:val="single" w:sz="6" w:space="0" w:color="auto"/>
                          <w:right w:val="single" w:sz="6" w:space="0" w:color="auto"/>
                        </w:tcBorders>
                      </w:tcPr>
                      <w:p>
                        <w:pPr/>
                      </w:p>
                    </w:tc>
                  </w:tr>
                  <w:tr>
                    <w:trPr>
                      <w:trHeight w:val="715" w:hRule="exact"/>
                    </w:trPr>
                    <w:tc>
                      <w:tcPr>
                        <w:tcW w:w="3189" w:type="dxa"/>
                        <w:tcBorders>
                          <w:top w:val="single" w:sz="6" w:space="0" w:color="auto"/>
                          <w:left w:val="single" w:sz="6" w:space="0" w:color="auto"/>
                          <w:bottom w:val="single" w:sz="6" w:space="0" w:color="auto"/>
                          <w:right w:val="single" w:sz="6" w:space="0" w:color="auto"/>
                        </w:tcBorders>
                      </w:tcPr>
                      <w:p>
                        <w:pPr/>
                      </w:p>
                    </w:tc>
                    <w:tc>
                      <w:tcPr>
                        <w:tcW w:w="3327" w:type="dxa"/>
                        <w:tcBorders>
                          <w:top w:val="single" w:sz="6" w:space="0" w:color="auto"/>
                          <w:left w:val="single" w:sz="6" w:space="0" w:color="auto"/>
                          <w:bottom w:val="single" w:sz="6" w:space="0" w:color="auto"/>
                          <w:right w:val="single" w:sz="6" w:space="0" w:color="auto"/>
                        </w:tcBorders>
                      </w:tcPr>
                      <w:p>
                        <w:pPr/>
                      </w:p>
                    </w:tc>
                    <w:tc>
                      <w:tcPr>
                        <w:tcW w:w="3053" w:type="dxa"/>
                        <w:tcBorders>
                          <w:top w:val="single" w:sz="6" w:space="0" w:color="auto"/>
                          <w:left w:val="single" w:sz="6" w:space="0" w:color="auto"/>
                          <w:bottom w:val="single" w:sz="6" w:space="0" w:color="auto"/>
                          <w:right w:val="single" w:sz="6" w:space="0" w:color="auto"/>
                        </w:tcBorders>
                      </w:tcPr>
                      <w:p>
                        <w:pPr/>
                      </w:p>
                    </w:tc>
                  </w:tr>
                  <w:tr>
                    <w:trPr>
                      <w:trHeight w:val="401" w:hRule="exact"/>
                    </w:trPr>
                    <w:tc>
                      <w:tcPr>
                        <w:tcW w:w="3189" w:type="dxa"/>
                        <w:tcBorders>
                          <w:top w:val="single" w:sz="6" w:space="0" w:color="auto"/>
                          <w:left w:val="single" w:sz="6" w:space="0" w:color="auto"/>
                          <w:bottom w:val="single" w:sz="6" w:space="0" w:color="auto"/>
                          <w:right w:val="single" w:sz="6" w:space="0" w:color="auto"/>
                        </w:tcBorders>
                      </w:tcPr>
                      <w:p>
                        <w:pPr/>
                      </w:p>
                    </w:tc>
                    <w:tc>
                      <w:tcPr>
                        <w:tcW w:w="3327" w:type="dxa"/>
                        <w:tcBorders>
                          <w:top w:val="single" w:sz="6" w:space="0" w:color="auto"/>
                          <w:left w:val="single" w:sz="6" w:space="0" w:color="auto"/>
                          <w:bottom w:val="single" w:sz="6" w:space="0" w:color="auto"/>
                          <w:right w:val="single" w:sz="6" w:space="0" w:color="auto"/>
                        </w:tcBorders>
                      </w:tcPr>
                      <w:p>
                        <w:pPr/>
                      </w:p>
                    </w:tc>
                    <w:tc>
                      <w:tcPr>
                        <w:tcW w:w="3053" w:type="dxa"/>
                        <w:tcBorders>
                          <w:top w:val="single" w:sz="6" w:space="0" w:color="auto"/>
                          <w:left w:val="single" w:sz="6" w:space="0" w:color="auto"/>
                          <w:bottom w:val="single" w:sz="6" w:space="0" w:color="auto"/>
                          <w:right w:val="single" w:sz="6" w:space="0" w:color="auto"/>
                        </w:tcBorders>
                      </w:tcPr>
                      <w:p>
                        <w:pPr/>
                      </w:p>
                    </w:tc>
                  </w:tr>
                  <w:tr>
                    <w:trPr>
                      <w:trHeight w:val="403" w:hRule="exact"/>
                    </w:trPr>
                    <w:tc>
                      <w:tcPr>
                        <w:tcW w:w="3189" w:type="dxa"/>
                        <w:tcBorders>
                          <w:top w:val="single" w:sz="6" w:space="0" w:color="auto"/>
                          <w:left w:val="single" w:sz="6" w:space="0" w:color="auto"/>
                          <w:bottom w:val="single" w:sz="6" w:space="0" w:color="auto"/>
                          <w:right w:val="single" w:sz="6" w:space="0" w:color="auto"/>
                        </w:tcBorders>
                      </w:tcPr>
                      <w:p>
                        <w:pPr/>
                      </w:p>
                    </w:tc>
                    <w:tc>
                      <w:tcPr>
                        <w:tcW w:w="3327" w:type="dxa"/>
                        <w:tcBorders>
                          <w:top w:val="single" w:sz="6" w:space="0" w:color="auto"/>
                          <w:left w:val="single" w:sz="6" w:space="0" w:color="auto"/>
                          <w:bottom w:val="single" w:sz="6" w:space="0" w:color="auto"/>
                          <w:right w:val="single" w:sz="6" w:space="0" w:color="auto"/>
                        </w:tcBorders>
                      </w:tcPr>
                      <w:p>
                        <w:pPr/>
                      </w:p>
                    </w:tc>
                    <w:tc>
                      <w:tcPr>
                        <w:tcW w:w="3053" w:type="dxa"/>
                        <w:tcBorders>
                          <w:top w:val="single" w:sz="6" w:space="0" w:color="auto"/>
                          <w:left w:val="single" w:sz="6" w:space="0" w:color="auto"/>
                          <w:bottom w:val="single" w:sz="6" w:space="0" w:color="auto"/>
                          <w:right w:val="single" w:sz="6" w:space="0" w:color="auto"/>
                        </w:tcBorders>
                      </w:tcPr>
                      <w:p>
                        <w:pPr/>
                      </w:p>
                    </w:tc>
                  </w:tr>
                  <w:tr>
                    <w:trPr>
                      <w:trHeight w:val="3125" w:hRule="exact"/>
                    </w:trPr>
                    <w:tc>
                      <w:tcPr>
                        <w:tcW w:w="3189" w:type="dxa"/>
                        <w:tcBorders>
                          <w:top w:val="single" w:sz="6" w:space="0" w:color="auto"/>
                          <w:left w:val="single" w:sz="6" w:space="0" w:color="auto"/>
                          <w:bottom w:val="single" w:sz="6" w:space="0" w:color="auto"/>
                          <w:right w:val="single" w:sz="6" w:space="0" w:color="auto"/>
                        </w:tcBorders>
                      </w:tcPr>
                      <w:p>
                        <w:pPr/>
                      </w:p>
                    </w:tc>
                    <w:tc>
                      <w:tcPr>
                        <w:tcW w:w="3327" w:type="dxa"/>
                        <w:tcBorders>
                          <w:top w:val="single" w:sz="6" w:space="0" w:color="auto"/>
                          <w:left w:val="single" w:sz="6" w:space="0" w:color="auto"/>
                          <w:bottom w:val="single" w:sz="6" w:space="0" w:color="auto"/>
                          <w:right w:val="single" w:sz="6" w:space="0" w:color="auto"/>
                        </w:tcBorders>
                      </w:tcPr>
                      <w:p>
                        <w:pPr/>
                      </w:p>
                    </w:tc>
                    <w:tc>
                      <w:tcPr>
                        <w:tcW w:w="3053" w:type="dxa"/>
                        <w:tcBorders>
                          <w:top w:val="single" w:sz="6" w:space="0" w:color="auto"/>
                          <w:left w:val="single" w:sz="6" w:space="0" w:color="auto"/>
                          <w:bottom w:val="single" w:sz="6" w:space="0" w:color="auto"/>
                          <w:right w:val="single" w:sz="6" w:space="0" w:color="auto"/>
                        </w:tcBorders>
                      </w:tcPr>
                      <w:p>
                        <w:pPr/>
                      </w:p>
                    </w:tc>
                  </w:tr>
                  <w:tr>
                    <w:trPr>
                      <w:trHeight w:val="391" w:hRule="exact"/>
                    </w:trPr>
                    <w:tc>
                      <w:tcPr>
                        <w:tcW w:w="3189" w:type="dxa"/>
                        <w:tcBorders>
                          <w:top w:val="single" w:sz="6" w:space="0" w:color="auto"/>
                          <w:left w:val="single" w:sz="6" w:space="0" w:color="auto"/>
                          <w:bottom w:val="single" w:sz="6" w:space="0" w:color="auto"/>
                          <w:right w:val="single" w:sz="6" w:space="0" w:color="auto"/>
                        </w:tcBorders>
                      </w:tcPr>
                      <w:p>
                        <w:pPr/>
                      </w:p>
                    </w:tc>
                    <w:tc>
                      <w:tcPr>
                        <w:tcW w:w="3327" w:type="dxa"/>
                        <w:tcBorders>
                          <w:top w:val="single" w:sz="6" w:space="0" w:color="auto"/>
                          <w:left w:val="single" w:sz="6" w:space="0" w:color="auto"/>
                          <w:bottom w:val="single" w:sz="6" w:space="0" w:color="auto"/>
                          <w:right w:val="single" w:sz="6" w:space="0" w:color="auto"/>
                        </w:tcBorders>
                      </w:tcPr>
                      <w:p>
                        <w:pPr/>
                      </w:p>
                    </w:tc>
                    <w:tc>
                      <w:tcPr>
                        <w:tcW w:w="3053" w:type="dxa"/>
                        <w:tcBorders>
                          <w:top w:val="single" w:sz="6" w:space="0" w:color="auto"/>
                          <w:left w:val="single" w:sz="6" w:space="0" w:color="auto"/>
                          <w:bottom w:val="single" w:sz="6" w:space="0" w:color="auto"/>
                          <w:right w:val="single" w:sz="6" w:space="0" w:color="auto"/>
                        </w:tcBorders>
                      </w:tcPr>
                      <w:p>
                        <w:pPr/>
                      </w:p>
                    </w:tc>
                  </w:tr>
                  <w:tr>
                    <w:trPr>
                      <w:trHeight w:val="3125" w:hRule="exact"/>
                    </w:trPr>
                    <w:tc>
                      <w:tcPr>
                        <w:tcW w:w="3189" w:type="dxa"/>
                        <w:tcBorders>
                          <w:top w:val="single" w:sz="6" w:space="0" w:color="auto"/>
                          <w:left w:val="single" w:sz="6" w:space="0" w:color="auto"/>
                          <w:bottom w:val="single" w:sz="6" w:space="0" w:color="auto"/>
                          <w:right w:val="single" w:sz="6" w:space="0" w:color="auto"/>
                        </w:tcBorders>
                      </w:tcPr>
                      <w:p>
                        <w:pPr/>
                      </w:p>
                    </w:tc>
                    <w:tc>
                      <w:tcPr>
                        <w:tcW w:w="3327" w:type="dxa"/>
                        <w:tcBorders>
                          <w:top w:val="single" w:sz="6" w:space="0" w:color="auto"/>
                          <w:left w:val="single" w:sz="6" w:space="0" w:color="auto"/>
                          <w:bottom w:val="single" w:sz="6" w:space="0" w:color="auto"/>
                          <w:right w:val="single" w:sz="6" w:space="0" w:color="auto"/>
                        </w:tcBorders>
                      </w:tcPr>
                      <w:p>
                        <w:pPr/>
                      </w:p>
                    </w:tc>
                    <w:tc>
                      <w:tcPr>
                        <w:tcW w:w="3053" w:type="dxa"/>
                        <w:tcBorders>
                          <w:top w:val="single" w:sz="6" w:space="0" w:color="auto"/>
                          <w:left w:val="single" w:sz="6" w:space="0" w:color="auto"/>
                          <w:bottom w:val="single" w:sz="6" w:space="0" w:color="auto"/>
                          <w:right w:val="single" w:sz="6" w:space="0" w:color="auto"/>
                        </w:tcBorders>
                      </w:tcPr>
                      <w:p>
                        <w:pPr/>
                      </w:p>
                    </w:tc>
                  </w:tr>
                  <w:tr>
                    <w:trPr>
                      <w:trHeight w:val="610" w:hRule="exact"/>
                    </w:trPr>
                    <w:tc>
                      <w:tcPr>
                        <w:tcW w:w="3189" w:type="dxa"/>
                        <w:tcBorders>
                          <w:top w:val="single" w:sz="6" w:space="0" w:color="auto"/>
                          <w:left w:val="single" w:sz="6" w:space="0" w:color="auto"/>
                          <w:bottom w:val="single" w:sz="6" w:space="0" w:color="auto"/>
                          <w:right w:val="single" w:sz="6" w:space="0" w:color="auto"/>
                        </w:tcBorders>
                      </w:tcPr>
                      <w:p>
                        <w:pPr/>
                      </w:p>
                    </w:tc>
                    <w:tc>
                      <w:tcPr>
                        <w:tcW w:w="3327" w:type="dxa"/>
                        <w:tcBorders>
                          <w:top w:val="single" w:sz="6" w:space="0" w:color="auto"/>
                          <w:left w:val="single" w:sz="6" w:space="0" w:color="auto"/>
                          <w:bottom w:val="single" w:sz="6" w:space="0" w:color="auto"/>
                          <w:right w:val="single" w:sz="6" w:space="0" w:color="auto"/>
                        </w:tcBorders>
                      </w:tcPr>
                      <w:p>
                        <w:pPr/>
                      </w:p>
                    </w:tc>
                    <w:tc>
                      <w:tcPr>
                        <w:tcW w:w="3053" w:type="dxa"/>
                        <w:tcBorders>
                          <w:top w:val="single" w:sz="6" w:space="0" w:color="auto"/>
                          <w:left w:val="single" w:sz="6" w:space="0" w:color="auto"/>
                          <w:bottom w:val="single" w:sz="6" w:space="0" w:color="auto"/>
                          <w:right w:val="single" w:sz="6" w:space="0" w:color="auto"/>
                        </w:tcBorders>
                      </w:tcPr>
                      <w:p>
                        <w:pPr/>
                      </w:p>
                    </w:tc>
                  </w:tr>
                  <w:tr>
                    <w:trPr>
                      <w:trHeight w:val="391" w:hRule="exact"/>
                    </w:trPr>
                    <w:tc>
                      <w:tcPr>
                        <w:tcW w:w="3189" w:type="dxa"/>
                        <w:tcBorders>
                          <w:top w:val="single" w:sz="6" w:space="0" w:color="auto"/>
                          <w:left w:val="single" w:sz="6" w:space="0" w:color="auto"/>
                          <w:bottom w:val="single" w:sz="6" w:space="0" w:color="auto"/>
                          <w:right w:val="single" w:sz="6" w:space="0" w:color="auto"/>
                        </w:tcBorders>
                      </w:tcPr>
                      <w:p>
                        <w:pPr/>
                      </w:p>
                    </w:tc>
                    <w:tc>
                      <w:tcPr>
                        <w:tcW w:w="3327" w:type="dxa"/>
                        <w:tcBorders>
                          <w:top w:val="single" w:sz="6" w:space="0" w:color="auto"/>
                          <w:left w:val="single" w:sz="6" w:space="0" w:color="auto"/>
                          <w:bottom w:val="single" w:sz="6" w:space="0" w:color="auto"/>
                          <w:right w:val="single" w:sz="6" w:space="0" w:color="auto"/>
                        </w:tcBorders>
                      </w:tcPr>
                      <w:p>
                        <w:pPr/>
                      </w:p>
                    </w:tc>
                    <w:tc>
                      <w:tcPr>
                        <w:tcW w:w="3053" w:type="dxa"/>
                        <w:tcBorders>
                          <w:top w:val="single" w:sz="6" w:space="0" w:color="auto"/>
                          <w:left w:val="single" w:sz="6" w:space="0" w:color="auto"/>
                          <w:bottom w:val="single" w:sz="6" w:space="0" w:color="auto"/>
                          <w:right w:val="single" w:sz="6" w:space="0" w:color="auto"/>
                        </w:tcBorders>
                      </w:tcPr>
                      <w:p>
                        <w:pPr/>
                      </w:p>
                    </w:tc>
                  </w:tr>
                  <w:tr>
                    <w:trPr>
                      <w:trHeight w:val="610" w:hRule="exact"/>
                    </w:trPr>
                    <w:tc>
                      <w:tcPr>
                        <w:tcW w:w="3189" w:type="dxa"/>
                        <w:tcBorders>
                          <w:top w:val="single" w:sz="6" w:space="0" w:color="auto"/>
                          <w:left w:val="single" w:sz="6" w:space="0" w:color="auto"/>
                          <w:bottom w:val="single" w:sz="6" w:space="0" w:color="auto"/>
                          <w:right w:val="single" w:sz="6" w:space="0" w:color="auto"/>
                        </w:tcBorders>
                      </w:tcPr>
                      <w:p>
                        <w:pPr/>
                      </w:p>
                    </w:tc>
                    <w:tc>
                      <w:tcPr>
                        <w:tcW w:w="3327" w:type="dxa"/>
                        <w:tcBorders>
                          <w:top w:val="single" w:sz="6" w:space="0" w:color="auto"/>
                          <w:left w:val="single" w:sz="6" w:space="0" w:color="auto"/>
                          <w:bottom w:val="single" w:sz="6" w:space="0" w:color="auto"/>
                          <w:right w:val="single" w:sz="6" w:space="0" w:color="auto"/>
                        </w:tcBorders>
                      </w:tcPr>
                      <w:p>
                        <w:pPr/>
                      </w:p>
                    </w:tc>
                    <w:tc>
                      <w:tcPr>
                        <w:tcW w:w="3053" w:type="dxa"/>
                        <w:tcBorders>
                          <w:top w:val="single" w:sz="6" w:space="0" w:color="auto"/>
                          <w:left w:val="single" w:sz="6" w:space="0" w:color="auto"/>
                          <w:bottom w:val="single" w:sz="6" w:space="0" w:color="auto"/>
                          <w:right w:val="single" w:sz="6" w:space="0" w:color="auto"/>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44"/>
        <w:ind w:left="0" w:right="160"/>
        <w:jc w:val="right"/>
      </w:pPr>
      <w:r>
        <w:rPr/>
        <w:pict>
          <v:shape style="position:absolute;margin-left:376.679993pt;margin-top:19.911722pt;width:158.2pt;height:80.05pt;mso-position-horizontal-relative:page;mso-position-vertical-relative:paragraph;z-index:-10345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t>。</w:t>
      </w:r>
    </w:p>
    <w:p>
      <w:pPr>
        <w:spacing w:line="240" w:lineRule="auto" w:before="1"/>
        <w:rPr>
          <w:rFonts w:ascii="宋体" w:hAnsi="宋体" w:cs="宋体" w:eastAsia="宋体" w:hint="default"/>
          <w:sz w:val="9"/>
          <w:szCs w:val="9"/>
        </w:rPr>
      </w:pPr>
    </w:p>
    <w:p>
      <w:pPr>
        <w:spacing w:line="604" w:lineRule="exact"/>
        <w:ind w:left="6676"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52.050pt;height:30.25pt;mso-position-horizontal-relative:char;mso-position-vertical-relative:line" coordorigin="0,0" coordsize="3041,605">
            <v:group style="position:absolute;left:0;top:0;width:3041;height:605" coordorigin="0,0" coordsize="3041,605">
              <v:shape style="position:absolute;left:0;top:0;width:3041;height:605" coordorigin="0,0" coordsize="3041,605" path="m0,605l3041,605,3041,0,0,0,0,605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13"/>
        <w:rPr>
          <w:rFonts w:ascii="宋体" w:hAnsi="宋体" w:cs="宋体" w:eastAsia="宋体" w:hint="default"/>
          <w:sz w:val="29"/>
          <w:szCs w:val="29"/>
        </w:rPr>
      </w:pPr>
    </w:p>
    <w:p>
      <w:pPr>
        <w:spacing w:line="604" w:lineRule="exact"/>
        <w:ind w:left="6676"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52.050pt;height:30.25pt;mso-position-horizontal-relative:char;mso-position-vertical-relative:line" coordorigin="0,0" coordsize="3041,605">
            <v:group style="position:absolute;left:0;top:0;width:3041;height:605" coordorigin="0,0" coordsize="3041,605">
              <v:shape style="position:absolute;left:0;top:0;width:3041;height:605" coordorigin="0,0" coordsize="3041,605" path="m0,605l3041,605,3041,0,0,0,0,605xe" filled="true" fillcolor="#ffffff" stroked="false">
                <v:path arrowok="t"/>
                <v:fill type="solid"/>
              </v:shape>
            </v:group>
          </v:group>
        </w:pict>
      </w:r>
      <w:r>
        <w:rPr>
          <w:rFonts w:ascii="宋体" w:hAnsi="宋体" w:cs="宋体" w:eastAsia="宋体" w:hint="default"/>
          <w:position w:val="-11"/>
          <w:sz w:val="20"/>
          <w:szCs w:val="20"/>
        </w:rPr>
      </w:r>
    </w:p>
    <w:p>
      <w:pPr>
        <w:spacing w:after="0" w:line="604" w:lineRule="exact"/>
        <w:rPr>
          <w:rFonts w:ascii="宋体" w:hAnsi="宋体" w:cs="宋体" w:eastAsia="宋体" w:hint="default"/>
          <w:sz w:val="20"/>
          <w:szCs w:val="20"/>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3"/>
        <w:gridCol w:w="3322"/>
        <w:gridCol w:w="3053"/>
      </w:tblGrid>
      <w:tr>
        <w:trPr>
          <w:trHeight w:val="1922"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tabs>
                <w:tab w:pos="1703" w:val="left" w:leader="none"/>
              </w:tabs>
              <w:spacing w:line="300"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入错报额：营业收入的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错报＜营业收 入的</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C.</w:t>
            </w:r>
            <w:r>
              <w:rPr>
                <w:rFonts w:ascii="宋体" w:hAnsi="宋体" w:cs="宋体" w:eastAsia="宋体" w:hint="default"/>
                <w:spacing w:val="-4"/>
                <w:sz w:val="18"/>
                <w:szCs w:val="18"/>
              </w:rPr>
              <w:t>利润总额错报额：利润总额的</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；重大缺陷： </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资产总额错报额</w:t>
              <w:tab/>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资产总额的</w:t>
            </w:r>
            <w:r>
              <w:rPr>
                <w:rFonts w:ascii="宋体" w:hAnsi="宋体" w:cs="宋体" w:eastAsia="宋体" w:hint="default"/>
                <w:spacing w:val="-37"/>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B.</w:t>
            </w:r>
            <w:r>
              <w:rPr>
                <w:rFonts w:ascii="Times New Roman" w:hAnsi="Times New Roman" w:cs="Times New Roman" w:eastAsia="Times New Roman" w:hint="default"/>
                <w:sz w:val="18"/>
                <w:szCs w:val="18"/>
              </w:rPr>
              <w:t> </w:t>
            </w:r>
            <w:r>
              <w:rPr>
                <w:rFonts w:ascii="宋体" w:hAnsi="宋体" w:cs="宋体" w:eastAsia="宋体" w:hint="default"/>
                <w:sz w:val="18"/>
                <w:szCs w:val="18"/>
              </w:rPr>
              <w:t>营业收入错报额</w:t>
              <w:tab/>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C.</w:t>
            </w:r>
            <w:r>
              <w:rPr>
                <w:rFonts w:ascii="Times New Roman" w:hAnsi="Times New Roman" w:cs="Times New Roman" w:eastAsia="Times New Roman" w:hint="default"/>
                <w:sz w:val="18"/>
                <w:szCs w:val="18"/>
              </w:rPr>
              <w:t> </w:t>
            </w:r>
            <w:r>
              <w:rPr>
                <w:rFonts w:ascii="宋体" w:hAnsi="宋体" w:cs="宋体" w:eastAsia="宋体" w:hint="default"/>
                <w:sz w:val="18"/>
                <w:szCs w:val="18"/>
              </w:rPr>
              <w:t>利润总额错报额</w:t>
              <w:tab/>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3"/>
        <w:rPr>
          <w:rFonts w:ascii="宋体" w:hAnsi="宋体" w:cs="宋体" w:eastAsia="宋体" w:hint="default"/>
          <w:sz w:val="9"/>
          <w:szCs w:val="9"/>
        </w:rPr>
      </w:pPr>
    </w:p>
    <w:p>
      <w:pPr>
        <w:pStyle w:val="BodyText"/>
        <w:spacing w:line="240" w:lineRule="auto" w:before="44"/>
        <w:ind w:left="2536" w:right="2606"/>
        <w:jc w:val="center"/>
      </w:pPr>
      <w:r>
        <w:rPr/>
        <w:pict>
          <v:group style="position:absolute;margin-left:56.400002pt;margin-top:-.968291pt;width:478.95pt;height:440.65pt;mso-position-horizontal-relative:page;mso-position-vertical-relative:paragraph;z-index:-1034512" coordorigin="1128,-19" coordsize="9579,8813">
            <v:group style="position:absolute;left:10673;top:-5;width:24;height:394" coordorigin="10673,-5" coordsize="24,394">
              <v:shape style="position:absolute;left:10673;top:-5;width:24;height:394" coordorigin="10673,-5" coordsize="24,394" path="m10673,389l10697,389,10697,-5,10673,-5,10673,389xe" filled="true" fillcolor="#d4d4d4" stroked="false">
                <v:path arrowok="t"/>
                <v:fill type="solid"/>
              </v:shape>
            </v:group>
            <v:group style="position:absolute;left:1140;top:-5;width:22;height:394" coordorigin="1140,-5" coordsize="22,394">
              <v:shape style="position:absolute;left:1140;top:-5;width:22;height:394" coordorigin="1140,-5" coordsize="22,394" path="m1140,389l1162,389,1162,-5,1140,-5,1140,389xe" filled="true" fillcolor="#d4d4d4" stroked="false">
                <v:path arrowok="t"/>
                <v:fill type="solid"/>
              </v:shape>
            </v:group>
            <v:group style="position:absolute;left:1162;top:-5;width:9512;height:394" coordorigin="1162,-5" coordsize="9512,394">
              <v:shape style="position:absolute;left:1162;top:-5;width:9512;height:394" coordorigin="1162,-5" coordsize="9512,394" path="m1162,389l10673,389,10673,-5,1162,-5,1162,389xe" filled="true" fillcolor="#d4d4d4" stroked="false">
                <v:path arrowok="t"/>
                <v:fill type="solid"/>
              </v:shape>
            </v:group>
            <v:group style="position:absolute;left:1138;top:-10;width:9560;height:2" coordorigin="1138,-10" coordsize="9560,2">
              <v:shape style="position:absolute;left:1138;top:-10;width:9560;height:2" coordorigin="1138,-10" coordsize="9560,0" path="m1138,-10l10697,-10e" filled="false" stroked="true" strokeweight=".48pt" strokecolor="#000000">
                <v:path arrowok="t"/>
              </v:shape>
            </v:group>
            <v:group style="position:absolute;left:1138;top:393;width:9560;height:2" coordorigin="1138,393" coordsize="9560,2">
              <v:shape style="position:absolute;left:1138;top:393;width:9560;height:2" coordorigin="1138,393" coordsize="9560,0" path="m1138,393l10697,393e" filled="false" stroked="true" strokeweight=".48pt" strokecolor="#000000">
                <v:path arrowok="t"/>
              </v:shape>
            </v:group>
            <v:group style="position:absolute;left:1133;top:-15;width:2;height:8804" coordorigin="1133,-15" coordsize="2,8804">
              <v:shape style="position:absolute;left:1133;top:-15;width:2;height:8804" coordorigin="1133,-15" coordsize="0,8804" path="m1133,-15l1133,8789e" filled="false" stroked="true" strokeweight=".48pt" strokecolor="#000000">
                <v:path arrowok="t"/>
              </v:shape>
            </v:group>
            <v:group style="position:absolute;left:1138;top:8784;width:9560;height:2" coordorigin="1138,8784" coordsize="9560,2">
              <v:shape style="position:absolute;left:1138;top:8784;width:9560;height:2" coordorigin="1138,8784" coordsize="9560,0" path="m1138,8784l10697,8784e" filled="false" stroked="true" strokeweight=".48pt" strokecolor="#000000">
                <v:path arrowok="t"/>
              </v:shape>
            </v:group>
            <v:group style="position:absolute;left:10702;top:-15;width:2;height:8804" coordorigin="10702,-15" coordsize="2,8804">
              <v:shape style="position:absolute;left:10702;top:-15;width:2;height:8804" coordorigin="10702,-15" coordsize="0,8804" path="m10702,-15l10702,8789e" filled="false" stroked="true" strokeweight=".48pt" strokecolor="#000000">
                <v:path arrowok="t"/>
              </v:shape>
            </v:group>
            <w10:wrap type="none"/>
          </v:group>
        </w:pict>
      </w:r>
      <w:r>
        <w:rPr/>
        <w:t>内部控制鉴证报告中的审议意见段</w:t>
      </w:r>
    </w:p>
    <w:p>
      <w:pPr>
        <w:spacing w:after="0" w:line="240" w:lineRule="auto"/>
        <w:jc w:val="center"/>
        <w:sectPr>
          <w:pgSz w:w="11910" w:h="16840"/>
          <w:pgMar w:header="745" w:footer="982" w:top="1060" w:bottom="1180" w:left="980" w:right="9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Heading5"/>
        <w:spacing w:line="240" w:lineRule="auto"/>
        <w:ind w:left="181" w:right="0"/>
        <w:jc w:val="left"/>
        <w:rPr>
          <w:b w:val="0"/>
          <w:bCs w:val="0"/>
        </w:rPr>
      </w:pPr>
      <w:r>
        <w:rPr>
          <w:w w:val="95"/>
        </w:rPr>
        <w:t>北京东方通科技股份有限公司全体股东：</w:t>
      </w:r>
      <w:r>
        <w:rPr>
          <w:b w:val="0"/>
          <w:bCs w:val="0"/>
        </w:rPr>
      </w:r>
    </w:p>
    <w:p>
      <w:pPr>
        <w:pStyle w:val="Heading5"/>
        <w:spacing w:line="240" w:lineRule="auto" w:before="127"/>
        <w:ind w:left="99" w:right="-11"/>
        <w:jc w:val="left"/>
        <w:rPr>
          <w:b w:val="0"/>
          <w:bCs w:val="0"/>
        </w:rPr>
      </w:pPr>
      <w:r>
        <w:rPr>
          <w:b w:val="0"/>
          <w:bCs w:val="0"/>
        </w:rPr>
        <w:br w:type="column"/>
      </w:r>
      <w:r>
        <w:rPr/>
        <w:t>内</w:t>
      </w:r>
      <w:r>
        <w:rPr>
          <w:spacing w:val="68"/>
        </w:rPr>
        <w:t> </w:t>
      </w:r>
      <w:r>
        <w:rPr/>
        <w:t>部</w:t>
      </w:r>
      <w:r>
        <w:rPr>
          <w:spacing w:val="68"/>
        </w:rPr>
        <w:t> </w:t>
      </w:r>
      <w:r>
        <w:rPr/>
        <w:t>控</w:t>
      </w:r>
      <w:r>
        <w:rPr>
          <w:spacing w:val="68"/>
        </w:rPr>
        <w:t> </w:t>
      </w:r>
      <w:r>
        <w:rPr/>
        <w:t>制</w:t>
      </w:r>
      <w:r>
        <w:rPr>
          <w:spacing w:val="68"/>
        </w:rPr>
        <w:t> </w:t>
      </w:r>
      <w:r>
        <w:rPr/>
        <w:t>鉴</w:t>
      </w:r>
      <w:r>
        <w:rPr>
          <w:spacing w:val="68"/>
        </w:rPr>
        <w:t> </w:t>
      </w:r>
      <w:r>
        <w:rPr/>
        <w:t>证</w:t>
      </w:r>
      <w:r>
        <w:rPr>
          <w:spacing w:val="68"/>
        </w:rPr>
        <w:t> </w:t>
      </w:r>
      <w:r>
        <w:rPr/>
        <w:t>报</w:t>
      </w:r>
      <w:r>
        <w:rPr>
          <w:spacing w:val="68"/>
        </w:rPr>
        <w:t> </w:t>
      </w:r>
      <w:r>
        <w:rPr/>
        <w:t>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5"/>
          <w:szCs w:val="15"/>
        </w:rPr>
      </w:pPr>
    </w:p>
    <w:p>
      <w:pPr>
        <w:pStyle w:val="Heading5"/>
        <w:spacing w:line="240" w:lineRule="auto"/>
        <w:ind w:left="181" w:right="0"/>
        <w:jc w:val="left"/>
        <w:rPr>
          <w:b w:val="0"/>
          <w:bCs w:val="0"/>
        </w:rPr>
      </w:pPr>
      <w:r>
        <w:rPr/>
        <w:t>信会师报字</w:t>
      </w:r>
      <w:r>
        <w:rPr>
          <w:rFonts w:ascii="宋体" w:hAnsi="宋体" w:cs="宋体" w:eastAsia="宋体" w:hint="default"/>
        </w:rPr>
        <w:t>[2016]</w:t>
      </w:r>
      <w:r>
        <w:rPr/>
        <w:t>第</w:t>
      </w:r>
      <w:r>
        <w:rPr>
          <w:rFonts w:ascii="宋体" w:hAnsi="宋体" w:cs="宋体" w:eastAsia="宋体" w:hint="default"/>
        </w:rPr>
        <w:t>210836</w:t>
      </w:r>
      <w:r>
        <w:rPr/>
        <w:t>号</w:t>
      </w:r>
      <w:r>
        <w:rPr>
          <w:b w:val="0"/>
          <w:bCs w:val="0"/>
        </w:rPr>
      </w:r>
    </w:p>
    <w:p>
      <w:pPr>
        <w:spacing w:after="0" w:line="240" w:lineRule="auto"/>
        <w:jc w:val="left"/>
        <w:sectPr>
          <w:type w:val="continuous"/>
          <w:pgSz w:w="11910" w:h="16840"/>
          <w:pgMar w:top="1060" w:bottom="1180" w:left="980" w:right="980"/>
          <w:cols w:num="3" w:equalWidth="0">
            <w:col w:w="3434" w:space="40"/>
            <w:col w:w="2665" w:space="1021"/>
            <w:col w:w="2790"/>
          </w:cols>
        </w:sectPr>
      </w:pPr>
    </w:p>
    <w:p>
      <w:pPr>
        <w:pStyle w:val="BodyText"/>
        <w:spacing w:line="240" w:lineRule="auto" w:before="115"/>
        <w:ind w:left="541" w:right="0"/>
        <w:jc w:val="left"/>
      </w:pPr>
      <w:r>
        <w:rPr/>
        <w:t>我们审核了后附的北京东方通科技股份有限公司（以下简称东方通）管理层《</w:t>
      </w:r>
      <w:r>
        <w:rPr>
          <w:rFonts w:ascii="宋体" w:hAnsi="宋体" w:cs="宋体" w:eastAsia="宋体" w:hint="default"/>
        </w:rPr>
        <w:t>2015</w:t>
      </w:r>
      <w:r>
        <w:rPr/>
        <w:t>年度内部控制评价报告》涉及的与</w:t>
      </w:r>
    </w:p>
    <w:p>
      <w:pPr>
        <w:spacing w:line="360" w:lineRule="auto" w:before="76"/>
        <w:ind w:left="541" w:right="5245" w:hanging="36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日财务报表相关的内部控制有效性的认定。 </w:t>
      </w:r>
      <w:r>
        <w:rPr>
          <w:rFonts w:ascii="宋体" w:hAnsi="宋体" w:cs="宋体" w:eastAsia="宋体" w:hint="default"/>
          <w:b/>
          <w:bCs/>
          <w:sz w:val="18"/>
          <w:szCs w:val="18"/>
        </w:rPr>
        <w:t>一、管理层的责任</w:t>
      </w:r>
      <w:r>
        <w:rPr>
          <w:rFonts w:ascii="宋体" w:hAnsi="宋体" w:cs="宋体" w:eastAsia="宋体" w:hint="default"/>
          <w:sz w:val="18"/>
          <w:szCs w:val="18"/>
        </w:rPr>
      </w:r>
    </w:p>
    <w:p>
      <w:pPr>
        <w:pStyle w:val="BodyText"/>
        <w:spacing w:line="357" w:lineRule="auto" w:before="27"/>
        <w:ind w:left="541" w:right="0"/>
        <w:jc w:val="left"/>
      </w:pPr>
      <w:r>
        <w:rPr/>
        <w:t>东方通管理层的责任是按照《企业内部控制基本规范》和相关规定建立健全内部控制并保持其有效性。 </w:t>
      </w: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我们的责任是对东方通截至</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日内部控制的有效性发表意见。我们按照《中国注册会计师其他鉴证业务准</w:t>
      </w:r>
    </w:p>
    <w:p>
      <w:pPr>
        <w:pStyle w:val="BodyText"/>
        <w:spacing w:line="224" w:lineRule="exact"/>
        <w:ind w:left="181" w:right="0"/>
        <w:jc w:val="both"/>
      </w:pPr>
      <w:r>
        <w:rPr/>
        <w:t>则第</w:t>
      </w:r>
      <w:r>
        <w:rPr>
          <w:rFonts w:ascii="宋体" w:hAnsi="宋体" w:cs="宋体" w:eastAsia="宋体" w:hint="default"/>
        </w:rPr>
        <w:t>3101</w:t>
      </w:r>
      <w:r>
        <w:rPr/>
        <w:t>号</w:t>
      </w:r>
      <w:r>
        <w:rPr>
          <w:rFonts w:ascii="宋体" w:hAnsi="宋体" w:cs="宋体" w:eastAsia="宋体" w:hint="default"/>
        </w:rPr>
        <w:t>—</w:t>
      </w:r>
      <w:r>
        <w:rPr/>
        <w:t>历史财务信息审计或审阅以外的鉴证业务》和《内部控制审核指导意见》的规定执行了鉴证业务。该准则要</w:t>
      </w:r>
    </w:p>
    <w:p>
      <w:pPr>
        <w:pStyle w:val="BodyText"/>
        <w:spacing w:line="316" w:lineRule="auto" w:before="76"/>
        <w:ind w:left="181" w:right="251"/>
        <w:jc w:val="both"/>
      </w:pPr>
      <w:r>
        <w:rPr>
          <w:spacing w:val="-1"/>
        </w:rPr>
        <w:t>求我们计划和执行鉴证工作，以对东方通对内部控制自我评价报告是否不存在重大错报获取合理保证。在鉴证过程中，我</w:t>
      </w:r>
      <w:r>
        <w:rPr>
          <w:spacing w:val="-68"/>
        </w:rPr>
        <w:t> </w:t>
      </w:r>
      <w:r>
        <w:rPr>
          <w:spacing w:val="-68"/>
        </w:rPr>
      </w:r>
      <w:r>
        <w:rPr>
          <w:spacing w:val="-1"/>
        </w:rPr>
        <w:t>们实施了包括了解、测试和评价内部控制制度设计的完整性、合理性和执行的有效性，以及我们认为必要的其他程序。我</w:t>
      </w:r>
      <w:r>
        <w:rPr>
          <w:spacing w:val="-69"/>
        </w:rPr>
        <w:t> </w:t>
      </w:r>
      <w:r>
        <w:rPr>
          <w:spacing w:val="-69"/>
        </w:rPr>
      </w:r>
      <w:r>
        <w:rPr/>
        <w:t>们相信，我们的鉴证工作为发表意见提供了合理的基础。</w:t>
      </w:r>
    </w:p>
    <w:p>
      <w:pPr>
        <w:spacing w:line="357" w:lineRule="auto" w:before="59"/>
        <w:ind w:left="541" w:right="0" w:firstLine="0"/>
        <w:jc w:val="left"/>
        <w:rPr>
          <w:rFonts w:ascii="宋体" w:hAnsi="宋体" w:cs="宋体" w:eastAsia="宋体" w:hint="default"/>
          <w:sz w:val="18"/>
          <w:szCs w:val="18"/>
        </w:rPr>
      </w:pPr>
      <w:r>
        <w:rPr>
          <w:rFonts w:ascii="宋体" w:hAnsi="宋体" w:cs="宋体" w:eastAsia="宋体" w:hint="default"/>
          <w:b/>
          <w:bCs/>
          <w:sz w:val="18"/>
          <w:szCs w:val="18"/>
        </w:rPr>
        <w:t>三、内部控制的固有局限性</w:t>
      </w:r>
      <w:r>
        <w:rPr>
          <w:rFonts w:ascii="宋体" w:hAnsi="宋体" w:cs="宋体" w:eastAsia="宋体" w:hint="default"/>
          <w:b/>
          <w:bCs/>
          <w:w w:val="99"/>
          <w:sz w:val="18"/>
          <w:szCs w:val="18"/>
        </w:rPr>
        <w:t> </w:t>
      </w:r>
      <w:r>
        <w:rPr>
          <w:rFonts w:ascii="宋体" w:hAnsi="宋体" w:cs="宋体" w:eastAsia="宋体" w:hint="default"/>
          <w:spacing w:val="-1"/>
          <w:sz w:val="18"/>
          <w:szCs w:val="18"/>
        </w:rPr>
        <w:t>内部控制具有固有限制，存在由于错误或舞弊而导致错报发生和未被发现的可能性。此外，由于情况的变化可能导致</w:t>
      </w:r>
    </w:p>
    <w:p>
      <w:pPr>
        <w:pStyle w:val="BodyText"/>
        <w:spacing w:line="224" w:lineRule="exact"/>
        <w:ind w:left="181" w:right="0"/>
        <w:jc w:val="both"/>
      </w:pPr>
      <w:r>
        <w:rPr/>
        <w:t>内部控制变得不恰当，或降低对控制政策、程序的遵循程度，根据内部控制评价结果推测未来内部控制有效性具有一定的</w:t>
      </w:r>
    </w:p>
    <w:p>
      <w:pPr>
        <w:pStyle w:val="BodyText"/>
        <w:spacing w:line="240" w:lineRule="auto" w:before="76"/>
        <w:ind w:left="181" w:right="0"/>
        <w:jc w:val="both"/>
      </w:pPr>
      <w:r>
        <w:rPr/>
        <w:t>风险。</w:t>
      </w:r>
    </w:p>
    <w:p>
      <w:pPr>
        <w:pStyle w:val="BodyText"/>
        <w:spacing w:line="360" w:lineRule="auto" w:before="117"/>
        <w:ind w:left="541" w:right="0"/>
        <w:jc w:val="left"/>
      </w:pPr>
      <w:r>
        <w:rPr>
          <w:rFonts w:ascii="宋体" w:hAnsi="宋体" w:cs="宋体" w:eastAsia="宋体" w:hint="default"/>
          <w:b/>
          <w:bCs/>
        </w:rPr>
        <w:t>四、鉴证意见</w:t>
      </w:r>
      <w:r>
        <w:rPr>
          <w:rFonts w:ascii="宋体" w:hAnsi="宋体" w:cs="宋体" w:eastAsia="宋体" w:hint="default"/>
          <w:b/>
          <w:bCs/>
          <w:w w:val="99"/>
        </w:rPr>
        <w:t> </w:t>
      </w:r>
      <w:r>
        <w:rPr>
          <w:spacing w:val="-1"/>
        </w:rPr>
        <w:t>我们认为，东方通按照《企业内部控制基本规范》和相关规定于</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日在所有重大方面保持了与财务报表相</w:t>
      </w:r>
    </w:p>
    <w:p>
      <w:pPr>
        <w:pStyle w:val="BodyText"/>
        <w:spacing w:line="222" w:lineRule="exact"/>
        <w:ind w:left="181" w:right="0"/>
        <w:jc w:val="both"/>
      </w:pPr>
      <w:r>
        <w:rPr/>
        <w:t>关的有效的内部控制。</w:t>
      </w:r>
    </w:p>
    <w:p>
      <w:pPr>
        <w:spacing w:line="240" w:lineRule="auto" w:before="2"/>
        <w:rPr>
          <w:rFonts w:ascii="宋体" w:hAnsi="宋体" w:cs="宋体" w:eastAsia="宋体" w:hint="default"/>
          <w:sz w:val="16"/>
          <w:szCs w:val="16"/>
        </w:rPr>
      </w:pPr>
    </w:p>
    <w:tbl>
      <w:tblPr>
        <w:tblW w:w="0" w:type="auto"/>
        <w:jc w:val="left"/>
        <w:tblInd w:w="1258" w:type="dxa"/>
        <w:tblLayout w:type="fixed"/>
        <w:tblCellMar>
          <w:top w:w="0" w:type="dxa"/>
          <w:left w:w="0" w:type="dxa"/>
          <w:bottom w:w="0" w:type="dxa"/>
          <w:right w:w="0" w:type="dxa"/>
        </w:tblCellMar>
        <w:tblLook w:val="01E0"/>
      </w:tblPr>
      <w:tblGrid>
        <w:gridCol w:w="3606"/>
        <w:gridCol w:w="2340"/>
      </w:tblGrid>
      <w:tr>
        <w:trPr>
          <w:trHeight w:val="60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180" w:lineRule="exact"/>
              <w:ind w:right="493"/>
              <w:jc w:val="center"/>
              <w:rPr>
                <w:rFonts w:ascii="宋体" w:hAnsi="宋体" w:cs="宋体" w:eastAsia="宋体" w:hint="default"/>
                <w:sz w:val="18"/>
                <w:szCs w:val="18"/>
              </w:rPr>
            </w:pPr>
            <w:r>
              <w:rPr>
                <w:rFonts w:ascii="宋体" w:hAnsi="宋体" w:cs="宋体" w:eastAsia="宋体" w:hint="default"/>
                <w:b/>
                <w:bCs/>
                <w:sz w:val="18"/>
                <w:szCs w:val="18"/>
              </w:rPr>
              <w:t>立信会计师事务所</w:t>
            </w:r>
            <w:r>
              <w:rPr>
                <w:rFonts w:ascii="宋体" w:hAnsi="宋体" w:cs="宋体" w:eastAsia="宋体" w:hint="default"/>
                <w:b/>
                <w:bCs/>
                <w:sz w:val="18"/>
                <w:szCs w:val="18"/>
              </w:rPr>
              <w:t>(</w:t>
            </w:r>
            <w:r>
              <w:rPr>
                <w:rFonts w:ascii="宋体" w:hAnsi="宋体" w:cs="宋体" w:eastAsia="宋体" w:hint="default"/>
                <w:b/>
                <w:bCs/>
                <w:sz w:val="18"/>
                <w:szCs w:val="18"/>
              </w:rPr>
              <w:t>特殊普通合伙</w:t>
            </w:r>
            <w:r>
              <w:rPr>
                <w:rFonts w:ascii="宋体" w:hAnsi="宋体" w:cs="宋体" w:eastAsia="宋体" w:hint="default"/>
                <w:b/>
                <w:bCs/>
                <w:sz w:val="18"/>
                <w:szCs w:val="18"/>
              </w:rPr>
              <w:t>)</w:t>
            </w:r>
            <w:r>
              <w:rPr>
                <w:rFonts w:ascii="宋体" w:hAnsi="宋体" w:cs="宋体" w:eastAsia="宋体" w:hint="default"/>
                <w:sz w:val="18"/>
                <w:szCs w:val="18"/>
              </w:rPr>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8"/>
              <w:jc w:val="right"/>
              <w:rPr>
                <w:rFonts w:ascii="宋体" w:hAnsi="宋体" w:cs="宋体" w:eastAsia="宋体" w:hint="default"/>
                <w:sz w:val="18"/>
                <w:szCs w:val="18"/>
              </w:rPr>
            </w:pPr>
            <w:r>
              <w:rPr>
                <w:rFonts w:ascii="宋体" w:hAnsi="宋体" w:cs="宋体" w:eastAsia="宋体" w:hint="default"/>
                <w:b/>
                <w:bCs/>
                <w:w w:val="95"/>
                <w:sz w:val="18"/>
                <w:szCs w:val="18"/>
              </w:rPr>
              <w:t>中国注册会计师：</w:t>
            </w:r>
            <w:r>
              <w:rPr>
                <w:rFonts w:ascii="宋体" w:hAnsi="宋体" w:cs="宋体" w:eastAsia="宋体" w:hint="default"/>
                <w:sz w:val="18"/>
                <w:szCs w:val="18"/>
              </w:rPr>
            </w:r>
          </w:p>
        </w:tc>
      </w:tr>
      <w:tr>
        <w:trPr>
          <w:trHeight w:val="566"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92"/>
              <w:jc w:val="center"/>
              <w:rPr>
                <w:rFonts w:ascii="宋体" w:hAnsi="宋体" w:cs="宋体" w:eastAsia="宋体" w:hint="default"/>
                <w:sz w:val="18"/>
                <w:szCs w:val="18"/>
              </w:rPr>
            </w:pPr>
            <w:r>
              <w:rPr>
                <w:rFonts w:ascii="宋体" w:hAnsi="宋体" w:cs="宋体" w:eastAsia="宋体" w:hint="default"/>
                <w:b/>
                <w:bCs/>
                <w:sz w:val="18"/>
                <w:szCs w:val="18"/>
              </w:rPr>
              <w:t>中国</w:t>
            </w:r>
            <w:r>
              <w:rPr>
                <w:rFonts w:ascii="宋体" w:hAnsi="宋体" w:cs="宋体" w:eastAsia="宋体" w:hint="default"/>
                <w:b/>
                <w:bCs/>
                <w:sz w:val="18"/>
                <w:szCs w:val="18"/>
              </w:rPr>
              <w:t>·</w:t>
            </w:r>
            <w:r>
              <w:rPr>
                <w:rFonts w:ascii="宋体" w:hAnsi="宋体" w:cs="宋体" w:eastAsia="宋体" w:hint="default"/>
                <w:b/>
                <w:bCs/>
                <w:sz w:val="18"/>
                <w:szCs w:val="18"/>
              </w:rPr>
              <w:t>上海</w:t>
            </w:r>
            <w:r>
              <w:rPr>
                <w:rFonts w:ascii="宋体" w:hAnsi="宋体" w:cs="宋体" w:eastAsia="宋体" w:hint="default"/>
                <w:sz w:val="18"/>
                <w:szCs w:val="18"/>
              </w:rPr>
            </w:r>
          </w:p>
        </w:tc>
        <w:tc>
          <w:tcPr>
            <w:tcW w:w="2340" w:type="dxa"/>
            <w:tcBorders>
              <w:top w:val="nil" w:sz="6" w:space="0" w:color="auto"/>
              <w:left w:val="nil" w:sz="6" w:space="0" w:color="auto"/>
              <w:bottom w:val="nil" w:sz="6" w:space="0" w:color="auto"/>
              <w:right w:val="nil" w:sz="6" w:space="0" w:color="auto"/>
            </w:tcBorders>
          </w:tcPr>
          <w:p>
            <w:pPr/>
          </w:p>
        </w:tc>
      </w:tr>
      <w:tr>
        <w:trPr>
          <w:trHeight w:val="432" w:hRule="exact"/>
        </w:trPr>
        <w:tc>
          <w:tcPr>
            <w:tcW w:w="3606"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32" w:lineRule="exact"/>
              <w:ind w:right="198"/>
              <w:jc w:val="right"/>
              <w:rPr>
                <w:rFonts w:ascii="宋体" w:hAnsi="宋体" w:cs="宋体" w:eastAsia="宋体" w:hint="default"/>
                <w:sz w:val="18"/>
                <w:szCs w:val="18"/>
              </w:rPr>
            </w:pPr>
            <w:r>
              <w:rPr>
                <w:rFonts w:ascii="宋体" w:hAnsi="宋体" w:cs="宋体" w:eastAsia="宋体" w:hint="default"/>
                <w:b/>
                <w:bCs/>
                <w:w w:val="95"/>
                <w:sz w:val="18"/>
                <w:szCs w:val="18"/>
              </w:rPr>
              <w:t>中国注册会计师：</w:t>
            </w:r>
            <w:r>
              <w:rPr>
                <w:rFonts w:ascii="宋体" w:hAnsi="宋体" w:cs="宋体" w:eastAsia="宋体" w:hint="default"/>
                <w:sz w:val="18"/>
                <w:szCs w:val="18"/>
              </w:rPr>
            </w:r>
          </w:p>
        </w:tc>
      </w:tr>
    </w:tbl>
    <w:p>
      <w:pPr>
        <w:spacing w:after="0" w:line="232" w:lineRule="exact"/>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114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653" w:right="0"/>
              <w:jc w:val="left"/>
              <w:rPr>
                <w:rFonts w:ascii="宋体" w:hAnsi="宋体" w:cs="宋体" w:eastAsia="宋体" w:hint="default"/>
                <w:sz w:val="18"/>
                <w:szCs w:val="18"/>
              </w:rPr>
            </w:pPr>
            <w:r>
              <w:rPr>
                <w:rFonts w:ascii="宋体" w:hAnsi="宋体" w:cs="宋体" w:eastAsia="宋体" w:hint="default"/>
                <w:b/>
                <w:bCs/>
                <w:sz w:val="18"/>
                <w:szCs w:val="18"/>
              </w:rPr>
              <w:t>二〇一六年四月二十五日</w:t>
            </w:r>
            <w:r>
              <w:rPr>
                <w:rFonts w:ascii="宋体" w:hAnsi="宋体" w:cs="宋体" w:eastAsia="宋体" w:hint="default"/>
                <w:sz w:val="18"/>
                <w:szCs w:val="18"/>
              </w:rPr>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会计师事务所是否出具非标准意见的内部控制鉴证报告</w:t>
      </w:r>
    </w:p>
    <w:p>
      <w:pPr>
        <w:pStyle w:val="BodyText"/>
        <w:spacing w:line="338" w:lineRule="auto" w:before="117"/>
        <w:ind w:right="36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footerReference w:type="default" r:id="rId34"/>
          <w:pgSz w:w="11910" w:h="16840"/>
          <w:pgMar w:footer="982" w:header="745"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8"/>
        <w:jc w:val="center"/>
        <w:rPr>
          <w:b w:val="0"/>
          <w:bCs w:val="0"/>
        </w:rPr>
      </w:pPr>
      <w:bookmarkStart w:name="_TOC_250001" w:id="145"/>
      <w:bookmarkStart w:name="第十节 财务报告" w:id="146"/>
      <w:r>
        <w:rPr>
          <w:b w:val="0"/>
          <w:bCs w:val="0"/>
        </w:rPr>
      </w:r>
      <w:r>
        <w:rPr/>
        <w:t>第十节</w:t>
      </w:r>
      <w:r>
        <w:rPr>
          <w:spacing w:val="-4"/>
        </w:rPr>
        <w:t> </w:t>
      </w:r>
      <w:r>
        <w:rPr/>
        <w:t>财务报告</w:t>
      </w:r>
      <w:bookmarkEnd w:id="14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审计报告" w:id="147"/>
      <w:bookmarkEnd w:id="14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210852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乐超军、刘文豪</w:t>
            </w:r>
          </w:p>
        </w:tc>
      </w:tr>
    </w:tbl>
    <w:p>
      <w:pPr>
        <w:pStyle w:val="BodyText"/>
        <w:spacing w:line="240" w:lineRule="auto" w:before="49"/>
        <w:ind w:left="3428" w:right="3468"/>
        <w:jc w:val="center"/>
      </w:pPr>
      <w:r>
        <w:rPr/>
        <w:t>审计报告正文</w:t>
      </w:r>
    </w:p>
    <w:p>
      <w:pPr>
        <w:spacing w:line="240" w:lineRule="auto" w:before="1"/>
        <w:rPr>
          <w:rFonts w:ascii="宋体" w:hAnsi="宋体" w:cs="宋体" w:eastAsia="宋体" w:hint="default"/>
          <w:sz w:val="15"/>
          <w:szCs w:val="15"/>
        </w:rPr>
      </w:pPr>
    </w:p>
    <w:p>
      <w:pPr>
        <w:spacing w:line="408" w:lineRule="auto" w:before="44"/>
        <w:ind w:left="512" w:right="0" w:hanging="360"/>
        <w:jc w:val="left"/>
        <w:rPr>
          <w:rFonts w:ascii="宋体" w:hAnsi="宋体" w:cs="宋体" w:eastAsia="宋体" w:hint="default"/>
          <w:sz w:val="18"/>
          <w:szCs w:val="18"/>
        </w:rPr>
      </w:pPr>
      <w:r>
        <w:rPr>
          <w:rFonts w:ascii="宋体" w:hAnsi="宋体" w:cs="宋体" w:eastAsia="宋体" w:hint="default"/>
          <w:b/>
          <w:bCs/>
          <w:sz w:val="18"/>
          <w:szCs w:val="18"/>
        </w:rPr>
        <w:t>北京东方通科技股份有限公司全体股东：</w:t>
      </w:r>
      <w:r>
        <w:rPr>
          <w:rFonts w:ascii="宋体" w:hAnsi="宋体" w:cs="宋体" w:eastAsia="宋体" w:hint="default"/>
          <w:b/>
          <w:bCs/>
          <w:w w:val="99"/>
          <w:sz w:val="18"/>
          <w:szCs w:val="18"/>
        </w:rPr>
        <w:t> </w:t>
      </w:r>
      <w:r>
        <w:rPr>
          <w:rFonts w:ascii="宋体" w:hAnsi="宋体" w:cs="宋体" w:eastAsia="宋体" w:hint="default"/>
          <w:spacing w:val="-2"/>
          <w:sz w:val="18"/>
          <w:szCs w:val="18"/>
        </w:rPr>
        <w:t>我们审计了后附的北京东方通科技股份有限公司（以下简称东方通）财务报表，包括</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日的合并及公司资产</w:t>
      </w:r>
    </w:p>
    <w:p>
      <w:pPr>
        <w:tabs>
          <w:tab w:pos="1412" w:val="left" w:leader="none"/>
        </w:tabs>
        <w:spacing w:line="408" w:lineRule="auto" w:before="36"/>
        <w:ind w:left="716" w:right="651" w:hanging="564"/>
        <w:jc w:val="left"/>
        <w:rPr>
          <w:rFonts w:ascii="宋体" w:hAnsi="宋体" w:cs="宋体" w:eastAsia="宋体" w:hint="default"/>
          <w:sz w:val="18"/>
          <w:szCs w:val="18"/>
        </w:rPr>
      </w:pPr>
      <w:r>
        <w:rPr>
          <w:rFonts w:ascii="宋体" w:hAnsi="宋体" w:cs="宋体" w:eastAsia="宋体" w:hint="default"/>
          <w:sz w:val="18"/>
          <w:szCs w:val="18"/>
        </w:rPr>
        <w:t>负债表、</w:t>
      </w:r>
      <w:r>
        <w:rPr>
          <w:rFonts w:ascii="宋体" w:hAnsi="宋体" w:cs="宋体" w:eastAsia="宋体" w:hint="default"/>
          <w:sz w:val="18"/>
          <w:szCs w:val="18"/>
        </w:rPr>
        <w:t>2015</w:t>
      </w:r>
      <w:r>
        <w:rPr>
          <w:rFonts w:ascii="宋体" w:hAnsi="宋体" w:cs="宋体" w:eastAsia="宋体" w:hint="default"/>
          <w:sz w:val="18"/>
          <w:szCs w:val="18"/>
        </w:rPr>
        <w:t>年度的合并及公司利润表、合并及公司现金流量表、合并及公司所有者权益变动表以及财务报表附注。 </w:t>
      </w:r>
      <w:bookmarkStart w:name="一、 管理层对财务报表的责任" w:id="148"/>
      <w:bookmarkEnd w:id="148"/>
      <w:r>
        <w:rPr>
          <w:rFonts w:ascii="宋体" w:hAnsi="宋体" w:cs="宋体" w:eastAsia="宋体" w:hint="default"/>
          <w:sz w:val="18"/>
          <w:szCs w:val="18"/>
        </w:rPr>
      </w:r>
      <w:r>
        <w:rPr>
          <w:rFonts w:ascii="宋体" w:hAnsi="宋体" w:cs="宋体" w:eastAsia="宋体" w:hint="default"/>
          <w:b/>
          <w:bCs/>
          <w:sz w:val="18"/>
          <w:szCs w:val="18"/>
        </w:rPr>
        <w:t>一、</w:t>
        <w:tab/>
        <w:t>管理层对财务报表的责任</w:t>
      </w:r>
      <w:r>
        <w:rPr>
          <w:rFonts w:ascii="宋体" w:hAnsi="宋体" w:cs="宋体" w:eastAsia="宋体" w:hint="default"/>
          <w:sz w:val="18"/>
          <w:szCs w:val="18"/>
        </w:rPr>
      </w:r>
    </w:p>
    <w:p>
      <w:pPr>
        <w:pStyle w:val="BodyText"/>
        <w:spacing w:line="405" w:lineRule="auto" w:before="39"/>
        <w:ind w:right="178" w:firstLine="360"/>
        <w:jc w:val="left"/>
      </w:pPr>
      <w:r>
        <w:rPr/>
        <w:t>编制和公允列报财务报表是东方通管理层的责任</w:t>
      </w:r>
      <w:r>
        <w:rPr>
          <w:spacing w:val="-22"/>
        </w:rPr>
        <w:t>。</w:t>
      </w:r>
      <w:r>
        <w:rPr/>
        <w:t>这种责</w:t>
      </w:r>
      <w:r>
        <w:rPr>
          <w:spacing w:val="2"/>
        </w:rPr>
        <w:t>任</w:t>
      </w:r>
      <w:r>
        <w:rPr/>
        <w:t>包括</w:t>
      </w:r>
      <w:r>
        <w:rPr>
          <w:spacing w:val="-113"/>
        </w:rPr>
        <w:t>：</w:t>
      </w:r>
      <w:r>
        <w:rPr/>
        <w:t>（</w:t>
      </w:r>
      <w:r>
        <w:rPr>
          <w:rFonts w:ascii="宋体" w:hAnsi="宋体" w:cs="宋体" w:eastAsia="宋体" w:hint="default"/>
          <w:spacing w:val="1"/>
        </w:rPr>
        <w:t>1</w:t>
      </w:r>
      <w:r>
        <w:rPr>
          <w:spacing w:val="-22"/>
        </w:rPr>
        <w:t>）</w:t>
      </w:r>
      <w:r>
        <w:rPr/>
        <w:t>按照企业会计准</w:t>
      </w:r>
      <w:r>
        <w:rPr>
          <w:spacing w:val="2"/>
        </w:rPr>
        <w:t>则</w:t>
      </w:r>
      <w:r>
        <w:rPr/>
        <w:t>的规定编制财务报表</w:t>
      </w:r>
      <w:r>
        <w:rPr>
          <w:spacing w:val="-22"/>
        </w:rPr>
        <w:t>，</w:t>
      </w:r>
      <w:r>
        <w:rPr/>
        <w:t>并使其</w:t>
      </w:r>
      <w:r>
        <w:rPr/>
        <w:t> 实现公允反映</w:t>
      </w:r>
      <w:r>
        <w:rPr>
          <w:spacing w:val="-92"/>
        </w:rPr>
        <w:t>；</w:t>
      </w:r>
      <w:r>
        <w:rPr/>
        <w:t>（</w:t>
      </w:r>
      <w:r>
        <w:rPr>
          <w:rFonts w:ascii="宋体" w:hAnsi="宋体" w:cs="宋体" w:eastAsia="宋体" w:hint="default"/>
          <w:spacing w:val="1"/>
        </w:rPr>
        <w:t>2</w:t>
      </w:r>
      <w:r>
        <w:rPr/>
        <w:t>）设计、执行和维护必要的内部控制，以使财务报表不存在由于舞弊或错误导致的重大错报。</w:t>
      </w:r>
    </w:p>
    <w:p>
      <w:pPr>
        <w:pStyle w:val="BodyText"/>
        <w:tabs>
          <w:tab w:pos="1412" w:val="left" w:leader="none"/>
        </w:tabs>
        <w:spacing w:line="408" w:lineRule="auto" w:before="41"/>
        <w:ind w:left="512" w:right="193" w:firstLine="204"/>
        <w:jc w:val="left"/>
      </w:pPr>
      <w:bookmarkStart w:name="二、 注册会计师的责任" w:id="149"/>
      <w:bookmarkEnd w:id="149"/>
      <w:r>
        <w:rPr/>
      </w:r>
      <w:r>
        <w:rPr>
          <w:rFonts w:ascii="宋体" w:hAnsi="宋体" w:cs="宋体" w:eastAsia="宋体" w:hint="default"/>
          <w:b/>
          <w:bCs/>
        </w:rPr>
        <w:t>二、</w:t>
        <w:tab/>
        <w:t>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408" w:lineRule="auto" w:before="36"/>
        <w:ind w:right="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408" w:lineRule="auto" w:before="39"/>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408" w:lineRule="auto" w:before="36"/>
        <w:ind w:left="512" w:right="3154"/>
        <w:jc w:val="left"/>
        <w:rPr>
          <w:rFonts w:ascii="宋体" w:hAnsi="宋体" w:cs="宋体" w:eastAsia="宋体" w:hint="default"/>
        </w:rPr>
      </w:pPr>
      <w:r>
        <w:rPr/>
        <w:t>我们相信，我们获取的审计证据是充分、适当的，为发表审计意见提供了基础。 </w:t>
      </w:r>
      <w:bookmarkStart w:name="三、审计意见" w:id="150"/>
      <w:bookmarkEnd w:id="150"/>
      <w:r>
        <w:rPr/>
      </w:r>
      <w:r>
        <w:rPr>
          <w:rFonts w:ascii="宋体" w:hAnsi="宋体" w:cs="宋体" w:eastAsia="宋体" w:hint="default"/>
          <w:b/>
          <w:bCs/>
        </w:rPr>
        <w:t>三、审计意见</w:t>
      </w:r>
      <w:r>
        <w:rPr>
          <w:rFonts w:ascii="宋体" w:hAnsi="宋体" w:cs="宋体" w:eastAsia="宋体" w:hint="default"/>
        </w:rPr>
      </w:r>
    </w:p>
    <w:p>
      <w:pPr>
        <w:pStyle w:val="BodyText"/>
        <w:spacing w:line="405" w:lineRule="auto" w:before="39"/>
        <w:ind w:right="0" w:firstLine="360"/>
        <w:jc w:val="left"/>
      </w:pPr>
      <w:r>
        <w:rPr>
          <w:spacing w:val="-2"/>
        </w:rPr>
        <w:t>我们认为，东方通财务报表在所有重大方面按照企业会计准则的规定编制，公允反映了东方通</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w:t>
      </w:r>
      <w:r>
        <w:rPr/>
        <w:t> 公司财务状况以及</w:t>
      </w:r>
      <w:r>
        <w:rPr>
          <w:rFonts w:ascii="宋体" w:hAnsi="宋体" w:cs="宋体" w:eastAsia="宋体" w:hint="default"/>
        </w:rPr>
        <w:t>2015</w:t>
      </w:r>
      <w:r>
        <w:rPr/>
        <w:t>年度的合并及公司经营成果和现金流量。</w:t>
      </w:r>
    </w:p>
    <w:p>
      <w:pPr>
        <w:pStyle w:val="Heading5"/>
        <w:tabs>
          <w:tab w:pos="5487" w:val="left" w:leader="none"/>
        </w:tabs>
        <w:spacing w:line="240" w:lineRule="auto" w:before="82"/>
        <w:ind w:left="1057" w:right="0" w:hanging="905"/>
        <w:jc w:val="left"/>
        <w:rPr>
          <w:b w:val="0"/>
          <w:bCs w:val="0"/>
        </w:rPr>
      </w:pPr>
      <w:r>
        <w:rPr>
          <w:w w:val="95"/>
        </w:rPr>
        <w:t>立信会计师事务所（特殊普通合伙）</w:t>
        <w:tab/>
      </w:r>
      <w:r>
        <w:rPr/>
        <w:t>中国注册会计师：</w:t>
      </w:r>
      <w:r>
        <w:rPr>
          <w:b w:val="0"/>
          <w:bCs w:val="0"/>
        </w:rPr>
      </w: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8"/>
          <w:szCs w:val="18"/>
        </w:rPr>
      </w:pPr>
    </w:p>
    <w:p>
      <w:pPr>
        <w:pStyle w:val="Heading5"/>
        <w:tabs>
          <w:tab w:pos="5487" w:val="left" w:leader="none"/>
        </w:tabs>
        <w:spacing w:line="240" w:lineRule="auto"/>
        <w:ind w:left="1057" w:right="0"/>
        <w:jc w:val="left"/>
        <w:rPr>
          <w:b w:val="0"/>
          <w:bCs w:val="0"/>
        </w:rPr>
      </w:pPr>
      <w:r>
        <w:rPr>
          <w:w w:val="95"/>
        </w:rPr>
        <w:t>中国•上海</w:t>
        <w:tab/>
      </w:r>
      <w:r>
        <w:rPr/>
        <w:t>中国注册会计师：</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4"/>
          <w:szCs w:val="24"/>
        </w:rPr>
      </w:pPr>
    </w:p>
    <w:p>
      <w:pPr>
        <w:pStyle w:val="Heading5"/>
        <w:spacing w:line="240" w:lineRule="auto"/>
        <w:ind w:left="6210" w:right="0"/>
        <w:jc w:val="left"/>
        <w:rPr>
          <w:b w:val="0"/>
          <w:bCs w:val="0"/>
        </w:rPr>
      </w:pPr>
      <w:r>
        <w:rPr/>
        <w:t>二○一六年四月二十五日</w:t>
      </w:r>
      <w:r>
        <w:rPr>
          <w:b w:val="0"/>
          <w:bCs w:val="0"/>
        </w:rPr>
      </w:r>
    </w:p>
    <w:p>
      <w:pPr>
        <w:spacing w:after="0" w:line="240" w:lineRule="auto"/>
        <w:jc w:val="left"/>
        <w:sectPr>
          <w:footerReference w:type="default" r:id="rId35"/>
          <w:pgSz w:w="11910" w:h="16840"/>
          <w:pgMar w:footer="982" w:header="745" w:top="1060" w:bottom="1180" w:left="980" w:right="940"/>
          <w:pgNumType w:start="101"/>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bookmarkStart w:name="二、财务报表" w:id="151"/>
      <w:bookmarkEnd w:id="151"/>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合并资产负债表" w:id="152"/>
      <w:bookmarkEnd w:id="15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240" w:lineRule="auto" w:before="44"/>
        <w:ind w:right="-20"/>
        <w:jc w:val="left"/>
      </w:pPr>
      <w:r>
        <w:rPr/>
        <w:t>编制单位：北京东方通科技股份有限公司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3"/>
        <w:jc w:val="left"/>
      </w:pP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3" w:equalWidth="0">
            <w:col w:w="3393" w:space="682"/>
            <w:col w:w="1641" w:space="3202"/>
            <w:col w:w="1032"/>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186,418,034.46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297,169,081.29</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514,980.00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2,784,775.00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257,449,444.01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232,659,600.39</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1,607,694.06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2,270,363.00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4,797,042.19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3,178,740.56</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1,064,984.70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2,972,404.51</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19,722.28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1,372,572.68</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733,982.88</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451,871,901.70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543,141,520.31</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279,152.22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317,569.96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5,340,310.44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8,328,683.07</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14,083,915.91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20,963,921.67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10,278,252.50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427,823,878.03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392,976,796.03</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1,455,006.15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1,474,728.48</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11,556,514.52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3,355,066.34</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471,017,029.77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427,616,765.55</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922,888,931.47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970,758,285.86</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5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3,008,304.38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1,833,692.93</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3,340,850.18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3,543,139.75</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5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6,884,697.00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4,382,210.83</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23,043,202.45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13,908,400.14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40,488,673.50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142,296,062.29</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1,087,778.01</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76,765,727.51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187,051,283.95</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3,441,925.80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1,703,302.66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2,408,117.55</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5,145,228.46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2,408,117.55</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81,910,955.97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189,459,401.50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115,220,300.00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57,610,150.00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498,693,572.20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555,791,322.20</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14,734,223.38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13,356,477.30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212,329,879.92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154,543,236.14</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840,977,975.50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781,298,884.36</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840,977,975.50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781,298,884.36</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922,888,931.47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970,758,285.86</w:t>
            </w:r>
            <w:r>
              <w:rPr>
                <w:rFonts w:ascii="Times New Roman"/>
                <w:sz w:val="18"/>
              </w:rPr>
            </w:r>
          </w:p>
        </w:tc>
      </w:tr>
    </w:tbl>
    <w:p>
      <w:pPr>
        <w:spacing w:line="240" w:lineRule="auto" w:before="11"/>
        <w:rPr>
          <w:rFonts w:ascii="Times New Roman" w:hAnsi="Times New Roman" w:cs="Times New Roman" w:eastAsia="Times New Roman" w:hint="default"/>
          <w:sz w:val="22"/>
          <w:szCs w:val="22"/>
        </w:rPr>
      </w:pPr>
    </w:p>
    <w:p>
      <w:pPr>
        <w:pStyle w:val="BodyText"/>
        <w:tabs>
          <w:tab w:pos="3513" w:val="left" w:leader="none"/>
          <w:tab w:pos="7745" w:val="left" w:leader="none"/>
        </w:tabs>
        <w:spacing w:line="240" w:lineRule="auto" w:before="44"/>
        <w:ind w:left="0" w:right="246"/>
        <w:jc w:val="right"/>
      </w:pPr>
      <w:r>
        <w:rPr/>
        <w:t>法定代表人：张齐春</w:t>
        <w:tab/>
      </w:r>
      <w:r>
        <w:rPr>
          <w:spacing w:val="-1"/>
        </w:rPr>
        <w:t>主管会计工作负责人：徐少璞</w:t>
        <w:tab/>
      </w:r>
      <w:r>
        <w:rPr/>
        <w:t>会计机构负责人：王会</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母公司资产负债表" w:id="153"/>
      <w:bookmarkEnd w:id="15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115,727,645.60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253,557,539.63</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374,580.00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2,554,775.00</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168,422,733.90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172,834,218.92</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1,030,211.53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1,612,373.84</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4,424,437.16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10,183,903.36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19,722.28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1,270,814.83</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729,812.31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289,999,330.47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442,743,437.89</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524,649,152.22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473,317,569.96</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3,656,987.94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6,402,754.23</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2,491,020.69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4,558,907.40</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10,278,252.50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1,455,006.15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1,474,728.48</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4,908,236.28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2,433,824.08</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547,438,655.78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488,187,784.15</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837,437,986.25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930,931,222.04</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982,344.71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1,277,607.04</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1,503,923.31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2,246,586.50</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4,512,639.45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2,887,819.52</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9,239,055.74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5,906,627.49</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95,380,657.47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177,757,694.55</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825,278.01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111,618,620.68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210,901,613.11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3,021,925.80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3,021,925.80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114,640,546.48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210,901,613.11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115,220,300.00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57,610,150.00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498,693,572.20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555,791,322.20</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14,734,223.38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13,356,477.30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94,149,344.19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93,271,659.43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722,797,439.77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720,029,608.93</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837,437,986.25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930,931,222.04</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54"/>
      <w:bookmarkEnd w:id="15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79"/>
        <w:gridCol w:w="3211"/>
        <w:gridCol w:w="3276"/>
      </w:tblGrid>
      <w:tr>
        <w:trPr>
          <w:trHeight w:val="402"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237,277,215.38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194,137,637.99</w:t>
            </w:r>
            <w:r>
              <w:rPr>
                <w:rFonts w:ascii="Times New Roman"/>
                <w:sz w:val="18"/>
              </w:rPr>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237,277,215.38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194,137,637.99</w:t>
            </w:r>
            <w:r>
              <w:rPr>
                <w:rFonts w:ascii="Times New Roman"/>
                <w:sz w:val="18"/>
              </w:rPr>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189,020,865.47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164,373,432.46</w:t>
            </w:r>
            <w:r>
              <w:rPr>
                <w:rFonts w:ascii="Times New Roman"/>
                <w:sz w:val="18"/>
              </w:rPr>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37,533,067.53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3,967,139.97</w:t>
            </w:r>
            <w:r>
              <w:rPr>
                <w:rFonts w:ascii="Times New Roman"/>
                <w:sz w:val="18"/>
              </w:rPr>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39996pt;margin-top:521.279968pt;width:193.1pt;height:19.6pt;mso-position-horizontal-relative:page;mso-position-vertical-relative:page;z-index:-1034488"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0.960007pt;margin-top:400.678986pt;width:160pt;height:19.6pt;mso-position-horizontal-relative:page;mso-position-vertical-relative:page;z-index:-1034464" coordorigin="4219,8014" coordsize="3200,392">
            <v:group style="position:absolute;left:7397;top:8014;width:22;height:392" coordorigin="7397,8014" coordsize="22,392">
              <v:shape style="position:absolute;left:7397;top:8014;width:22;height:392" coordorigin="7397,8014" coordsize="22,392" path="m7397,8405l7418,8405,7418,8014,7397,8014,7397,8405xe" filled="true" fillcolor="#ffffff" stroked="false">
                <v:path arrowok="t"/>
                <v:fill type="solid"/>
              </v:shape>
            </v:group>
            <v:group style="position:absolute;left:4219;top:8014;width:22;height:392" coordorigin="4219,8014" coordsize="22,392">
              <v:shape style="position:absolute;left:4219;top:8014;width:22;height:392" coordorigin="4219,8014" coordsize="22,392" path="m4219,8405l4241,8405,4241,8014,4219,8014,4219,8405xe" filled="true" fillcolor="#ffffff" stroked="false">
                <v:path arrowok="t"/>
                <v:fill type="solid"/>
              </v:shape>
            </v:group>
            <v:group style="position:absolute;left:4241;top:8014;width:3156;height:392" coordorigin="4241,8014" coordsize="3156,392">
              <v:shape style="position:absolute;left:4241;top:8014;width:3156;height:392" coordorigin="4241,8014" coordsize="3156,392" path="m4241,8405l7397,8405,7397,8014,4241,8014,4241,840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8"/>
        <w:gridCol w:w="1106"/>
        <w:gridCol w:w="2105"/>
        <w:gridCol w:w="3276"/>
      </w:tblGrid>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3,681,680.38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3,787,373.32</w:t>
            </w:r>
            <w:r>
              <w:rPr>
                <w:rFonts w:ascii="Times New Roman"/>
                <w:sz w:val="18"/>
              </w:rPr>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61,345,018.58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64,219,119.60</w:t>
            </w:r>
            <w:r>
              <w:rPr>
                <w:rFonts w:ascii="Times New Roman"/>
                <w:sz w:val="18"/>
              </w:rPr>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73,008,461.04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82,117,640.69</w:t>
            </w:r>
            <w:r>
              <w:rPr>
                <w:rFonts w:ascii="Times New Roman"/>
                <w:sz w:val="18"/>
              </w:rPr>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-2,317,855.11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2,423,575.80</w:t>
            </w:r>
            <w:r>
              <w:rPr>
                <w:rFonts w:ascii="Times New Roman"/>
                <w:sz w:val="18"/>
              </w:rPr>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15,770,493.05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7,858,583.08</w:t>
            </w:r>
            <w:r>
              <w:rPr>
                <w:rFonts w:ascii="Times New Roman"/>
                <w:sz w:val="18"/>
              </w:rPr>
            </w: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32,449.72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9,350.64</w:t>
            </w: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-38,417.74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9,350.64</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22"/>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48,288,799.63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29,773,556.17</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34,898,253.55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34,138,101.48</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906,929.85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1,245,886.58</w:t>
            </w:r>
            <w:r>
              <w:rPr>
                <w:rFonts w:ascii="Times New Roman"/>
                <w:sz w:val="18"/>
              </w:rPr>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777,381.68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781,987.13</w:t>
            </w:r>
          </w:p>
        </w:tc>
      </w:tr>
      <w:tr>
        <w:trPr>
          <w:trHeight w:val="401" w:hRule="exact"/>
        </w:trPr>
        <w:tc>
          <w:tcPr>
            <w:tcW w:w="3078"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6" w:type="dxa"/>
            <w:tcBorders>
              <w:top w:val="single" w:sz="4" w:space="0" w:color="000000"/>
              <w:left w:val="single" w:sz="13" w:space="0" w:color="FFFFFF"/>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1041" w:right="0"/>
              <w:jc w:val="left"/>
              <w:rPr>
                <w:rFonts w:ascii="Times New Roman" w:hAnsi="Times New Roman" w:cs="Times New Roman" w:eastAsia="Times New Roman" w:hint="default"/>
                <w:sz w:val="18"/>
                <w:szCs w:val="18"/>
              </w:rPr>
            </w:pPr>
            <w:r>
              <w:rPr>
                <w:rFonts w:ascii="Times New Roman"/>
                <w:sz w:val="18"/>
              </w:rPr>
              <w:t>82,280,123.33</w:t>
            </w:r>
          </w:p>
        </w:tc>
        <w:tc>
          <w:tcPr>
            <w:tcW w:w="327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62,665,771.07</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11,593,703.47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5,549,750.21</w:t>
            </w:r>
            <w:r>
              <w:rPr>
                <w:rFonts w:ascii="Times New Roman"/>
                <w:sz w:val="18"/>
              </w:rPr>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70,686,419.86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57,116,020.86</w:t>
            </w:r>
            <w:r>
              <w:rPr>
                <w:rFonts w:ascii="Times New Roman"/>
                <w:sz w:val="18"/>
              </w:rPr>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70,686,419.86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57,116,020.86</w:t>
            </w:r>
            <w:r>
              <w:rPr>
                <w:rFonts w:ascii="Times New Roman"/>
                <w:sz w:val="18"/>
              </w:rPr>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2,301.28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r>
      <w:tr>
        <w:trPr>
          <w:trHeight w:val="713"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6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2,301.28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firstLine="340"/>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right="2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79"/>
        <w:gridCol w:w="3211"/>
        <w:gridCol w:w="3276"/>
      </w:tblGrid>
      <w:tr>
        <w:trPr>
          <w:trHeight w:val="674"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24" w:right="163"/>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2,301.28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r>
      <w:tr>
        <w:trPr>
          <w:trHeight w:val="1027"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2,301.28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6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70,688,721.14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57,113,719.58</w:t>
            </w:r>
            <w:r>
              <w:rPr>
                <w:rFonts w:ascii="Times New Roman"/>
                <w:sz w:val="18"/>
              </w:rPr>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6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70,688,721.14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57,113,719.58</w:t>
            </w:r>
            <w:r>
              <w:rPr>
                <w:rFonts w:ascii="Times New Roman"/>
                <w:sz w:val="18"/>
              </w:rPr>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0.6135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0.5611</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0.6081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0.5611</w:t>
            </w:r>
          </w:p>
        </w:tc>
      </w:tr>
    </w:tbl>
    <w:p>
      <w:pPr>
        <w:pStyle w:val="BodyText"/>
        <w:tabs>
          <w:tab w:pos="3666" w:val="left" w:leader="none"/>
          <w:tab w:pos="7897" w:val="left" w:leader="none"/>
        </w:tabs>
        <w:spacing w:line="621" w:lineRule="auto" w:before="49"/>
        <w:ind w:right="246"/>
        <w:jc w:val="left"/>
      </w:pPr>
      <w:r>
        <w:rPr/>
        <w:t>本期发生同一控制下企业合并的，被合并方在合并前实现的净利润为：元，上期被合并方实现的净利润为：元。 法定代表人：张齐春</w:t>
        <w:tab/>
      </w:r>
      <w:r>
        <w:rPr>
          <w:spacing w:val="-1"/>
        </w:rPr>
        <w:t>主管会计工作负责人：徐少璞</w:t>
        <w:tab/>
      </w:r>
      <w:r>
        <w:rPr/>
        <w:t>会计机构负责人：王会</w:t>
      </w:r>
    </w:p>
    <w:p>
      <w:pPr>
        <w:pStyle w:val="Heading3"/>
        <w:spacing w:line="240" w:lineRule="auto" w:before="69"/>
        <w:ind w:right="0"/>
        <w:jc w:val="left"/>
        <w:rPr>
          <w:b w:val="0"/>
          <w:bCs w:val="0"/>
        </w:rPr>
      </w:pPr>
      <w:bookmarkStart w:name="4、母公司利润表" w:id="155"/>
      <w:bookmarkEnd w:id="15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112,515,110.51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143,826,239.87</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13,796,578.14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2,064,737.66</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1,839,409.90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2,584,441.83</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45,319,743.72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48,185,079.99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44,038,938.34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65,865,133.15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-1,724,932.66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2,494,982.84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12,005,576.16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5,764,826.66</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-38,417.74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9,350.64</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-38,417.74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9,350.64</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-2,798,620.83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16,876,388.38</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18,753,085.64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30,347,041.79</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901,629.85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1,243,056.39</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777,381.68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781,987.13</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15,052,834.96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45,980,373.78</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1,275,374.12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2,942,952.72</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13,777,460.84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43,037,421.06</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6"/>
          <w:pgSz w:w="11910" w:h="16840"/>
          <w:pgMar w:footer="982" w:header="745" w:top="1060" w:bottom="1180" w:left="980" w:right="98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13,777,460.84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43,037,421.06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5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5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5、合并现金流量表" w:id="156"/>
      <w:bookmarkEnd w:id="15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233,105,179.62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188,369,461.75</w:t>
            </w:r>
            <w:r>
              <w:rPr>
                <w:rFonts w:ascii="Times New Roman"/>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23,469,088.18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24,248,617.21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21,151,535.25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12,929,723.50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277,725,803.05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225,547,802.46</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22,043,243.21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4,098,927.30</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83,246,877.45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82,951,813.69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42,055,814.56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38,611,171.19</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64,804,779.89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41,203,758.58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212,150,715.11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166,865,670.76</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65,575,087.94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58,682,131.70</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868,131.86</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897,131.86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7,636,873.33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6,009,526.09</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161,266,888.41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8,279,479.44</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168,903,761.74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14,289,005.53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-168,006,629.88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-14,218,305.53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248,522,670.21</w:t>
            </w:r>
            <w:r>
              <w:rPr>
                <w:rFonts w:ascii="Times New Roman"/>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137,551,581.89</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421,074,252.10</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90,601,700.00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11,916,585.55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13,618,995.14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96,083.34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135,327,140.72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32,012,668.89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239,547,835.86</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-13,012,668.89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181,526,416.24</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-2,441.87</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-115,444,210.83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225,987,800.54</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296,922,795.29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70,934,994.75</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181,478,584.46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296,922,795.29</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6、母公司现金流量表" w:id="157"/>
      <w:bookmarkEnd w:id="15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117,928,058.69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140,340,586.97</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10,527,873.43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21,162,038.09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62,709,527.60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54,865,476.40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191,165,459.72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216,368,101.46</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3,241,819.76</w:t>
            </w:r>
            <w:r>
              <w:rPr>
                <w:rFonts w:ascii="Times New Roman"/>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56,997,510.16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61,751,655.81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17,649,786.72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31,166,618.38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61,672,007.20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55,798,686.31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136,319,304.08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151,958,780.26</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54,846,155.64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64,409,321.20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70,700.00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7,376,780.78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5,867,968.09</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172,307,600.00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179,684,380.78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38,867,968.09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-179,663,380.78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-38,797,268.09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248,522,670.21</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137,551,581.89</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421,074,252.10</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90,601,700.00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11,916,585.55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13,618,995.14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96,083.34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135,327,140.72</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32,012,668.89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239,547,835.86</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-13,012,668.89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181,526,416.24</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-137,829,894.03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207,138,469.35</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253,557,539.63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46,419,070.28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115,727,645.60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253,557,539.63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合并所有者权益变动表" w:id="158"/>
      <w:bookmarkEnd w:id="15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8" w:type="dxa"/>
            <w:vMerge/>
            <w:tcBorders>
              <w:left w:val="single" w:sz="4" w:space="0" w:color="000000"/>
              <w:right w:val="single" w:sz="4" w:space="0" w:color="000000"/>
            </w:tcBorders>
            <w:shd w:val="clear" w:color="auto" w:fill="D4D4D4"/>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4D4D4"/>
          </w:tcPr>
          <w:p>
            <w:pPr/>
          </w:p>
        </w:tc>
        <w:tc>
          <w:tcPr>
            <w:tcW w:w="5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0"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555,791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,322.20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13,356,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477.30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154,543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,236.14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781,298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,884.36</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57,610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555,791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,322.20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13,356,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477.30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154,543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,236.14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781,298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,884.36</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-57,097,</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750.00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1,377,7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46.08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57,786,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643.78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59,679,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091.14</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2,301.2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70,686,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419.86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70,688,</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721.14</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512,400</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512,400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512,400</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512,400</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1,377,7</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46.08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-12,899,</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776.08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-11,522,</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030.00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1,377,7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46.08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-1,377,7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46.08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-11,522,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030.00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-11,522,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030.00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-57,610,</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150.00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57,610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-57,610,</w:t>
            </w:r>
          </w:p>
          <w:p>
            <w:pPr>
              <w:pStyle w:val="TableParagraph"/>
              <w:spacing w:line="240" w:lineRule="auto" w:before="102"/>
              <w:ind w:left="112" w:right="0"/>
              <w:jc w:val="center"/>
              <w:rPr>
                <w:rFonts w:ascii="Times New Roman" w:hAnsi="Times New Roman" w:cs="Times New Roman" w:eastAsia="Times New Roman" w:hint="default"/>
                <w:sz w:val="18"/>
                <w:szCs w:val="18"/>
              </w:rPr>
            </w:pPr>
            <w:r>
              <w:rPr>
                <w:rFonts w:ascii="Times New Roman"/>
                <w:sz w:val="18"/>
              </w:rPr>
              <w:t>150.00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115,22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0,300.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498,693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,572.20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14,734,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223.38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212,329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,879.92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840,977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,975.50</w:t>
            </w:r>
          </w:p>
        </w:tc>
      </w:tr>
    </w:tbl>
    <w:p>
      <w:pPr>
        <w:pStyle w:val="BodyText"/>
        <w:spacing w:line="240" w:lineRule="auto" w:before="49"/>
        <w:ind w:right="0"/>
        <w:jc w:val="left"/>
      </w:pPr>
      <w:r>
        <w:rPr/>
        <w:t>上期金额</w:t>
      </w:r>
    </w:p>
    <w:p>
      <w:pPr>
        <w:pStyle w:val="BodyText"/>
        <w:spacing w:line="240" w:lineRule="auto" w:before="117"/>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0"/>
        <w:gridCol w:w="533"/>
        <w:gridCol w:w="662"/>
        <w:gridCol w:w="665"/>
        <w:gridCol w:w="667"/>
        <w:gridCol w:w="665"/>
        <w:gridCol w:w="662"/>
        <w:gridCol w:w="665"/>
        <w:gridCol w:w="679"/>
        <w:gridCol w:w="653"/>
        <w:gridCol w:w="65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4D4D4"/>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4D4D4"/>
          </w:tcPr>
          <w:p>
            <w:pPr/>
          </w:p>
        </w:tc>
        <w:tc>
          <w:tcPr>
            <w:tcW w:w="5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2"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79" w:type="dxa"/>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35,918,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968.29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9,052,7</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35.19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112,017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,593.59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201,989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,297.07</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35,918,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968.29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9,052,7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35.19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112,017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,593.59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201,989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,297.07</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519,872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,353.91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4,303,7</w:t>
            </w:r>
          </w:p>
          <w:p>
            <w:pPr>
              <w:pStyle w:val="TableParagraph"/>
              <w:spacing w:line="240" w:lineRule="auto" w:before="102"/>
              <w:ind w:left="212" w:right="0"/>
              <w:jc w:val="center"/>
              <w:rPr>
                <w:rFonts w:ascii="Times New Roman" w:hAnsi="Times New Roman" w:cs="Times New Roman" w:eastAsia="Times New Roman" w:hint="default"/>
                <w:sz w:val="18"/>
                <w:szCs w:val="18"/>
              </w:rPr>
            </w:pPr>
            <w:r>
              <w:rPr>
                <w:rFonts w:ascii="Times New Roman"/>
                <w:sz w:val="18"/>
              </w:rPr>
              <w:t>42.11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42,525,</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642.55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579,309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,587.29</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57,116,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020.86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57,113,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719.58</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12,610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519,872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,353.91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532,482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,503.91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519,872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,353.91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532,482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,503.91</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4,303,7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42.11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-14,590,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378.31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-10,286,</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636.20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4,303,7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42.11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-4,303,7</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42.11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-10,286,</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636.20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-10,286,</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636.20</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555,791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477.30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154,543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,236.14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781,298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,884.36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母公司所有者权益变动表" w:id="159"/>
      <w:bookmarkEnd w:id="15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本期金额</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40" w:type="dxa"/>
            <w:vMerge/>
            <w:tcBorders>
              <w:left w:val="single" w:sz="4" w:space="0" w:color="000000"/>
              <w:right w:val="single" w:sz="4" w:space="0" w:color="000000"/>
            </w:tcBorders>
            <w:shd w:val="clear" w:color="auto" w:fill="D4D4D4"/>
          </w:tcPr>
          <w:p>
            <w:pPr/>
          </w:p>
        </w:tc>
        <w:tc>
          <w:tcPr>
            <w:tcW w:w="6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4D4D4"/>
          </w:tcPr>
          <w:p>
            <w:pPr/>
          </w:p>
        </w:tc>
        <w:tc>
          <w:tcPr>
            <w:tcW w:w="691" w:type="dxa"/>
            <w:vMerge/>
            <w:tcBorders>
              <w:left w:val="single" w:sz="4" w:space="0" w:color="000000"/>
              <w:bottom w:val="single" w:sz="4" w:space="0" w:color="000000"/>
              <w:right w:val="single" w:sz="4" w:space="0" w:color="000000"/>
            </w:tcBorders>
            <w:shd w:val="clear" w:color="auto" w:fill="D4D4D4"/>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57,610,1</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555,791,3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13,356,47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93,271,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659.43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720,029,6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08.93</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57,610,1</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555,791,3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13,356,47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93,271,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659.43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720,029,6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08.93</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57,610,1</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-57,097,7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1,377,746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877,684</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2,767,830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13,777,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460.84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13,777,46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0.84</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512,400.0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512,400.0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512,400.0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512,400.0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1,377,746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-12,899,</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776.08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-11,522,0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30.00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1,377,746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-1,377,7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46.08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-11,522,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-11,522,0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57,610,1</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-57,610,1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1" w:right="0"/>
              <w:jc w:val="left"/>
              <w:rPr>
                <w:rFonts w:ascii="Times New Roman" w:hAnsi="Times New Roman" w:cs="Times New Roman" w:eastAsia="Times New Roman" w:hint="default"/>
                <w:sz w:val="18"/>
                <w:szCs w:val="18"/>
              </w:rPr>
            </w:pPr>
            <w:r>
              <w:rPr>
                <w:rFonts w:ascii="Times New Roman"/>
                <w:sz w:val="18"/>
              </w:rPr>
              <w:t>57,610,1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-57,610,1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6"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115,220,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498,693,5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72.20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14,734,22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94,149,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344.19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722,797,4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39.77</w:t>
            </w:r>
          </w:p>
        </w:tc>
      </w:tr>
    </w:tbl>
    <w:p>
      <w:pPr>
        <w:pStyle w:val="BodyText"/>
        <w:spacing w:line="240" w:lineRule="auto" w:before="49"/>
        <w:ind w:right="0"/>
        <w:jc w:val="left"/>
      </w:pPr>
      <w:r>
        <w:rPr/>
        <w:t>上期金额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4D4D4"/>
          </w:tcPr>
          <w:p>
            <w:pPr/>
          </w:p>
        </w:tc>
        <w:tc>
          <w:tcPr>
            <w:tcW w:w="6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3"/>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3"/>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3"/>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3"/>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4D4D4"/>
          </w:tcPr>
          <w:p>
            <w:pPr/>
          </w:p>
        </w:tc>
        <w:tc>
          <w:tcPr>
            <w:tcW w:w="691" w:type="dxa"/>
            <w:vMerge/>
            <w:tcBorders>
              <w:left w:val="single" w:sz="4" w:space="0" w:color="000000"/>
              <w:bottom w:val="single" w:sz="4" w:space="0" w:color="000000"/>
              <w:right w:val="single" w:sz="4" w:space="0" w:color="000000"/>
            </w:tcBorders>
            <w:shd w:val="clear" w:color="auto" w:fill="D4D4D4"/>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35,918,96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9,052,735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64,824,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616.68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154,796,3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20.16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35,918,96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9,052,735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64,824,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616.68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154,796,3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20.16</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12,610,1</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519,872,3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53.91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4,303,742</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4"/>
                <w:w w:val="95"/>
                <w:sz w:val="18"/>
              </w:rPr>
              <w:t>.11</w:t>
            </w:r>
            <w:r>
              <w:rPr>
                <w:rFonts w:ascii="Times New Roman"/>
                <w:w w:val="95"/>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28,447,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042.75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565,233,2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88.77</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43,037,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421.06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43,037,42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1.06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12,610,1</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519,872,3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53.91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532,482,5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03.91</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12,610,1</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519,872,3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53.91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532,482,5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03.91</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4,303,742</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4"/>
                <w:w w:val="95"/>
                <w:sz w:val="18"/>
              </w:rPr>
              <w:t>.11</w:t>
            </w:r>
            <w:r>
              <w:rPr>
                <w:rFonts w:ascii="Times New Roman"/>
                <w:w w:val="95"/>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-14,590,</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378.31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-10,286,6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36.20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4,303,742</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4"/>
                <w:w w:val="95"/>
                <w:sz w:val="18"/>
              </w:rPr>
              <w:t>.11</w:t>
            </w:r>
            <w:r>
              <w:rPr>
                <w:rFonts w:ascii="Times New Roman"/>
                <w:w w:val="95"/>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-4,303,7</w:t>
            </w:r>
          </w:p>
          <w:p>
            <w:pPr>
              <w:pStyle w:val="TableParagraph"/>
              <w:spacing w:line="240" w:lineRule="auto" w:before="102"/>
              <w:ind w:left="244" w:right="0"/>
              <w:jc w:val="left"/>
              <w:rPr>
                <w:rFonts w:ascii="Times New Roman" w:hAnsi="Times New Roman" w:cs="Times New Roman" w:eastAsia="Times New Roman" w:hint="default"/>
                <w:sz w:val="18"/>
                <w:szCs w:val="18"/>
              </w:rPr>
            </w:pPr>
            <w:r>
              <w:rPr>
                <w:rFonts w:ascii="Times New Roman"/>
                <w:sz w:val="18"/>
              </w:rPr>
              <w:t>42.11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-10,286,</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636.20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-10,286,6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36.20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57,610,1</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555,791,3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22.20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13,356,47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7.30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93,271,</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659.43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720,029,6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08.93</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0"/>
      <w:bookmarkEnd w:id="160"/>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2" w:right="184" w:hanging="360"/>
        <w:jc w:val="left"/>
      </w:pPr>
      <w:r>
        <w:rPr>
          <w:rFonts w:ascii="宋体" w:hAnsi="宋体" w:cs="宋体" w:eastAsia="宋体" w:hint="default"/>
          <w:b/>
          <w:bCs/>
        </w:rPr>
        <w:t>(</w:t>
      </w:r>
      <w:r>
        <w:rPr>
          <w:rFonts w:ascii="宋体" w:hAnsi="宋体" w:cs="宋体" w:eastAsia="宋体" w:hint="default"/>
          <w:b/>
          <w:bCs/>
        </w:rPr>
        <w:t>一</w:t>
      </w:r>
      <w:r>
        <w:rPr>
          <w:rFonts w:ascii="宋体" w:hAnsi="宋体" w:cs="宋体" w:eastAsia="宋体" w:hint="default"/>
          <w:b/>
          <w:bCs/>
        </w:rPr>
        <w:t>)</w:t>
      </w:r>
      <w:r>
        <w:rPr>
          <w:rFonts w:ascii="宋体" w:hAnsi="宋体" w:cs="宋体" w:eastAsia="宋体" w:hint="default"/>
          <w:b/>
          <w:bCs/>
        </w:rPr>
        <w:t>有限公司基本情况</w:t>
      </w:r>
      <w:r>
        <w:rPr>
          <w:rFonts w:ascii="宋体" w:hAnsi="宋体" w:cs="宋体" w:eastAsia="宋体" w:hint="default"/>
          <w:b/>
          <w:bCs/>
          <w:w w:val="99"/>
        </w:rPr>
        <w:t> </w:t>
      </w:r>
      <w:r>
        <w:rPr/>
        <w:t>北京东方通科技发展有限责任公司（以下简称</w:t>
      </w:r>
      <w:r>
        <w:rPr>
          <w:rFonts w:ascii="宋体" w:hAnsi="宋体" w:cs="宋体" w:eastAsia="宋体" w:hint="default"/>
        </w:rPr>
        <w:t>“</w:t>
      </w:r>
      <w:r>
        <w:rPr/>
        <w:t>本公司</w:t>
      </w:r>
      <w:r>
        <w:rPr>
          <w:rFonts w:ascii="宋体" w:hAnsi="宋体" w:cs="宋体" w:eastAsia="宋体" w:hint="default"/>
        </w:rPr>
        <w:t>”</w:t>
      </w:r>
      <w:r>
        <w:rPr/>
        <w:t>或</w:t>
      </w:r>
      <w:r>
        <w:rPr>
          <w:rFonts w:ascii="宋体" w:hAnsi="宋体" w:cs="宋体" w:eastAsia="宋体" w:hint="default"/>
        </w:rPr>
        <w:t>“</w:t>
      </w:r>
      <w:r>
        <w:rPr/>
        <w:t>公司</w:t>
      </w:r>
      <w:r>
        <w:rPr>
          <w:rFonts w:ascii="宋体" w:hAnsi="宋体" w:cs="宋体" w:eastAsia="宋体" w:hint="default"/>
        </w:rPr>
        <w:t>”</w:t>
      </w:r>
      <w:r>
        <w:rPr/>
        <w:t>）成立于</w:t>
      </w:r>
      <w:r>
        <w:rPr>
          <w:rFonts w:ascii="宋体" w:hAnsi="宋体" w:cs="宋体" w:eastAsia="宋体" w:hint="default"/>
        </w:rPr>
        <w:t>1997</w:t>
      </w:r>
      <w:r>
        <w:rPr/>
        <w:t>年</w:t>
      </w:r>
      <w:r>
        <w:rPr>
          <w:rFonts w:ascii="宋体" w:hAnsi="宋体" w:cs="宋体" w:eastAsia="宋体" w:hint="default"/>
        </w:rPr>
        <w:t>8</w:t>
      </w:r>
      <w:r>
        <w:rPr/>
        <w:t>月</w:t>
      </w:r>
      <w:r>
        <w:rPr>
          <w:rFonts w:ascii="宋体" w:hAnsi="宋体" w:cs="宋体" w:eastAsia="宋体" w:hint="default"/>
        </w:rPr>
        <w:t>11</w:t>
      </w:r>
      <w:r>
        <w:rPr/>
        <w:t>日，由张齐春、牛合庆、朱</w:t>
      </w:r>
    </w:p>
    <w:p>
      <w:pPr>
        <w:pStyle w:val="BodyText"/>
        <w:spacing w:line="316" w:lineRule="auto" w:before="18"/>
        <w:ind w:right="184"/>
        <w:jc w:val="left"/>
      </w:pPr>
      <w:r>
        <w:rPr/>
        <w:t>律玮、孙亚明等十一位自然人股东出资设立，注册资本人民币</w:t>
      </w:r>
      <w:r>
        <w:rPr>
          <w:rFonts w:ascii="宋体" w:hAnsi="宋体" w:cs="宋体" w:eastAsia="宋体" w:hint="default"/>
        </w:rPr>
        <w:t>50</w:t>
      </w:r>
      <w:r>
        <w:rPr/>
        <w:t>万元业经北京中威审计事务所集团以中审验（</w:t>
      </w:r>
      <w:r>
        <w:rPr>
          <w:rFonts w:ascii="宋体" w:hAnsi="宋体" w:cs="宋体" w:eastAsia="宋体" w:hint="default"/>
        </w:rPr>
        <w:t>97</w:t>
      </w:r>
      <w:r>
        <w:rPr/>
        <w:t>）字第</w:t>
      </w:r>
      <w:r>
        <w:rPr>
          <w:rFonts w:ascii="宋体" w:hAnsi="宋体" w:cs="宋体" w:eastAsia="宋体" w:hint="default"/>
        </w:rPr>
        <w:t>106</w:t>
      </w:r>
      <w:r>
        <w:rPr>
          <w:rFonts w:ascii="宋体" w:hAnsi="宋体" w:cs="宋体" w:eastAsia="宋体" w:hint="default"/>
          <w:spacing w:val="-84"/>
        </w:rPr>
        <w:t> </w:t>
      </w:r>
      <w:r>
        <w:rPr>
          <w:rFonts w:ascii="宋体" w:hAnsi="宋体" w:cs="宋体" w:eastAsia="宋体" w:hint="default"/>
          <w:spacing w:val="-84"/>
        </w:rPr>
      </w:r>
      <w:r>
        <w:rPr/>
        <w:t>号验资报告予以验证，并于</w:t>
      </w:r>
      <w:r>
        <w:rPr>
          <w:rFonts w:ascii="宋体" w:hAnsi="宋体" w:cs="宋体" w:eastAsia="宋体" w:hint="default"/>
        </w:rPr>
        <w:t>1997</w:t>
      </w:r>
      <w:r>
        <w:rPr/>
        <w:t>年</w:t>
      </w:r>
      <w:r>
        <w:rPr>
          <w:rFonts w:ascii="宋体" w:hAnsi="宋体" w:cs="宋体" w:eastAsia="宋体" w:hint="default"/>
        </w:rPr>
        <w:t>8</w:t>
      </w:r>
      <w:r>
        <w:rPr/>
        <w:t>月</w:t>
      </w:r>
      <w:r>
        <w:rPr>
          <w:rFonts w:ascii="宋体" w:hAnsi="宋体" w:cs="宋体" w:eastAsia="宋体" w:hint="default"/>
        </w:rPr>
        <w:t>11</w:t>
      </w:r>
      <w:r>
        <w:rPr/>
        <w:t>日在北京市工商行政管理局领取了</w:t>
      </w:r>
      <w:r>
        <w:rPr>
          <w:rFonts w:ascii="宋体" w:hAnsi="宋体" w:cs="宋体" w:eastAsia="宋体" w:hint="default"/>
        </w:rPr>
        <w:t>06321898</w:t>
      </w:r>
      <w:r>
        <w:rPr/>
        <w:t>号企业法人营业执照。</w:t>
      </w:r>
    </w:p>
    <w:p>
      <w:pPr>
        <w:pStyle w:val="BodyText"/>
        <w:spacing w:line="316" w:lineRule="auto" w:before="79"/>
        <w:ind w:right="0" w:hanging="1"/>
        <w:jc w:val="left"/>
      </w:pPr>
      <w:r>
        <w:rPr>
          <w:rFonts w:ascii="宋体" w:hAnsi="宋体" w:cs="宋体" w:eastAsia="宋体" w:hint="default"/>
          <w:spacing w:val="-2"/>
        </w:rPr>
        <w:t>2000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8</w:t>
      </w:r>
      <w:r>
        <w:rPr>
          <w:spacing w:val="-2"/>
        </w:rPr>
        <w:t>日，本公司股东会通过决议，同意股东袁卫将其持有的</w:t>
      </w:r>
      <w:r>
        <w:rPr>
          <w:rFonts w:ascii="宋体" w:hAnsi="宋体" w:cs="宋体" w:eastAsia="宋体" w:hint="default"/>
          <w:spacing w:val="-2"/>
        </w:rPr>
        <w:t>2.50%</w:t>
      </w:r>
      <w:r>
        <w:rPr>
          <w:spacing w:val="-2"/>
        </w:rPr>
        <w:t>股权、股东蒋芳方将其持有的</w:t>
      </w:r>
      <w:r>
        <w:rPr>
          <w:rFonts w:ascii="宋体" w:hAnsi="宋体" w:cs="宋体" w:eastAsia="宋体" w:hint="default"/>
          <w:spacing w:val="-2"/>
        </w:rPr>
        <w:t>1.68%</w:t>
      </w:r>
      <w:r>
        <w:rPr>
          <w:spacing w:val="-2"/>
        </w:rPr>
        <w:t>股权转让给张齐</w:t>
      </w:r>
      <w:r>
        <w:rPr>
          <w:spacing w:val="-55"/>
        </w:rPr>
        <w:t> </w:t>
      </w:r>
      <w:r>
        <w:rPr>
          <w:spacing w:val="-55"/>
        </w:rPr>
      </w:r>
      <w:r>
        <w:rPr/>
        <w:t>春。上述股权变更已于</w:t>
      </w:r>
      <w:r>
        <w:rPr>
          <w:rFonts w:ascii="宋体" w:hAnsi="宋体" w:cs="宋体" w:eastAsia="宋体" w:hint="default"/>
        </w:rPr>
        <w:t>2000</w:t>
      </w:r>
      <w:r>
        <w:rPr/>
        <w:t>年</w:t>
      </w:r>
      <w:r>
        <w:rPr>
          <w:rFonts w:ascii="宋体" w:hAnsi="宋体" w:cs="宋体" w:eastAsia="宋体" w:hint="default"/>
        </w:rPr>
        <w:t>9</w:t>
      </w:r>
      <w:r>
        <w:rPr/>
        <w:t>月</w:t>
      </w:r>
      <w:r>
        <w:rPr>
          <w:rFonts w:ascii="宋体" w:hAnsi="宋体" w:cs="宋体" w:eastAsia="宋体" w:hint="default"/>
        </w:rPr>
        <w:t>11</w:t>
      </w:r>
      <w:r>
        <w:rPr/>
        <w:t>日在工商行政管理部门办理了变更登记手续。</w:t>
      </w:r>
    </w:p>
    <w:p>
      <w:pPr>
        <w:pStyle w:val="BodyText"/>
        <w:spacing w:line="316" w:lineRule="auto" w:before="18"/>
        <w:ind w:right="91" w:firstLine="360"/>
        <w:jc w:val="left"/>
      </w:pPr>
      <w:r>
        <w:rPr>
          <w:rFonts w:ascii="宋体" w:hAnsi="宋体" w:cs="宋体" w:eastAsia="宋体" w:hint="default"/>
          <w:spacing w:val="-3"/>
        </w:rPr>
        <w:t>2000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12</w:t>
      </w:r>
      <w:r>
        <w:rPr>
          <w:spacing w:val="-3"/>
        </w:rPr>
        <w:t>日，本公司股东会通过决议，同意</w:t>
      </w:r>
      <w:r>
        <w:rPr>
          <w:rFonts w:ascii="宋体" w:hAnsi="宋体" w:cs="宋体" w:eastAsia="宋体" w:hint="default"/>
          <w:spacing w:val="-3"/>
        </w:rPr>
        <w:t>9</w:t>
      </w:r>
      <w:r>
        <w:rPr>
          <w:spacing w:val="-3"/>
        </w:rPr>
        <w:t>位自然人股东将其持有的总计</w:t>
      </w:r>
      <w:r>
        <w:rPr>
          <w:rFonts w:ascii="宋体" w:hAnsi="宋体" w:cs="宋体" w:eastAsia="宋体" w:hint="default"/>
          <w:spacing w:val="-3"/>
        </w:rPr>
        <w:t>15%</w:t>
      </w:r>
      <w:r>
        <w:rPr>
          <w:spacing w:val="-3"/>
        </w:rPr>
        <w:t>的股权转让给上海涌金实业有限公司，</w:t>
      </w:r>
      <w:r>
        <w:rPr/>
        <w:t> 上述股权变更已于</w:t>
      </w:r>
      <w:r>
        <w:rPr>
          <w:rFonts w:ascii="宋体" w:hAnsi="宋体" w:cs="宋体" w:eastAsia="宋体" w:hint="default"/>
        </w:rPr>
        <w:t>2001</w:t>
      </w:r>
      <w:r>
        <w:rPr/>
        <w:t>年</w:t>
      </w:r>
      <w:r>
        <w:rPr>
          <w:rFonts w:ascii="宋体" w:hAnsi="宋体" w:cs="宋体" w:eastAsia="宋体" w:hint="default"/>
        </w:rPr>
        <w:t>1</w:t>
      </w:r>
      <w:r>
        <w:rPr/>
        <w:t>月</w:t>
      </w:r>
      <w:r>
        <w:rPr>
          <w:rFonts w:ascii="宋体" w:hAnsi="宋体" w:cs="宋体" w:eastAsia="宋体" w:hint="default"/>
        </w:rPr>
        <w:t>15</w:t>
      </w:r>
      <w:r>
        <w:rPr/>
        <w:t>日在工商行政管理部门办理了变更登记手续。</w:t>
      </w:r>
    </w:p>
    <w:p>
      <w:pPr>
        <w:pStyle w:val="BodyText"/>
        <w:spacing w:line="316" w:lineRule="auto" w:before="79"/>
        <w:ind w:right="184" w:firstLine="360"/>
        <w:jc w:val="left"/>
      </w:pPr>
      <w:r>
        <w:rPr>
          <w:rFonts w:ascii="宋体" w:hAnsi="宋体" w:cs="宋体" w:eastAsia="宋体" w:hint="default"/>
        </w:rPr>
        <w:t>2001</w:t>
      </w:r>
      <w:r>
        <w:rPr/>
        <w:t>年</w:t>
      </w:r>
      <w:r>
        <w:rPr>
          <w:rFonts w:ascii="宋体" w:hAnsi="宋体" w:cs="宋体" w:eastAsia="宋体" w:hint="default"/>
        </w:rPr>
        <w:t>3</w:t>
      </w:r>
      <w:r>
        <w:rPr/>
        <w:t>月</w:t>
      </w:r>
      <w:r>
        <w:rPr>
          <w:rFonts w:ascii="宋体" w:hAnsi="宋体" w:cs="宋体" w:eastAsia="宋体" w:hint="default"/>
        </w:rPr>
        <w:t>22</w:t>
      </w:r>
      <w:r>
        <w:rPr/>
        <w:t>日，本公司股东会通过决议，同意吸收合并深圳东方通科技发展有限责任公司。鉴于深圳东方通科技发展 </w:t>
      </w:r>
      <w:r>
        <w:rPr>
          <w:spacing w:val="-2"/>
        </w:rPr>
        <w:t>有限责任公司与本公司有相同的股权结构，同意将其净资产中的</w:t>
      </w:r>
      <w:r>
        <w:rPr>
          <w:rFonts w:ascii="宋体" w:hAnsi="宋体" w:cs="宋体" w:eastAsia="宋体" w:hint="default"/>
          <w:spacing w:val="-2"/>
        </w:rPr>
        <w:t>25</w:t>
      </w:r>
      <w:r>
        <w:rPr>
          <w:spacing w:val="-2"/>
        </w:rPr>
        <w:t>万元对本公司原股东进行同比例增资，余额增加本公司资</w:t>
      </w:r>
    </w:p>
    <w:p>
      <w:pPr>
        <w:spacing w:after="0" w:line="316" w:lineRule="auto"/>
        <w:jc w:val="left"/>
        <w:sectPr>
          <w:footerReference w:type="default" r:id="rId37"/>
          <w:pgSz w:w="11910" w:h="16840"/>
          <w:pgMar w:footer="982" w:header="745" w:top="1060" w:bottom="1180" w:left="980" w:right="940"/>
          <w:pgNumType w:start="120"/>
        </w:sectPr>
      </w:pPr>
    </w:p>
    <w:p>
      <w:pPr>
        <w:spacing w:line="240" w:lineRule="auto" w:before="9"/>
        <w:rPr>
          <w:rFonts w:ascii="宋体" w:hAnsi="宋体" w:cs="宋体" w:eastAsia="宋体" w:hint="default"/>
          <w:sz w:val="25"/>
          <w:szCs w:val="25"/>
        </w:rPr>
      </w:pPr>
    </w:p>
    <w:p>
      <w:pPr>
        <w:pStyle w:val="BodyText"/>
        <w:spacing w:line="316" w:lineRule="auto" w:before="44"/>
        <w:ind w:right="190" w:hanging="1"/>
        <w:jc w:val="both"/>
      </w:pPr>
      <w:r>
        <w:rPr/>
        <w:t>本公积，本次增资后公司注册资本变更为</w:t>
      </w:r>
      <w:r>
        <w:rPr>
          <w:rFonts w:ascii="宋体" w:hAnsi="宋体" w:cs="宋体" w:eastAsia="宋体" w:hint="default"/>
        </w:rPr>
        <w:t>75</w:t>
      </w:r>
      <w:r>
        <w:rPr/>
        <w:t>万元，股权比例保持不变。上述增资业经北京天华会计师事务所于</w:t>
      </w:r>
      <w:r>
        <w:rPr>
          <w:rFonts w:ascii="宋体" w:hAnsi="宋体" w:cs="宋体" w:eastAsia="宋体" w:hint="default"/>
        </w:rPr>
        <w:t>2001</w:t>
      </w:r>
      <w:r>
        <w:rPr/>
        <w:t>年</w:t>
      </w:r>
      <w:r>
        <w:rPr>
          <w:rFonts w:ascii="宋体" w:hAnsi="宋体" w:cs="宋体" w:eastAsia="宋体" w:hint="default"/>
        </w:rPr>
        <w:t>4</w:t>
      </w:r>
      <w:r>
        <w:rPr/>
        <w:t>月</w:t>
      </w:r>
      <w:r>
        <w:rPr>
          <w:rFonts w:ascii="宋体" w:hAnsi="宋体" w:cs="宋体" w:eastAsia="宋体" w:hint="default"/>
        </w:rPr>
        <w:t>2</w:t>
      </w:r>
      <w:r>
        <w:rPr>
          <w:rFonts w:ascii="宋体" w:hAnsi="宋体" w:cs="宋体" w:eastAsia="宋体" w:hint="default"/>
          <w:spacing w:val="-10"/>
        </w:rPr>
        <w:t> </w:t>
      </w:r>
      <w:r>
        <w:rPr>
          <w:spacing w:val="-2"/>
        </w:rPr>
        <w:t>日以天华验字（</w:t>
      </w:r>
      <w:r>
        <w:rPr>
          <w:rFonts w:ascii="宋体" w:hAnsi="宋体" w:cs="宋体" w:eastAsia="宋体" w:hint="default"/>
          <w:spacing w:val="-2"/>
        </w:rPr>
        <w:t>2001</w:t>
      </w:r>
      <w:r>
        <w:rPr>
          <w:spacing w:val="-2"/>
        </w:rPr>
        <w:t>）第</w:t>
      </w:r>
      <w:r>
        <w:rPr>
          <w:rFonts w:ascii="宋体" w:hAnsi="宋体" w:cs="宋体" w:eastAsia="宋体" w:hint="default"/>
          <w:spacing w:val="-2"/>
        </w:rPr>
        <w:t>345</w:t>
      </w:r>
      <w:r>
        <w:rPr>
          <w:spacing w:val="-2"/>
        </w:rPr>
        <w:t>号验资报告予以验证，并于</w:t>
      </w:r>
      <w:r>
        <w:rPr>
          <w:rFonts w:ascii="宋体" w:hAnsi="宋体" w:cs="宋体" w:eastAsia="宋体" w:hint="default"/>
          <w:spacing w:val="-2"/>
        </w:rPr>
        <w:t>2001</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11</w:t>
      </w:r>
      <w:r>
        <w:rPr>
          <w:spacing w:val="-2"/>
        </w:rPr>
        <w:t>日在北京市工商行政管理局办理了变更登记手续，换领</w:t>
      </w:r>
      <w:r>
        <w:rPr>
          <w:spacing w:val="-56"/>
        </w:rPr>
        <w:t> </w:t>
      </w:r>
      <w:r>
        <w:rPr>
          <w:spacing w:val="-56"/>
        </w:rPr>
      </w:r>
      <w:r>
        <w:rPr/>
        <w:t>了</w:t>
      </w:r>
      <w:r>
        <w:rPr>
          <w:rFonts w:ascii="宋体" w:hAnsi="宋体" w:cs="宋体" w:eastAsia="宋体" w:hint="default"/>
        </w:rPr>
        <w:t>1100002321898</w:t>
      </w:r>
      <w:r>
        <w:rPr/>
        <w:t>号企业法人营业执照。</w:t>
      </w:r>
    </w:p>
    <w:p>
      <w:pPr>
        <w:pStyle w:val="BodyText"/>
        <w:spacing w:line="240" w:lineRule="auto" w:before="79"/>
        <w:ind w:left="512" w:right="0"/>
        <w:jc w:val="left"/>
      </w:pPr>
      <w:r>
        <w:rPr>
          <w:rFonts w:ascii="宋体" w:hAnsi="宋体" w:cs="宋体" w:eastAsia="宋体" w:hint="default"/>
          <w:spacing w:val="3"/>
        </w:rPr>
        <w:t>2002</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28</w:t>
      </w:r>
      <w:r>
        <w:rPr>
          <w:spacing w:val="3"/>
        </w:rPr>
        <w:t>日，本公司股东会通过决议，同意以未分配利润和资本公积按全体股东原持股比例转增注册资本人民币</w:t>
      </w:r>
      <w:r>
        <w:rPr/>
      </w:r>
    </w:p>
    <w:p>
      <w:pPr>
        <w:pStyle w:val="BodyText"/>
        <w:spacing w:line="316" w:lineRule="auto" w:before="76"/>
        <w:ind w:right="192"/>
        <w:jc w:val="both"/>
      </w:pPr>
      <w:r>
        <w:rPr>
          <w:rFonts w:ascii="宋体" w:hAnsi="宋体" w:cs="宋体" w:eastAsia="宋体" w:hint="default"/>
        </w:rPr>
        <w:t>1,125</w:t>
      </w:r>
      <w:r>
        <w:rPr/>
        <w:t>万元，增资后公司注册资本变更为人民币</w:t>
      </w:r>
      <w:r>
        <w:rPr>
          <w:rFonts w:ascii="宋体" w:hAnsi="宋体" w:cs="宋体" w:eastAsia="宋体" w:hint="default"/>
        </w:rPr>
        <w:t>1,200</w:t>
      </w:r>
      <w:r>
        <w:rPr/>
        <w:t>万元。是次增资业经北京天华会计师事务所于</w:t>
      </w:r>
      <w:r>
        <w:rPr>
          <w:rFonts w:ascii="宋体" w:hAnsi="宋体" w:cs="宋体" w:eastAsia="宋体" w:hint="default"/>
        </w:rPr>
        <w:t>2002</w:t>
      </w:r>
      <w:r>
        <w:rPr/>
        <w:t>年</w:t>
      </w:r>
      <w:r>
        <w:rPr>
          <w:rFonts w:ascii="宋体" w:hAnsi="宋体" w:cs="宋体" w:eastAsia="宋体" w:hint="default"/>
        </w:rPr>
        <w:t>1</w:t>
      </w:r>
      <w:r>
        <w:rPr/>
        <w:t>月</w:t>
      </w:r>
      <w:r>
        <w:rPr>
          <w:rFonts w:ascii="宋体" w:hAnsi="宋体" w:cs="宋体" w:eastAsia="宋体" w:hint="default"/>
        </w:rPr>
        <w:t>30</w:t>
      </w:r>
      <w:r>
        <w:rPr/>
        <w:t>日出具天华 </w:t>
      </w:r>
      <w:r>
        <w:rPr>
          <w:spacing w:val="10"/>
        </w:rPr>
        <w:t>验字（</w:t>
      </w:r>
      <w:r>
        <w:rPr>
          <w:rFonts w:ascii="宋体" w:hAnsi="宋体" w:cs="宋体" w:eastAsia="宋体" w:hint="default"/>
          <w:spacing w:val="10"/>
        </w:rPr>
        <w:t>2002</w:t>
      </w:r>
      <w:r>
        <w:rPr>
          <w:spacing w:val="10"/>
        </w:rPr>
        <w:t>）第</w:t>
      </w:r>
      <w:r>
        <w:rPr>
          <w:rFonts w:ascii="宋体" w:hAnsi="宋体" w:cs="宋体" w:eastAsia="宋体" w:hint="default"/>
          <w:spacing w:val="10"/>
        </w:rPr>
        <w:t>001</w:t>
      </w:r>
      <w:r>
        <w:rPr>
          <w:spacing w:val="10"/>
        </w:rPr>
        <w:t>号验资报告予以验证，并于</w:t>
      </w:r>
      <w:r>
        <w:rPr>
          <w:rFonts w:ascii="宋体" w:hAnsi="宋体" w:cs="宋体" w:eastAsia="宋体" w:hint="default"/>
          <w:spacing w:val="10"/>
        </w:rPr>
        <w:t>2002</w:t>
      </w:r>
      <w:r>
        <w:rPr>
          <w:spacing w:val="10"/>
        </w:rPr>
        <w:t>年</w:t>
      </w:r>
      <w:r>
        <w:rPr>
          <w:rFonts w:ascii="宋体" w:hAnsi="宋体" w:cs="宋体" w:eastAsia="宋体" w:hint="default"/>
          <w:spacing w:val="10"/>
        </w:rPr>
        <w:t>3</w:t>
      </w:r>
      <w:r>
        <w:rPr>
          <w:spacing w:val="10"/>
        </w:rPr>
        <w:t>月</w:t>
      </w:r>
      <w:r>
        <w:rPr>
          <w:rFonts w:ascii="宋体" w:hAnsi="宋体" w:cs="宋体" w:eastAsia="宋体" w:hint="default"/>
          <w:spacing w:val="10"/>
        </w:rPr>
        <w:t>11</w:t>
      </w:r>
      <w:r>
        <w:rPr>
          <w:spacing w:val="10"/>
        </w:rPr>
        <w:t>在北京市工商行政管理局办理了变更登记手续，换领了</w:t>
      </w:r>
      <w:r>
        <w:rPr>
          <w:spacing w:val="-39"/>
        </w:rPr>
        <w:t> </w:t>
      </w:r>
      <w:r>
        <w:rPr>
          <w:spacing w:val="-39"/>
        </w:rPr>
      </w:r>
      <w:r>
        <w:rPr>
          <w:rFonts w:ascii="宋体" w:hAnsi="宋体" w:cs="宋体" w:eastAsia="宋体" w:hint="default"/>
        </w:rPr>
        <w:t>1101062321898</w:t>
      </w:r>
      <w:r>
        <w:rPr/>
        <w:t>号企业法人营业执照。</w:t>
      </w:r>
    </w:p>
    <w:p>
      <w:pPr>
        <w:pStyle w:val="BodyText"/>
        <w:spacing w:line="316" w:lineRule="auto" w:before="79"/>
        <w:ind w:left="153" w:right="98" w:firstLine="360"/>
        <w:jc w:val="left"/>
      </w:pPr>
      <w:r>
        <w:rPr>
          <w:rFonts w:ascii="宋体" w:hAnsi="宋体" w:cs="宋体" w:eastAsia="宋体" w:hint="default"/>
        </w:rPr>
        <w:t>2002</w:t>
      </w:r>
      <w:r>
        <w:rPr/>
        <w:t>年</w:t>
      </w:r>
      <w:r>
        <w:rPr>
          <w:rFonts w:ascii="宋体" w:hAnsi="宋体" w:cs="宋体" w:eastAsia="宋体" w:hint="default"/>
        </w:rPr>
        <w:t>12</w:t>
      </w:r>
      <w:r>
        <w:rPr/>
        <w:t>月</w:t>
      </w:r>
      <w:r>
        <w:rPr>
          <w:rFonts w:ascii="宋体" w:hAnsi="宋体" w:cs="宋体" w:eastAsia="宋体" w:hint="default"/>
        </w:rPr>
        <w:t>27</w:t>
      </w:r>
      <w:r>
        <w:rPr/>
        <w:t>日，本公司第三届四次股东会通过决议，同意申请新增注册资本人民币</w:t>
      </w:r>
      <w:r>
        <w:rPr>
          <w:rFonts w:ascii="宋体" w:hAnsi="宋体" w:cs="宋体" w:eastAsia="宋体" w:hint="default"/>
        </w:rPr>
        <w:t>210</w:t>
      </w:r>
      <w:r>
        <w:rPr/>
        <w:t>万元，由北京盈富泰克投资发 </w:t>
      </w:r>
      <w:r>
        <w:rPr>
          <w:spacing w:val="-2"/>
        </w:rPr>
        <w:t>展有限公司（后名称变更为盈富泰克创业投资有限公司）和北京市新技术产业发展服务中心（后名称变更为中关村高科技产</w:t>
      </w:r>
      <w:r>
        <w:rPr>
          <w:spacing w:val="-63"/>
        </w:rPr>
        <w:t> </w:t>
      </w:r>
      <w:r>
        <w:rPr>
          <w:spacing w:val="-63"/>
        </w:rPr>
      </w:r>
      <w:r>
        <w:rPr>
          <w:spacing w:val="-2"/>
        </w:rPr>
        <w:t>业促进中心）以货币资金予以增资，其中北京盈富泰克投资发展有限公司出资</w:t>
      </w:r>
      <w:r>
        <w:rPr>
          <w:rFonts w:ascii="宋体" w:hAnsi="宋体" w:cs="宋体" w:eastAsia="宋体" w:hint="default"/>
          <w:spacing w:val="-2"/>
        </w:rPr>
        <w:t>1,200</w:t>
      </w:r>
      <w:r>
        <w:rPr>
          <w:spacing w:val="-2"/>
        </w:rPr>
        <w:t>万元，占增资后注册资本比例为</w:t>
      </w:r>
      <w:r>
        <w:rPr>
          <w:rFonts w:ascii="宋体" w:hAnsi="宋体" w:cs="宋体" w:eastAsia="宋体" w:hint="default"/>
          <w:spacing w:val="-2"/>
        </w:rPr>
        <w:t>11.91%</w:t>
      </w:r>
      <w:r>
        <w:rPr>
          <w:spacing w:val="-2"/>
        </w:rPr>
        <w:t>；</w:t>
      </w:r>
      <w:r>
        <w:rPr>
          <w:spacing w:val="-54"/>
        </w:rPr>
        <w:t> </w:t>
      </w:r>
      <w:r>
        <w:rPr>
          <w:spacing w:val="-2"/>
        </w:rPr>
        <w:t>北京市新技术产业发展服务中心出资</w:t>
      </w:r>
      <w:r>
        <w:rPr>
          <w:rFonts w:ascii="宋体" w:hAnsi="宋体" w:cs="宋体" w:eastAsia="宋体" w:hint="default"/>
          <w:spacing w:val="-2"/>
        </w:rPr>
        <w:t>300</w:t>
      </w:r>
      <w:r>
        <w:rPr>
          <w:spacing w:val="-2"/>
        </w:rPr>
        <w:t>万元，占增资后注册资本比例为</w:t>
      </w:r>
      <w:r>
        <w:rPr>
          <w:rFonts w:ascii="宋体" w:hAnsi="宋体" w:cs="宋体" w:eastAsia="宋体" w:hint="default"/>
          <w:spacing w:val="-2"/>
        </w:rPr>
        <w:t>2.98%</w:t>
      </w:r>
      <w:r>
        <w:rPr>
          <w:spacing w:val="-2"/>
        </w:rPr>
        <w:t>，实际出资额溢价部分均列入资本公积金，增</w:t>
      </w:r>
      <w:r>
        <w:rPr>
          <w:spacing w:val="-62"/>
        </w:rPr>
        <w:t> </w:t>
      </w:r>
      <w:r>
        <w:rPr>
          <w:spacing w:val="-62"/>
        </w:rPr>
      </w:r>
      <w:r>
        <w:rPr>
          <w:spacing w:val="-2"/>
        </w:rPr>
        <w:t>资后本公司注册资本变更为人民币</w:t>
      </w:r>
      <w:r>
        <w:rPr>
          <w:rFonts w:ascii="宋体" w:hAnsi="宋体" w:cs="宋体" w:eastAsia="宋体" w:hint="default"/>
          <w:spacing w:val="-2"/>
        </w:rPr>
        <w:t>1,410</w:t>
      </w:r>
      <w:r>
        <w:rPr>
          <w:spacing w:val="-2"/>
        </w:rPr>
        <w:t>万元。上述事项业经北京天华会计师事务所于</w:t>
      </w:r>
      <w:r>
        <w:rPr>
          <w:rFonts w:ascii="宋体" w:hAnsi="宋体" w:cs="宋体" w:eastAsia="宋体" w:hint="default"/>
          <w:spacing w:val="-2"/>
        </w:rPr>
        <w:t>2003</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31</w:t>
      </w:r>
      <w:r>
        <w:rPr>
          <w:spacing w:val="-2"/>
        </w:rPr>
        <w:t>日以天华验字（</w:t>
      </w:r>
      <w:r>
        <w:rPr>
          <w:rFonts w:ascii="宋体" w:hAnsi="宋体" w:cs="宋体" w:eastAsia="宋体" w:hint="default"/>
          <w:spacing w:val="-2"/>
        </w:rPr>
        <w:t>2003</w:t>
      </w:r>
      <w:r>
        <w:rPr>
          <w:spacing w:val="-2"/>
        </w:rPr>
        <w:t>）第</w:t>
      </w:r>
      <w:r>
        <w:rPr>
          <w:spacing w:val="-85"/>
        </w:rPr>
        <w:t> </w:t>
      </w:r>
      <w:r>
        <w:rPr>
          <w:rFonts w:ascii="宋体" w:hAnsi="宋体" w:cs="宋体" w:eastAsia="宋体" w:hint="default"/>
        </w:rPr>
        <w:t>113-02</w:t>
      </w:r>
      <w:r>
        <w:rPr/>
        <w:t>号验资报告予以验证，并于</w:t>
      </w:r>
      <w:r>
        <w:rPr>
          <w:rFonts w:ascii="宋体" w:hAnsi="宋体" w:cs="宋体" w:eastAsia="宋体" w:hint="default"/>
        </w:rPr>
        <w:t>2003</w:t>
      </w:r>
      <w:r>
        <w:rPr/>
        <w:t>年</w:t>
      </w:r>
      <w:r>
        <w:rPr>
          <w:rFonts w:ascii="宋体" w:hAnsi="宋体" w:cs="宋体" w:eastAsia="宋体" w:hint="default"/>
        </w:rPr>
        <w:t>8</w:t>
      </w:r>
      <w:r>
        <w:rPr/>
        <w:t>月</w:t>
      </w:r>
      <w:r>
        <w:rPr>
          <w:rFonts w:ascii="宋体" w:hAnsi="宋体" w:cs="宋体" w:eastAsia="宋体" w:hint="default"/>
        </w:rPr>
        <w:t>6</w:t>
      </w:r>
      <w:r>
        <w:rPr/>
        <w:t>在北京市工商行政管理局办理了变更登记手续，换领了</w:t>
      </w:r>
      <w:r>
        <w:rPr>
          <w:rFonts w:ascii="宋体" w:hAnsi="宋体" w:cs="宋体" w:eastAsia="宋体" w:hint="default"/>
        </w:rPr>
        <w:t>1101061321898</w:t>
      </w:r>
      <w:r>
        <w:rPr/>
        <w:t>号企业</w:t>
      </w:r>
      <w:r>
        <w:rPr>
          <w:spacing w:val="-3"/>
        </w:rPr>
        <w:t> </w:t>
      </w:r>
      <w:r>
        <w:rPr/>
        <w:t>法人营业执照。</w:t>
      </w:r>
    </w:p>
    <w:p>
      <w:pPr>
        <w:pStyle w:val="BodyText"/>
        <w:spacing w:line="316" w:lineRule="auto" w:before="79"/>
        <w:ind w:left="153" w:right="93" w:firstLine="360"/>
        <w:jc w:val="left"/>
      </w:pPr>
      <w:r>
        <w:rPr>
          <w:rFonts w:ascii="宋体" w:hAnsi="宋体" w:cs="宋体" w:eastAsia="宋体" w:hint="default"/>
        </w:rPr>
        <w:t>2006</w:t>
      </w:r>
      <w:r>
        <w:rPr/>
        <w:t>年</w:t>
      </w:r>
      <w:r>
        <w:rPr>
          <w:rFonts w:ascii="宋体" w:hAnsi="宋体" w:cs="宋体" w:eastAsia="宋体" w:hint="default"/>
        </w:rPr>
        <w:t>5</w:t>
      </w:r>
      <w:r>
        <w:rPr/>
        <w:t>月</w:t>
      </w:r>
      <w:r>
        <w:rPr>
          <w:rFonts w:ascii="宋体" w:hAnsi="宋体" w:cs="宋体" w:eastAsia="宋体" w:hint="default"/>
        </w:rPr>
        <w:t>25</w:t>
      </w:r>
      <w:r>
        <w:rPr/>
        <w:t>日，本公司第四届第二次股东会通过决议，同意九名自然人股东按比例将他们所持公司的股权转让给李青 春共计</w:t>
      </w:r>
      <w:r>
        <w:rPr>
          <w:rFonts w:ascii="宋体" w:hAnsi="宋体" w:cs="宋体" w:eastAsia="宋体" w:hint="default"/>
        </w:rPr>
        <w:t>30</w:t>
      </w:r>
      <w:r>
        <w:rPr/>
        <w:t>万元，转让给徐志东共计</w:t>
      </w:r>
      <w:r>
        <w:rPr>
          <w:rFonts w:ascii="宋体" w:hAnsi="宋体" w:cs="宋体" w:eastAsia="宋体" w:hint="default"/>
        </w:rPr>
        <w:t>12</w:t>
      </w:r>
      <w:r>
        <w:rPr/>
        <w:t>万元。同日，九名自然人股东分别与李青春、徐志东签订《转股协议》，约定李青春、 徐志东自协议签署日享有股东权利、承担股东义务。该股权转让于</w:t>
      </w:r>
      <w:r>
        <w:rPr>
          <w:rFonts w:ascii="宋体" w:hAnsi="宋体" w:cs="宋体" w:eastAsia="宋体" w:hint="default"/>
        </w:rPr>
        <w:t>2006</w:t>
      </w:r>
      <w:r>
        <w:rPr/>
        <w:t>年</w:t>
      </w:r>
      <w:r>
        <w:rPr>
          <w:rFonts w:ascii="宋体" w:hAnsi="宋体" w:cs="宋体" w:eastAsia="宋体" w:hint="default"/>
        </w:rPr>
        <w:t>10</w:t>
      </w:r>
      <w:r>
        <w:rPr/>
        <w:t>月</w:t>
      </w:r>
      <w:r>
        <w:rPr>
          <w:rFonts w:ascii="宋体" w:hAnsi="宋体" w:cs="宋体" w:eastAsia="宋体" w:hint="default"/>
        </w:rPr>
        <w:t>26</w:t>
      </w:r>
      <w:r>
        <w:rPr/>
        <w:t>日办理工商变更登记。</w:t>
      </w:r>
    </w:p>
    <w:p>
      <w:pPr>
        <w:pStyle w:val="BodyText"/>
        <w:spacing w:line="316" w:lineRule="auto" w:before="79"/>
        <w:ind w:left="153" w:right="190" w:firstLine="360"/>
        <w:jc w:val="both"/>
      </w:pPr>
      <w:r>
        <w:rPr>
          <w:rFonts w:ascii="宋体" w:hAnsi="宋体" w:cs="宋体" w:eastAsia="宋体" w:hint="default"/>
          <w:spacing w:val="-2"/>
        </w:rPr>
        <w:t>2009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24</w:t>
      </w:r>
      <w:r>
        <w:rPr>
          <w:spacing w:val="-2"/>
        </w:rPr>
        <w:t>日，本公司</w:t>
      </w:r>
      <w:r>
        <w:rPr>
          <w:rFonts w:ascii="宋体" w:hAnsi="宋体" w:cs="宋体" w:eastAsia="宋体" w:hint="default"/>
          <w:spacing w:val="-2"/>
        </w:rPr>
        <w:t>2009</w:t>
      </w:r>
      <w:r>
        <w:rPr>
          <w:spacing w:val="-2"/>
        </w:rPr>
        <w:t>年第三次、第四次股东会通过决议，同意涌金实业（集团）有限公司将其持有本公司股权</w:t>
      </w:r>
      <w:r>
        <w:rPr/>
        <w:t> </w:t>
      </w:r>
      <w:r>
        <w:rPr>
          <w:spacing w:val="-2"/>
        </w:rPr>
        <w:t>中的</w:t>
      </w:r>
      <w:r>
        <w:rPr>
          <w:rFonts w:ascii="宋体" w:hAnsi="宋体" w:cs="宋体" w:eastAsia="宋体" w:hint="default"/>
          <w:spacing w:val="-2"/>
        </w:rPr>
        <w:t>1.53%</w:t>
      </w:r>
      <w:r>
        <w:rPr>
          <w:spacing w:val="-2"/>
        </w:rPr>
        <w:t>、</w:t>
      </w:r>
      <w:r>
        <w:rPr>
          <w:rFonts w:ascii="宋体" w:hAnsi="宋体" w:cs="宋体" w:eastAsia="宋体" w:hint="default"/>
          <w:spacing w:val="-2"/>
        </w:rPr>
        <w:t>1.02%</w:t>
      </w:r>
      <w:r>
        <w:rPr>
          <w:spacing w:val="-2"/>
        </w:rPr>
        <w:t>分别转让给自然人刘亦君、李嘉，同时申请增加注册资本人民币</w:t>
      </w:r>
      <w:r>
        <w:rPr>
          <w:rFonts w:ascii="宋体" w:hAnsi="宋体" w:cs="宋体" w:eastAsia="宋体" w:hint="default"/>
          <w:spacing w:val="-2"/>
        </w:rPr>
        <w:t>183.30</w:t>
      </w:r>
      <w:r>
        <w:rPr>
          <w:spacing w:val="-2"/>
        </w:rPr>
        <w:t>万元，由东华软件股份公司以货币</w:t>
      </w:r>
      <w:r>
        <w:rPr>
          <w:spacing w:val="-55"/>
        </w:rPr>
        <w:t> </w:t>
      </w:r>
      <w:r>
        <w:rPr>
          <w:spacing w:val="-55"/>
        </w:rPr>
      </w:r>
      <w:r>
        <w:rPr/>
        <w:t>资金</w:t>
      </w:r>
      <w:r>
        <w:rPr>
          <w:rFonts w:ascii="宋体" w:hAnsi="宋体" w:cs="宋体" w:eastAsia="宋体" w:hint="default"/>
        </w:rPr>
        <w:t>2,860</w:t>
      </w:r>
      <w:r>
        <w:rPr/>
        <w:t>万元投入，其中</w:t>
      </w:r>
      <w:r>
        <w:rPr>
          <w:rFonts w:ascii="宋体" w:hAnsi="宋体" w:cs="宋体" w:eastAsia="宋体" w:hint="default"/>
        </w:rPr>
        <w:t>183.30</w:t>
      </w:r>
      <w:r>
        <w:rPr/>
        <w:t>万元作为实收资本，溢价部分</w:t>
      </w:r>
      <w:r>
        <w:rPr>
          <w:rFonts w:ascii="宋体" w:hAnsi="宋体" w:cs="宋体" w:eastAsia="宋体" w:hint="default"/>
        </w:rPr>
        <w:t>2,676.70</w:t>
      </w:r>
      <w:r>
        <w:rPr/>
        <w:t>万元计入资本公积金。此次变更后本公司注册资本 </w:t>
      </w:r>
      <w:r>
        <w:rPr>
          <w:spacing w:val="-2"/>
        </w:rPr>
        <w:t>为人民币</w:t>
      </w:r>
      <w:r>
        <w:rPr>
          <w:rFonts w:ascii="宋体" w:hAnsi="宋体" w:cs="宋体" w:eastAsia="宋体" w:hint="default"/>
          <w:spacing w:val="-2"/>
        </w:rPr>
        <w:t>1,593.30</w:t>
      </w:r>
      <w:r>
        <w:rPr>
          <w:spacing w:val="-2"/>
        </w:rPr>
        <w:t>万元，本次增资业经天健光华（北京）会计师事务所有限公司以天健光华验</w:t>
      </w:r>
      <w:r>
        <w:rPr>
          <w:rFonts w:ascii="宋体" w:hAnsi="宋体" w:cs="宋体" w:eastAsia="宋体" w:hint="default"/>
          <w:spacing w:val="-2"/>
        </w:rPr>
        <w:t>(2009)</w:t>
      </w:r>
      <w:r>
        <w:rPr>
          <w:spacing w:val="-2"/>
        </w:rPr>
        <w:t>综字第</w:t>
      </w:r>
      <w:r>
        <w:rPr>
          <w:rFonts w:ascii="宋体" w:hAnsi="宋体" w:cs="宋体" w:eastAsia="宋体" w:hint="default"/>
          <w:spacing w:val="-2"/>
        </w:rPr>
        <w:t>010038</w:t>
      </w:r>
      <w:r>
        <w:rPr>
          <w:spacing w:val="-2"/>
        </w:rPr>
        <w:t>号验资报</w:t>
      </w:r>
      <w:r>
        <w:rPr>
          <w:spacing w:val="-56"/>
        </w:rPr>
        <w:t> </w:t>
      </w:r>
      <w:r>
        <w:rPr>
          <w:spacing w:val="-56"/>
        </w:rPr>
      </w:r>
      <w:r>
        <w:rPr/>
        <w:t>告予以验证，并于</w:t>
      </w: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18</w:t>
      </w:r>
      <w:r>
        <w:rPr/>
        <w:t>日在北京市工商局丰台分局换领了变更后的营业执照。</w:t>
      </w:r>
    </w:p>
    <w:p>
      <w:pPr>
        <w:pStyle w:val="BodyText"/>
        <w:spacing w:line="316" w:lineRule="auto" w:before="79"/>
        <w:ind w:left="153" w:right="189" w:firstLine="360"/>
        <w:jc w:val="both"/>
      </w:pPr>
      <w:r>
        <w:rPr>
          <w:spacing w:val="-2"/>
        </w:rPr>
        <w:t>根据公司</w:t>
      </w:r>
      <w:r>
        <w:rPr>
          <w:rFonts w:ascii="宋体" w:hAnsi="宋体" w:cs="宋体" w:eastAsia="宋体" w:hint="default"/>
          <w:spacing w:val="-2"/>
        </w:rPr>
        <w:t>2009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20</w:t>
      </w:r>
      <w:r>
        <w:rPr>
          <w:spacing w:val="-2"/>
        </w:rPr>
        <w:t>日第五次、第六次股东会决议，股东张齐春、牛合庆、朱律玮、孙亚明、朱海东、李绪兰、佟南</w:t>
      </w:r>
      <w:r>
        <w:rPr/>
        <w:t> </w:t>
      </w:r>
      <w:r>
        <w:rPr>
          <w:spacing w:val="-2"/>
        </w:rPr>
        <w:t>燕、张杰分别将其持有的本公司部分股权转让给刘川等</w:t>
      </w:r>
      <w:r>
        <w:rPr>
          <w:rFonts w:ascii="宋体" w:hAnsi="宋体" w:cs="宋体" w:eastAsia="宋体" w:hint="default"/>
          <w:spacing w:val="-2"/>
        </w:rPr>
        <w:t>33</w:t>
      </w:r>
      <w:r>
        <w:rPr>
          <w:spacing w:val="-2"/>
        </w:rPr>
        <w:t>位自然人，公司于</w:t>
      </w:r>
      <w:r>
        <w:rPr>
          <w:rFonts w:ascii="宋体" w:hAnsi="宋体" w:cs="宋体" w:eastAsia="宋体" w:hint="default"/>
          <w:spacing w:val="-2"/>
        </w:rPr>
        <w:t>2009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日在北京市工商局丰台分局办理了</w:t>
      </w:r>
      <w:r>
        <w:rPr>
          <w:spacing w:val="-59"/>
        </w:rPr>
        <w:t> </w:t>
      </w:r>
      <w:r>
        <w:rPr/>
        <w:t>工商变更登记。</w:t>
      </w:r>
    </w:p>
    <w:p>
      <w:pPr>
        <w:pStyle w:val="BodyText"/>
        <w:spacing w:line="316" w:lineRule="auto" w:before="79"/>
        <w:ind w:left="153" w:right="190" w:firstLine="360"/>
        <w:jc w:val="both"/>
      </w:pP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22</w:t>
      </w:r>
      <w:r>
        <w:rPr/>
        <w:t>日，公司第七次股东会决议，同意中关村高科技产业促进中心将其持有本公司的</w:t>
      </w:r>
      <w:r>
        <w:rPr>
          <w:rFonts w:ascii="宋体" w:hAnsi="宋体" w:cs="宋体" w:eastAsia="宋体" w:hint="default"/>
        </w:rPr>
        <w:t>2.64%</w:t>
      </w:r>
      <w:r>
        <w:rPr/>
        <w:t>的股权全部转让， 转让方式为在北京产权交易所挂牌公开交易。</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w:t>
      </w:r>
      <w:r>
        <w:rPr/>
        <w:t>日，自然人陈实以人民币</w:t>
      </w:r>
      <w:r>
        <w:rPr>
          <w:rFonts w:ascii="宋体" w:hAnsi="宋体" w:cs="宋体" w:eastAsia="宋体" w:hint="default"/>
        </w:rPr>
        <w:t>1,471</w:t>
      </w:r>
      <w:r>
        <w:rPr/>
        <w:t>万元的价格受让该股权。</w:t>
      </w:r>
      <w:r>
        <w:rPr>
          <w:rFonts w:ascii="宋体" w:hAnsi="宋体" w:cs="宋体" w:eastAsia="宋体" w:hint="default"/>
        </w:rPr>
        <w:t>2010</w:t>
      </w:r>
      <w:r>
        <w:rPr/>
        <w:t>年</w:t>
      </w:r>
      <w:r>
        <w:rPr>
          <w:rFonts w:ascii="宋体" w:hAnsi="宋体" w:cs="宋体" w:eastAsia="宋体" w:hint="default"/>
        </w:rPr>
        <w:t>7</w:t>
      </w:r>
      <w:r>
        <w:rPr>
          <w:rFonts w:ascii="宋体" w:hAnsi="宋体" w:cs="宋体" w:eastAsia="宋体" w:hint="default"/>
          <w:spacing w:val="-11"/>
        </w:rPr>
        <w:t> </w:t>
      </w:r>
      <w:r>
        <w:rPr/>
        <w:t>月</w:t>
      </w:r>
      <w:r>
        <w:rPr>
          <w:rFonts w:ascii="宋体" w:hAnsi="宋体" w:cs="宋体" w:eastAsia="宋体" w:hint="default"/>
        </w:rPr>
        <w:t>15</w:t>
      </w:r>
      <w:r>
        <w:rPr/>
        <w:t>日，本公司</w:t>
      </w:r>
      <w:r>
        <w:rPr>
          <w:rFonts w:ascii="宋体" w:hAnsi="宋体" w:cs="宋体" w:eastAsia="宋体" w:hint="default"/>
        </w:rPr>
        <w:t>2010</w:t>
      </w:r>
      <w:r>
        <w:rPr/>
        <w:t>年第一次股东会决议，同意并确认该股权重组行为，同时修改公司章程。本公司于</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29</w:t>
      </w:r>
      <w:r>
        <w:rPr/>
        <w:t>日在北</w:t>
      </w:r>
      <w:r>
        <w:rPr>
          <w:spacing w:val="-3"/>
        </w:rPr>
        <w:t> </w:t>
      </w:r>
      <w:r>
        <w:rPr/>
        <w:t>京市工商局丰台分局办理了工商变更登记。</w:t>
      </w:r>
    </w:p>
    <w:p>
      <w:pPr>
        <w:spacing w:line="379" w:lineRule="auto" w:before="79"/>
        <w:ind w:left="512"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二</w:t>
      </w:r>
      <w:r>
        <w:rPr>
          <w:rFonts w:ascii="宋体" w:hAnsi="宋体" w:cs="宋体" w:eastAsia="宋体" w:hint="default"/>
          <w:b/>
          <w:bCs/>
          <w:sz w:val="18"/>
          <w:szCs w:val="18"/>
        </w:rPr>
        <w:t>)</w:t>
      </w:r>
      <w:r>
        <w:rPr>
          <w:rFonts w:ascii="宋体" w:hAnsi="宋体" w:cs="宋体" w:eastAsia="宋体" w:hint="default"/>
          <w:b/>
          <w:bCs/>
          <w:sz w:val="18"/>
          <w:szCs w:val="18"/>
        </w:rPr>
        <w:t>股份制改造及创业板上市情况</w:t>
      </w:r>
      <w:r>
        <w:rPr>
          <w:rFonts w:ascii="宋体" w:hAnsi="宋体" w:cs="宋体" w:eastAsia="宋体" w:hint="default"/>
          <w:b/>
          <w:bCs/>
          <w:w w:val="99"/>
          <w:sz w:val="18"/>
          <w:szCs w:val="18"/>
        </w:rPr>
        <w:t> </w:t>
      </w:r>
      <w:r>
        <w:rPr>
          <w:rFonts w:ascii="宋体" w:hAnsi="宋体" w:cs="宋体" w:eastAsia="宋体" w:hint="default"/>
          <w:spacing w:val="-2"/>
          <w:sz w:val="18"/>
          <w:szCs w:val="18"/>
        </w:rPr>
        <w:t>根据</w:t>
      </w:r>
      <w:r>
        <w:rPr>
          <w:rFonts w:ascii="宋体" w:hAnsi="宋体" w:cs="宋体" w:eastAsia="宋体" w:hint="default"/>
          <w:spacing w:val="-2"/>
          <w:sz w:val="18"/>
          <w:szCs w:val="18"/>
        </w:rPr>
        <w:t>2010</w:t>
      </w:r>
      <w:r>
        <w:rPr>
          <w:rFonts w:ascii="宋体" w:hAnsi="宋体" w:cs="宋体" w:eastAsia="宋体" w:hint="default"/>
          <w:spacing w:val="-2"/>
          <w:sz w:val="18"/>
          <w:szCs w:val="18"/>
        </w:rPr>
        <w:t>年</w:t>
      </w:r>
      <w:r>
        <w:rPr>
          <w:rFonts w:ascii="宋体" w:hAnsi="宋体" w:cs="宋体" w:eastAsia="宋体" w:hint="default"/>
          <w:spacing w:val="-2"/>
          <w:sz w:val="18"/>
          <w:szCs w:val="18"/>
        </w:rPr>
        <w:t>10</w:t>
      </w:r>
      <w:r>
        <w:rPr>
          <w:rFonts w:ascii="宋体" w:hAnsi="宋体" w:cs="宋体" w:eastAsia="宋体" w:hint="default"/>
          <w:spacing w:val="-2"/>
          <w:sz w:val="18"/>
          <w:szCs w:val="18"/>
        </w:rPr>
        <w:t>月</w:t>
      </w:r>
      <w:r>
        <w:rPr>
          <w:rFonts w:ascii="宋体" w:hAnsi="宋体" w:cs="宋体" w:eastAsia="宋体" w:hint="default"/>
          <w:spacing w:val="-2"/>
          <w:sz w:val="18"/>
          <w:szCs w:val="18"/>
        </w:rPr>
        <w:t>9</w:t>
      </w:r>
      <w:r>
        <w:rPr>
          <w:rFonts w:ascii="宋体" w:hAnsi="宋体" w:cs="宋体" w:eastAsia="宋体" w:hint="default"/>
          <w:spacing w:val="-2"/>
          <w:sz w:val="18"/>
          <w:szCs w:val="18"/>
        </w:rPr>
        <w:t>日第二次临时股东会决议，公司以</w:t>
      </w:r>
      <w:r>
        <w:rPr>
          <w:rFonts w:ascii="宋体" w:hAnsi="宋体" w:cs="宋体" w:eastAsia="宋体" w:hint="default"/>
          <w:spacing w:val="-2"/>
          <w:sz w:val="18"/>
          <w:szCs w:val="18"/>
        </w:rPr>
        <w:t>2010</w:t>
      </w:r>
      <w:r>
        <w:rPr>
          <w:rFonts w:ascii="宋体" w:hAnsi="宋体" w:cs="宋体" w:eastAsia="宋体" w:hint="default"/>
          <w:spacing w:val="-2"/>
          <w:sz w:val="18"/>
          <w:szCs w:val="18"/>
        </w:rPr>
        <w:t>年</w:t>
      </w:r>
      <w:r>
        <w:rPr>
          <w:rFonts w:ascii="宋体" w:hAnsi="宋体" w:cs="宋体" w:eastAsia="宋体" w:hint="default"/>
          <w:spacing w:val="-2"/>
          <w:sz w:val="18"/>
          <w:szCs w:val="18"/>
        </w:rPr>
        <w:t>8</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日为基准日，整体变更为股份有限公司，将账面净资产</w:t>
      </w:r>
    </w:p>
    <w:p>
      <w:pPr>
        <w:pStyle w:val="BodyText"/>
        <w:spacing w:line="208" w:lineRule="exact"/>
        <w:ind w:right="0"/>
        <w:jc w:val="both"/>
      </w:pPr>
      <w:r>
        <w:rPr>
          <w:rFonts w:ascii="宋体" w:hAnsi="宋体" w:cs="宋体" w:eastAsia="宋体" w:hint="default"/>
        </w:rPr>
        <w:t>80,918,968.29</w:t>
      </w:r>
      <w:r>
        <w:rPr/>
        <w:t>元按</w:t>
      </w:r>
      <w:r>
        <w:rPr>
          <w:rFonts w:ascii="宋体" w:hAnsi="宋体" w:cs="宋体" w:eastAsia="宋体" w:hint="default"/>
        </w:rPr>
        <w:t>1:0.5561</w:t>
      </w:r>
      <w:r>
        <w:rPr/>
        <w:t>比例折合为</w:t>
      </w:r>
      <w:r>
        <w:rPr>
          <w:rFonts w:ascii="宋体" w:hAnsi="宋体" w:cs="宋体" w:eastAsia="宋体" w:hint="default"/>
        </w:rPr>
        <w:t>4,500</w:t>
      </w:r>
      <w:r>
        <w:rPr/>
        <w:t>万股股份，折余部分计入资本公积（资本溢价），该事项由天健正信会计师事</w:t>
      </w:r>
    </w:p>
    <w:p>
      <w:pPr>
        <w:pStyle w:val="BodyText"/>
        <w:spacing w:line="316" w:lineRule="auto" w:before="76"/>
        <w:ind w:right="190"/>
        <w:jc w:val="both"/>
      </w:pPr>
      <w:r>
        <w:rPr>
          <w:spacing w:val="-2"/>
        </w:rPr>
        <w:t>务所有限公司以天健正信验（</w:t>
      </w:r>
      <w:r>
        <w:rPr>
          <w:rFonts w:ascii="宋体" w:hAnsi="宋体" w:cs="宋体" w:eastAsia="宋体" w:hint="default"/>
          <w:spacing w:val="-2"/>
        </w:rPr>
        <w:t>2010</w:t>
      </w:r>
      <w:r>
        <w:rPr>
          <w:spacing w:val="-2"/>
        </w:rPr>
        <w:t>）综字第</w:t>
      </w:r>
      <w:r>
        <w:rPr>
          <w:rFonts w:ascii="宋体" w:hAnsi="宋体" w:cs="宋体" w:eastAsia="宋体" w:hint="default"/>
          <w:spacing w:val="-2"/>
        </w:rPr>
        <w:t>010118</w:t>
      </w:r>
      <w:r>
        <w:rPr>
          <w:spacing w:val="-2"/>
        </w:rPr>
        <w:t>号验资报告予以验证。</w:t>
      </w:r>
      <w:r>
        <w:rPr>
          <w:rFonts w:ascii="宋体" w:hAnsi="宋体" w:cs="宋体" w:eastAsia="宋体" w:hint="default"/>
          <w:spacing w:val="-2"/>
        </w:rPr>
        <w:t>2010</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24</w:t>
      </w:r>
      <w:r>
        <w:rPr>
          <w:spacing w:val="-2"/>
        </w:rPr>
        <w:t>日，股份公司创立大会暨第一次股东</w:t>
      </w:r>
      <w:r>
        <w:rPr>
          <w:spacing w:val="-54"/>
        </w:rPr>
        <w:t> </w:t>
      </w:r>
      <w:r>
        <w:rPr>
          <w:spacing w:val="-54"/>
        </w:rPr>
      </w:r>
      <w:r>
        <w:rPr>
          <w:spacing w:val="-2"/>
        </w:rPr>
        <w:t>大会决议，决定设立北京东方通科技股份有限公司，并审议通过股份公司章程。公司于</w:t>
      </w:r>
      <w:r>
        <w:rPr>
          <w:rFonts w:ascii="宋体" w:hAnsi="宋体" w:cs="宋体" w:eastAsia="宋体" w:hint="default"/>
          <w:spacing w:val="-2"/>
        </w:rPr>
        <w:t>2010</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11</w:t>
      </w:r>
      <w:r>
        <w:rPr>
          <w:spacing w:val="-2"/>
        </w:rPr>
        <w:t>日办理了工商变更登记</w:t>
      </w:r>
      <w:r>
        <w:rPr>
          <w:spacing w:val="-59"/>
        </w:rPr>
        <w:t> </w:t>
      </w:r>
      <w:r>
        <w:rPr>
          <w:spacing w:val="-59"/>
        </w:rPr>
      </w:r>
      <w:r>
        <w:rPr/>
        <w:t>并领取了</w:t>
      </w:r>
      <w:r>
        <w:rPr>
          <w:rFonts w:ascii="宋体" w:hAnsi="宋体" w:cs="宋体" w:eastAsia="宋体" w:hint="default"/>
        </w:rPr>
        <w:t>110106003218984</w:t>
      </w:r>
      <w:r>
        <w:rPr/>
        <w:t>号企业法人营业执照。</w:t>
      </w:r>
    </w:p>
    <w:p>
      <w:pPr>
        <w:pStyle w:val="BodyText"/>
        <w:spacing w:line="316" w:lineRule="auto" w:before="79"/>
        <w:ind w:right="190" w:firstLine="360"/>
        <w:jc w:val="both"/>
      </w:pPr>
      <w:r>
        <w:rPr>
          <w:spacing w:val="-2"/>
        </w:rPr>
        <w:t>根据本公司</w:t>
      </w:r>
      <w:r>
        <w:rPr>
          <w:rFonts w:ascii="宋体" w:hAnsi="宋体" w:cs="宋体" w:eastAsia="宋体" w:hint="default"/>
          <w:spacing w:val="-2"/>
        </w:rPr>
        <w:t>2013</w:t>
      </w:r>
      <w:r>
        <w:rPr>
          <w:spacing w:val="-2"/>
        </w:rPr>
        <w:t>年第三次临时股东大会决议和中国证券监督管理委员会《关于核准北京东方通科技股份有限公司首次公</w:t>
      </w:r>
      <w:r>
        <w:rPr/>
        <w:t> 开发行股票并在创业板上市的批复》（证监许可</w:t>
      </w:r>
      <w:r>
        <w:rPr>
          <w:rFonts w:ascii="宋体" w:hAnsi="宋体" w:cs="宋体" w:eastAsia="宋体" w:hint="default"/>
        </w:rPr>
        <w:t>[2014]66</w:t>
      </w:r>
      <w:r>
        <w:rPr/>
        <w:t>号）核准，公司于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20</w:t>
      </w:r>
      <w:r>
        <w:rPr/>
        <w:t>日公开发行人民币普通股</w:t>
      </w:r>
      <w:r>
        <w:rPr>
          <w:rFonts w:ascii="宋体" w:hAnsi="宋体" w:cs="宋体" w:eastAsia="宋体" w:hint="default"/>
        </w:rPr>
        <w:t>643.3181 </w:t>
      </w:r>
      <w:r>
        <w:rPr>
          <w:spacing w:val="-2"/>
        </w:rPr>
        <w:t>万股，每股发行价格</w:t>
      </w:r>
      <w:r>
        <w:rPr>
          <w:rFonts w:ascii="宋体" w:hAnsi="宋体" w:cs="宋体" w:eastAsia="宋体" w:hint="default"/>
          <w:spacing w:val="-2"/>
        </w:rPr>
        <w:t>22</w:t>
      </w:r>
      <w:r>
        <w:rPr>
          <w:spacing w:val="-2"/>
        </w:rPr>
        <w:t>元，原股东公开发售股份</w:t>
      </w:r>
      <w:r>
        <w:rPr>
          <w:rFonts w:ascii="宋体" w:hAnsi="宋体" w:cs="宋体" w:eastAsia="宋体" w:hint="default"/>
          <w:spacing w:val="-2"/>
        </w:rPr>
        <w:t>642.5115</w:t>
      </w:r>
      <w:r>
        <w:rPr>
          <w:spacing w:val="-2"/>
        </w:rPr>
        <w:t>万股。本次发行后，公司的股份总数变更为</w:t>
      </w:r>
      <w:r>
        <w:rPr>
          <w:rFonts w:ascii="宋体" w:hAnsi="宋体" w:cs="宋体" w:eastAsia="宋体" w:hint="default"/>
          <w:spacing w:val="-2"/>
        </w:rPr>
        <w:t>51,433,181</w:t>
      </w:r>
      <w:r>
        <w:rPr>
          <w:spacing w:val="-2"/>
        </w:rPr>
        <w:t>股，股本总</w:t>
      </w:r>
      <w:r>
        <w:rPr>
          <w:spacing w:val="-57"/>
        </w:rPr>
        <w:t> </w:t>
      </w:r>
      <w:r>
        <w:rPr>
          <w:spacing w:val="-57"/>
        </w:rPr>
      </w:r>
      <w:r>
        <w:rPr/>
        <w:t>额为</w:t>
      </w:r>
      <w:r>
        <w:rPr>
          <w:rFonts w:ascii="宋体" w:hAnsi="宋体" w:cs="宋体" w:eastAsia="宋体" w:hint="default"/>
        </w:rPr>
        <w:t>51,433,181.00</w:t>
      </w:r>
      <w:r>
        <w:rPr/>
        <w:t>元，发起人股本</w:t>
      </w:r>
      <w:r>
        <w:rPr>
          <w:rFonts w:ascii="宋体" w:hAnsi="宋体" w:cs="宋体" w:eastAsia="宋体" w:hint="default"/>
        </w:rPr>
        <w:t>38,574,885.00</w:t>
      </w:r>
      <w:r>
        <w:rPr/>
        <w:t>元，占股本总额的</w:t>
      </w:r>
      <w:r>
        <w:rPr>
          <w:rFonts w:ascii="宋体" w:hAnsi="宋体" w:cs="宋体" w:eastAsia="宋体" w:hint="default"/>
        </w:rPr>
        <w:t>75.0000%</w:t>
      </w:r>
      <w:r>
        <w:rPr/>
        <w:t>；社会公众股本</w:t>
      </w:r>
      <w:r>
        <w:rPr>
          <w:rFonts w:ascii="宋体" w:hAnsi="宋体" w:cs="宋体" w:eastAsia="宋体" w:hint="default"/>
        </w:rPr>
        <w:t>12,858,296.00</w:t>
      </w:r>
      <w:r>
        <w:rPr/>
        <w:t>元，占股本总 额的</w:t>
      </w:r>
      <w:r>
        <w:rPr>
          <w:rFonts w:ascii="宋体" w:hAnsi="宋体" w:cs="宋体" w:eastAsia="宋体" w:hint="default"/>
        </w:rPr>
        <w:t>25.0000%</w:t>
      </w:r>
      <w:r>
        <w:rPr/>
        <w:t>。该事项业经大华会计师事务所</w:t>
      </w:r>
      <w:r>
        <w:rPr>
          <w:rFonts w:ascii="宋体" w:hAnsi="宋体" w:cs="宋体" w:eastAsia="宋体" w:hint="default"/>
        </w:rPr>
        <w:t>(</w:t>
      </w:r>
      <w:r>
        <w:rPr/>
        <w:t>特殊普通合伙</w:t>
      </w:r>
      <w:r>
        <w:rPr>
          <w:rFonts w:ascii="宋体" w:hAnsi="宋体" w:cs="宋体" w:eastAsia="宋体" w:hint="default"/>
        </w:rPr>
        <w:t>)</w:t>
      </w:r>
      <w:r>
        <w:rPr/>
        <w:t>审验，并于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23</w:t>
      </w:r>
      <w:r>
        <w:rPr/>
        <w:t>日出具大华验字</w:t>
      </w:r>
      <w:r>
        <w:rPr>
          <w:rFonts w:ascii="宋体" w:hAnsi="宋体" w:cs="宋体" w:eastAsia="宋体" w:hint="default"/>
        </w:rPr>
        <w:t>[2014]000055</w:t>
      </w:r>
      <w:r>
        <w:rPr/>
        <w:t>号验资</w:t>
      </w:r>
      <w:r>
        <w:rPr>
          <w:spacing w:val="-3"/>
        </w:rPr>
        <w:t> </w:t>
      </w:r>
      <w:r>
        <w:rPr>
          <w:spacing w:val="-2"/>
        </w:rPr>
        <w:t>报告。根据深圳证券交易所《关于北京东方通科技股份有限公司人民币普通股股票在创业板上市的通知》（深证上</w:t>
      </w:r>
      <w:r>
        <w:rPr>
          <w:rFonts w:ascii="宋体" w:hAnsi="宋体" w:cs="宋体" w:eastAsia="宋体" w:hint="default"/>
          <w:spacing w:val="-2"/>
        </w:rPr>
        <w:t>[2014]75</w:t>
      </w:r>
      <w:r>
        <w:rPr>
          <w:rFonts w:ascii="宋体" w:hAnsi="宋体" w:cs="宋体" w:eastAsia="宋体" w:hint="default"/>
          <w:spacing w:val="-58"/>
        </w:rPr>
        <w:t> </w:t>
      </w:r>
      <w:r>
        <w:rPr>
          <w:rFonts w:ascii="宋体" w:hAnsi="宋体" w:cs="宋体" w:eastAsia="宋体" w:hint="default"/>
          <w:spacing w:val="-58"/>
        </w:rPr>
      </w:r>
      <w:r>
        <w:rPr>
          <w:spacing w:val="-2"/>
        </w:rPr>
        <w:t>号），本公司于</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28</w:t>
      </w:r>
      <w:r>
        <w:rPr>
          <w:spacing w:val="-2"/>
        </w:rPr>
        <w:t>日起在深圳证券交易所创业板上市交易，股票简称东方通，股票代码</w:t>
      </w:r>
      <w:r>
        <w:rPr>
          <w:rFonts w:ascii="宋体" w:hAnsi="宋体" w:cs="宋体" w:eastAsia="宋体" w:hint="default"/>
          <w:spacing w:val="-2"/>
        </w:rPr>
        <w:t>300379</w:t>
      </w:r>
      <w:r>
        <w:rPr>
          <w:spacing w:val="-2"/>
        </w:rPr>
        <w:t>。本公司于</w:t>
      </w:r>
      <w:r>
        <w:rPr>
          <w:rFonts w:ascii="宋体" w:hAnsi="宋体" w:cs="宋体" w:eastAsia="宋体" w:hint="default"/>
          <w:spacing w:val="-2"/>
        </w:rPr>
        <w:t>2014</w:t>
      </w:r>
      <w:r>
        <w:rPr>
          <w:spacing w:val="-2"/>
        </w:rPr>
        <w:t>年</w:t>
      </w:r>
      <w:r>
        <w:rPr>
          <w:rFonts w:ascii="宋体" w:hAnsi="宋体" w:cs="宋体" w:eastAsia="宋体" w:hint="default"/>
          <w:spacing w:val="-2"/>
        </w:rPr>
        <w:t>4</w:t>
      </w:r>
      <w:r>
        <w:rPr>
          <w:rFonts w:ascii="宋体" w:hAnsi="宋体" w:cs="宋体" w:eastAsia="宋体" w:hint="default"/>
          <w:spacing w:val="-57"/>
        </w:rPr>
        <w:t> </w:t>
      </w:r>
      <w:r>
        <w:rPr/>
        <w:t>月</w:t>
      </w:r>
      <w:r>
        <w:rPr>
          <w:rFonts w:ascii="宋体" w:hAnsi="宋体" w:cs="宋体" w:eastAsia="宋体" w:hint="default"/>
        </w:rPr>
        <w:t>28</w:t>
      </w:r>
      <w:r>
        <w:rPr/>
        <w:t>日办理了工商变更登记。</w:t>
      </w:r>
    </w:p>
    <w:p>
      <w:pPr>
        <w:spacing w:after="0" w:line="316"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2" w:right="0"/>
        <w:jc w:val="left"/>
      </w:pPr>
      <w:r>
        <w:rPr/>
        <w:t>根据本公司</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4</w:t>
      </w:r>
      <w:r>
        <w:rPr/>
        <w:t>年</w:t>
      </w:r>
      <w:r>
        <w:rPr>
          <w:rFonts w:ascii="宋体" w:hAnsi="宋体" w:cs="宋体" w:eastAsia="宋体" w:hint="default"/>
          <w:spacing w:val="1"/>
        </w:rPr>
        <w:t>9</w:t>
      </w:r>
      <w:r>
        <w:rPr>
          <w:spacing w:val="-3"/>
        </w:rPr>
        <w:t>月</w:t>
      </w:r>
      <w:r>
        <w:rPr>
          <w:rFonts w:ascii="宋体" w:hAnsi="宋体" w:cs="宋体" w:eastAsia="宋体" w:hint="default"/>
          <w:spacing w:val="1"/>
        </w:rPr>
        <w:t>1</w:t>
      </w:r>
      <w:r>
        <w:rPr/>
        <w:t>日召</w:t>
      </w:r>
      <w:r>
        <w:rPr>
          <w:spacing w:val="-3"/>
        </w:rPr>
        <w:t>开</w:t>
      </w:r>
      <w:r>
        <w:rPr/>
        <w:t>的</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4</w:t>
      </w:r>
      <w:r>
        <w:rPr/>
        <w:t>年第二次临时股东大</w:t>
      </w:r>
      <w:r>
        <w:rPr>
          <w:spacing w:val="-3"/>
        </w:rPr>
        <w:t>会</w:t>
      </w:r>
      <w:r>
        <w:rPr/>
        <w:t>决议和修改后的章程的规定</w:t>
      </w:r>
      <w:r>
        <w:rPr>
          <w:spacing w:val="-82"/>
        </w:rPr>
        <w:t>，</w:t>
      </w:r>
      <w:r>
        <w:rPr/>
        <w:t>并经中国证券监督管理委员会</w:t>
      </w:r>
    </w:p>
    <w:p>
      <w:pPr>
        <w:pStyle w:val="BodyText"/>
        <w:spacing w:line="316" w:lineRule="auto" w:before="76"/>
        <w:ind w:right="192"/>
        <w:jc w:val="both"/>
      </w:pPr>
      <w:r>
        <w:rPr>
          <w:spacing w:val="-2"/>
        </w:rPr>
        <w:t>《关于核准北京东方通科技股份有限公司向李健等发行股份购买资产并募集配套资金的批复》（证监许可</w:t>
      </w:r>
      <w:r>
        <w:rPr>
          <w:rFonts w:ascii="宋体" w:hAnsi="宋体" w:cs="宋体" w:eastAsia="宋体" w:hint="default"/>
          <w:spacing w:val="-2"/>
        </w:rPr>
        <w:t>[2014]1354</w:t>
      </w:r>
      <w:r>
        <w:rPr>
          <w:spacing w:val="-2"/>
        </w:rPr>
        <w:t>号）核</w:t>
      </w:r>
      <w:r>
        <w:rPr>
          <w:spacing w:val="-88"/>
        </w:rPr>
        <w:t> </w:t>
      </w:r>
      <w:r>
        <w:rPr>
          <w:spacing w:val="-88"/>
        </w:rPr>
      </w:r>
      <w:r>
        <w:rPr>
          <w:spacing w:val="-2"/>
        </w:rPr>
        <w:t>准，公司于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15</w:t>
      </w:r>
      <w:r>
        <w:rPr>
          <w:spacing w:val="-2"/>
        </w:rPr>
        <w:t>日向李健等</w:t>
      </w:r>
      <w:r>
        <w:rPr>
          <w:rFonts w:ascii="宋体" w:hAnsi="宋体" w:cs="宋体" w:eastAsia="宋体" w:hint="default"/>
          <w:spacing w:val="-2"/>
        </w:rPr>
        <w:t>4</w:t>
      </w:r>
      <w:r>
        <w:rPr>
          <w:spacing w:val="-2"/>
        </w:rPr>
        <w:t>名交易对方发行普通股</w:t>
      </w:r>
      <w:r>
        <w:rPr>
          <w:rFonts w:ascii="宋体" w:hAnsi="宋体" w:cs="宋体" w:eastAsia="宋体" w:hint="default"/>
          <w:spacing w:val="-2"/>
        </w:rPr>
        <w:t>4,480,000</w:t>
      </w:r>
      <w:r>
        <w:rPr>
          <w:spacing w:val="-2"/>
        </w:rPr>
        <w:t>股，于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日向东海基金管理有限责任公司</w:t>
      </w:r>
      <w:r>
        <w:rPr>
          <w:spacing w:val="-52"/>
        </w:rPr>
        <w:t> </w:t>
      </w:r>
      <w:r>
        <w:rPr/>
        <w:t>等</w:t>
      </w:r>
      <w:r>
        <w:rPr>
          <w:rFonts w:ascii="宋体" w:hAnsi="宋体" w:cs="宋体" w:eastAsia="宋体" w:hint="default"/>
        </w:rPr>
        <w:t>3</w:t>
      </w:r>
      <w:r>
        <w:rPr/>
        <w:t>名特定投资者非公开发行普通股</w:t>
      </w:r>
      <w:r>
        <w:rPr>
          <w:rFonts w:ascii="宋体" w:hAnsi="宋体" w:cs="宋体" w:eastAsia="宋体" w:hint="default"/>
        </w:rPr>
        <w:t>1,696,969</w:t>
      </w:r>
      <w:r>
        <w:rPr/>
        <w:t>股，发行后的注册资本为</w:t>
      </w:r>
      <w:r>
        <w:rPr>
          <w:rFonts w:ascii="宋体" w:hAnsi="宋体" w:cs="宋体" w:eastAsia="宋体" w:hint="default"/>
        </w:rPr>
        <w:t>57,610,150.00</w:t>
      </w:r>
      <w:r>
        <w:rPr/>
        <w:t>元。该两次非公开发行均由立信会计 </w:t>
      </w:r>
      <w:r>
        <w:rPr>
          <w:spacing w:val="-2"/>
        </w:rPr>
        <w:t>师事务所（特殊普通合伙）审验，并于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19</w:t>
      </w:r>
      <w:r>
        <w:rPr>
          <w:spacing w:val="-2"/>
        </w:rPr>
        <w:t>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spacing w:val="-2"/>
        </w:rPr>
        <w:t>日分别出具信会师报字</w:t>
      </w:r>
      <w:r>
        <w:rPr>
          <w:rFonts w:ascii="宋体" w:hAnsi="宋体" w:cs="宋体" w:eastAsia="宋体" w:hint="default"/>
          <w:spacing w:val="-2"/>
        </w:rPr>
        <w:t>[2014]</w:t>
      </w:r>
      <w:r>
        <w:rPr>
          <w:spacing w:val="-2"/>
        </w:rPr>
        <w:t>第</w:t>
      </w:r>
      <w:r>
        <w:rPr>
          <w:rFonts w:ascii="宋体" w:hAnsi="宋体" w:cs="宋体" w:eastAsia="宋体" w:hint="default"/>
          <w:spacing w:val="-2"/>
        </w:rPr>
        <w:t>211399</w:t>
      </w:r>
      <w:r>
        <w:rPr>
          <w:spacing w:val="-2"/>
        </w:rPr>
        <w:t>号、信会师报</w:t>
      </w:r>
      <w:r>
        <w:rPr>
          <w:spacing w:val="-52"/>
        </w:rPr>
        <w:t> </w:t>
      </w:r>
      <w:r>
        <w:rPr>
          <w:spacing w:val="-52"/>
        </w:rPr>
      </w:r>
      <w:r>
        <w:rPr/>
        <w:t>字</w:t>
      </w:r>
      <w:r>
        <w:rPr>
          <w:rFonts w:ascii="宋体" w:hAnsi="宋体" w:cs="宋体" w:eastAsia="宋体" w:hint="default"/>
        </w:rPr>
        <w:t>[2014]</w:t>
      </w:r>
      <w:r>
        <w:rPr/>
        <w:t>第</w:t>
      </w:r>
      <w:r>
        <w:rPr>
          <w:rFonts w:ascii="宋体" w:hAnsi="宋体" w:cs="宋体" w:eastAsia="宋体" w:hint="default"/>
        </w:rPr>
        <w:t>211415</w:t>
      </w:r>
      <w:r>
        <w:rPr/>
        <w:t>号验资报告。本公司于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8</w:t>
      </w:r>
      <w:r>
        <w:rPr/>
        <w:t>日办理了工商变更登记。</w:t>
      </w:r>
    </w:p>
    <w:p>
      <w:pPr>
        <w:pStyle w:val="BodyText"/>
        <w:spacing w:line="316" w:lineRule="auto" w:before="79"/>
        <w:ind w:left="153" w:right="190" w:firstLine="360"/>
        <w:jc w:val="both"/>
      </w:pP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w:t>
      </w:r>
      <w:r>
        <w:rPr>
          <w:spacing w:val="-2"/>
        </w:rPr>
        <w:t>日，本公司</w:t>
      </w:r>
      <w:r>
        <w:rPr>
          <w:rFonts w:ascii="宋体" w:hAnsi="宋体" w:cs="宋体" w:eastAsia="宋体" w:hint="default"/>
          <w:spacing w:val="-2"/>
        </w:rPr>
        <w:t>2014</w:t>
      </w:r>
      <w:r>
        <w:rPr>
          <w:spacing w:val="-2"/>
        </w:rPr>
        <w:t>年度股东大会决议批准，以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57,610,150</w:t>
      </w:r>
      <w:r>
        <w:rPr>
          <w:spacing w:val="-2"/>
        </w:rPr>
        <w:t>股为基数，以资本公积向全体</w:t>
      </w:r>
      <w:r>
        <w:rPr/>
        <w:t> </w:t>
      </w:r>
      <w:r>
        <w:rPr>
          <w:spacing w:val="-2"/>
        </w:rPr>
        <w:t>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股，合计转增</w:t>
      </w:r>
      <w:r>
        <w:rPr>
          <w:rFonts w:ascii="宋体" w:hAnsi="宋体" w:cs="宋体" w:eastAsia="宋体" w:hint="default"/>
          <w:spacing w:val="-2"/>
        </w:rPr>
        <w:t>57,610,150</w:t>
      </w:r>
      <w:r>
        <w:rPr>
          <w:spacing w:val="-2"/>
        </w:rPr>
        <w:t>股，转增后公司总股本为</w:t>
      </w:r>
      <w:r>
        <w:rPr>
          <w:rFonts w:ascii="宋体" w:hAnsi="宋体" w:cs="宋体" w:eastAsia="宋体" w:hint="default"/>
          <w:spacing w:val="-2"/>
        </w:rPr>
        <w:t>115,220,300</w:t>
      </w:r>
      <w:r>
        <w:rPr>
          <w:spacing w:val="-2"/>
        </w:rPr>
        <w:t>股。本公司于</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11</w:t>
      </w:r>
      <w:r>
        <w:rPr>
          <w:spacing w:val="-2"/>
        </w:rPr>
        <w:t>日办理了工商变</w:t>
      </w:r>
      <w:r>
        <w:rPr>
          <w:spacing w:val="-48"/>
        </w:rPr>
        <w:t> </w:t>
      </w:r>
      <w:r>
        <w:rPr>
          <w:spacing w:val="-48"/>
        </w:rPr>
      </w:r>
      <w:r>
        <w:rPr/>
        <w:t>更登记。</w:t>
      </w:r>
    </w:p>
    <w:p>
      <w:pPr>
        <w:pStyle w:val="BodyText"/>
        <w:spacing w:line="379" w:lineRule="auto" w:before="79"/>
        <w:ind w:left="513" w:right="4233"/>
        <w:jc w:val="left"/>
      </w:pPr>
      <w:r>
        <w:rPr/>
        <w:t>本公司注册号</w:t>
      </w:r>
      <w:r>
        <w:rPr>
          <w:rFonts w:ascii="宋体" w:hAnsi="宋体" w:cs="宋体" w:eastAsia="宋体" w:hint="default"/>
        </w:rPr>
        <w:t>110106003218984</w:t>
      </w:r>
      <w:r>
        <w:rPr/>
        <w:t>。 本公司法定住所为北京市丰台区丰台路口</w:t>
      </w:r>
      <w:r>
        <w:rPr>
          <w:rFonts w:ascii="宋体" w:hAnsi="宋体" w:cs="宋体" w:eastAsia="宋体" w:hint="default"/>
        </w:rPr>
        <w:t>139</w:t>
      </w:r>
      <w:r>
        <w:rPr/>
        <w:t>号主楼</w:t>
      </w:r>
      <w:r>
        <w:rPr>
          <w:rFonts w:ascii="宋体" w:hAnsi="宋体" w:cs="宋体" w:eastAsia="宋体" w:hint="default"/>
        </w:rPr>
        <w:t>311</w:t>
      </w:r>
      <w:r>
        <w:rPr/>
        <w:t>室</w:t>
      </w:r>
      <w:r>
        <w:rPr>
          <w:rFonts w:ascii="宋体" w:hAnsi="宋体" w:cs="宋体" w:eastAsia="宋体" w:hint="default"/>
        </w:rPr>
        <w:t>(</w:t>
      </w:r>
      <w:r>
        <w:rPr/>
        <w:t>园区</w:t>
      </w:r>
      <w:r>
        <w:rPr>
          <w:rFonts w:ascii="宋体" w:hAnsi="宋体" w:cs="宋体" w:eastAsia="宋体" w:hint="default"/>
        </w:rPr>
        <w:t>)</w:t>
      </w:r>
      <w:r>
        <w:rPr/>
        <w:t>。 法定代表人张齐春。</w:t>
      </w:r>
    </w:p>
    <w:p>
      <w:pPr>
        <w:pStyle w:val="BodyText"/>
        <w:spacing w:line="240" w:lineRule="auto" w:before="32"/>
        <w:ind w:left="513" w:right="0"/>
        <w:jc w:val="left"/>
      </w:pPr>
      <w:r>
        <w:rPr/>
        <w:t>本公司最终控制人为张齐春、朱海东、朱曼。</w:t>
      </w:r>
    </w:p>
    <w:p>
      <w:pPr>
        <w:spacing w:line="379" w:lineRule="auto" w:before="136"/>
        <w:ind w:left="512" w:right="1894" w:hanging="269"/>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三</w:t>
      </w:r>
      <w:r>
        <w:rPr>
          <w:rFonts w:ascii="宋体" w:hAnsi="宋体" w:cs="宋体" w:eastAsia="宋体" w:hint="default"/>
          <w:b/>
          <w:bCs/>
          <w:sz w:val="18"/>
          <w:szCs w:val="18"/>
        </w:rPr>
        <w:t>) </w:t>
      </w:r>
      <w:r>
        <w:rPr>
          <w:rFonts w:ascii="宋体" w:hAnsi="宋体" w:cs="宋体" w:eastAsia="宋体" w:hint="default"/>
          <w:b/>
          <w:bCs/>
          <w:sz w:val="18"/>
          <w:szCs w:val="18"/>
        </w:rPr>
        <w:t>行业性质及产品</w:t>
      </w:r>
      <w:r>
        <w:rPr>
          <w:rFonts w:ascii="宋体" w:hAnsi="宋体" w:cs="宋体" w:eastAsia="宋体" w:hint="default"/>
          <w:b/>
          <w:bCs/>
          <w:w w:val="99"/>
          <w:sz w:val="18"/>
          <w:szCs w:val="18"/>
        </w:rPr>
        <w:t> </w:t>
      </w:r>
      <w:r>
        <w:rPr>
          <w:rFonts w:ascii="宋体" w:hAnsi="宋体" w:cs="宋体" w:eastAsia="宋体" w:hint="default"/>
          <w:sz w:val="18"/>
          <w:szCs w:val="18"/>
        </w:rPr>
        <w:t>本公司所属行业为信息技术业。产品是中间件软件、无线网络优化软件、服务器虚拟化软件等。</w:t>
      </w:r>
    </w:p>
    <w:p>
      <w:pPr>
        <w:pStyle w:val="BodyText"/>
        <w:spacing w:line="316" w:lineRule="auto" w:before="32"/>
        <w:ind w:right="0" w:firstLine="360"/>
        <w:jc w:val="left"/>
      </w:pPr>
      <w:r>
        <w:rPr>
          <w:spacing w:val="-9"/>
        </w:rPr>
        <w:t>中间件软件，包括基础中间件（消息中间件</w:t>
      </w:r>
      <w:r>
        <w:rPr>
          <w:rFonts w:ascii="宋体" w:hAnsi="宋体" w:cs="宋体" w:eastAsia="宋体" w:hint="default"/>
          <w:spacing w:val="-9"/>
        </w:rPr>
        <w:t>TongLINK/Q</w:t>
      </w:r>
      <w:r>
        <w:rPr>
          <w:spacing w:val="-9"/>
        </w:rPr>
        <w:t>、交易中间件</w:t>
      </w:r>
      <w:r>
        <w:rPr>
          <w:rFonts w:ascii="宋体" w:hAnsi="宋体" w:cs="宋体" w:eastAsia="宋体" w:hint="default"/>
          <w:spacing w:val="-9"/>
        </w:rPr>
        <w:t>TongEASY</w:t>
      </w:r>
      <w:r>
        <w:rPr>
          <w:spacing w:val="-9"/>
        </w:rPr>
        <w:t>、应用服务器</w:t>
      </w:r>
      <w:r>
        <w:rPr>
          <w:rFonts w:ascii="宋体" w:hAnsi="宋体" w:cs="宋体" w:eastAsia="宋体" w:hint="default"/>
          <w:spacing w:val="-9"/>
        </w:rPr>
        <w:t>TongWeb</w:t>
      </w:r>
      <w:r>
        <w:rPr>
          <w:spacing w:val="-9"/>
        </w:rPr>
        <w:t>、安全中间件</w:t>
      </w:r>
      <w:r>
        <w:rPr>
          <w:rFonts w:ascii="宋体" w:hAnsi="宋体" w:cs="宋体" w:eastAsia="宋体" w:hint="default"/>
          <w:spacing w:val="-9"/>
        </w:rPr>
        <w:t>TongSEC</w:t>
      </w:r>
      <w:r>
        <w:rPr>
          <w:spacing w:val="-9"/>
        </w:rPr>
        <w:t>）、</w:t>
      </w:r>
      <w:r>
        <w:rPr>
          <w:spacing w:val="-89"/>
        </w:rPr>
        <w:t> </w:t>
      </w:r>
      <w:r>
        <w:rPr/>
        <w:t>集成中间件（应用集成中间件</w:t>
      </w:r>
      <w:r>
        <w:rPr>
          <w:rFonts w:ascii="宋体" w:hAnsi="宋体" w:cs="宋体" w:eastAsia="宋体" w:hint="default"/>
        </w:rPr>
        <w:t>TongIntegrator</w:t>
      </w:r>
      <w:r>
        <w:rPr/>
        <w:t>）、</w:t>
      </w:r>
      <w:r>
        <w:rPr>
          <w:rFonts w:ascii="宋体" w:hAnsi="宋体" w:cs="宋体" w:eastAsia="宋体" w:hint="default"/>
        </w:rPr>
        <w:t>VSP</w:t>
      </w:r>
      <w:r>
        <w:rPr/>
        <w:t>（通用数据传输平台</w:t>
      </w:r>
      <w:r>
        <w:rPr>
          <w:rFonts w:ascii="宋体" w:hAnsi="宋体" w:cs="宋体" w:eastAsia="宋体" w:hint="default"/>
        </w:rPr>
        <w:t>GTP</w:t>
      </w:r>
      <w:r>
        <w:rPr/>
        <w:t>、移动应用平台</w:t>
      </w:r>
      <w:r>
        <w:rPr>
          <w:rFonts w:ascii="宋体" w:hAnsi="宋体" w:cs="宋体" w:eastAsia="宋体" w:hint="default"/>
        </w:rPr>
        <w:t>MAP</w:t>
      </w:r>
      <w:r>
        <w:rPr/>
        <w:t>）等。</w:t>
      </w:r>
    </w:p>
    <w:p>
      <w:pPr>
        <w:pStyle w:val="BodyText"/>
        <w:spacing w:line="316" w:lineRule="auto" w:before="79"/>
        <w:ind w:right="98" w:firstLine="360"/>
        <w:jc w:val="left"/>
      </w:pPr>
      <w:r>
        <w:rPr/>
        <w:t>无线网络优化软件，包括</w:t>
      </w:r>
      <w:r>
        <w:rPr>
          <w:rFonts w:ascii="宋体" w:hAnsi="宋体" w:cs="宋体" w:eastAsia="宋体" w:hint="default"/>
        </w:rPr>
        <w:t>CDS</w:t>
      </w:r>
      <w:r>
        <w:rPr/>
        <w:t>（</w:t>
      </w:r>
      <w:r>
        <w:rPr>
          <w:rFonts w:ascii="宋体" w:hAnsi="宋体" w:cs="宋体" w:eastAsia="宋体" w:hint="default"/>
        </w:rPr>
        <w:t>Cellular</w:t>
      </w:r>
      <w:r>
        <w:rPr>
          <w:rFonts w:ascii="宋体" w:hAnsi="宋体" w:cs="宋体" w:eastAsia="宋体" w:hint="default"/>
          <w:spacing w:val="-30"/>
        </w:rPr>
        <w:t> </w:t>
      </w:r>
      <w:r>
        <w:rPr>
          <w:rFonts w:ascii="宋体" w:hAnsi="宋体" w:cs="宋体" w:eastAsia="宋体" w:hint="default"/>
        </w:rPr>
        <w:t>Drive</w:t>
      </w:r>
      <w:r>
        <w:rPr>
          <w:rFonts w:ascii="宋体" w:hAnsi="宋体" w:cs="宋体" w:eastAsia="宋体" w:hint="default"/>
          <w:spacing w:val="-32"/>
        </w:rPr>
        <w:t> </w:t>
      </w:r>
      <w:r>
        <w:rPr>
          <w:rFonts w:ascii="宋体" w:hAnsi="宋体" w:cs="宋体" w:eastAsia="宋体" w:hint="default"/>
        </w:rPr>
        <w:t>Test</w:t>
      </w:r>
      <w:r>
        <w:rPr>
          <w:rFonts w:ascii="宋体" w:hAnsi="宋体" w:cs="宋体" w:eastAsia="宋体" w:hint="default"/>
          <w:spacing w:val="-32"/>
        </w:rPr>
        <w:t> </w:t>
      </w:r>
      <w:r>
        <w:rPr>
          <w:rFonts w:ascii="宋体" w:hAnsi="宋体" w:cs="宋体" w:eastAsia="宋体" w:hint="default"/>
        </w:rPr>
        <w:t>System</w:t>
      </w:r>
      <w:r>
        <w:rPr/>
        <w:t>）测试软件、便携式</w:t>
      </w:r>
      <w:r>
        <w:rPr>
          <w:rFonts w:ascii="宋体" w:hAnsi="宋体" w:cs="宋体" w:eastAsia="宋体" w:hint="default"/>
        </w:rPr>
        <w:t>WLAN</w:t>
      </w:r>
      <w:r>
        <w:rPr/>
        <w:t>测试软件、手持式</w:t>
      </w:r>
      <w:r>
        <w:rPr>
          <w:rFonts w:ascii="宋体" w:hAnsi="宋体" w:cs="宋体" w:eastAsia="宋体" w:hint="default"/>
        </w:rPr>
        <w:t>WLAN</w:t>
      </w:r>
      <w:r>
        <w:rPr/>
        <w:t>测试软件、 </w:t>
      </w:r>
      <w:r>
        <w:rPr>
          <w:rFonts w:ascii="宋体" w:hAnsi="宋体" w:cs="宋体" w:eastAsia="宋体" w:hint="default"/>
        </w:rPr>
        <w:t>WLAN</w:t>
      </w:r>
      <w:r>
        <w:rPr/>
        <w:t>网络客户感知分析系统、</w:t>
      </w:r>
      <w:r>
        <w:rPr>
          <w:rFonts w:ascii="宋体" w:hAnsi="宋体" w:cs="宋体" w:eastAsia="宋体" w:hint="default"/>
        </w:rPr>
        <w:t>WSA</w:t>
      </w:r>
      <w:r>
        <w:rPr/>
        <w:t>采集分析平台等。</w:t>
      </w:r>
    </w:p>
    <w:p>
      <w:pPr>
        <w:pStyle w:val="Heading5"/>
        <w:spacing w:line="240" w:lineRule="auto" w:before="79"/>
        <w:ind w:left="152" w:right="0"/>
        <w:jc w:val="left"/>
        <w:rPr>
          <w:b w:val="0"/>
          <w:bCs w:val="0"/>
        </w:rPr>
      </w:pPr>
      <w:r>
        <w:rPr>
          <w:rFonts w:ascii="宋体" w:hAnsi="宋体" w:cs="宋体" w:eastAsia="宋体" w:hint="default"/>
        </w:rPr>
        <w:t>(</w:t>
      </w:r>
      <w:r>
        <w:rPr/>
        <w:t>四</w:t>
      </w:r>
      <w:r>
        <w:rPr>
          <w:rFonts w:ascii="宋体" w:hAnsi="宋体" w:cs="宋体" w:eastAsia="宋体" w:hint="default"/>
        </w:rPr>
        <w:t>)</w:t>
      </w:r>
      <w:r>
        <w:rPr/>
        <w:t>经营范围</w:t>
      </w:r>
      <w:r>
        <w:rPr>
          <w:b w:val="0"/>
          <w:bCs w:val="0"/>
        </w:rPr>
      </w:r>
    </w:p>
    <w:p>
      <w:pPr>
        <w:pStyle w:val="BodyText"/>
        <w:spacing w:line="240" w:lineRule="auto" w:before="136"/>
        <w:ind w:left="512" w:right="0"/>
        <w:jc w:val="left"/>
      </w:pPr>
      <w:r>
        <w:rPr/>
        <w:t>技术推广；软件服务；销售计算机、软件及辅助设备。</w:t>
      </w:r>
    </w:p>
    <w:p>
      <w:pPr>
        <w:spacing w:line="379" w:lineRule="auto" w:before="136"/>
        <w:ind w:left="512" w:right="5134"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五</w:t>
      </w:r>
      <w:r>
        <w:rPr>
          <w:rFonts w:ascii="宋体" w:hAnsi="宋体" w:cs="宋体" w:eastAsia="宋体" w:hint="default"/>
          <w:b/>
          <w:bCs/>
          <w:sz w:val="18"/>
          <w:szCs w:val="18"/>
        </w:rPr>
        <w:t>)</w:t>
      </w:r>
      <w:r>
        <w:rPr>
          <w:rFonts w:ascii="宋体" w:hAnsi="宋体" w:cs="宋体" w:eastAsia="宋体" w:hint="default"/>
          <w:b/>
          <w:bCs/>
          <w:sz w:val="18"/>
          <w:szCs w:val="18"/>
        </w:rPr>
        <w:t>基本组织架构</w:t>
      </w:r>
      <w:r>
        <w:rPr>
          <w:rFonts w:ascii="宋体" w:hAnsi="宋体" w:cs="宋体" w:eastAsia="宋体" w:hint="default"/>
          <w:b/>
          <w:bCs/>
          <w:w w:val="99"/>
          <w:sz w:val="18"/>
          <w:szCs w:val="18"/>
        </w:rPr>
        <w:t> </w:t>
      </w:r>
      <w:r>
        <w:rPr>
          <w:rFonts w:ascii="宋体" w:hAnsi="宋体" w:cs="宋体" w:eastAsia="宋体" w:hint="default"/>
          <w:sz w:val="18"/>
          <w:szCs w:val="18"/>
        </w:rPr>
        <w:t>本公司的最高权力机构为股东大会，由全体股东组成。</w:t>
      </w:r>
    </w:p>
    <w:p>
      <w:pPr>
        <w:pStyle w:val="BodyText"/>
        <w:spacing w:line="379" w:lineRule="auto" w:before="32"/>
        <w:ind w:left="512" w:right="0"/>
        <w:jc w:val="left"/>
      </w:pPr>
      <w:r>
        <w:rPr/>
        <w:t>公司设董事会，是公司的经营决策机构，对股东大会负责。董事会设董事长一人，董事会秘书一人。 公司设总经理，由董事会聘任或者解聘。总经理以下设副总经理、财务负责人等高级管理职位辅助管理日常事务。 </w:t>
      </w:r>
      <w:r>
        <w:rPr>
          <w:spacing w:val="-2"/>
        </w:rPr>
        <w:t>根据业务发展需要，公司设立了董事会办公室、产品研发中心、技术支持服务中心、营销中心、财务中心、审计部和人</w:t>
      </w:r>
    </w:p>
    <w:p>
      <w:pPr>
        <w:pStyle w:val="BodyText"/>
        <w:spacing w:line="208" w:lineRule="exact"/>
        <w:ind w:right="0"/>
        <w:jc w:val="left"/>
      </w:pPr>
      <w:r>
        <w:rPr/>
        <w:t>事行政中心等部门。</w:t>
      </w:r>
    </w:p>
    <w:p>
      <w:pPr>
        <w:spacing w:line="379" w:lineRule="auto" w:before="136"/>
        <w:ind w:left="512" w:right="5044"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六</w:t>
      </w:r>
      <w:r>
        <w:rPr>
          <w:rFonts w:ascii="宋体" w:hAnsi="宋体" w:cs="宋体" w:eastAsia="宋体" w:hint="default"/>
          <w:b/>
          <w:bCs/>
          <w:sz w:val="18"/>
          <w:szCs w:val="18"/>
        </w:rPr>
        <w:t>)</w:t>
      </w:r>
      <w:r>
        <w:rPr>
          <w:rFonts w:ascii="宋体" w:hAnsi="宋体" w:cs="宋体" w:eastAsia="宋体" w:hint="default"/>
          <w:b/>
          <w:bCs/>
          <w:sz w:val="18"/>
          <w:szCs w:val="18"/>
        </w:rPr>
        <w:t>财务报表的批准报出</w:t>
      </w:r>
      <w:r>
        <w:rPr>
          <w:rFonts w:ascii="宋体" w:hAnsi="宋体" w:cs="宋体" w:eastAsia="宋体" w:hint="default"/>
          <w:b/>
          <w:bCs/>
          <w:w w:val="99"/>
          <w:sz w:val="18"/>
          <w:szCs w:val="18"/>
        </w:rPr>
        <w:t> </w:t>
      </w:r>
      <w:r>
        <w:rPr>
          <w:rFonts w:ascii="宋体" w:hAnsi="宋体" w:cs="宋体" w:eastAsia="宋体" w:hint="default"/>
          <w:sz w:val="18"/>
          <w:szCs w:val="18"/>
        </w:rPr>
        <w:t>本财务报表由本公司董事会于</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日批准报出。</w:t>
      </w:r>
    </w:p>
    <w:p>
      <w:pPr>
        <w:pStyle w:val="Heading5"/>
        <w:spacing w:line="240" w:lineRule="auto" w:before="32"/>
        <w:ind w:left="152" w:right="0"/>
        <w:jc w:val="left"/>
        <w:rPr>
          <w:b w:val="0"/>
          <w:bCs w:val="0"/>
        </w:rPr>
      </w:pP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34"/>
        </w:rPr>
        <w:t> </w:t>
      </w:r>
      <w:r>
        <w:rPr/>
        <w:t>合并范围</w:t>
      </w:r>
      <w:r>
        <w:rPr>
          <w:b w:val="0"/>
          <w:bCs w:val="0"/>
        </w:rPr>
      </w:r>
    </w:p>
    <w:p>
      <w:pPr>
        <w:pStyle w:val="BodyText"/>
        <w:spacing w:line="240" w:lineRule="auto" w:before="136"/>
        <w:ind w:left="512" w:right="0"/>
        <w:jc w:val="left"/>
      </w:pPr>
      <w:r>
        <w:rPr/>
        <w:t>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日，本公司合并财务报表范围内子公司如下：</w:t>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321"/>
        <w:gridCol w:w="7337"/>
      </w:tblGrid>
      <w:tr>
        <w:trPr>
          <w:trHeight w:val="34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编号</w:t>
            </w:r>
          </w:p>
        </w:tc>
        <w:tc>
          <w:tcPr>
            <w:tcW w:w="7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c>
          <w:tcPr>
            <w:tcW w:w="7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成都东方通科技有限责任公司</w:t>
            </w:r>
          </w:p>
        </w:tc>
      </w:tr>
      <w:tr>
        <w:trPr>
          <w:trHeight w:val="34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7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r>
      <w:tr>
        <w:trPr>
          <w:trHeight w:val="34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w:t>
            </w:r>
          </w:p>
        </w:tc>
        <w:tc>
          <w:tcPr>
            <w:tcW w:w="7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北京东方通宇技术有限公司</w:t>
            </w:r>
          </w:p>
        </w:tc>
      </w:tr>
      <w:tr>
        <w:trPr>
          <w:trHeight w:val="34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7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r>
      <w:tr>
        <w:trPr>
          <w:trHeight w:val="34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7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北京同德一心科技有限公司</w:t>
            </w:r>
          </w:p>
        </w:tc>
      </w:tr>
      <w:tr>
        <w:trPr>
          <w:trHeight w:val="34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7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北京数字天堂信息科技有限责任公司</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w:t>
            </w:r>
          </w:p>
        </w:tc>
        <w:tc>
          <w:tcPr>
            <w:tcW w:w="7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东方通科技无锡有限公司</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bl>
    <w:p>
      <w:pPr>
        <w:pStyle w:val="BodyText"/>
        <w:spacing w:line="240" w:lineRule="auto" w:before="8"/>
        <w:ind w:left="512" w:right="0"/>
        <w:jc w:val="left"/>
      </w:pPr>
      <w:r>
        <w:rPr>
          <w:rFonts w:ascii="宋体" w:hAnsi="宋体" w:cs="宋体" w:eastAsia="宋体" w:hint="default"/>
        </w:rPr>
        <w:t>*</w:t>
      </w:r>
      <w:r>
        <w:rPr/>
        <w:t>北京数字天堂信息科技有限责任公司系本公司通过非同一控制下的企业合并以支付现金方式收购其</w:t>
      </w:r>
      <w:r>
        <w:rPr>
          <w:rFonts w:ascii="宋体" w:hAnsi="宋体" w:cs="宋体" w:eastAsia="宋体" w:hint="default"/>
        </w:rPr>
        <w:t>100%</w:t>
      </w:r>
      <w:r>
        <w:rPr/>
        <w:t>股权取得的全</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资子公司，收购日为</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30</w:t>
      </w:r>
      <w:r>
        <w:rPr/>
        <w:t>日。</w:t>
      </w:r>
    </w:p>
    <w:p>
      <w:pPr>
        <w:pStyle w:val="BodyText"/>
        <w:spacing w:line="240" w:lineRule="auto" w:before="136"/>
        <w:ind w:left="512" w:right="0"/>
        <w:jc w:val="left"/>
      </w:pPr>
      <w:r>
        <w:rPr>
          <w:rFonts w:ascii="宋体" w:hAnsi="宋体" w:cs="宋体" w:eastAsia="宋体" w:hint="default"/>
        </w:rPr>
        <w:t>**</w:t>
      </w:r>
      <w:r>
        <w:rPr/>
        <w:t>东方通科技无锡有限公司是由本公司于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27</w:t>
      </w:r>
      <w:r>
        <w:rPr/>
        <w:t>日以现金出资方式成立的全资子公司。</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四、财务报表的编制基础" w:id="161"/>
      <w:bookmarkEnd w:id="161"/>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2"/>
      <w:bookmarkEnd w:id="16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firstLine="360"/>
        <w:jc w:val="both"/>
      </w:pPr>
      <w:r>
        <w:rPr>
          <w:spacing w:val="-2"/>
        </w:rPr>
        <w:t>公司以持续经营为基础，根据实际发生的交易和事项，按照财政部颁布的《企业会计准则</w:t>
      </w:r>
      <w:r>
        <w:rPr>
          <w:rFonts w:ascii="宋体" w:hAnsi="宋体" w:cs="宋体" w:eastAsia="宋体" w:hint="default"/>
          <w:spacing w:val="-2"/>
        </w:rPr>
        <w:t>——</w:t>
      </w:r>
      <w:r>
        <w:rPr>
          <w:spacing w:val="-2"/>
        </w:rPr>
        <w:t>基本准则》和各项具体会</w:t>
      </w:r>
      <w:r>
        <w:rPr/>
        <w:t> </w:t>
      </w:r>
      <w:r>
        <w:rPr>
          <w:spacing w:val="-2"/>
        </w:rPr>
        <w:t>计准则、企业会计准则应用指南、企业会计准则解释及其他相关规定（以下合称</w:t>
      </w:r>
      <w:r>
        <w:rPr>
          <w:rFonts w:ascii="宋体" w:hAnsi="宋体" w:cs="宋体" w:eastAsia="宋体" w:hint="default"/>
          <w:spacing w:val="-2"/>
        </w:rPr>
        <w:t>“</w:t>
      </w:r>
      <w:r>
        <w:rPr>
          <w:spacing w:val="-2"/>
        </w:rPr>
        <w:t>企业会计准则</w:t>
      </w:r>
      <w:r>
        <w:rPr>
          <w:rFonts w:ascii="宋体" w:hAnsi="宋体" w:cs="宋体" w:eastAsia="宋体" w:hint="default"/>
          <w:spacing w:val="-2"/>
        </w:rPr>
        <w:t>”</w:t>
      </w:r>
      <w:r>
        <w:rPr>
          <w:spacing w:val="-2"/>
        </w:rPr>
        <w:t>），以及中国证券监督管</w:t>
      </w:r>
      <w:r>
        <w:rPr>
          <w:spacing w:val="-67"/>
        </w:rPr>
        <w:t> </w:t>
      </w:r>
      <w:r>
        <w:rPr>
          <w:spacing w:val="-67"/>
        </w:rPr>
      </w:r>
      <w:r>
        <w:rPr/>
        <w:t>理委员会《公开发行证券的公司信息披露编报规则第</w:t>
      </w:r>
      <w:r>
        <w:rPr>
          <w:rFonts w:ascii="宋体" w:hAnsi="宋体" w:cs="宋体" w:eastAsia="宋体" w:hint="default"/>
        </w:rPr>
        <w:t>15 </w:t>
      </w:r>
      <w:r>
        <w:rPr/>
        <w:t>号</w:t>
      </w:r>
      <w:r>
        <w:rPr>
          <w:rFonts w:ascii="宋体" w:hAnsi="宋体" w:cs="宋体" w:eastAsia="宋体" w:hint="default"/>
        </w:rPr>
        <w:t>——</w:t>
      </w:r>
      <w:r>
        <w:rPr/>
        <w:t>财务报告的一般规定》的披露规定编制财务报表。</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2、持续经营" w:id="163"/>
      <w:bookmarkEnd w:id="16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本公司自本报告期末起</w:t>
      </w:r>
      <w:r>
        <w:rPr>
          <w:rFonts w:ascii="宋体" w:hAnsi="宋体" w:cs="宋体" w:eastAsia="宋体" w:hint="default"/>
        </w:rPr>
        <w:t>12</w:t>
      </w:r>
      <w:r>
        <w:rPr/>
        <w:t>个月内具备持续经营能力，无对持续经营能力产生重大疑虑的事项。</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五、重要会计政策及会计估计" w:id="164"/>
      <w:bookmarkEnd w:id="164"/>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79" w:lineRule="auto"/>
        <w:ind w:left="512" w:right="0"/>
        <w:jc w:val="left"/>
      </w:pPr>
      <w:r>
        <w:rPr/>
        <w:t>具体会计政策和会计估计提示： </w:t>
      </w:r>
      <w:r>
        <w:rPr>
          <w:spacing w:val="-2"/>
        </w:rPr>
        <w:t>根据实际发生的交易和事项，按照财政部颁布的《企业会计准则</w:t>
      </w:r>
      <w:r>
        <w:rPr>
          <w:rFonts w:ascii="宋体" w:hAnsi="宋体" w:cs="宋体" w:eastAsia="宋体" w:hint="default"/>
          <w:spacing w:val="-2"/>
        </w:rPr>
        <w:t>——</w:t>
      </w:r>
      <w:r>
        <w:rPr>
          <w:spacing w:val="-2"/>
        </w:rPr>
        <w:t>基本准则》和各项具体会计准则、企业会计准则应</w:t>
      </w:r>
    </w:p>
    <w:p>
      <w:pPr>
        <w:pStyle w:val="BodyText"/>
        <w:spacing w:line="208" w:lineRule="exact"/>
        <w:ind w:right="0"/>
        <w:jc w:val="left"/>
      </w:pPr>
      <w:r>
        <w:rPr/>
        <w:t>用指南、企业会计准则解释及其他相关规定（以下合称</w:t>
      </w:r>
      <w:r>
        <w:rPr>
          <w:rFonts w:ascii="宋体" w:hAnsi="宋体" w:cs="宋体" w:eastAsia="宋体" w:hint="default"/>
        </w:rPr>
        <w:t>“</w:t>
      </w:r>
      <w:r>
        <w:rPr/>
        <w:t>企业会计准则</w:t>
      </w:r>
      <w:r>
        <w:rPr>
          <w:rFonts w:ascii="宋体" w:hAnsi="宋体" w:cs="宋体" w:eastAsia="宋体" w:hint="default"/>
        </w:rPr>
        <w:t>”</w:t>
      </w:r>
      <w:r>
        <w:rPr/>
        <w:t>），以及中国证券监督管理委员会《公开发行证券</w:t>
      </w:r>
    </w:p>
    <w:p>
      <w:pPr>
        <w:pStyle w:val="BodyText"/>
        <w:spacing w:line="240" w:lineRule="auto" w:before="76"/>
        <w:ind w:right="0"/>
        <w:jc w:val="left"/>
      </w:pPr>
      <w:r>
        <w:rPr/>
        <w:t>的公司信息披露编报规则第</w:t>
      </w:r>
      <w:r>
        <w:rPr>
          <w:rFonts w:ascii="宋体" w:hAnsi="宋体" w:cs="宋体" w:eastAsia="宋体" w:hint="default"/>
        </w:rPr>
        <w:t>15</w:t>
      </w:r>
      <w:r>
        <w:rPr>
          <w:rFonts w:ascii="宋体" w:hAnsi="宋体" w:cs="宋体" w:eastAsia="宋体" w:hint="default"/>
          <w:spacing w:val="1"/>
        </w:rPr>
        <w:t> </w:t>
      </w:r>
      <w:r>
        <w:rPr/>
        <w:t>号</w:t>
      </w:r>
      <w:r>
        <w:rPr>
          <w:rFonts w:ascii="宋体" w:hAnsi="宋体" w:cs="宋体" w:eastAsia="宋体" w:hint="default"/>
        </w:rPr>
        <w:t>——</w:t>
      </w:r>
      <w:r>
        <w:rPr/>
        <w:t>财务报告的一般规定》的披露规定编制财务报表。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遵循企业会计准则的声明" w:id="165"/>
      <w:bookmarkEnd w:id="16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5" w:firstLine="360"/>
        <w:jc w:val="both"/>
      </w:pPr>
      <w:r>
        <w:rPr>
          <w:spacing w:val="-2"/>
        </w:rPr>
        <w:t>公司所编制的财务报表符合企业会计准则的要求，真实、完整地反映了报告期公司的财务状况、经营成果、现金流量等</w:t>
      </w:r>
      <w:r>
        <w:rPr/>
        <w:t> 有关信息。</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2、会计期间" w:id="166"/>
      <w:bookmarkEnd w:id="16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营业周期" w:id="167"/>
      <w:bookmarkEnd w:id="16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本公司营业周期为</w:t>
      </w:r>
      <w:r>
        <w:rPr>
          <w:rFonts w:ascii="宋体" w:hAnsi="宋体" w:cs="宋体" w:eastAsia="宋体" w:hint="default"/>
        </w:rPr>
        <w:t>12</w:t>
      </w:r>
      <w:r>
        <w:rPr/>
        <w:t>个月。</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记账本位币" w:id="168"/>
      <w:bookmarkEnd w:id="16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0"/>
        <w:jc w:val="left"/>
      </w:pPr>
      <w:r>
        <w:rPr/>
        <w:t>采用人民币为记账本位币。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同一控制下和非同一控制下企业合并的会计处理方法" w:id="169"/>
      <w:bookmarkEnd w:id="16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360"/>
        <w:jc w:val="both"/>
      </w:pPr>
      <w:r>
        <w:rPr>
          <w:spacing w:val="-2"/>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r>
        <w:rPr>
          <w:spacing w:val="-67"/>
        </w:rPr>
        <w:t> </w:t>
      </w:r>
      <w:r>
        <w:rPr>
          <w:spacing w:val="-67"/>
        </w:rPr>
      </w:r>
      <w:r>
        <w:rPr/>
        <w:t>益。</w:t>
      </w:r>
    </w:p>
    <w:p>
      <w:pPr>
        <w:spacing w:after="0" w:line="316"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0"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79"/>
        <w:ind w:right="0"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70"/>
      <w:bookmarkEnd w:id="17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79" w:lineRule="auto"/>
        <w:ind w:left="512" w:right="2794"/>
        <w:jc w:val="left"/>
      </w:pPr>
      <w:r>
        <w:rPr/>
        <w:t>Ⅰ合并范围 本公司合并财务报表的合并范围以控制为基础确定，子公司全部纳入合并财务报表。 Ⅱ合并程序</w:t>
      </w:r>
    </w:p>
    <w:p>
      <w:pPr>
        <w:pStyle w:val="BodyText"/>
        <w:spacing w:line="316" w:lineRule="auto" w:before="32"/>
        <w:ind w:right="190" w:firstLine="360"/>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316" w:lineRule="auto" w:before="79"/>
        <w:ind w:right="0"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79"/>
        <w:ind w:right="193"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79" w:lineRule="auto" w:before="79"/>
        <w:ind w:left="512" w:right="0"/>
        <w:jc w:val="left"/>
      </w:pPr>
      <w:r>
        <w:rPr/>
        <w:t>（</w:t>
      </w:r>
      <w:r>
        <w:rPr>
          <w:rFonts w:ascii="宋体" w:hAnsi="宋体" w:cs="宋体" w:eastAsia="宋体"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208" w:lineRule="exact"/>
        <w:ind w:right="0"/>
        <w:jc w:val="left"/>
      </w:pPr>
      <w:r>
        <w:rPr/>
        <w:t>期期初至报告期末的收入、费用、利润纳入合并利润表；将子公司或业务合并当期期初至报告期末的现金流量纳入合并现金</w:t>
      </w:r>
    </w:p>
    <w:p>
      <w:pPr>
        <w:pStyle w:val="BodyText"/>
        <w:spacing w:line="379" w:lineRule="auto" w:before="76"/>
        <w:ind w:left="512" w:right="0" w:hanging="360"/>
        <w:jc w:val="left"/>
      </w:pPr>
      <w:r>
        <w:rPr/>
        <w:t>流量表，同时对比较报表的相关项目进行调整，视同合并后的报告主体自最终控制方开始控制时点起一直存在。 </w:t>
      </w:r>
      <w:r>
        <w:rPr>
          <w:spacing w:val="-2"/>
        </w:rPr>
        <w:t>在报告期内，若因非同一控制下企业合并增加子公司或业务的，则不调整合并资产负债表期初数；将该子公司或业务自</w:t>
      </w:r>
    </w:p>
    <w:p>
      <w:pPr>
        <w:pStyle w:val="BodyText"/>
        <w:spacing w:line="208" w:lineRule="exact"/>
        <w:ind w:right="0"/>
        <w:jc w:val="left"/>
      </w:pPr>
      <w:r>
        <w:rPr/>
        <w:t>购买日至报告期末的收入、费用、利润纳入合并利润表；该子公司或业务自购买日至报告期末的现金流量纳入合并现金流量</w:t>
      </w:r>
    </w:p>
    <w:p>
      <w:pPr>
        <w:pStyle w:val="BodyText"/>
        <w:spacing w:line="240" w:lineRule="auto" w:before="76"/>
        <w:ind w:right="0"/>
        <w:jc w:val="left"/>
      </w:pPr>
      <w:r>
        <w:rPr/>
        <w:t>表。</w:t>
      </w:r>
    </w:p>
    <w:p>
      <w:pPr>
        <w:pStyle w:val="BodyText"/>
        <w:spacing w:line="240" w:lineRule="auto" w:before="136"/>
        <w:ind w:left="512" w:right="0"/>
        <w:jc w:val="left"/>
      </w:pPr>
      <w:r>
        <w:rPr/>
        <w:t>（</w:t>
      </w:r>
      <w:r>
        <w:rPr>
          <w:rFonts w:ascii="宋体" w:hAnsi="宋体" w:cs="宋体" w:eastAsia="宋体" w:hint="default"/>
        </w:rPr>
        <w:t>2</w:t>
      </w:r>
      <w:r>
        <w:rPr/>
        <w:t>）处置子公司或业务</w:t>
      </w:r>
    </w:p>
    <w:p>
      <w:pPr>
        <w:pStyle w:val="BodyText"/>
        <w:spacing w:line="379" w:lineRule="auto" w:before="136"/>
        <w:ind w:left="512" w:right="0"/>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208" w:lineRule="exact"/>
        <w:ind w:right="0"/>
        <w:jc w:val="left"/>
      </w:pPr>
      <w:r>
        <w:rPr/>
        <w:t>司或业务期初至处置日的现金流量纳入合并现金流量表。</w:t>
      </w:r>
    </w:p>
    <w:p>
      <w:pPr>
        <w:pStyle w:val="BodyText"/>
        <w:spacing w:line="316" w:lineRule="auto" w:before="136"/>
        <w:ind w:right="94" w:firstLine="360"/>
        <w:jc w:val="left"/>
      </w:pPr>
      <w:r>
        <w:rPr>
          <w:spacing w:val="-2"/>
        </w:rPr>
        <w:t>因处置部分股权投资或其他原因丧失了对被投资方控制权时，对于处置后的剩余股权投资，本公司按照其在丧失控制权</w:t>
      </w:r>
      <w:r>
        <w:rPr/>
        <w:t> </w:t>
      </w: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79"/>
        <w:ind w:left="512" w:right="0"/>
        <w:jc w:val="left"/>
      </w:pPr>
      <w:r>
        <w:rPr/>
        <w:t>因其他投资方对子公司增资而导致本公司持股比例下降从而丧失控制权的，按照上述原则进行会计处理。</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7、现金及现金等价物的确定标准" w:id="171"/>
      <w:bookmarkEnd w:id="171"/>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在编制现金流量表时，将本公司库存现金以及可随时用于支付的存款确认为现金。将同时具备期限短（从购买日起三个</w:t>
      </w:r>
      <w:r>
        <w:rPr/>
        <w:t> 月内到期）、流动性强、易于转换为已知现金、价值变动风险很小四个条件的投资，确定为现金等价物。</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8、外币业务和外币报表折算" w:id="172"/>
      <w:bookmarkEnd w:id="172"/>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79" w:lineRule="auto"/>
        <w:ind w:left="512" w:right="2974"/>
        <w:jc w:val="left"/>
      </w:pPr>
      <w:r>
        <w:rPr/>
        <w:t>Ⅰ外币业务 外币业务采用交易发生日的即期汇率作为折算汇率将外币金额折合成人民币记账。</w:t>
      </w:r>
    </w:p>
    <w:p>
      <w:pPr>
        <w:pStyle w:val="BodyText"/>
        <w:spacing w:line="316" w:lineRule="auto" w:before="32"/>
        <w:ind w:right="0"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79" w:lineRule="auto" w:before="79"/>
        <w:ind w:left="512" w:right="0"/>
        <w:jc w:val="left"/>
      </w:pPr>
      <w:r>
        <w:rPr/>
        <w:t>Ⅱ外币财务报表的折算 </w:t>
      </w:r>
      <w:r>
        <w:rPr>
          <w:spacing w:val="-2"/>
        </w:rPr>
        <w:t>资产负债表中的资产和负债项目，采用资产负债表日的即期汇率折算；所有者权益项目除</w:t>
      </w:r>
      <w:r>
        <w:rPr>
          <w:rFonts w:ascii="宋体" w:hAnsi="宋体" w:cs="宋体" w:eastAsia="宋体" w:hint="default"/>
          <w:spacing w:val="-2"/>
        </w:rPr>
        <w:t>“</w:t>
      </w:r>
      <w:r>
        <w:rPr>
          <w:spacing w:val="-2"/>
        </w:rPr>
        <w:t>未分配利润</w:t>
      </w:r>
      <w:r>
        <w:rPr>
          <w:rFonts w:ascii="宋体" w:hAnsi="宋体" w:cs="宋体" w:eastAsia="宋体" w:hint="default"/>
          <w:spacing w:val="-2"/>
        </w:rPr>
        <w:t>”</w:t>
      </w:r>
      <w:r>
        <w:rPr>
          <w:spacing w:val="-2"/>
        </w:rPr>
        <w:t>项目外，其他</w:t>
      </w:r>
    </w:p>
    <w:p>
      <w:pPr>
        <w:pStyle w:val="BodyText"/>
        <w:spacing w:line="208" w:lineRule="exact"/>
        <w:ind w:right="0"/>
        <w:jc w:val="left"/>
      </w:pPr>
      <w:r>
        <w:rPr/>
        <w:t>项目采用发生时的即期汇率折算。利润表中的收入和费用项目，采用交易发生日的即期汇率折算。</w:t>
      </w:r>
    </w:p>
    <w:p>
      <w:pPr>
        <w:pStyle w:val="BodyText"/>
        <w:spacing w:line="240" w:lineRule="auto" w:before="136"/>
        <w:ind w:left="512" w:right="0"/>
        <w:jc w:val="left"/>
      </w:pPr>
      <w:r>
        <w:rPr/>
        <w:t>处置境外经营时，将与该境外经营相关的外币财务报表折算差额，自所有者权益项目转入处置当期损益。</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9、金融工具" w:id="173"/>
      <w:bookmarkEnd w:id="173"/>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4"/>
        <w:rPr>
          <w:rFonts w:ascii="宋体" w:hAnsi="宋体" w:cs="宋体" w:eastAsia="宋体" w:hint="default"/>
          <w:b/>
          <w:bCs/>
          <w:sz w:val="26"/>
          <w:szCs w:val="26"/>
        </w:rPr>
      </w:pPr>
    </w:p>
    <w:p>
      <w:pPr>
        <w:spacing w:line="379" w:lineRule="auto" w:before="0"/>
        <w:ind w:left="512" w:right="5674" w:firstLine="0"/>
        <w:jc w:val="left"/>
        <w:rPr>
          <w:rFonts w:ascii="宋体" w:hAnsi="宋体" w:cs="宋体" w:eastAsia="宋体" w:hint="default"/>
          <w:sz w:val="18"/>
          <w:szCs w:val="18"/>
        </w:rPr>
      </w:pPr>
      <w:r>
        <w:rPr>
          <w:rFonts w:ascii="宋体" w:hAnsi="宋体" w:cs="宋体" w:eastAsia="宋体" w:hint="default"/>
          <w:sz w:val="18"/>
          <w:szCs w:val="18"/>
        </w:rPr>
        <w:t>金融工具包括金融资产、金融负债和权益工具。 </w:t>
      </w:r>
      <w:r>
        <w:rPr>
          <w:rFonts w:ascii="宋体" w:hAnsi="宋体" w:cs="宋体" w:eastAsia="宋体" w:hint="default"/>
          <w:b/>
          <w:bCs/>
          <w:sz w:val="18"/>
          <w:szCs w:val="18"/>
        </w:rPr>
        <w:t>Ⅰ金融工具的分类</w:t>
      </w:r>
      <w:r>
        <w:rPr>
          <w:rFonts w:ascii="宋体" w:hAnsi="宋体" w:cs="宋体" w:eastAsia="宋体" w:hint="default"/>
          <w:sz w:val="18"/>
          <w:szCs w:val="18"/>
        </w:rPr>
      </w:r>
    </w:p>
    <w:p>
      <w:pPr>
        <w:pStyle w:val="BodyText"/>
        <w:spacing w:line="316" w:lineRule="auto" w:before="32"/>
        <w:ind w:right="0" w:firstLine="360"/>
        <w:jc w:val="left"/>
      </w:pPr>
      <w:r>
        <w:rPr>
          <w:spacing w:val="-2"/>
        </w:rPr>
        <w:t>金融资产和金融负债于初始确认时分类为：以公允价值计量且其变动计入当期损益的金融资产或金融负债，包括交易性</w:t>
      </w:r>
      <w:r>
        <w:rPr/>
        <w:t> 金融资产或金融负债；持有至到期投资；应收款项；可供出售金融资产；其他金融负债等。</w:t>
      </w:r>
    </w:p>
    <w:p>
      <w:pPr>
        <w:pStyle w:val="Heading5"/>
        <w:spacing w:line="240" w:lineRule="auto" w:before="79"/>
        <w:ind w:right="0"/>
        <w:jc w:val="left"/>
        <w:rPr>
          <w:b w:val="0"/>
          <w:bCs w:val="0"/>
        </w:rPr>
      </w:pPr>
      <w:r>
        <w:rPr/>
        <w:t>Ⅱ金融工具的确认依据和计量方法</w:t>
      </w:r>
      <w:r>
        <w:rPr>
          <w:b w:val="0"/>
          <w:bCs w:val="0"/>
        </w:rPr>
      </w:r>
    </w:p>
    <w:p>
      <w:pPr>
        <w:pStyle w:val="BodyText"/>
        <w:spacing w:line="379" w:lineRule="auto" w:before="136"/>
        <w:ind w:left="512" w:right="0"/>
        <w:jc w:val="left"/>
      </w:pPr>
      <w:r>
        <w:rPr/>
        <w:t>（</w:t>
      </w:r>
      <w:r>
        <w:rPr>
          <w:rFonts w:ascii="宋体" w:hAnsi="宋体" w:cs="宋体" w:eastAsia="宋体"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208" w:lineRule="exact"/>
        <w:ind w:right="0"/>
        <w:jc w:val="left"/>
      </w:pPr>
      <w:r>
        <w:rPr>
          <w:spacing w:val="-4"/>
        </w:rPr>
        <w:t>的交易费用计入当期损益。持有期间将取得的利息或现金股利确认为投资收益，期末将公允价值变动计入当期损益。处置时，</w:t>
      </w:r>
    </w:p>
    <w:p>
      <w:pPr>
        <w:pStyle w:val="BodyText"/>
        <w:spacing w:line="240" w:lineRule="auto" w:before="76"/>
        <w:ind w:right="0"/>
        <w:jc w:val="left"/>
      </w:pPr>
      <w:r>
        <w:rPr/>
        <w:t>其公允价值与初始入账金额之间的差额确认为投资收益，同时调整公允价值变动损益。</w:t>
      </w:r>
    </w:p>
    <w:p>
      <w:pPr>
        <w:pStyle w:val="BodyText"/>
        <w:spacing w:line="379" w:lineRule="auto" w:before="136"/>
        <w:ind w:left="512" w:right="0"/>
        <w:jc w:val="left"/>
      </w:pPr>
      <w:r>
        <w:rPr/>
        <w:t>（</w:t>
      </w:r>
      <w:r>
        <w:rPr>
          <w:rFonts w:ascii="宋体" w:hAnsi="宋体" w:cs="宋体" w:eastAsia="宋体" w:hint="default"/>
        </w:rPr>
        <w:t>2</w:t>
      </w:r>
      <w:r>
        <w:rPr/>
        <w:t>）持有至到期投资 </w:t>
      </w:r>
      <w:r>
        <w:rPr>
          <w:spacing w:val="-2"/>
        </w:rPr>
        <w:t>取得时按公允价值（扣除已到付息期但尚未领取的债券利息）和相关交易费用之和作为初始确认金额。持有期间按照摊</w:t>
      </w:r>
    </w:p>
    <w:p>
      <w:pPr>
        <w:pStyle w:val="BodyText"/>
        <w:spacing w:line="208" w:lineRule="exact"/>
        <w:ind w:right="0"/>
        <w:jc w:val="left"/>
      </w:pPr>
      <w:r>
        <w:rPr/>
        <w:t>余成本和实际利率计算确认利息收入，计入投资收益。实际利率在取得时确定，在该预期存续期间或适用的更短期间内保持</w:t>
      </w:r>
    </w:p>
    <w:p>
      <w:pPr>
        <w:pStyle w:val="BodyText"/>
        <w:spacing w:line="240" w:lineRule="auto" w:before="76"/>
        <w:ind w:right="0"/>
        <w:jc w:val="left"/>
      </w:pPr>
      <w:r>
        <w:rPr/>
        <w:t>不变。</w:t>
      </w:r>
    </w:p>
    <w:p>
      <w:pPr>
        <w:pStyle w:val="BodyText"/>
        <w:spacing w:line="379" w:lineRule="auto" w:before="136"/>
        <w:ind w:left="512" w:right="0"/>
        <w:jc w:val="left"/>
      </w:pPr>
      <w:r>
        <w:rPr/>
        <w:t>（</w:t>
      </w:r>
      <w:r>
        <w:rPr>
          <w:rFonts w:ascii="宋体" w:hAnsi="宋体" w:cs="宋体" w:eastAsia="宋体" w:hint="default"/>
        </w:rPr>
        <w:t>3</w:t>
      </w:r>
      <w:r>
        <w:rPr/>
        <w:t>）应收款项 </w:t>
      </w:r>
      <w:r>
        <w:rPr>
          <w:spacing w:val="-2"/>
        </w:rPr>
        <w:t>公司对外销售商品或提供劳务形成的应收债权，以及公司持有的其他企业的不包括在活跃市场上有报价的债务工具的债</w:t>
      </w:r>
    </w:p>
    <w:p>
      <w:pPr>
        <w:pStyle w:val="BodyText"/>
        <w:spacing w:line="208" w:lineRule="exact"/>
        <w:ind w:right="0"/>
        <w:jc w:val="left"/>
      </w:pPr>
      <w:r>
        <w:rPr/>
        <w:t>权，包括应收账款、其他应收款等，以向购货方应收的合同或协议价款作为初始确认金额；具有融资性质的，按其现值进行</w:t>
      </w:r>
    </w:p>
    <w:p>
      <w:pPr>
        <w:pStyle w:val="BodyText"/>
        <w:spacing w:line="240" w:lineRule="auto" w:before="76"/>
        <w:ind w:right="0"/>
        <w:jc w:val="left"/>
      </w:pPr>
      <w:r>
        <w:rPr/>
        <w:t>初始确认。收回或处置时，将取得的价款与该应收款项账面价值之间的差额计入当期损益。</w:t>
      </w:r>
    </w:p>
    <w:p>
      <w:pPr>
        <w:pStyle w:val="BodyText"/>
        <w:spacing w:line="379" w:lineRule="auto" w:before="136"/>
        <w:ind w:left="512" w:right="0"/>
        <w:jc w:val="left"/>
      </w:pPr>
      <w:r>
        <w:rPr/>
        <w:t>（</w:t>
      </w:r>
      <w:r>
        <w:rPr>
          <w:rFonts w:ascii="宋体" w:hAnsi="宋体" w:cs="宋体" w:eastAsia="宋体"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208" w:lineRule="exact"/>
        <w:ind w:right="0"/>
        <w:jc w:val="left"/>
      </w:pPr>
      <w:r>
        <w:rPr/>
        <w:t>初始确认金额。持有期间将取得的利息或现金股利确认为投资收益。期末以公允价值计量且将公允价值变动计入其他综合收</w:t>
      </w:r>
    </w:p>
    <w:p>
      <w:pPr>
        <w:pStyle w:val="BodyText"/>
        <w:spacing w:line="316" w:lineRule="auto" w:before="76"/>
        <w:ind w:right="0"/>
        <w:jc w:val="left"/>
      </w:pPr>
      <w:r>
        <w:rPr>
          <w:spacing w:val="-2"/>
        </w:rPr>
        <w:t>益。但是，在活跃市场中没有报价且其公允价值不能可靠计量的权益工具投资，以及与该权益工具挂钩并须通过交付该权益</w:t>
      </w:r>
      <w:r>
        <w:rPr>
          <w:spacing w:val="-66"/>
        </w:rPr>
        <w:t> </w:t>
      </w:r>
      <w:r>
        <w:rPr>
          <w:spacing w:val="-66"/>
        </w:rPr>
      </w:r>
      <w:r>
        <w:rPr>
          <w:spacing w:val="-4"/>
        </w:rPr>
        <w:t>工具结算的衍生金融资产，按照成本计量。处置时，将取得的价款与该金融资产账面价值之间的差额，计入投资损益；同时，</w:t>
      </w:r>
      <w:r>
        <w:rPr>
          <w:spacing w:val="-46"/>
        </w:rPr>
        <w:t> </w:t>
      </w:r>
      <w:r>
        <w:rPr>
          <w:spacing w:val="-46"/>
        </w:rPr>
      </w:r>
      <w:r>
        <w:rPr/>
        <w:t>将原直接计入其他综合收益的公允价值变动累计额对应处置部分的金额转出，计入当期损益。</w:t>
      </w:r>
    </w:p>
    <w:p>
      <w:pPr>
        <w:spacing w:after="0" w:line="316"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spacing w:line="379" w:lineRule="auto" w:before="44"/>
        <w:ind w:left="512" w:right="275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宋体" w:hAnsi="宋体" w:cs="宋体" w:eastAsia="宋体" w:hint="default"/>
          <w:b/>
          <w:bCs/>
          <w:sz w:val="18"/>
          <w:szCs w:val="18"/>
        </w:rPr>
        <w:t>Ⅲ金融资产转移的确认依据和计量方法</w:t>
      </w:r>
      <w:r>
        <w:rPr>
          <w:rFonts w:ascii="宋体" w:hAnsi="宋体" w:cs="宋体" w:eastAsia="宋体" w:hint="default"/>
          <w:sz w:val="18"/>
          <w:szCs w:val="18"/>
        </w:rPr>
      </w:r>
    </w:p>
    <w:p>
      <w:pPr>
        <w:pStyle w:val="BodyText"/>
        <w:spacing w:line="316" w:lineRule="auto" w:before="32"/>
        <w:ind w:right="0"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79" w:lineRule="auto" w:before="79"/>
        <w:ind w:left="512" w:right="0"/>
        <w:jc w:val="left"/>
      </w:pPr>
      <w:r>
        <w:rPr>
          <w:rFonts w:ascii="宋体" w:hAnsi="宋体" w:cs="宋体" w:eastAsia="宋体" w:hint="default"/>
          <w:b/>
          <w:bCs/>
        </w:rPr>
        <w:t>Ⅳ金融负债终止确认条件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w:t>
      </w:r>
    </w:p>
    <w:p>
      <w:pPr>
        <w:pStyle w:val="BodyText"/>
        <w:spacing w:line="208" w:lineRule="exact"/>
        <w:ind w:right="0"/>
        <w:jc w:val="both"/>
      </w:pPr>
      <w:r>
        <w:rPr/>
        <w:t>新金融负债方式替换现存金融负债，且新金融负债与现存金融负债的合同条款实质上不同的，则终止确认现存金融负债，并</w:t>
      </w:r>
    </w:p>
    <w:p>
      <w:pPr>
        <w:pStyle w:val="BodyText"/>
        <w:spacing w:line="316" w:lineRule="auto" w:before="76"/>
        <w:ind w:right="150"/>
        <w:jc w:val="both"/>
      </w:pPr>
      <w:r>
        <w:rPr>
          <w:spacing w:val="-2"/>
        </w:rPr>
        <w:t>同时确认新金融负债。对现存金融负债全部或部分合同条款作出实质性修改的，则终止确认现存金融负债或其一部分，同时</w:t>
      </w:r>
      <w:r>
        <w:rPr>
          <w:spacing w:val="-63"/>
        </w:rPr>
        <w:t> </w:t>
      </w:r>
      <w:r>
        <w:rPr>
          <w:spacing w:val="-63"/>
        </w:rPr>
      </w:r>
      <w:r>
        <w:rPr>
          <w:spacing w:val="-2"/>
        </w:rPr>
        <w:t>将修改条款后的金融负债确认为一项新金融负债。金融负债全部或部分终止确认时，终止确认的金融负债账面价值与支付对</w:t>
      </w:r>
      <w:r>
        <w:rPr>
          <w:spacing w:val="-64"/>
        </w:rPr>
        <w:t> </w:t>
      </w:r>
      <w:r>
        <w:rPr>
          <w:spacing w:val="-64"/>
        </w:rPr>
      </w:r>
      <w:r>
        <w:rPr/>
        <w:t>价（包括转出的非现金资产或承担的新金融负债）之间的差额，计入当期损益。</w:t>
      </w:r>
    </w:p>
    <w:p>
      <w:pPr>
        <w:spacing w:line="379" w:lineRule="auto" w:before="79"/>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Ⅴ金融资产和金融负债公允价值的确定方法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本公司采用公允价值计量的金融资产和金融负债全部直接参考活跃市场中的报价 </w:t>
      </w:r>
      <w:r>
        <w:rPr>
          <w:rFonts w:ascii="宋体" w:hAnsi="宋体" w:cs="宋体" w:eastAsia="宋体" w:hint="default"/>
          <w:b/>
          <w:bCs/>
          <w:sz w:val="18"/>
          <w:szCs w:val="18"/>
        </w:rPr>
        <w:t>Ⅵ金融资产（不含应收款项）减值准备计提</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w:t>
      </w:r>
    </w:p>
    <w:p>
      <w:pPr>
        <w:pStyle w:val="BodyText"/>
        <w:spacing w:line="208" w:lineRule="exact"/>
        <w:ind w:right="0"/>
        <w:jc w:val="both"/>
      </w:pPr>
      <w:r>
        <w:rPr/>
        <w:t>有客观证据表明某项金融资产发生减值的，计提减值准备。</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10、应收款项" w:id="174"/>
      <w:bookmarkEnd w:id="174"/>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75"/>
      <w:bookmarkEnd w:id="17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7"/>
        <w:gridCol w:w="5741"/>
      </w:tblGrid>
      <w:tr>
        <w:trPr>
          <w:trHeight w:val="715" w:hRule="exact"/>
        </w:trPr>
        <w:tc>
          <w:tcPr>
            <w:tcW w:w="3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本公司将单笔余额超过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的应收账款、单笔余额超过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的其他应收款，确定为单项金额重大的应收款项。</w:t>
            </w:r>
          </w:p>
        </w:tc>
      </w:tr>
      <w:tr>
        <w:trPr>
          <w:trHeight w:val="1961" w:hRule="exact"/>
        </w:trPr>
        <w:tc>
          <w:tcPr>
            <w:tcW w:w="3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在资产负债表日，本公司对应收款项单独进行减值测试，经测试发生了减</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值的，按其未来现金流量现值低于其账面价值的差额，确定减值损失，计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提坏账准备；对单项测试未减值的应收款项，按类似的信用风险特征划分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为若干组合，再按这些应收款项组合在资产负债表日余额的一定比例计算</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确定减值损失，计提坏账准备。本公司本年度无单项计提坏账准备的应收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款项。</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按信用风险特征组合计提坏账准备的应收款项" w:id="176"/>
      <w:bookmarkEnd w:id="17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押金、备付金、保证金及合并范围内应收组合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5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押金、备付金、保证金及合并范围内应 收组合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bookmarkStart w:name="（3）单项金额不重大但单独计提坏账准备的应收款项" w:id="177"/>
      <w:bookmarkEnd w:id="17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1、存货" w:id="178"/>
      <w:bookmarkEnd w:id="178"/>
      <w:r>
        <w:rPr>
          <w:b w:val="0"/>
          <w:bCs w:val="0"/>
        </w:rPr>
      </w:r>
      <w:r>
        <w:rPr>
          <w:rFonts w:ascii="Times New Roman" w:hAnsi="Times New Roman" w:cs="Times New Roman" w:eastAsia="Times New Roman" w:hint="default"/>
        </w:rPr>
        <w:t>11</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79" w:lineRule="auto"/>
        <w:ind w:left="512" w:right="0"/>
        <w:jc w:val="left"/>
      </w:pPr>
      <w:r>
        <w:rPr>
          <w:rFonts w:ascii="宋体" w:hAnsi="宋体" w:cs="宋体" w:eastAsia="宋体" w:hint="default"/>
          <w:b/>
          <w:bCs/>
        </w:rPr>
        <w:t>Ⅰ存货的分类</w:t>
      </w:r>
      <w:r>
        <w:rPr>
          <w:rFonts w:ascii="宋体" w:hAnsi="宋体" w:cs="宋体" w:eastAsia="宋体" w:hint="default"/>
          <w:b/>
          <w:bCs/>
          <w:w w:val="99"/>
        </w:rPr>
        <w:t> </w:t>
      </w:r>
      <w:r>
        <w:rPr>
          <w:spacing w:val="-2"/>
        </w:rPr>
        <w:t>存货是指本公司在日常活动中持有以备出售的商品、提供劳务过程中耗用的材料和物料等。主要包括原材料、库存商品</w:t>
      </w:r>
    </w:p>
    <w:p>
      <w:pPr>
        <w:pStyle w:val="BodyText"/>
        <w:spacing w:line="208" w:lineRule="exact"/>
        <w:ind w:right="0"/>
        <w:jc w:val="both"/>
      </w:pPr>
      <w:r>
        <w:rPr/>
        <w:t>和低值易耗品等。</w:t>
      </w:r>
    </w:p>
    <w:p>
      <w:pPr>
        <w:pStyle w:val="BodyText"/>
        <w:spacing w:line="379" w:lineRule="auto" w:before="136"/>
        <w:ind w:left="512" w:right="0"/>
        <w:jc w:val="left"/>
      </w:pPr>
      <w:r>
        <w:rPr>
          <w:rFonts w:ascii="宋体" w:hAnsi="宋体" w:cs="宋体" w:eastAsia="宋体" w:hint="default"/>
          <w:b/>
          <w:bCs/>
        </w:rPr>
        <w:t>Ⅱ发出存货的计价方法</w:t>
      </w:r>
      <w:r>
        <w:rPr>
          <w:rFonts w:ascii="宋体" w:hAnsi="宋体" w:cs="宋体" w:eastAsia="宋体" w:hint="default"/>
          <w:b/>
          <w:bCs/>
          <w:w w:val="99"/>
        </w:rPr>
        <w:t> </w:t>
      </w:r>
      <w:r>
        <w:rPr>
          <w:spacing w:val="-2"/>
        </w:rPr>
        <w:t>存货在取得时，按成本进行初始计量，包括采购成本、加工成本和其他成本。存货发出时，采用个别计价法确定发出存</w:t>
      </w:r>
    </w:p>
    <w:p>
      <w:pPr>
        <w:pStyle w:val="BodyText"/>
        <w:spacing w:line="208" w:lineRule="exact"/>
        <w:ind w:right="0"/>
        <w:jc w:val="both"/>
      </w:pPr>
      <w:r>
        <w:rPr/>
        <w:t>货的实际成本。</w:t>
      </w:r>
    </w:p>
    <w:p>
      <w:pPr>
        <w:spacing w:line="379" w:lineRule="auto" w:before="136"/>
        <w:ind w:left="512" w:right="158" w:firstLine="0"/>
        <w:jc w:val="left"/>
        <w:rPr>
          <w:rFonts w:ascii="宋体" w:hAnsi="宋体" w:cs="宋体" w:eastAsia="宋体" w:hint="default"/>
          <w:sz w:val="18"/>
          <w:szCs w:val="18"/>
        </w:rPr>
      </w:pPr>
      <w:r>
        <w:rPr>
          <w:rFonts w:ascii="宋体" w:hAnsi="宋体" w:cs="宋体" w:eastAsia="宋体" w:hint="default"/>
          <w:b/>
          <w:bCs/>
          <w:sz w:val="18"/>
          <w:szCs w:val="18"/>
        </w:rPr>
        <w:t>Ⅲ存货可变现净值的确定依据及存货跌价准备的计提方法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pacing w:val="-2"/>
          <w:sz w:val="18"/>
          <w:szCs w:val="18"/>
        </w:rPr>
        <w:t>资产负债表日，存货按照成本与可变现净值孰低计量。年末，在对存货进行全面盘点的基础上，对于存货因被淘汰、全</w:t>
      </w:r>
      <w:r>
        <w:rPr>
          <w:rFonts w:ascii="宋体" w:hAnsi="宋体" w:cs="宋体" w:eastAsia="宋体" w:hint="default"/>
          <w:sz w:val="18"/>
          <w:szCs w:val="18"/>
        </w:rPr>
      </w:r>
    </w:p>
    <w:p>
      <w:pPr>
        <w:pStyle w:val="BodyText"/>
        <w:spacing w:line="208" w:lineRule="exact"/>
        <w:ind w:right="0"/>
        <w:jc w:val="both"/>
      </w:pPr>
      <w:r>
        <w:rPr/>
        <w:t>部或部分陈旧过时或销售价格低于成本等原因导致成本高于可变现净值的部分，以及承揽工程预计存在的亏损部分，提取存</w:t>
      </w:r>
    </w:p>
    <w:p>
      <w:pPr>
        <w:pStyle w:val="BodyText"/>
        <w:spacing w:line="316" w:lineRule="auto" w:before="76"/>
        <w:ind w:right="150"/>
        <w:jc w:val="both"/>
      </w:pPr>
      <w:r>
        <w:rPr>
          <w:spacing w:val="-2"/>
        </w:rPr>
        <w:t>货跌价准备。存货跌价准备按单个存货项目的成本高于其可变现净值的差额提取。其中：对于产成品、商品和用于出售的材</w:t>
      </w:r>
      <w:r>
        <w:rPr>
          <w:spacing w:val="-64"/>
        </w:rPr>
        <w:t> </w:t>
      </w:r>
      <w:r>
        <w:rPr>
          <w:spacing w:val="-64"/>
        </w:rPr>
      </w:r>
      <w:r>
        <w:rPr>
          <w:spacing w:val="-2"/>
        </w:rPr>
        <w:t>料等直接用于出售的商品存货，在正常生产经营过程中，以该存货的估计售价减去估计的销售费用和相关税费后的金额，确</w:t>
      </w:r>
      <w:r>
        <w:rPr>
          <w:spacing w:val="-66"/>
        </w:rPr>
        <w:t> </w:t>
      </w:r>
      <w:r>
        <w:rPr>
          <w:spacing w:val="-66"/>
        </w:rPr>
      </w:r>
      <w:r>
        <w:rPr>
          <w:spacing w:val="-2"/>
        </w:rPr>
        <w:t>定其可变现净值；对于需要经过加工的材料存货，在正常生产经营过程中，以所生产的产成品的估计售价减去至完工时估计</w:t>
      </w:r>
      <w:r>
        <w:rPr>
          <w:spacing w:val="-63"/>
        </w:rPr>
        <w:t> </w:t>
      </w:r>
      <w:r>
        <w:rPr>
          <w:spacing w:val="-63"/>
        </w:rPr>
      </w:r>
      <w:r>
        <w:rPr>
          <w:spacing w:val="-2"/>
        </w:rPr>
        <w:t>将要发生的成本、估计销售费用和相关税费后的金额，确定其可变现净值；对于资产负债表日，同一项存货中一部分有合同</w:t>
      </w:r>
      <w:r>
        <w:rPr>
          <w:spacing w:val="-65"/>
        </w:rPr>
        <w:t> </w:t>
      </w:r>
      <w:r>
        <w:rPr>
          <w:spacing w:val="-65"/>
        </w:rPr>
      </w:r>
      <w:r>
        <w:rPr/>
        <w:t>价格约定、其他部分不存在合同价格的，分别确定其可变现净值。</w:t>
      </w:r>
    </w:p>
    <w:p>
      <w:pPr>
        <w:spacing w:line="379" w:lineRule="auto" w:before="79"/>
        <w:ind w:left="512" w:right="1134" w:firstLine="0"/>
        <w:jc w:val="left"/>
        <w:rPr>
          <w:rFonts w:ascii="宋体" w:hAnsi="宋体" w:cs="宋体" w:eastAsia="宋体" w:hint="default"/>
          <w:sz w:val="18"/>
          <w:szCs w:val="18"/>
        </w:rPr>
      </w:pPr>
      <w:r>
        <w:rPr>
          <w:rFonts w:ascii="宋体" w:hAnsi="宋体" w:cs="宋体" w:eastAsia="宋体" w:hint="default"/>
          <w:b/>
          <w:bCs/>
          <w:sz w:val="18"/>
          <w:szCs w:val="18"/>
        </w:rPr>
        <w:t>Ⅳ存货的盘存制度</w:t>
      </w:r>
      <w:r>
        <w:rPr>
          <w:rFonts w:ascii="宋体" w:hAnsi="宋体" w:cs="宋体" w:eastAsia="宋体" w:hint="default"/>
          <w:b/>
          <w:bCs/>
          <w:w w:val="99"/>
          <w:sz w:val="18"/>
          <w:szCs w:val="18"/>
        </w:rPr>
        <w:t> </w:t>
      </w:r>
      <w:r>
        <w:rPr>
          <w:rFonts w:ascii="宋体" w:hAnsi="宋体" w:cs="宋体" w:eastAsia="宋体" w:hint="default"/>
          <w:sz w:val="18"/>
          <w:szCs w:val="18"/>
        </w:rPr>
        <w:t>本公司的存货盘存制度为永续盘存制。本公司定期对存货进行清查，盘盈利得和盘亏损失计入当期损益。 </w:t>
      </w:r>
      <w:r>
        <w:rPr>
          <w:rFonts w:ascii="宋体" w:hAnsi="宋体" w:cs="宋体" w:eastAsia="宋体" w:hint="default"/>
          <w:b/>
          <w:bCs/>
          <w:sz w:val="18"/>
          <w:szCs w:val="18"/>
        </w:rPr>
        <w:t>Ⅴ低值易耗品的摊销方法</w:t>
      </w:r>
      <w:r>
        <w:rPr>
          <w:rFonts w:ascii="宋体" w:hAnsi="宋体" w:cs="宋体" w:eastAsia="宋体" w:hint="default"/>
          <w:sz w:val="18"/>
          <w:szCs w:val="18"/>
        </w:rPr>
      </w:r>
    </w:p>
    <w:p>
      <w:pPr>
        <w:pStyle w:val="BodyText"/>
        <w:spacing w:line="240" w:lineRule="auto" w:before="32"/>
        <w:ind w:left="512" w:right="0"/>
        <w:jc w:val="left"/>
      </w:pPr>
      <w:r>
        <w:rPr/>
        <w:t>低值易耗品采用一次转销法摊销。</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12、长期股权投资" w:id="179"/>
      <w:bookmarkEnd w:id="179"/>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2"/>
        <w:rPr>
          <w:rFonts w:ascii="宋体" w:hAnsi="宋体" w:cs="宋体" w:eastAsia="宋体" w:hint="default"/>
          <w:b/>
          <w:bCs/>
          <w:sz w:val="26"/>
          <w:szCs w:val="26"/>
        </w:rPr>
      </w:pPr>
    </w:p>
    <w:p>
      <w:pPr>
        <w:spacing w:line="379" w:lineRule="auto" w:before="0"/>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Ⅰ共同控制、重大影响的判断标准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208" w:lineRule="exact"/>
        <w:ind w:right="0"/>
        <w:jc w:val="both"/>
      </w:pPr>
      <w:r>
        <w:rPr/>
        <w:t>后才能决策。本公司与其他合营方一同对被投资单位实施共同控制且对被投资单位净资产享有权利的，被投资单位为本公司</w:t>
      </w:r>
    </w:p>
    <w:p>
      <w:pPr>
        <w:spacing w:after="0" w:line="208" w:lineRule="exact"/>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的合营企业。</w:t>
      </w:r>
    </w:p>
    <w:p>
      <w:pPr>
        <w:pStyle w:val="BodyText"/>
        <w:spacing w:line="316" w:lineRule="auto" w:before="136"/>
        <w:ind w:right="193"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Heading5"/>
        <w:spacing w:line="240" w:lineRule="auto" w:before="78"/>
        <w:ind w:right="0"/>
        <w:jc w:val="left"/>
        <w:rPr>
          <w:b w:val="0"/>
          <w:bCs w:val="0"/>
        </w:rPr>
      </w:pPr>
      <w:r>
        <w:rPr/>
        <w:t>Ⅱ初始投资成本的确定</w:t>
      </w:r>
      <w:r>
        <w:rPr>
          <w:b w:val="0"/>
          <w:bCs w:val="0"/>
        </w:rPr>
      </w:r>
    </w:p>
    <w:p>
      <w:pPr>
        <w:pStyle w:val="BodyText"/>
        <w:spacing w:line="379" w:lineRule="auto" w:before="136"/>
        <w:ind w:left="512" w:right="0"/>
        <w:jc w:val="left"/>
      </w:pPr>
      <w:r>
        <w:rPr/>
        <w:t>（</w:t>
      </w:r>
      <w:r>
        <w:rPr>
          <w:rFonts w:ascii="宋体" w:hAnsi="宋体" w:cs="宋体" w:eastAsia="宋体"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208" w:lineRule="exact"/>
        <w:ind w:right="0"/>
        <w:jc w:val="left"/>
      </w:pPr>
      <w:r>
        <w:rPr/>
        <w:t>合并日按照取得被合并方所有者权益在最终控制方合并财务报表中的账面价值的份额作为长期股权投资的初始投资成本。</w:t>
      </w:r>
    </w:p>
    <w:p>
      <w:pPr>
        <w:pStyle w:val="BodyText"/>
        <w:spacing w:line="240" w:lineRule="auto" w:before="136"/>
        <w:ind w:left="512" w:right="0"/>
        <w:jc w:val="left"/>
      </w:pPr>
      <w:r>
        <w:rPr/>
        <w:t>非同一控制下的企业合并：公司按照购买日确定的合并成本作为长期股权投资的初始投资成本。</w:t>
      </w:r>
    </w:p>
    <w:p>
      <w:pPr>
        <w:pStyle w:val="BodyText"/>
        <w:spacing w:line="379" w:lineRule="auto" w:before="136"/>
        <w:ind w:left="512" w:right="2074"/>
        <w:jc w:val="left"/>
        <w:rPr>
          <w:rFonts w:ascii="宋体" w:hAnsi="宋体" w:cs="宋体" w:eastAsia="宋体" w:hint="default"/>
        </w:rPr>
      </w:pPr>
      <w:r>
        <w:rPr/>
        <w:t>（</w:t>
      </w:r>
      <w:r>
        <w:rPr>
          <w:rFonts w:ascii="宋体" w:hAnsi="宋体" w:cs="宋体" w:eastAsia="宋体"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rFonts w:ascii="宋体" w:hAnsi="宋体" w:cs="宋体" w:eastAsia="宋体" w:hint="default"/>
          <w:b/>
          <w:bCs/>
        </w:rPr>
        <w:t>Ⅲ后续计量及损益确认方法</w:t>
      </w:r>
      <w:r>
        <w:rPr>
          <w:rFonts w:ascii="宋体" w:hAnsi="宋体" w:cs="宋体" w:eastAsia="宋体" w:hint="default"/>
        </w:rPr>
      </w:r>
    </w:p>
    <w:p>
      <w:pPr>
        <w:pStyle w:val="BodyText"/>
        <w:spacing w:line="379" w:lineRule="auto" w:before="32"/>
        <w:ind w:left="512" w:right="0"/>
        <w:jc w:val="left"/>
      </w:pPr>
      <w:r>
        <w:rPr/>
        <w:t>（</w:t>
      </w:r>
      <w:r>
        <w:rPr>
          <w:rFonts w:ascii="宋体" w:hAnsi="宋体" w:cs="宋体" w:eastAsia="宋体"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08" w:lineRule="exact"/>
        <w:ind w:right="0"/>
        <w:jc w:val="left"/>
      </w:pPr>
      <w:r>
        <w:rPr/>
        <w:t>金股利或利润外，公司按照享有被投资单位宣告发放的现金股利或利润确认当期投资收益。</w:t>
      </w:r>
    </w:p>
    <w:p>
      <w:pPr>
        <w:pStyle w:val="BodyText"/>
        <w:spacing w:line="379" w:lineRule="auto" w:before="136"/>
        <w:ind w:left="512" w:right="0"/>
        <w:jc w:val="left"/>
      </w:pPr>
      <w:r>
        <w:rPr/>
        <w:t>（</w:t>
      </w:r>
      <w:r>
        <w:rPr>
          <w:rFonts w:ascii="宋体" w:hAnsi="宋体" w:cs="宋体" w:eastAsia="宋体"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208" w:lineRule="exact"/>
        <w:ind w:right="0"/>
        <w:jc w:val="left"/>
      </w:pPr>
      <w:r>
        <w:rPr/>
        <w:t>允价值份额的差额，不调整长期股权投资的初始投资成本；初始投资成本小于投资时应享有被投资单位可辨认净资产公允价</w:t>
      </w:r>
    </w:p>
    <w:p>
      <w:pPr>
        <w:pStyle w:val="BodyText"/>
        <w:spacing w:line="379" w:lineRule="auto" w:before="76"/>
        <w:ind w:left="512" w:right="0" w:hanging="360"/>
        <w:jc w:val="left"/>
      </w:pPr>
      <w:r>
        <w:rPr/>
        <w:t>值份额的差额，计入当期损益。 </w:t>
      </w:r>
      <w:r>
        <w:rPr>
          <w:spacing w:val="-2"/>
        </w:rPr>
        <w:t>公司按照应享有或应分担的被投资单位实现的净损益和其他综合收益的份额，分别确认投资收益和其他综合收益，同时</w:t>
      </w:r>
    </w:p>
    <w:p>
      <w:pPr>
        <w:pStyle w:val="BodyText"/>
        <w:spacing w:line="208" w:lineRule="exact"/>
        <w:ind w:right="0"/>
        <w:jc w:val="left"/>
      </w:pPr>
      <w:r>
        <w:rPr/>
        <w:t>调整长期股权投资的账面价值；按照被投资单位宣告分派的利润或现金股利计算应享有的部分，相应减少长期股权投资的账</w:t>
      </w:r>
    </w:p>
    <w:p>
      <w:pPr>
        <w:pStyle w:val="BodyText"/>
        <w:spacing w:line="316" w:lineRule="auto" w:before="76"/>
        <w:ind w:right="0"/>
        <w:jc w:val="left"/>
      </w:pP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316" w:lineRule="auto" w:before="79"/>
        <w:ind w:right="190"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6" w:lineRule="auto" w:before="79"/>
        <w:ind w:right="9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79" w:lineRule="auto" w:before="79"/>
        <w:ind w:left="512" w:right="3694"/>
        <w:jc w:val="left"/>
      </w:pPr>
      <w:r>
        <w:rPr/>
        <w:t>（</w:t>
      </w:r>
      <w:r>
        <w:rPr>
          <w:rFonts w:ascii="宋体" w:hAnsi="宋体" w:cs="宋体" w:eastAsia="宋体" w:hint="default"/>
        </w:rPr>
        <w:t>3</w:t>
      </w:r>
      <w:r>
        <w:rPr/>
        <w:t>）长期股权投资的处置 处置长期股权投资，其账面价值与实际取得价款的差额，计入当期损益。</w:t>
      </w:r>
    </w:p>
    <w:p>
      <w:pPr>
        <w:pStyle w:val="BodyText"/>
        <w:spacing w:line="316" w:lineRule="auto" w:before="32"/>
        <w:ind w:right="193"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spacing w:after="0" w:line="316" w:lineRule="auto"/>
        <w:jc w:val="both"/>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13、固定资产" w:id="180"/>
      <w:bookmarkEnd w:id="180"/>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1"/>
      <w:bookmarkEnd w:id="18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3" w:firstLine="360"/>
        <w:jc w:val="both"/>
      </w:pPr>
      <w:r>
        <w:rPr>
          <w:spacing w:val="-2"/>
        </w:rPr>
        <w:t>固定资产指为生产商品、提供劳务、出租或经营管理而持有，并且使用寿命超过一个会计年度的有形资产。固定资产在</w:t>
      </w:r>
      <w:r>
        <w:rPr/>
        <w:t> </w:t>
      </w:r>
      <w:r>
        <w:rPr>
          <w:spacing w:val="-2"/>
        </w:rPr>
        <w:t>同时满足下列条件时予以确认：（</w:t>
      </w:r>
      <w:r>
        <w:rPr>
          <w:rFonts w:ascii="宋体" w:hAnsi="宋体" w:cs="宋体" w:eastAsia="宋体" w:hint="default"/>
          <w:spacing w:val="-2"/>
        </w:rPr>
        <w:t>1</w:t>
      </w:r>
      <w:r>
        <w:rPr>
          <w:spacing w:val="-2"/>
        </w:rPr>
        <w:t>）与该固定资产有关的经济利益很可能流入企业；（</w:t>
      </w:r>
      <w:r>
        <w:rPr>
          <w:rFonts w:ascii="宋体" w:hAnsi="宋体" w:cs="宋体" w:eastAsia="宋体" w:hint="default"/>
          <w:spacing w:val="-2"/>
        </w:rPr>
        <w:t>2</w:t>
      </w:r>
      <w:r>
        <w:rPr>
          <w:spacing w:val="-2"/>
        </w:rPr>
        <w:t>）该固定资产的成本能够可靠地计</w:t>
      </w:r>
      <w:r>
        <w:rPr>
          <w:spacing w:val="-66"/>
        </w:rPr>
        <w:t> </w:t>
      </w:r>
      <w:r>
        <w:rPr>
          <w:spacing w:val="-66"/>
        </w:rPr>
      </w:r>
      <w:r>
        <w:rPr/>
        <w:t>量。</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2）折旧方法" w:id="182"/>
      <w:bookmarkEnd w:id="18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2.71%</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14、借款费用" w:id="183"/>
      <w:bookmarkEnd w:id="183"/>
      <w:r>
        <w:rPr>
          <w:b w:val="0"/>
          <w:bCs w:val="0"/>
        </w:rPr>
      </w:r>
      <w:r>
        <w:rPr>
          <w:rFonts w:ascii="Times New Roman" w:hAnsi="Times New Roman" w:cs="Times New Roman" w:eastAsia="Times New Roman" w:hint="default"/>
        </w:rPr>
        <w:t>14</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79" w:lineRule="auto"/>
        <w:ind w:left="512" w:right="0"/>
        <w:jc w:val="left"/>
      </w:pPr>
      <w:r>
        <w:rPr>
          <w:rFonts w:ascii="宋体" w:hAnsi="宋体" w:cs="宋体" w:eastAsia="宋体" w:hint="default"/>
          <w:b/>
          <w:bCs/>
        </w:rPr>
        <w:t>Ⅰ借款费用资本化的确认原则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208" w:lineRule="exact"/>
        <w:ind w:right="0"/>
        <w:jc w:val="left"/>
      </w:pPr>
      <w:r>
        <w:rPr/>
        <w:t>借款费用，在发生时根据其发生额确认为费用，计入当期损益。</w:t>
      </w:r>
    </w:p>
    <w:p>
      <w:pPr>
        <w:pStyle w:val="BodyText"/>
        <w:spacing w:line="316" w:lineRule="auto" w:before="136"/>
        <w:ind w:right="0" w:firstLine="360"/>
        <w:jc w:val="left"/>
      </w:pPr>
      <w:r>
        <w:rPr/>
        <w:t>符合资本化条件的资产，是指需要经过相当长时间的购建或者生产活动才能达到预定可使用或者可销售状态的固定资</w:t>
      </w:r>
      <w:r>
        <w:rPr>
          <w:spacing w:val="2"/>
        </w:rPr>
        <w:t> </w:t>
      </w:r>
      <w:r>
        <w:rPr/>
        <w:t>产、投资性房地产和存货等资产。</w:t>
      </w:r>
    </w:p>
    <w:p>
      <w:pPr>
        <w:pStyle w:val="BodyText"/>
        <w:spacing w:line="240" w:lineRule="auto" w:before="79"/>
        <w:ind w:left="512" w:right="0"/>
        <w:jc w:val="left"/>
      </w:pPr>
      <w:r>
        <w:rPr/>
        <w:t>借款费用同时满足下列条件时开始资本化：</w:t>
      </w:r>
    </w:p>
    <w:p>
      <w:pPr>
        <w:pStyle w:val="BodyText"/>
        <w:spacing w:line="316" w:lineRule="auto" w:before="136"/>
        <w:ind w:right="184" w:firstLine="360"/>
        <w:jc w:val="left"/>
      </w:pPr>
      <w:r>
        <w:rPr/>
        <w:t>（</w:t>
      </w:r>
      <w:r>
        <w:rPr>
          <w:rFonts w:ascii="宋体" w:hAnsi="宋体" w:cs="宋体" w:eastAsia="宋体"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79"/>
        <w:ind w:left="512" w:right="0"/>
        <w:jc w:val="left"/>
      </w:pPr>
      <w:r>
        <w:rPr/>
        <w:t>（</w:t>
      </w:r>
      <w:r>
        <w:rPr>
          <w:rFonts w:ascii="宋体" w:hAnsi="宋体" w:cs="宋体" w:eastAsia="宋体" w:hint="default"/>
        </w:rPr>
        <w:t>2</w:t>
      </w:r>
      <w:r>
        <w:rPr/>
        <w:t>）借款费用已经发生；</w:t>
      </w:r>
    </w:p>
    <w:p>
      <w:pPr>
        <w:spacing w:line="379" w:lineRule="auto" w:before="136"/>
        <w:ind w:left="512" w:right="270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）为使资产达到预定可使用或者可销售状态所必要的购建或者生产活动已经开始。 </w:t>
      </w:r>
      <w:r>
        <w:rPr>
          <w:rFonts w:ascii="宋体" w:hAnsi="宋体" w:cs="宋体" w:eastAsia="宋体" w:hint="default"/>
          <w:b/>
          <w:bCs/>
          <w:sz w:val="18"/>
          <w:szCs w:val="18"/>
        </w:rPr>
        <w:t>Ⅱ借款费用资本化期间</w:t>
      </w:r>
      <w:r>
        <w:rPr>
          <w:rFonts w:ascii="宋体" w:hAnsi="宋体" w:cs="宋体" w:eastAsia="宋体" w:hint="default"/>
          <w:sz w:val="18"/>
          <w:szCs w:val="18"/>
        </w:rPr>
      </w:r>
    </w:p>
    <w:p>
      <w:pPr>
        <w:pStyle w:val="BodyText"/>
        <w:spacing w:line="379" w:lineRule="auto" w:before="32"/>
        <w:ind w:left="512" w:right="0"/>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08" w:lineRule="exact"/>
        <w:ind w:right="0"/>
        <w:jc w:val="left"/>
      </w:pPr>
      <w:r>
        <w:rPr/>
        <w:t>款费用资本化。</w:t>
      </w:r>
    </w:p>
    <w:p>
      <w:pPr>
        <w:pStyle w:val="BodyText"/>
        <w:spacing w:line="379" w:lineRule="auto" w:before="136"/>
        <w:ind w:left="512" w:right="0"/>
        <w:jc w:val="left"/>
      </w:pPr>
      <w:r>
        <w:rPr>
          <w:rFonts w:ascii="宋体" w:hAnsi="宋体" w:cs="宋体" w:eastAsia="宋体" w:hint="default"/>
          <w:b/>
          <w:bCs/>
        </w:rPr>
        <w:t>Ⅲ暂停资本化期间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个月的，则借款费用暂停资本化；</w:t>
      </w:r>
    </w:p>
    <w:p>
      <w:pPr>
        <w:pStyle w:val="BodyText"/>
        <w:spacing w:line="208" w:lineRule="exact"/>
        <w:ind w:right="0"/>
        <w:jc w:val="left"/>
      </w:pPr>
      <w:r>
        <w:rPr/>
        <w:t>该项中断如是所购建或生产的符合资本化条件的资产达到预定可使用状态或者可销售状态必要的程序</w:t>
      </w:r>
      <w:r>
        <w:rPr>
          <w:spacing w:val="-82"/>
        </w:rPr>
        <w:t>，</w:t>
      </w:r>
      <w:r>
        <w:rPr/>
        <w:t>则借款费用继续资本</w:t>
      </w:r>
    </w:p>
    <w:p>
      <w:pPr>
        <w:spacing w:line="379" w:lineRule="auto" w:before="76"/>
        <w:ind w:left="512" w:right="814" w:hanging="360"/>
        <w:jc w:val="left"/>
        <w:rPr>
          <w:rFonts w:ascii="宋体" w:hAnsi="宋体" w:cs="宋体" w:eastAsia="宋体" w:hint="default"/>
          <w:sz w:val="18"/>
          <w:szCs w:val="18"/>
        </w:rPr>
      </w:pPr>
      <w:r>
        <w:rPr>
          <w:rFonts w:ascii="宋体" w:hAnsi="宋体" w:cs="宋体" w:eastAsia="宋体" w:hint="default"/>
          <w:sz w:val="18"/>
          <w:szCs w:val="18"/>
        </w:rPr>
        <w:t>化。在中断期间发生的借款费用确认为当期损益，直至资产的购建或者生产活动重新开始后借款费用继续资本化。 </w:t>
      </w:r>
      <w:r>
        <w:rPr>
          <w:rFonts w:ascii="宋体" w:hAnsi="宋体" w:cs="宋体" w:eastAsia="宋体" w:hint="default"/>
          <w:b/>
          <w:bCs/>
          <w:sz w:val="18"/>
          <w:szCs w:val="18"/>
        </w:rPr>
        <w:t>Ⅳ借款费用资本化率、资本化金额的计算方法</w:t>
      </w:r>
      <w:r>
        <w:rPr>
          <w:rFonts w:ascii="宋体" w:hAnsi="宋体" w:cs="宋体" w:eastAsia="宋体" w:hint="default"/>
          <w:sz w:val="18"/>
          <w:szCs w:val="18"/>
        </w:rPr>
      </w:r>
    </w:p>
    <w:p>
      <w:pPr>
        <w:spacing w:after="0" w:line="379"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9"/>
        <w:rPr>
          <w:rFonts w:ascii="宋体" w:hAnsi="宋体" w:cs="宋体" w:eastAsia="宋体" w:hint="default"/>
          <w:b/>
          <w:bCs/>
          <w:sz w:val="25"/>
          <w:szCs w:val="25"/>
        </w:rPr>
      </w:pPr>
    </w:p>
    <w:p>
      <w:pPr>
        <w:pStyle w:val="BodyText"/>
        <w:spacing w:line="316" w:lineRule="auto" w:before="44"/>
        <w:ind w:right="153" w:firstLine="360"/>
        <w:jc w:val="both"/>
      </w:pPr>
      <w:r>
        <w:rPr>
          <w:spacing w:val="-2"/>
        </w:rPr>
        <w:t>对于为购建或者生产符合资本化条件的资产而借入的专门借款，以专门借款当期实际发生的借款费用，减去尚未动用的</w:t>
      </w:r>
      <w:r>
        <w:rPr/>
        <w:t> 借款资金存入银行取得的利息收入或进行暂时性投资取得的投资收益后的金额，来确定借款费用的资本化金额。</w:t>
      </w:r>
    </w:p>
    <w:p>
      <w:pPr>
        <w:pStyle w:val="BodyText"/>
        <w:spacing w:line="316" w:lineRule="auto" w:before="79"/>
        <w:ind w:right="153" w:firstLine="360"/>
        <w:jc w:val="both"/>
      </w:pPr>
      <w:r>
        <w:rPr>
          <w:spacing w:val="-2"/>
        </w:rPr>
        <w:t>对于为购建或者生产符合资本化条件的资产而占用的一般借款，根据累计资产支出超过专门借款部分的资产支出加权平</w:t>
      </w:r>
      <w:r>
        <w:rPr/>
        <w:t> </w:t>
      </w: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15、无形资产" w:id="184"/>
      <w:bookmarkEnd w:id="184"/>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85"/>
      <w:bookmarkEnd w:id="18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Heading5"/>
        <w:spacing w:line="240" w:lineRule="auto"/>
        <w:ind w:right="0"/>
        <w:jc w:val="left"/>
        <w:rPr>
          <w:b w:val="0"/>
          <w:bCs w:val="0"/>
        </w:rPr>
      </w:pPr>
      <w:r>
        <w:rPr/>
        <w:t>①无形资产的计价方法</w:t>
      </w:r>
      <w:r>
        <w:rPr>
          <w:b w:val="0"/>
          <w:bCs w:val="0"/>
        </w:rPr>
      </w:r>
    </w:p>
    <w:p>
      <w:pPr>
        <w:pStyle w:val="BodyText"/>
        <w:spacing w:line="379" w:lineRule="auto" w:before="136"/>
        <w:ind w:left="512" w:right="774"/>
        <w:jc w:val="left"/>
      </w:pPr>
      <w:r>
        <w:rPr>
          <w:rFonts w:ascii="宋体" w:hAnsi="宋体" w:cs="宋体" w:eastAsia="宋体" w:hint="default"/>
        </w:rPr>
        <w:t>A.</w:t>
      </w:r>
      <w:r>
        <w:rPr/>
        <w:t>公司取得无形资产时按成本进行初始计量； 外购无形资产的成本，包括购买价款、相关税费以及直接归属于使该项资产达到预定用途所发生的其他支出。 </w:t>
      </w:r>
      <w:r>
        <w:rPr>
          <w:rFonts w:ascii="宋体" w:hAnsi="宋体" w:cs="宋体" w:eastAsia="宋体" w:hint="default"/>
        </w:rPr>
        <w:t>B.</w:t>
      </w:r>
      <w:r>
        <w:rPr/>
        <w:t>后续计量</w:t>
      </w:r>
    </w:p>
    <w:p>
      <w:pPr>
        <w:pStyle w:val="BodyText"/>
        <w:spacing w:line="379" w:lineRule="auto" w:before="32"/>
        <w:ind w:left="512" w:right="0"/>
        <w:jc w:val="left"/>
      </w:pPr>
      <w:r>
        <w:rPr/>
        <w:t>在取得无形资产时分析判断其使用寿命。 </w:t>
      </w:r>
      <w:r>
        <w:rPr>
          <w:spacing w:val="-2"/>
        </w:rPr>
        <w:t>对于使用寿命有限的无形资产，在为企业带来经济利益的期限内按直线法摊销；无法预见无形资产为企业带来经济利益</w:t>
      </w:r>
    </w:p>
    <w:p>
      <w:pPr>
        <w:pStyle w:val="BodyText"/>
        <w:spacing w:line="208" w:lineRule="exact"/>
        <w:ind w:right="0"/>
        <w:jc w:val="left"/>
      </w:pPr>
      <w:r>
        <w:rPr/>
        <w:t>期限的，视为使用寿命不确定的无形资产，不予摊销。</w:t>
      </w:r>
    </w:p>
    <w:p>
      <w:pPr>
        <w:pStyle w:val="Heading5"/>
        <w:spacing w:line="240" w:lineRule="auto" w:before="136"/>
        <w:ind w:right="0"/>
        <w:jc w:val="left"/>
        <w:rPr>
          <w:b w:val="0"/>
          <w:bCs w:val="0"/>
        </w:rPr>
      </w:pPr>
      <w:r>
        <w:rPr/>
        <w:t>②使用寿命有限的无形资产的使用寿命估计情况：</w:t>
      </w:r>
      <w:r>
        <w:rPr>
          <w:b w:val="0"/>
          <w:bCs w:val="0"/>
        </w:rPr>
      </w:r>
    </w:p>
    <w:p>
      <w:pPr>
        <w:spacing w:line="240" w:lineRule="auto" w:before="10"/>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3778"/>
        <w:gridCol w:w="2364"/>
        <w:gridCol w:w="3516"/>
      </w:tblGrid>
      <w:tr>
        <w:trPr>
          <w:trHeight w:val="343" w:hRule="exact"/>
        </w:trPr>
        <w:tc>
          <w:tcPr>
            <w:tcW w:w="3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341" w:hRule="exact"/>
        </w:trPr>
        <w:tc>
          <w:tcPr>
            <w:tcW w:w="3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外购软件</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pStyle w:val="BodyText"/>
        <w:spacing w:line="379" w:lineRule="auto" w:before="8"/>
        <w:ind w:left="512" w:right="3474"/>
        <w:jc w:val="left"/>
      </w:pPr>
      <w:r>
        <w:rPr/>
        <w:t>每年度终了，对使用寿命有限的无形资产的使用寿命及摊销方法进行复核。 经复核，本年期末无形资产的使用寿命及摊销方法与以前估计未有不同。</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2）内部研究开发支出会计政策" w:id="186"/>
      <w:bookmarkEnd w:id="18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79" w:lineRule="auto"/>
        <w:ind w:left="512" w:right="1674"/>
        <w:jc w:val="left"/>
      </w:pPr>
      <w:r>
        <w:rPr>
          <w:rFonts w:ascii="宋体" w:hAnsi="宋体" w:cs="宋体" w:eastAsia="宋体" w:hint="default"/>
          <w:b/>
          <w:bCs/>
        </w:rPr>
        <w:t>①划分研究阶段和开发阶段的具体标准</w:t>
      </w:r>
      <w:r>
        <w:rPr>
          <w:rFonts w:ascii="宋体" w:hAnsi="宋体" w:cs="宋体" w:eastAsia="宋体" w:hint="default"/>
          <w:b/>
          <w:bCs/>
          <w:w w:val="99"/>
        </w:rPr>
        <w:t> </w:t>
      </w:r>
      <w:r>
        <w:rPr/>
        <w:t>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32"/>
        <w:ind w:right="150" w:firstLine="360"/>
        <w:jc w:val="both"/>
      </w:pPr>
      <w:r>
        <w:rPr>
          <w:spacing w:val="-2"/>
        </w:rPr>
        <w:t>开发阶段：在进行商业性生产或使用前，将研究成果或其他知识应用于某项计划或设计，以生产出新的或具有实质性改</w:t>
      </w:r>
      <w:r>
        <w:rPr/>
        <w:t> 进的材料、装置、产品等活动的阶段。</w:t>
      </w:r>
    </w:p>
    <w:p>
      <w:pPr>
        <w:pStyle w:val="BodyText"/>
        <w:spacing w:line="316" w:lineRule="auto" w:before="79"/>
        <w:ind w:right="150" w:firstLine="360"/>
        <w:jc w:val="both"/>
      </w:pPr>
      <w:r>
        <w:rPr>
          <w:spacing w:val="-2"/>
        </w:rPr>
        <w:t>本公司内部研究开发项目主要是数据融合平台的研发。本公司在完成创新业务模式预研、需求调研分析和关键技术预研</w:t>
      </w:r>
      <w:r>
        <w:rPr/>
        <w:t> </w:t>
      </w:r>
      <w:r>
        <w:rPr>
          <w:spacing w:val="-2"/>
        </w:rPr>
        <w:t>等前期工作后，确定平台各组件的开发、满足客户需求的开发方向，并确定技术可以完善组件功能时作为开发支出资本化的</w:t>
      </w:r>
      <w:r>
        <w:rPr>
          <w:spacing w:val="-63"/>
        </w:rPr>
        <w:t> </w:t>
      </w:r>
      <w:r>
        <w:rPr>
          <w:spacing w:val="-63"/>
        </w:rPr>
      </w:r>
      <w:r>
        <w:rPr/>
        <w:t>起始时点。</w:t>
      </w:r>
    </w:p>
    <w:p>
      <w:pPr>
        <w:spacing w:line="379" w:lineRule="auto" w:before="79"/>
        <w:ind w:left="512" w:right="4374" w:firstLine="0"/>
        <w:jc w:val="left"/>
        <w:rPr>
          <w:rFonts w:ascii="宋体" w:hAnsi="宋体" w:cs="宋体" w:eastAsia="宋体" w:hint="default"/>
          <w:sz w:val="18"/>
          <w:szCs w:val="18"/>
        </w:rPr>
      </w:pPr>
      <w:r>
        <w:rPr>
          <w:rFonts w:ascii="宋体" w:hAnsi="宋体" w:cs="宋体" w:eastAsia="宋体" w:hint="default"/>
          <w:b/>
          <w:bCs/>
          <w:sz w:val="18"/>
          <w:szCs w:val="18"/>
        </w:rPr>
        <w:t>②开发阶段支出资本化的具体条件</w:t>
      </w:r>
      <w:r>
        <w:rPr>
          <w:rFonts w:ascii="宋体" w:hAnsi="宋体" w:cs="宋体" w:eastAsia="宋体" w:hint="default"/>
          <w:b/>
          <w:bCs/>
          <w:w w:val="99"/>
          <w:sz w:val="18"/>
          <w:szCs w:val="18"/>
        </w:rPr>
        <w:t> </w:t>
      </w:r>
      <w:r>
        <w:rPr>
          <w:rFonts w:ascii="宋体" w:hAnsi="宋体" w:cs="宋体" w:eastAsia="宋体" w:hint="default"/>
          <w:sz w:val="18"/>
          <w:szCs w:val="18"/>
        </w:rPr>
        <w:t>A.</w:t>
      </w:r>
      <w:r>
        <w:rPr>
          <w:rFonts w:ascii="宋体" w:hAnsi="宋体" w:cs="宋体" w:eastAsia="宋体" w:hint="default"/>
          <w:sz w:val="18"/>
          <w:szCs w:val="18"/>
        </w:rPr>
        <w:t>完成该无形资产以使其能够使用或出售在技术上具有可行性； </w:t>
      </w:r>
      <w:r>
        <w:rPr>
          <w:rFonts w:ascii="宋体" w:hAnsi="宋体" w:cs="宋体" w:eastAsia="宋体" w:hint="default"/>
          <w:sz w:val="18"/>
          <w:szCs w:val="18"/>
        </w:rPr>
        <w:t>B.</w:t>
      </w:r>
      <w:r>
        <w:rPr>
          <w:rFonts w:ascii="宋体" w:hAnsi="宋体" w:cs="宋体" w:eastAsia="宋体" w:hint="default"/>
          <w:sz w:val="18"/>
          <w:szCs w:val="18"/>
        </w:rPr>
        <w:t>具有完成该无形资产并使用或出售的意图；</w:t>
      </w:r>
    </w:p>
    <w:p>
      <w:pPr>
        <w:pStyle w:val="BodyText"/>
        <w:spacing w:line="316" w:lineRule="auto" w:before="32"/>
        <w:ind w:right="153" w:firstLine="360"/>
        <w:jc w:val="both"/>
      </w:pPr>
      <w:r>
        <w:rPr>
          <w:rFonts w:ascii="宋体" w:hAnsi="宋体" w:cs="宋体" w:eastAsia="宋体" w:hint="default"/>
          <w:spacing w:val="-2"/>
        </w:rPr>
        <w:t>C.</w:t>
      </w:r>
      <w:r>
        <w:rPr>
          <w:spacing w:val="-2"/>
        </w:rPr>
        <w:t>无形资产产生经济利益的方式，包括能够证明运用该无形资产生产的产品存在市场或无形资产自身存在市场，无形资</w:t>
      </w:r>
      <w:r>
        <w:rPr/>
        <w:t> 产将在内部使用的，应当证明其有用性；</w:t>
      </w:r>
    </w:p>
    <w:p>
      <w:pPr>
        <w:pStyle w:val="BodyText"/>
        <w:spacing w:line="379" w:lineRule="auto" w:before="79"/>
        <w:ind w:left="512" w:right="954"/>
        <w:jc w:val="left"/>
      </w:pPr>
      <w:r>
        <w:rPr>
          <w:rFonts w:ascii="宋体" w:hAnsi="宋体" w:cs="宋体" w:eastAsia="宋体" w:hint="default"/>
        </w:rPr>
        <w:t>D.</w:t>
      </w:r>
      <w:r>
        <w:rPr/>
        <w:t>有足够的技术、财务资源和其他资源支持，以完成该无形资产的开发，并有能力使用或出售该无形资产； </w:t>
      </w:r>
      <w:r>
        <w:rPr>
          <w:rFonts w:ascii="宋体" w:hAnsi="宋体" w:cs="宋体" w:eastAsia="宋体" w:hint="default"/>
        </w:rPr>
        <w:t>E.</w:t>
      </w:r>
      <w:r>
        <w:rPr/>
        <w:t>归属于该无形资产开发阶段的支出能够可靠地计量。</w:t>
      </w:r>
    </w:p>
    <w:p>
      <w:pPr>
        <w:spacing w:after="0" w:line="379"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0" w:firstLine="360"/>
        <w:jc w:val="left"/>
      </w:pPr>
      <w:r>
        <w:rPr>
          <w:spacing w:val="-2"/>
        </w:rPr>
        <w:t>不满足上述条件的开发阶段的支出，于发生时计入当期损益。以前期间已计入损益的开发支出不在以后期间重新确认为</w:t>
      </w:r>
      <w:r>
        <w:rPr/>
        <w:t> 资产。已资本化的开发阶段的支出在资产负债表上列示为开发支出，自该项目达到预定用途之日起转为无形资产。</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16、长期资产减值" w:id="187"/>
      <w:bookmarkEnd w:id="187"/>
      <w:r>
        <w:rPr>
          <w:b w:val="0"/>
          <w:bCs w:val="0"/>
        </w:rPr>
      </w:r>
      <w:r>
        <w:rPr>
          <w:rFonts w:ascii="Times New Roman" w:hAnsi="Times New Roman" w:cs="Times New Roman" w:eastAsia="Times New Roman" w:hint="default"/>
        </w:rPr>
        <w:t>16</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3"/>
        </w:rPr>
        <w:t> </w:t>
      </w:r>
      <w:r>
        <w:rPr>
          <w:spacing w:val="-63"/>
        </w:rPr>
      </w:r>
      <w:r>
        <w:rPr/>
        <w:t>备并计入减值损失。可收回金额为资产的公允价值减去处置费用后的净额与资产预计未来现金流量的现值两者之间的较高</w:t>
      </w:r>
      <w:r>
        <w:rPr>
          <w:spacing w:val="-11"/>
        </w:rPr>
        <w:t> </w:t>
      </w:r>
      <w:r>
        <w:rPr>
          <w:spacing w:val="-11"/>
        </w:rPr>
      </w:r>
      <w:r>
        <w:rPr>
          <w:spacing w:val="-2"/>
        </w:rPr>
        <w:t>者。资产减值准备按单项资产为基础计算并确认，如果难以对单项资产的可收回金额进行估计的，以该资产所属的资产组确</w:t>
      </w:r>
      <w:r>
        <w:rPr>
          <w:spacing w:val="-63"/>
        </w:rPr>
        <w:t> </w:t>
      </w:r>
      <w:r>
        <w:rPr>
          <w:spacing w:val="-63"/>
        </w:rPr>
      </w:r>
      <w:r>
        <w:rPr/>
        <w:t>定资产组的可收回金额。资产组是能够独立产生现金流入的最小资产组合。</w:t>
      </w:r>
    </w:p>
    <w:p>
      <w:pPr>
        <w:pStyle w:val="BodyText"/>
        <w:spacing w:line="379" w:lineRule="auto" w:before="79"/>
        <w:ind w:left="512" w:right="94"/>
        <w:jc w:val="left"/>
      </w:pPr>
      <w:r>
        <w:rPr/>
        <w:t>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208" w:lineRule="exact"/>
        <w:ind w:right="0"/>
        <w:jc w:val="left"/>
      </w:pPr>
      <w:r>
        <w:rPr/>
        <w:t>难以分摊至相关的资产组的，将其分摊至相关的资产组组合。在将商誉的账面价值分摊至相关的资产组或者资产组组合时，</w:t>
      </w:r>
    </w:p>
    <w:p>
      <w:pPr>
        <w:pStyle w:val="BodyText"/>
        <w:spacing w:line="316" w:lineRule="auto" w:before="76"/>
        <w:ind w:right="0"/>
        <w:jc w:val="left"/>
      </w:pP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79"/>
        <w:ind w:right="94"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17、长期待摊费用" w:id="188"/>
      <w:bookmarkEnd w:id="188"/>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长期待摊费用为已经发生但应由本期和以后各期负担的分摊期限在一年以上的各项费用。本公司长期待摊费用包括办公</w:t>
      </w:r>
      <w:r>
        <w:rPr/>
        <w:t> 楼装修费和技术支持费等。</w:t>
      </w:r>
    </w:p>
    <w:p>
      <w:pPr>
        <w:pStyle w:val="BodyText"/>
        <w:spacing w:line="240" w:lineRule="auto" w:before="79"/>
        <w:ind w:left="512" w:right="0"/>
        <w:jc w:val="left"/>
      </w:pPr>
      <w:r>
        <w:rPr/>
        <w:t>长期待摊费用在受益期内平均摊销。</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8、职工薪酬" w:id="189"/>
      <w:bookmarkEnd w:id="189"/>
      <w:r>
        <w:rPr>
          <w:b w:val="0"/>
          <w:bCs w:val="0"/>
        </w:rPr>
      </w:r>
      <w:r>
        <w:rPr>
          <w:rFonts w:ascii="Times New Roman" w:hAnsi="Times New Roman" w:cs="Times New Roman" w:eastAsia="Times New Roman" w:hint="default"/>
        </w:rPr>
        <w:t>18</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0"/>
      <w:bookmarkEnd w:id="19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79" w:lineRule="auto"/>
        <w:ind w:left="512"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208" w:lineRule="exact"/>
        <w:ind w:left="512" w:right="0" w:hanging="360"/>
        <w:jc w:val="left"/>
      </w:pPr>
      <w:r>
        <w:rPr/>
        <w:t>的会计期间，根据规定的计提基础和计提比例计算确定相应的职工薪酬金额。</w:t>
      </w:r>
    </w:p>
    <w:p>
      <w:pPr>
        <w:pStyle w:val="BodyText"/>
        <w:spacing w:line="240" w:lineRule="auto" w:before="136"/>
        <w:ind w:left="512" w:right="0"/>
        <w:jc w:val="left"/>
      </w:pPr>
      <w:r>
        <w:rPr/>
        <w:t>职工福利费为非货币性福利的，如能够可靠计量的，按照公允价值计量。</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离职后福利的会计处理方法" w:id="191"/>
      <w:bookmarkEnd w:id="19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本公司按当地政府的相关规定为职工缴纳基本养老保险和失业保险，在职工为本公司提供服务的会计期间，按以当地规</w:t>
      </w:r>
      <w:r>
        <w:rPr/>
        <w:t> 定的缴纳基数和比例计算应缴纳金额，确认为负债，并计入当期损益或相关资产成本。</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192"/>
      <w:bookmarkEnd w:id="19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0"/>
        <w:jc w:val="left"/>
      </w:pPr>
      <w:r>
        <w:rPr/>
        <w:t>本公司在不能单方面撤回因解除劳动关系计划或裁减建议所提供的辞退福利时</w:t>
      </w:r>
      <w:r>
        <w:rPr>
          <w:spacing w:val="-82"/>
        </w:rPr>
        <w:t>，</w:t>
      </w:r>
      <w:r>
        <w:rPr/>
        <w:t>或确认与涉及支付辞退福利的重组相关</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的成本或费用时（两者孰早），确认辞退福利产生的职工薪酬负债，并计入当期损益。</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9、股份支付" w:id="193"/>
      <w:bookmarkEnd w:id="193"/>
      <w:r>
        <w:rPr>
          <w:b w:val="0"/>
          <w:bCs w:val="0"/>
        </w:rPr>
      </w:r>
      <w:r>
        <w:rPr>
          <w:rFonts w:ascii="Times New Roman" w:hAnsi="Times New Roman" w:cs="Times New Roman" w:eastAsia="Times New Roman" w:hint="default"/>
        </w:rPr>
        <w:t>19</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3" w:firstLine="360"/>
        <w:jc w:val="both"/>
      </w:pPr>
      <w:r>
        <w:rPr>
          <w:spacing w:val="-2"/>
        </w:rPr>
        <w:t>本公司的股份支付是为了获取职工提供服务而授予权益工具或者承担以权益工具为基础确定的负债的交易。本公司的股</w:t>
      </w:r>
      <w:r>
        <w:rPr/>
        <w:t> 份支付为以权益结算的股份支付。</w:t>
      </w:r>
    </w:p>
    <w:p>
      <w:pPr>
        <w:pStyle w:val="BodyText"/>
        <w:spacing w:line="316" w:lineRule="auto" w:before="79"/>
        <w:ind w:right="94" w:firstLine="360"/>
        <w:jc w:val="left"/>
      </w:pPr>
      <w:r>
        <w:rPr>
          <w:spacing w:val="-2"/>
        </w:rPr>
        <w:t>以权益结算的股份支付换取职工提供服务的，以授予职工权益工具的公允价值计量。在等待期内每个资产负债表日，本</w:t>
      </w:r>
      <w:r>
        <w:rPr/>
        <w:t> </w:t>
      </w:r>
      <w:r>
        <w:rPr>
          <w:spacing w:val="-2"/>
        </w:rPr>
        <w:t>公司根据最新取得的</w:t>
      </w:r>
      <w:r>
        <w:rPr>
          <w:rFonts w:ascii="宋体" w:hAnsi="宋体" w:cs="宋体" w:eastAsia="宋体" w:hint="default"/>
          <w:spacing w:val="-2"/>
        </w:rPr>
        <w:t>[</w:t>
      </w:r>
      <w:r>
        <w:rPr>
          <w:spacing w:val="-2"/>
        </w:rPr>
        <w:t>可行权职工人数变动</w:t>
      </w:r>
      <w:r>
        <w:rPr>
          <w:rFonts w:ascii="宋体" w:hAnsi="宋体" w:cs="宋体" w:eastAsia="宋体" w:hint="default"/>
          <w:spacing w:val="-2"/>
        </w:rPr>
        <w:t>][</w:t>
      </w:r>
      <w:r>
        <w:rPr>
          <w:spacing w:val="-2"/>
        </w:rPr>
        <w:t>、是否达到规定业绩条件</w:t>
      </w:r>
      <w:r>
        <w:rPr>
          <w:rFonts w:ascii="宋体" w:hAnsi="宋体" w:cs="宋体" w:eastAsia="宋体" w:hint="default"/>
          <w:spacing w:val="-2"/>
        </w:rPr>
        <w:t>]</w:t>
      </w:r>
      <w:r>
        <w:rPr>
          <w:spacing w:val="-2"/>
        </w:rPr>
        <w:t>等后续信息对可行权权益工具数量作出最佳估计，以</w:t>
      </w:r>
      <w:r>
        <w:rPr>
          <w:spacing w:val="-59"/>
        </w:rPr>
        <w:t> </w:t>
      </w:r>
      <w:r>
        <w:rPr>
          <w:spacing w:val="-59"/>
        </w:rPr>
      </w:r>
      <w:r>
        <w:rPr>
          <w:spacing w:val="-2"/>
        </w:rPr>
        <w:t>此为基础，按照授予日的公允价值，将当期取得的服务计入相关成本或费用，相应增加资本公积。在可行权日之后不再对已</w:t>
      </w:r>
      <w:r>
        <w:rPr>
          <w:spacing w:val="-65"/>
        </w:rPr>
        <w:t> </w:t>
      </w:r>
      <w:r>
        <w:rPr>
          <w:spacing w:val="-65"/>
        </w:rPr>
      </w:r>
      <w:r>
        <w:rPr/>
        <w:t>确认的相关成本或费用和所有者权益总额进行调整。但授予后立即可行权的，在授予日按照公允价值计入相关成本或费用， 相应增加资本公积。</w:t>
      </w:r>
    </w:p>
    <w:p>
      <w:pPr>
        <w:pStyle w:val="BodyText"/>
        <w:spacing w:line="316" w:lineRule="auto" w:before="79"/>
        <w:ind w:right="193" w:firstLine="360"/>
        <w:jc w:val="both"/>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79"/>
        <w:ind w:right="190" w:firstLine="360"/>
        <w:jc w:val="both"/>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4"/>
        </w:rPr>
        <w:t> </w:t>
      </w:r>
      <w:r>
        <w:rPr>
          <w:spacing w:val="-64"/>
        </w:rPr>
      </w:r>
      <w:r>
        <w:rPr/>
        <w:t>益工具授予日认定所授予的新权益工具是用于替代被取消的权益工具的，则以与处理原权益工具条款和条件修改相同的方</w:t>
      </w:r>
      <w:r>
        <w:rPr>
          <w:spacing w:val="-11"/>
        </w:rPr>
        <w:t> </w:t>
      </w:r>
      <w:r>
        <w:rPr>
          <w:spacing w:val="-11"/>
        </w:rPr>
      </w:r>
      <w:r>
        <w:rPr/>
        <w:t>式，对所授予的替代权益工具进行处理。</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20、收入" w:id="194"/>
      <w:bookmarkEnd w:id="194"/>
      <w:r>
        <w:rPr>
          <w:b w:val="0"/>
          <w:bCs w:val="0"/>
        </w:rPr>
      </w:r>
      <w:r>
        <w:rPr>
          <w:rFonts w:ascii="Times New Roman" w:hAnsi="Times New Roman" w:cs="Times New Roman" w:eastAsia="Times New Roman" w:hint="default"/>
        </w:rPr>
        <w:t>20</w:t>
      </w:r>
      <w:r>
        <w:rPr/>
        <w:t>、收入</w:t>
      </w:r>
      <w:r>
        <w:rPr>
          <w:b w:val="0"/>
          <w:bCs w:val="0"/>
        </w:rPr>
      </w:r>
    </w:p>
    <w:p>
      <w:pPr>
        <w:spacing w:line="240" w:lineRule="auto" w:before="2"/>
        <w:rPr>
          <w:rFonts w:ascii="宋体" w:hAnsi="宋体" w:cs="宋体" w:eastAsia="宋体" w:hint="default"/>
          <w:b/>
          <w:bCs/>
          <w:sz w:val="26"/>
          <w:szCs w:val="26"/>
        </w:rPr>
      </w:pPr>
    </w:p>
    <w:p>
      <w:pPr>
        <w:spacing w:line="379" w:lineRule="auto" w:before="0"/>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Ⅰ销售商品收入确认时间的具体判断标准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公司已将商品所有权上的主要风险和报酬转移给购买方；公司既没有保留与所有权相联系的继续管理权，也没有对已售</w:t>
      </w:r>
    </w:p>
    <w:p>
      <w:pPr>
        <w:pStyle w:val="BodyText"/>
        <w:spacing w:line="208" w:lineRule="exact"/>
        <w:ind w:right="0"/>
        <w:jc w:val="left"/>
      </w:pPr>
      <w:r>
        <w:rPr/>
        <w:t>出的商品实施有效控制；收入的金额能够可靠地计量；相关的经济利益很可能流入企业；相关的已发生或将发生的成本能够</w:t>
      </w:r>
    </w:p>
    <w:p>
      <w:pPr>
        <w:pStyle w:val="BodyText"/>
        <w:spacing w:line="316" w:lineRule="auto" w:before="76"/>
        <w:ind w:right="0"/>
        <w:jc w:val="left"/>
      </w:pPr>
      <w:r>
        <w:rPr>
          <w:spacing w:val="-2"/>
        </w:rPr>
        <w:t>可靠地计量时，确认商品销售收入实现。合同或协议价款的收取采用递延方式，实质上具有融资性质的，按照应收的合同或</w:t>
      </w:r>
      <w:r>
        <w:rPr>
          <w:spacing w:val="-65"/>
        </w:rPr>
        <w:t> </w:t>
      </w:r>
      <w:r>
        <w:rPr>
          <w:spacing w:val="-65"/>
        </w:rPr>
      </w:r>
      <w:r>
        <w:rPr/>
        <w:t>协议价款的公允价值确定销售商品收入金额。</w:t>
      </w:r>
    </w:p>
    <w:p>
      <w:pPr>
        <w:pStyle w:val="BodyText"/>
        <w:spacing w:line="240" w:lineRule="auto" w:before="79"/>
        <w:ind w:left="512" w:right="0"/>
        <w:jc w:val="left"/>
      </w:pPr>
      <w:r>
        <w:rPr/>
        <w:t>具体地，本公司产品销售收入确认时点，根据合同约定而分为两种：</w:t>
      </w:r>
    </w:p>
    <w:p>
      <w:pPr>
        <w:pStyle w:val="BodyText"/>
        <w:spacing w:line="316" w:lineRule="auto" w:before="136"/>
        <w:ind w:right="193" w:firstLine="360"/>
        <w:jc w:val="both"/>
      </w:pPr>
      <w:r>
        <w:rPr/>
        <w:t>（</w:t>
      </w:r>
      <w:r>
        <w:rPr>
          <w:rFonts w:ascii="宋体" w:hAnsi="宋体" w:cs="宋体" w:eastAsia="宋体" w:hint="default"/>
        </w:rPr>
        <w:t>1</w:t>
      </w:r>
      <w:r>
        <w:rPr/>
        <w:t>）软件销售合同：指销售软件并附带提供相关培训、安装调试、技术支持和售后服务的合同，软件销售合同在产品 发出并经客户验收合格时确认收入。</w:t>
      </w:r>
    </w:p>
    <w:p>
      <w:pPr>
        <w:pStyle w:val="BodyText"/>
        <w:spacing w:line="316" w:lineRule="auto" w:before="79"/>
        <w:ind w:right="193" w:firstLine="360"/>
        <w:jc w:val="both"/>
      </w:pPr>
      <w:r>
        <w:rPr/>
        <w:t>（</w:t>
      </w:r>
      <w:r>
        <w:rPr>
          <w:rFonts w:ascii="宋体" w:hAnsi="宋体" w:cs="宋体" w:eastAsia="宋体" w:hint="default"/>
        </w:rPr>
        <w:t>2</w:t>
      </w:r>
      <w:r>
        <w:rPr/>
        <w:t>）硬件销售合同：指销售硬件并附带销售配套软件或者单独销售硬件的合同，硬件销售合同在硬件或者软硬件组成 的系统经客户验收合格后确认收入。</w:t>
      </w:r>
    </w:p>
    <w:p>
      <w:pPr>
        <w:spacing w:line="379" w:lineRule="auto" w:before="79"/>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Ⅱ劳务收入确认时间的具体判断标准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在资产负债表日劳务交易的结果能够可靠估计的，采用完工百分比法确认提供劳务收入。本公司根据已经提供的劳务占</w:t>
      </w:r>
    </w:p>
    <w:p>
      <w:pPr>
        <w:pStyle w:val="BodyText"/>
        <w:spacing w:line="208" w:lineRule="exact"/>
        <w:ind w:right="0"/>
        <w:jc w:val="left"/>
      </w:pPr>
      <w:r>
        <w:rPr/>
        <w:t>应提供劳务总量的比例，确定提供劳务交易的完工进度（完工百分比）。</w:t>
      </w:r>
    </w:p>
    <w:p>
      <w:pPr>
        <w:pStyle w:val="BodyText"/>
        <w:spacing w:line="240" w:lineRule="auto" w:before="136"/>
        <w:ind w:left="512" w:right="0"/>
        <w:jc w:val="left"/>
      </w:pPr>
      <w:r>
        <w:rPr/>
        <w:t>在资产负债表日提供劳务交易结果不能够可靠估计的，分别下列情况处理：</w:t>
      </w:r>
    </w:p>
    <w:p>
      <w:pPr>
        <w:pStyle w:val="BodyText"/>
        <w:spacing w:line="316" w:lineRule="auto" w:before="136"/>
        <w:ind w:right="193" w:firstLine="360"/>
        <w:jc w:val="both"/>
      </w:pPr>
      <w:r>
        <w:rPr>
          <w:rFonts w:ascii="宋体" w:hAnsi="宋体" w:cs="宋体" w:eastAsia="宋体" w:hint="default"/>
        </w:rPr>
        <w:t>A</w:t>
      </w:r>
      <w:r>
        <w:rPr/>
        <w:t>、已经发生的劳务成本预计能够得到补偿的，按照已经发生的劳务成本金额确认提供劳务收入，并按相同金额结转劳 务成本。</w:t>
      </w:r>
    </w:p>
    <w:p>
      <w:pPr>
        <w:pStyle w:val="BodyText"/>
        <w:spacing w:line="379" w:lineRule="auto" w:before="79"/>
        <w:ind w:left="512" w:right="724"/>
        <w:jc w:val="left"/>
      </w:pPr>
      <w:r>
        <w:rPr>
          <w:rFonts w:ascii="宋体" w:hAnsi="宋体" w:cs="宋体" w:eastAsia="宋体" w:hint="default"/>
        </w:rPr>
        <w:t>B</w:t>
      </w:r>
      <w:r>
        <w:rPr/>
        <w:t>、已经发生的劳务成本预计不能够得到补偿的，将已经发生的劳务成本计入当期损益，不确认提供劳务收入。 具体地：</w:t>
      </w:r>
    </w:p>
    <w:p>
      <w:pPr>
        <w:pStyle w:val="BodyText"/>
        <w:spacing w:line="316" w:lineRule="auto" w:before="32"/>
        <w:ind w:right="193" w:firstLine="360"/>
        <w:jc w:val="both"/>
      </w:pPr>
      <w:r>
        <w:rPr/>
        <w:t>（</w:t>
      </w:r>
      <w:r>
        <w:rPr>
          <w:rFonts w:ascii="宋体" w:hAnsi="宋体" w:cs="宋体" w:eastAsia="宋体" w:hint="default"/>
        </w:rPr>
        <w:t>1</w:t>
      </w:r>
      <w:r>
        <w:rPr/>
        <w:t>）增值服务合同：指在公司销售软件的基础上，完成客户特定需求的定制开发合同。增值服务合同按照合同约定的 </w:t>
      </w:r>
      <w:r>
        <w:rPr>
          <w:spacing w:val="-2"/>
        </w:rPr>
        <w:t>时间节点和里程碑，取得经客户确认的相关交付、初验、试运行、终验或者项目进度报告等文件时，结合客户付款方式分段</w:t>
      </w:r>
      <w:r>
        <w:rPr>
          <w:spacing w:val="-67"/>
        </w:rPr>
        <w:t> </w:t>
      </w:r>
      <w:r>
        <w:rPr>
          <w:spacing w:val="-67"/>
        </w:rPr>
      </w:r>
      <w:r>
        <w:rPr/>
        <w:t>确认收入。</w:t>
      </w:r>
    </w:p>
    <w:p>
      <w:pPr>
        <w:pStyle w:val="BodyText"/>
        <w:spacing w:line="240" w:lineRule="auto" w:before="79"/>
        <w:ind w:left="512" w:right="0"/>
        <w:jc w:val="left"/>
      </w:pPr>
      <w:r>
        <w:rPr/>
        <w:t>（</w:t>
      </w:r>
      <w:r>
        <w:rPr>
          <w:rFonts w:ascii="宋体" w:hAnsi="宋体" w:cs="宋体" w:eastAsia="宋体" w:hint="default"/>
        </w:rPr>
        <w:t>2</w:t>
      </w:r>
      <w:r>
        <w:rPr/>
        <w:t>）网络优化测试及维保和技术服务，合同约定了服务期限、合同总价，以及以</w:t>
      </w:r>
      <w:r>
        <w:rPr>
          <w:rFonts w:ascii="宋体" w:hAnsi="宋体" w:cs="宋体" w:eastAsia="宋体" w:hint="default"/>
        </w:rPr>
        <w:t>“</w:t>
      </w:r>
      <w:r>
        <w:rPr/>
        <w:t>人日</w:t>
      </w:r>
      <w:r>
        <w:rPr>
          <w:rFonts w:ascii="宋体" w:hAnsi="宋体" w:cs="宋体" w:eastAsia="宋体" w:hint="default"/>
        </w:rPr>
        <w:t>”</w:t>
      </w:r>
      <w:r>
        <w:rPr/>
        <w:t>、</w:t>
      </w:r>
      <w:r>
        <w:rPr>
          <w:rFonts w:ascii="宋体" w:hAnsi="宋体" w:cs="宋体" w:eastAsia="宋体" w:hint="default"/>
        </w:rPr>
        <w:t>“</w:t>
      </w:r>
      <w:r>
        <w:rPr/>
        <w:t>人月</w:t>
      </w:r>
      <w:r>
        <w:rPr>
          <w:rFonts w:ascii="宋体" w:hAnsi="宋体" w:cs="宋体" w:eastAsia="宋体" w:hint="default"/>
        </w:rPr>
        <w:t>”</w:t>
      </w:r>
      <w:r>
        <w:rPr/>
        <w:t>等作为计价结算</w:t>
      </w:r>
    </w:p>
    <w:p>
      <w:pPr>
        <w:spacing w:after="0" w:line="240" w:lineRule="auto"/>
        <w:jc w:val="left"/>
        <w:sectPr>
          <w:footerReference w:type="default" r:id="rId38"/>
          <w:pgSz w:w="11910" w:h="16840"/>
          <w:pgMar w:footer="982" w:header="745" w:top="1060" w:bottom="1180" w:left="980" w:right="940"/>
          <w:pgNumType w:start="132"/>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r>
        <w:rPr>
          <w:spacing w:val="-2"/>
        </w:rPr>
        <w:t>方式的，按照合同约定的方式按期结算并确认收入；不以</w:t>
      </w:r>
      <w:r>
        <w:rPr>
          <w:rFonts w:ascii="宋体" w:hAnsi="宋体" w:cs="宋体" w:eastAsia="宋体" w:hint="default"/>
          <w:spacing w:val="-2"/>
        </w:rPr>
        <w:t>“</w:t>
      </w:r>
      <w:r>
        <w:rPr>
          <w:spacing w:val="-2"/>
        </w:rPr>
        <w:t>人日</w:t>
      </w:r>
      <w:r>
        <w:rPr>
          <w:rFonts w:ascii="宋体" w:hAnsi="宋体" w:cs="宋体" w:eastAsia="宋体" w:hint="default"/>
          <w:spacing w:val="-2"/>
        </w:rPr>
        <w:t>”</w:t>
      </w:r>
      <w:r>
        <w:rPr>
          <w:spacing w:val="-2"/>
        </w:rPr>
        <w:t>、</w:t>
      </w:r>
      <w:r>
        <w:rPr>
          <w:rFonts w:ascii="宋体" w:hAnsi="宋体" w:cs="宋体" w:eastAsia="宋体" w:hint="default"/>
          <w:spacing w:val="-2"/>
        </w:rPr>
        <w:t>“</w:t>
      </w:r>
      <w:r>
        <w:rPr>
          <w:spacing w:val="-2"/>
        </w:rPr>
        <w:t>人月</w:t>
      </w:r>
      <w:r>
        <w:rPr>
          <w:rFonts w:ascii="宋体" w:hAnsi="宋体" w:cs="宋体" w:eastAsia="宋体" w:hint="default"/>
          <w:spacing w:val="-2"/>
        </w:rPr>
        <w:t>”</w:t>
      </w:r>
      <w:r>
        <w:rPr>
          <w:spacing w:val="-2"/>
        </w:rPr>
        <w:t>等作为计价结算方式的，根据服务期限按直线</w:t>
      </w:r>
      <w:r>
        <w:rPr>
          <w:spacing w:val="-65"/>
        </w:rPr>
        <w:t> </w:t>
      </w:r>
      <w:r>
        <w:rPr>
          <w:spacing w:val="-65"/>
        </w:rPr>
      </w:r>
      <w:r>
        <w:rPr/>
        <w:t>法确认收入。如果合同约定按里程碑验收并结算的，则根据客户确认的里程碑分阶段确认收入。</w:t>
      </w:r>
    </w:p>
    <w:p>
      <w:pPr>
        <w:pStyle w:val="BodyText"/>
        <w:spacing w:line="316" w:lineRule="auto" w:before="79"/>
        <w:ind w:right="150" w:firstLine="360"/>
        <w:jc w:val="both"/>
      </w:pPr>
      <w:r>
        <w:rPr>
          <w:spacing w:val="-2"/>
        </w:rPr>
        <w:t>本公司与其他企业签订的合同或协议包括销售商品和提供劳务时，销售商品部分和提供劳务部分能够区分且能够单独计</w:t>
      </w:r>
      <w:r>
        <w:rPr/>
        <w:t> </w:t>
      </w:r>
      <w:r>
        <w:rPr>
          <w:spacing w:val="-2"/>
        </w:rPr>
        <w:t>量的，将销售商品的部分作为销售商品处理，将提供劳务的部分作为提供劳务处理。销售商品部分和提供劳务部分不能够区</w:t>
      </w:r>
      <w:r>
        <w:rPr>
          <w:spacing w:val="-63"/>
        </w:rPr>
        <w:t> </w:t>
      </w:r>
      <w:r>
        <w:rPr>
          <w:spacing w:val="-63"/>
        </w:rPr>
      </w:r>
      <w:r>
        <w:rPr/>
        <w:t>分，或虽能区分但不能够单独计量的，将销售商品部分和提供劳务部分全部作为销售商品处理。</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21、政府补助" w:id="195"/>
      <w:bookmarkEnd w:id="195"/>
      <w:r>
        <w:rPr>
          <w:b w:val="0"/>
          <w:bCs w:val="0"/>
        </w:rPr>
      </w:r>
      <w:r>
        <w:rPr>
          <w:rFonts w:ascii="Times New Roman" w:hAnsi="Times New Roman" w:cs="Times New Roman" w:eastAsia="Times New Roman" w:hint="default"/>
        </w:rPr>
        <w:t>21</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196"/>
      <w:bookmarkEnd w:id="196"/>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0"/>
        <w:jc w:val="left"/>
      </w:pPr>
      <w:r>
        <w:rPr/>
        <w:t>本公司将政府补助划分为与资产相关的具体标准为：政府补助文件中明确约定该补助金额与长期资产相关。</w:t>
      </w:r>
    </w:p>
    <w:p>
      <w:pPr>
        <w:pStyle w:val="BodyText"/>
        <w:spacing w:line="379" w:lineRule="auto" w:before="136"/>
        <w:ind w:left="512" w:right="1494"/>
        <w:jc w:val="left"/>
      </w:pPr>
      <w:r>
        <w:rPr>
          <w:rFonts w:ascii="宋体" w:hAnsi="宋体" w:cs="宋体" w:eastAsia="宋体" w:hint="default"/>
          <w:b/>
          <w:bCs/>
        </w:rPr>
        <w:t>①会计处理方法</w:t>
      </w:r>
      <w:r>
        <w:rPr>
          <w:rFonts w:ascii="宋体" w:hAnsi="宋体" w:cs="宋体" w:eastAsia="宋体" w:hint="default"/>
          <w:b/>
          <w:bCs/>
          <w:w w:val="99"/>
        </w:rPr>
        <w:t> </w:t>
      </w:r>
      <w:r>
        <w:rPr/>
        <w:t>与资产相关的政府补助，确认为递延收益，按照所建造或购买的资产使用年限分期计入营业外收入。</w:t>
      </w:r>
    </w:p>
    <w:p>
      <w:pPr>
        <w:pStyle w:val="BodyText"/>
        <w:spacing w:line="379" w:lineRule="auto" w:before="32"/>
        <w:ind w:left="512" w:right="0"/>
        <w:jc w:val="left"/>
      </w:pPr>
      <w:r>
        <w:rPr>
          <w:rFonts w:ascii="宋体" w:hAnsi="宋体" w:cs="宋体" w:eastAsia="宋体" w:hint="default"/>
          <w:b/>
          <w:bCs/>
        </w:rPr>
        <w:t>②确认时点</w:t>
      </w:r>
      <w:r>
        <w:rPr>
          <w:rFonts w:ascii="宋体" w:hAnsi="宋体" w:cs="宋体" w:eastAsia="宋体" w:hint="default"/>
          <w:b/>
          <w:bCs/>
          <w:w w:val="99"/>
        </w:rPr>
        <w:t> </w:t>
      </w:r>
      <w:r>
        <w:rPr>
          <w:spacing w:val="-2"/>
        </w:rPr>
        <w:t>与政府补助相关的递延收益，在收到补助金额时确认。与研发项目相关的递延收益，在长期资产折旧，或者摊销时，配</w:t>
      </w:r>
    </w:p>
    <w:p>
      <w:pPr>
        <w:pStyle w:val="BodyText"/>
        <w:spacing w:line="208" w:lineRule="exact"/>
        <w:ind w:right="0"/>
        <w:jc w:val="left"/>
      </w:pPr>
      <w:r>
        <w:rPr/>
        <w:t>比转入营业外收入。补偿已发生费用、损失的补助，收到时计入营业外收入。补偿以后期间的补助，于相关费用、损失发生</w:t>
      </w:r>
    </w:p>
    <w:p>
      <w:pPr>
        <w:pStyle w:val="BodyText"/>
        <w:spacing w:line="240" w:lineRule="auto" w:before="76"/>
        <w:ind w:right="0"/>
        <w:jc w:val="left"/>
      </w:pPr>
      <w:r>
        <w:rPr/>
        <w:t>时计入营业外收入。</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与收益相关的政府补助判断依据及会计处理方法" w:id="197"/>
      <w:bookmarkEnd w:id="197"/>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360"/>
        <w:jc w:val="both"/>
      </w:pPr>
      <w:r>
        <w:rPr>
          <w:spacing w:val="-2"/>
        </w:rPr>
        <w:t>本公司将政府补助划分为与收益相关的具体标准为：政府补助文件中除明确约定其补助金额与长期资产相关外的补助金</w:t>
      </w:r>
      <w:r>
        <w:rPr/>
        <w:t> 额，一律作为与收益相关的政府补助。</w:t>
      </w:r>
    </w:p>
    <w:p>
      <w:pPr>
        <w:pStyle w:val="BodyText"/>
        <w:spacing w:line="379" w:lineRule="auto" w:before="79"/>
        <w:ind w:left="512" w:right="0"/>
        <w:jc w:val="left"/>
      </w:pPr>
      <w:r>
        <w:rPr>
          <w:rFonts w:ascii="宋体" w:hAnsi="宋体" w:cs="宋体" w:eastAsia="宋体" w:hint="default"/>
          <w:b/>
          <w:bCs/>
        </w:rPr>
        <w:t>①会计处理方法</w:t>
      </w:r>
      <w:r>
        <w:rPr>
          <w:rFonts w:ascii="宋体" w:hAnsi="宋体" w:cs="宋体" w:eastAsia="宋体" w:hint="default"/>
          <w:b/>
          <w:bCs/>
          <w:w w:val="99"/>
        </w:rPr>
        <w:t> </w:t>
      </w:r>
      <w:r>
        <w:rPr>
          <w:spacing w:val="-2"/>
        </w:rPr>
        <w:t>与收益相关的政府补助，用于补偿企业以后期间的相关费用或损失的，取得时确认为递延收益，在确认相关费用的期间</w:t>
      </w:r>
    </w:p>
    <w:p>
      <w:pPr>
        <w:pStyle w:val="BodyText"/>
        <w:spacing w:line="208" w:lineRule="exact"/>
        <w:ind w:right="0"/>
        <w:jc w:val="left"/>
      </w:pPr>
      <w:r>
        <w:rPr/>
        <w:t>计入当期营业外收入；用于补偿企业已发生的相关费用或损失的，取得时直接计入当期营业外收入。与研发项目相关的政府</w:t>
      </w:r>
    </w:p>
    <w:p>
      <w:pPr>
        <w:pStyle w:val="BodyText"/>
        <w:spacing w:line="240" w:lineRule="auto" w:before="76"/>
        <w:ind w:right="0"/>
        <w:jc w:val="left"/>
      </w:pPr>
      <w:r>
        <w:rPr/>
        <w:t>补助，在项目执行期内分期计入营业外收入。</w:t>
      </w:r>
    </w:p>
    <w:p>
      <w:pPr>
        <w:pStyle w:val="BodyText"/>
        <w:spacing w:line="379" w:lineRule="auto" w:before="136"/>
        <w:ind w:left="512" w:right="0"/>
        <w:jc w:val="left"/>
      </w:pPr>
      <w:r>
        <w:rPr>
          <w:rFonts w:ascii="宋体" w:hAnsi="宋体" w:cs="宋体" w:eastAsia="宋体" w:hint="default"/>
          <w:b/>
          <w:bCs/>
        </w:rPr>
        <w:t>②确认时点</w:t>
      </w:r>
      <w:r>
        <w:rPr>
          <w:rFonts w:ascii="宋体" w:hAnsi="宋体" w:cs="宋体" w:eastAsia="宋体" w:hint="default"/>
          <w:b/>
          <w:bCs/>
          <w:w w:val="99"/>
        </w:rPr>
        <w:t> </w:t>
      </w:r>
      <w:r>
        <w:rPr>
          <w:spacing w:val="-2"/>
        </w:rPr>
        <w:t>与政府补助相关的递延收益，在收到补助金额时确认。与研发项目相关的递延收益，在长期资产折旧，或者摊销时，配</w:t>
      </w:r>
    </w:p>
    <w:p>
      <w:pPr>
        <w:pStyle w:val="BodyText"/>
        <w:spacing w:line="208" w:lineRule="exact"/>
        <w:ind w:right="0"/>
        <w:jc w:val="left"/>
      </w:pPr>
      <w:r>
        <w:rPr/>
        <w:t>比转入营业外收入。补偿已发生费用、损失的补助，收到时计入营业外收入。补偿以后期间的补助，于相关费用、损失发生</w:t>
      </w:r>
    </w:p>
    <w:p>
      <w:pPr>
        <w:pStyle w:val="BodyText"/>
        <w:spacing w:line="240" w:lineRule="auto" w:before="76"/>
        <w:ind w:right="0"/>
        <w:jc w:val="left"/>
      </w:pPr>
      <w:r>
        <w:rPr/>
        <w:t>时计入营业外收入。</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2、递延所得税资产/递延所得税负债" w:id="198"/>
      <w:bookmarkEnd w:id="198"/>
      <w:r>
        <w:rPr>
          <w:b w:val="0"/>
          <w:bCs w:val="0"/>
        </w:rPr>
      </w: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48" w:firstLine="360"/>
        <w:jc w:val="both"/>
      </w:pPr>
      <w:r>
        <w:rPr/>
        <w:t>对于可抵扣暂时性差异确认递延所得税资产，以未来期间很可能取得的用来抵扣可抵扣暂时性差异的应纳税所得额为</w:t>
      </w:r>
      <w:r>
        <w:rPr>
          <w:spacing w:val="2"/>
        </w:rPr>
        <w:t>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79" w:lineRule="auto" w:before="79"/>
        <w:ind w:left="512"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208" w:lineRule="exact"/>
        <w:ind w:right="0"/>
        <w:jc w:val="left"/>
      </w:pPr>
      <w:r>
        <w:rPr/>
        <w:t>润也不影响应纳税所得额（或可抵扣亏损）的其他交易或事项。</w:t>
      </w:r>
    </w:p>
    <w:p>
      <w:pPr>
        <w:spacing w:after="0" w:line="208" w:lineRule="exact"/>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3、租赁" w:id="199"/>
      <w:bookmarkEnd w:id="199"/>
      <w:r>
        <w:rPr>
          <w:b w:val="0"/>
          <w:bCs w:val="0"/>
        </w:rPr>
      </w:r>
      <w:r>
        <w:rPr>
          <w:rFonts w:ascii="Times New Roman" w:hAnsi="Times New Roman" w:cs="Times New Roman" w:eastAsia="Times New Roman" w:hint="default"/>
        </w:rPr>
        <w:t>23</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00"/>
      <w:bookmarkEnd w:id="20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公司租入资产支付的租赁费，在不扣除免租期的整个租赁期内，按直线法分摊，计入当期费用。公司支付的与租赁交易</w:t>
      </w:r>
      <w:r>
        <w:rPr/>
        <w:t> 相关的初始直接费用，计入当期费用。</w:t>
      </w:r>
    </w:p>
    <w:p>
      <w:pPr>
        <w:pStyle w:val="BodyText"/>
        <w:spacing w:line="316" w:lineRule="auto" w:before="79"/>
        <w:ind w:right="0" w:firstLine="360"/>
        <w:jc w:val="left"/>
      </w:pPr>
      <w:r>
        <w:rPr>
          <w:spacing w:val="-2"/>
        </w:rPr>
        <w:t>公司出租资产所收取的租赁费，在不扣除免租期的整个租赁期内，按直线法进行分摊，确认为租赁收入。公司支付的与</w:t>
      </w:r>
      <w:r>
        <w:rPr/>
        <w:t> 租赁交易相关的初始直接费用，计入当期费用；</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24、其他重要的会计政策和会计估计" w:id="201"/>
      <w:bookmarkEnd w:id="201"/>
      <w:r>
        <w:rPr>
          <w:b w:val="0"/>
          <w:bCs w:val="0"/>
        </w:rPr>
      </w:r>
      <w:r>
        <w:rPr>
          <w:rFonts w:ascii="Times New Roman" w:hAnsi="Times New Roman" w:cs="Times New Roman" w:eastAsia="Times New Roman" w:hint="default"/>
        </w:rPr>
        <w:t>24</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本报告期公司重要会计政策和会计估计未发生变更。</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5、重要会计政策和会计估计变更" w:id="202"/>
      <w:bookmarkEnd w:id="202"/>
      <w:r>
        <w:rPr>
          <w:b w:val="0"/>
          <w:bCs w:val="0"/>
        </w:rPr>
      </w:r>
      <w:r>
        <w:rPr>
          <w:rFonts w:ascii="Times New Roman" w:hAnsi="Times New Roman" w:cs="Times New Roman" w:eastAsia="Times New Roman" w:hint="default"/>
        </w:rPr>
        <w:t>25</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03"/>
      <w:bookmarkEnd w:id="20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重要会计估计变更" w:id="204"/>
      <w:bookmarkEnd w:id="20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六、税项" w:id="205"/>
      <w:bookmarkEnd w:id="205"/>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06"/>
      <w:bookmarkEnd w:id="20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技术服务销售额、货物销售额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成都东方通科技有限责任公司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北京同德一心科技有限公司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北京东方通宇技术有限公司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北京数字天堂信息科技有限责任公司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东方通科技无锡有限公司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税收优惠" w:id="207"/>
      <w:bookmarkEnd w:id="20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79" w:lineRule="auto"/>
        <w:ind w:left="512" w:right="184"/>
        <w:jc w:val="left"/>
      </w:pPr>
      <w:r>
        <w:rPr>
          <w:rFonts w:ascii="宋体" w:hAnsi="宋体" w:cs="宋体" w:eastAsia="宋体" w:hint="default"/>
          <w:b/>
          <w:bCs/>
        </w:rPr>
        <w:t>Ⅰ增值税</w:t>
      </w:r>
      <w:r>
        <w:rPr>
          <w:rFonts w:ascii="宋体" w:hAnsi="宋体" w:cs="宋体" w:eastAsia="宋体" w:hint="default"/>
          <w:b/>
          <w:bCs/>
          <w:w w:val="99"/>
        </w:rPr>
        <w:t> </w:t>
      </w:r>
      <w:r>
        <w:rPr/>
        <w:t>根据《国务院关于印发进一步鼓励软件产业和集成电路产业发展若干政策的通知》（国发</w:t>
      </w:r>
      <w:r>
        <w:rPr>
          <w:rFonts w:ascii="宋体" w:hAnsi="宋体" w:cs="宋体" w:eastAsia="宋体" w:hint="default"/>
        </w:rPr>
        <w:t>[2011]4</w:t>
      </w:r>
      <w:r>
        <w:rPr/>
        <w:t>号）及《财政部、国</w:t>
      </w:r>
    </w:p>
    <w:p>
      <w:pPr>
        <w:pStyle w:val="BodyText"/>
        <w:spacing w:line="208" w:lineRule="exact"/>
        <w:ind w:right="0"/>
        <w:jc w:val="left"/>
      </w:pPr>
      <w:r>
        <w:rPr>
          <w:spacing w:val="-2"/>
        </w:rPr>
        <w:t>家税务总局关于软件产品增值税政策的通知》（财税</w:t>
      </w:r>
      <w:r>
        <w:rPr>
          <w:rFonts w:ascii="宋体" w:hAnsi="宋体" w:cs="宋体" w:eastAsia="宋体" w:hint="default"/>
          <w:spacing w:val="-2"/>
        </w:rPr>
        <w:t>[2011]100</w:t>
      </w:r>
      <w:r>
        <w:rPr>
          <w:spacing w:val="-2"/>
        </w:rPr>
        <w:t>号）的规定，本公司及子公司销售自行开发生产的软件产品，</w:t>
      </w:r>
    </w:p>
    <w:p>
      <w:pPr>
        <w:pStyle w:val="BodyText"/>
        <w:spacing w:line="379" w:lineRule="auto" w:before="76"/>
        <w:ind w:left="512" w:right="2704" w:hanging="360"/>
        <w:jc w:val="left"/>
        <w:rPr>
          <w:rFonts w:ascii="宋体" w:hAnsi="宋体" w:cs="宋体" w:eastAsia="宋体" w:hint="default"/>
        </w:rPr>
      </w:pPr>
      <w:r>
        <w:rPr/>
        <w:t>按</w:t>
      </w:r>
      <w:r>
        <w:rPr>
          <w:rFonts w:ascii="宋体" w:hAnsi="宋体" w:cs="宋体" w:eastAsia="宋体" w:hint="default"/>
        </w:rPr>
        <w:t>17%</w:t>
      </w:r>
      <w:r>
        <w:rPr/>
        <w:t>的法定税率征收增值税后，享受增值税实际税负超过</w:t>
      </w:r>
      <w:r>
        <w:rPr>
          <w:rFonts w:ascii="宋体" w:hAnsi="宋体" w:cs="宋体" w:eastAsia="宋体" w:hint="default"/>
        </w:rPr>
        <w:t>3%</w:t>
      </w:r>
      <w:r>
        <w:rPr/>
        <w:t>的部分即征即退的优惠政策。 </w:t>
      </w:r>
      <w:r>
        <w:rPr>
          <w:rFonts w:ascii="宋体" w:hAnsi="宋体" w:cs="宋体" w:eastAsia="宋体" w:hint="default"/>
          <w:b/>
          <w:bCs/>
        </w:rPr>
        <w:t>Ⅱ所得税</w:t>
      </w:r>
      <w:r>
        <w:rPr>
          <w:rFonts w:ascii="宋体" w:hAnsi="宋体" w:cs="宋体" w:eastAsia="宋体" w:hint="default"/>
        </w:rPr>
      </w:r>
    </w:p>
    <w:p>
      <w:pPr>
        <w:pStyle w:val="BodyText"/>
        <w:spacing w:line="316" w:lineRule="auto" w:before="32"/>
        <w:ind w:right="0" w:firstLine="360"/>
        <w:jc w:val="left"/>
      </w:pP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日，本公司被北京市科学技术委员会、北京市财政局、北京市国家税务局、北京市地方税务局认定为高新</w:t>
      </w:r>
      <w:r>
        <w:rPr/>
        <w:t> 技术企业。</w:t>
      </w:r>
    </w:p>
    <w:p>
      <w:pPr>
        <w:pStyle w:val="BodyText"/>
        <w:spacing w:line="316" w:lineRule="auto" w:before="79"/>
        <w:ind w:right="0" w:firstLine="360"/>
        <w:jc w:val="left"/>
      </w:pPr>
      <w:r>
        <w:rPr/>
        <w:t>根据《财政部、国家税务总局关于进一步鼓励软件产业和集成电路产业发展企业所得税政策的通知》（财税</w:t>
      </w:r>
      <w:r>
        <w:rPr>
          <w:rFonts w:ascii="宋体" w:hAnsi="宋体" w:cs="宋体" w:eastAsia="宋体" w:hint="default"/>
        </w:rPr>
        <w:t>[2012]27</w:t>
      </w:r>
      <w:r>
        <w:rPr>
          <w:rFonts w:ascii="宋体" w:hAnsi="宋体" w:cs="宋体" w:eastAsia="宋体" w:hint="default"/>
          <w:spacing w:val="-2"/>
        </w:rPr>
        <w:t> </w:t>
      </w:r>
      <w:r>
        <w:rPr/>
        <w:t>号）的规定，成都东方通科技有限责任公司</w:t>
      </w:r>
      <w:r>
        <w:rPr>
          <w:rFonts w:ascii="宋体" w:hAnsi="宋体" w:cs="宋体" w:eastAsia="宋体" w:hint="default"/>
        </w:rPr>
        <w:t>2014</w:t>
      </w:r>
      <w:r>
        <w:rPr/>
        <w:t>年、</w:t>
      </w:r>
      <w:r>
        <w:rPr>
          <w:rFonts w:ascii="宋体" w:hAnsi="宋体" w:cs="宋体" w:eastAsia="宋体" w:hint="default"/>
        </w:rPr>
        <w:t>2015</w:t>
      </w:r>
      <w:r>
        <w:rPr/>
        <w:t>年、</w:t>
      </w:r>
      <w:r>
        <w:rPr>
          <w:rFonts w:ascii="宋体" w:hAnsi="宋体" w:cs="宋体" w:eastAsia="宋体" w:hint="default"/>
        </w:rPr>
        <w:t>2016</w:t>
      </w:r>
      <w:r>
        <w:rPr/>
        <w:t>年减半征收企业所得税。</w:t>
      </w:r>
    </w:p>
    <w:p>
      <w:pPr>
        <w:pStyle w:val="BodyText"/>
        <w:spacing w:line="316" w:lineRule="auto" w:before="79"/>
        <w:ind w:right="184" w:firstLine="360"/>
        <w:jc w:val="left"/>
      </w:pPr>
      <w:r>
        <w:rPr/>
        <w:t>上海东方通泰软件科技有限公司于</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19</w:t>
      </w:r>
      <w:r>
        <w:rPr/>
        <w:t>日被上海市科学技术委员会、上海市财政局、上海市国家税务局、上海 市地方税务局认定为高新技术企业，有效期三年，自</w:t>
      </w:r>
      <w:r>
        <w:rPr>
          <w:rFonts w:ascii="宋体" w:hAnsi="宋体" w:cs="宋体" w:eastAsia="宋体" w:hint="default"/>
        </w:rPr>
        <w:t>2015</w:t>
      </w:r>
      <w:r>
        <w:rPr/>
        <w:t>年开始减按</w:t>
      </w:r>
      <w:r>
        <w:rPr>
          <w:rFonts w:ascii="宋体" w:hAnsi="宋体" w:cs="宋体" w:eastAsia="宋体" w:hint="default"/>
        </w:rPr>
        <w:t>15%</w:t>
      </w:r>
      <w:r>
        <w:rPr/>
        <w:t>税率征收企业所得税。</w:t>
      </w:r>
    </w:p>
    <w:p>
      <w:pPr>
        <w:pStyle w:val="BodyText"/>
        <w:spacing w:line="316" w:lineRule="auto" w:before="79"/>
        <w:ind w:right="0" w:firstLine="360"/>
        <w:jc w:val="left"/>
      </w:pPr>
      <w:r>
        <w:rPr>
          <w:spacing w:val="-2"/>
        </w:rPr>
        <w:t>北京惠捷朗科技有限公司于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日被北京市科学技术委员会、北京市财政局、北京市国家税务局、北京市地方</w:t>
      </w:r>
      <w:r>
        <w:rPr/>
        <w:t> 税务局认定为高新技术企业。</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七、合并财务报表项目注释" w:id="208"/>
      <w:bookmarkEnd w:id="208"/>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09"/>
      <w:bookmarkEnd w:id="20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66,297.18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102,214.69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181,187,138.80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296,817,727.61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5,164,598.48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249,138.99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186,418,034.46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297,169,081.29</w:t>
            </w:r>
            <w:r>
              <w:rPr>
                <w:rFonts w:ascii="Times New Roman"/>
                <w:sz w:val="18"/>
              </w:rPr>
            </w:r>
          </w:p>
        </w:tc>
      </w:tr>
    </w:tbl>
    <w:p>
      <w:pPr>
        <w:pStyle w:val="BodyText"/>
        <w:spacing w:line="240" w:lineRule="auto" w:before="49"/>
        <w:ind w:right="0"/>
        <w:jc w:val="left"/>
      </w:pPr>
      <w:r>
        <w:rPr/>
        <w:t>其他说明</w:t>
      </w:r>
    </w:p>
    <w:p>
      <w:pPr>
        <w:spacing w:before="94"/>
        <w:ind w:left="577" w:right="0" w:firstLine="0"/>
        <w:jc w:val="left"/>
        <w:rPr>
          <w:rFonts w:ascii="宋体" w:hAnsi="宋体" w:cs="宋体" w:eastAsia="宋体" w:hint="default"/>
          <w:sz w:val="21"/>
          <w:szCs w:val="21"/>
        </w:rPr>
      </w:pPr>
      <w:r>
        <w:rPr>
          <w:rFonts w:ascii="宋体" w:hAnsi="宋体" w:cs="宋体" w:eastAsia="宋体" w:hint="default"/>
          <w:sz w:val="21"/>
          <w:szCs w:val="21"/>
        </w:rPr>
        <w:t>其中受限制的货币资金明细如下：</w:t>
      </w:r>
    </w:p>
    <w:p>
      <w:pPr>
        <w:spacing w:line="240" w:lineRule="auto" w:before="3"/>
        <w:rPr>
          <w:rFonts w:ascii="宋体" w:hAnsi="宋体" w:cs="宋体" w:eastAsia="宋体" w:hint="default"/>
          <w:sz w:val="10"/>
          <w:szCs w:val="10"/>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289"/>
        <w:gridCol w:w="2767"/>
        <w:gridCol w:w="2602"/>
      </w:tblGrid>
      <w:tr>
        <w:trPr>
          <w:trHeight w:val="341"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58"/>
              <w:jc w:val="right"/>
              <w:rPr>
                <w:rFonts w:ascii="宋体" w:hAnsi="宋体" w:cs="宋体" w:eastAsia="宋体" w:hint="default"/>
                <w:sz w:val="18"/>
                <w:szCs w:val="18"/>
              </w:rPr>
            </w:pPr>
            <w:r>
              <w:rPr>
                <w:rFonts w:ascii="宋体" w:hAnsi="宋体" w:cs="宋体" w:eastAsia="宋体" w:hint="default"/>
                <w:sz w:val="18"/>
                <w:szCs w:val="18"/>
              </w:rPr>
              <w:t>项目</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3" w:hRule="exact"/>
        </w:trPr>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32"/>
              <w:jc w:val="right"/>
              <w:rPr>
                <w:rFonts w:ascii="宋体" w:hAnsi="宋体" w:cs="宋体" w:eastAsia="宋体" w:hint="default"/>
                <w:sz w:val="18"/>
                <w:szCs w:val="18"/>
              </w:rPr>
            </w:pPr>
            <w:r>
              <w:rPr>
                <w:rFonts w:ascii="宋体" w:hAnsi="宋体" w:cs="宋体" w:eastAsia="宋体" w:hint="default"/>
                <w:sz w:val="18"/>
                <w:szCs w:val="18"/>
              </w:rPr>
              <w:t>其他货币资金（保证金存款）</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807" w:right="0"/>
              <w:jc w:val="left"/>
              <w:rPr>
                <w:rFonts w:ascii="Times New Roman" w:hAnsi="Times New Roman" w:cs="Times New Roman" w:eastAsia="Times New Roman" w:hint="default"/>
                <w:sz w:val="18"/>
                <w:szCs w:val="18"/>
              </w:rPr>
            </w:pPr>
            <w:r>
              <w:rPr>
                <w:rFonts w:ascii="Times New Roman"/>
                <w:sz w:val="18"/>
              </w:rPr>
              <w:t>5,164,598.48</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246,286.00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应收票据" w:id="210"/>
      <w:bookmarkEnd w:id="210"/>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11"/>
      <w:bookmarkEnd w:id="21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444,980.00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2,784,775.00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514,980.00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2,784,775.00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应收账款" w:id="212"/>
      <w:bookmarkEnd w:id="212"/>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13"/>
      <w:bookmarkEnd w:id="21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4D4D4"/>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299,936,</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297.63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99.39%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42,486,8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53.62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14.17%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257,449,4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44.01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258,946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,061.23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26,286,46</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0.84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232,659,60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0.39</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1,834,79</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4.45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1,834,79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4.45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301,771,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092.08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44,321,6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48.07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14.69%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257,449,4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44.01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258,946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,061.23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26,286,46</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0.84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232,659,60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0.39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146,504,616.76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7,325,230.84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70,410,292.88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7,041,029.29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52,765,803.34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10,553,160.67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17.59%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17,371,682.00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6,947,092.80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11,317,813.15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9,054,250.52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3.77%</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1,566,089.50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1,566,089.50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299,936,297.63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42,486,853.62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40" w:lineRule="auto" w:before="29"/>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214"/>
      <w:bookmarkEnd w:id="21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15,803,293.05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按欠款方归集的期末余额前五名的应收账款情况" w:id="215"/>
      <w:bookmarkEnd w:id="215"/>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844"/>
        <w:gridCol w:w="2412"/>
        <w:gridCol w:w="2477"/>
        <w:gridCol w:w="1925"/>
      </w:tblGrid>
      <w:tr>
        <w:trPr>
          <w:trHeight w:val="653"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占应收账款合计数的比例</w:t>
            </w:r>
            <w:r>
              <w:rPr>
                <w:rFonts w:ascii="宋体" w:hAnsi="宋体" w:cs="宋体" w:eastAsia="宋体" w:hint="default"/>
                <w:sz w:val="18"/>
                <w:szCs w:val="18"/>
              </w:rPr>
            </w:r>
          </w:p>
          <w:p>
            <w:pPr>
              <w:pStyle w:val="TableParagraph"/>
              <w:spacing w:line="240" w:lineRule="auto" w:before="76"/>
              <w:ind w:left="4" w:right="0"/>
              <w:jc w:val="center"/>
              <w:rPr>
                <w:rFonts w:ascii="宋体" w:hAnsi="宋体" w:cs="宋体" w:eastAsia="宋体" w:hint="default"/>
                <w:sz w:val="18"/>
                <w:szCs w:val="18"/>
              </w:rPr>
            </w:pPr>
            <w:r>
              <w:rPr>
                <w:rFonts w:ascii="宋体"/>
                <w:b/>
                <w:sz w:val="18"/>
              </w:rPr>
              <w:t>(%)</w:t>
            </w:r>
            <w:r>
              <w:rPr>
                <w:rFonts w:ascii="宋体"/>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43"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北京天晟通科技有限公司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12,655,000.00</w:t>
            </w:r>
            <w:r>
              <w:rPr>
                <w:rFonts w:ascii="宋体"/>
                <w:sz w:val="18"/>
              </w:rPr>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8"/>
              <w:jc w:val="right"/>
              <w:rPr>
                <w:rFonts w:ascii="宋体" w:hAnsi="宋体" w:cs="宋体" w:eastAsia="宋体" w:hint="default"/>
                <w:sz w:val="18"/>
                <w:szCs w:val="18"/>
              </w:rPr>
            </w:pPr>
            <w:r>
              <w:rPr>
                <w:rFonts w:ascii="宋体"/>
                <w:sz w:val="18"/>
              </w:rPr>
              <w:t>4.19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1,505,250.00</w:t>
            </w:r>
          </w:p>
        </w:tc>
      </w:tr>
      <w:tr>
        <w:trPr>
          <w:trHeight w:val="341"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上海贝尔股份有限公司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16,781,319.23</w:t>
            </w:r>
            <w:r>
              <w:rPr>
                <w:rFonts w:ascii="宋体"/>
                <w:sz w:val="18"/>
              </w:rPr>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8"/>
              <w:jc w:val="right"/>
              <w:rPr>
                <w:rFonts w:ascii="宋体" w:hAnsi="宋体" w:cs="宋体" w:eastAsia="宋体" w:hint="default"/>
                <w:sz w:val="18"/>
                <w:szCs w:val="18"/>
              </w:rPr>
            </w:pPr>
            <w:r>
              <w:rPr>
                <w:rFonts w:ascii="宋体"/>
                <w:sz w:val="18"/>
              </w:rPr>
              <w:t>5.56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839,065.96</w:t>
            </w:r>
          </w:p>
        </w:tc>
      </w:tr>
      <w:tr>
        <w:trPr>
          <w:trHeight w:val="343"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8,767,757.27</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8"/>
              <w:jc w:val="right"/>
              <w:rPr>
                <w:rFonts w:ascii="宋体" w:hAnsi="宋体" w:cs="宋体" w:eastAsia="宋体" w:hint="default"/>
                <w:sz w:val="18"/>
                <w:szCs w:val="18"/>
              </w:rPr>
            </w:pPr>
            <w:r>
              <w:rPr>
                <w:rFonts w:ascii="宋体"/>
                <w:sz w:val="18"/>
              </w:rPr>
              <w:t>2.91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438,387.86</w:t>
            </w:r>
          </w:p>
        </w:tc>
      </w:tr>
      <w:tr>
        <w:trPr>
          <w:trHeight w:val="341"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上海贝尔软件有限公司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8,606,952.07</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8"/>
              <w:jc w:val="right"/>
              <w:rPr>
                <w:rFonts w:ascii="宋体" w:hAnsi="宋体" w:cs="宋体" w:eastAsia="宋体" w:hint="default"/>
                <w:sz w:val="18"/>
                <w:szCs w:val="18"/>
              </w:rPr>
            </w:pPr>
            <w:r>
              <w:rPr>
                <w:rFonts w:ascii="宋体"/>
                <w:sz w:val="18"/>
              </w:rPr>
              <w:t>2.85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430,347.60</w:t>
            </w:r>
          </w:p>
        </w:tc>
      </w:tr>
      <w:tr>
        <w:trPr>
          <w:trHeight w:val="343"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成都斯普智和信息技术有限公司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8,550,000.00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8"/>
              <w:jc w:val="right"/>
              <w:rPr>
                <w:rFonts w:ascii="宋体" w:hAnsi="宋体" w:cs="宋体" w:eastAsia="宋体" w:hint="default"/>
                <w:sz w:val="18"/>
                <w:szCs w:val="18"/>
              </w:rPr>
            </w:pPr>
            <w:r>
              <w:rPr>
                <w:rFonts w:ascii="宋体"/>
                <w:sz w:val="18"/>
              </w:rPr>
              <w:t>2.83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855,000.00</w:t>
            </w:r>
          </w:p>
        </w:tc>
      </w:tr>
      <w:tr>
        <w:trPr>
          <w:trHeight w:val="341"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55,361,028.57</w:t>
            </w:r>
            <w:r>
              <w:rPr>
                <w:rFonts w:ascii="宋体"/>
                <w:sz w:val="18"/>
              </w:rPr>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sz w:val="18"/>
              </w:rPr>
              <w:t>18.35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4,068,051.43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预付款项" w:id="216"/>
      <w:bookmarkEnd w:id="216"/>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17"/>
      <w:bookmarkEnd w:id="21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997,916.56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62.07%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1,690,363.00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74.45%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29,777.50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18.94%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36.08%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1,607,694.06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2,270,363.00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BodyText"/>
        <w:spacing w:line="240" w:lineRule="auto" w:before="101"/>
        <w:ind w:left="0" w:right="153"/>
        <w:jc w:val="right"/>
      </w:pPr>
      <w:r>
        <w:rPr/>
        <w:t>单位：元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2136"/>
        <w:gridCol w:w="1416"/>
        <w:gridCol w:w="1702"/>
        <w:gridCol w:w="2011"/>
        <w:gridCol w:w="1250"/>
        <w:gridCol w:w="1142"/>
      </w:tblGrid>
      <w:tr>
        <w:trPr>
          <w:trHeight w:val="684"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占预付账款总额的比例</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预付时间</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653"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39"/>
              <w:jc w:val="left"/>
              <w:rPr>
                <w:rFonts w:ascii="宋体" w:hAnsi="宋体" w:cs="宋体" w:eastAsia="宋体" w:hint="default"/>
                <w:sz w:val="18"/>
                <w:szCs w:val="18"/>
              </w:rPr>
            </w:pPr>
            <w:r>
              <w:rPr>
                <w:rFonts w:ascii="宋体" w:hAnsi="宋体" w:cs="宋体" w:eastAsia="宋体" w:hint="default"/>
                <w:sz w:val="18"/>
                <w:szCs w:val="18"/>
              </w:rPr>
              <w:t>中软信息系统工程有限公 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430,000.00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26.75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655"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39"/>
              <w:jc w:val="left"/>
              <w:rPr>
                <w:rFonts w:ascii="宋体" w:hAnsi="宋体" w:cs="宋体" w:eastAsia="宋体" w:hint="default"/>
                <w:sz w:val="18"/>
                <w:szCs w:val="18"/>
              </w:rPr>
            </w:pPr>
            <w:r>
              <w:rPr>
                <w:rFonts w:ascii="宋体" w:hAnsi="宋体" w:cs="宋体" w:eastAsia="宋体" w:hint="default"/>
                <w:sz w:val="18"/>
                <w:szCs w:val="18"/>
              </w:rPr>
              <w:t>重庆市浩鹏软件技术开发 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150,000.00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9.33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3"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580,000.00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36.08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按预付对象归集的期末余额前五名的预付款情况" w:id="218"/>
      <w:bookmarkEnd w:id="21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830"/>
        <w:gridCol w:w="2894"/>
        <w:gridCol w:w="2933"/>
      </w:tblGrid>
      <w:tr>
        <w:trPr>
          <w:trHeight w:val="655" w:hRule="exact"/>
        </w:trPr>
        <w:tc>
          <w:tcPr>
            <w:tcW w:w="3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921" w:right="739" w:hanging="180"/>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p>
        </w:tc>
      </w:tr>
      <w:tr>
        <w:trPr>
          <w:trHeight w:val="341" w:hRule="exact"/>
        </w:trPr>
        <w:tc>
          <w:tcPr>
            <w:tcW w:w="3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中软信息系统工程有限公司</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430,000.00</w:t>
            </w:r>
            <w:r>
              <w:rPr>
                <w:rFonts w:ascii="Times New Roman"/>
                <w:sz w:val="20"/>
              </w:rPr>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26.75%</w:t>
            </w:r>
          </w:p>
        </w:tc>
      </w:tr>
      <w:tr>
        <w:trPr>
          <w:trHeight w:val="343" w:hRule="exact"/>
        </w:trPr>
        <w:tc>
          <w:tcPr>
            <w:tcW w:w="3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北京信息基础设施建设股份有限公司</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216,162.58</w:t>
            </w:r>
            <w:r>
              <w:rPr>
                <w:rFonts w:ascii="Times New Roman"/>
                <w:sz w:val="20"/>
              </w:rPr>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13.45%</w:t>
            </w:r>
          </w:p>
        </w:tc>
      </w:tr>
      <w:tr>
        <w:trPr>
          <w:trHeight w:val="341" w:hRule="exact"/>
        </w:trPr>
        <w:tc>
          <w:tcPr>
            <w:tcW w:w="3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重庆市浩鹏软件技术开发有限公司</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150,000.00</w:t>
            </w:r>
            <w:r>
              <w:rPr>
                <w:rFonts w:ascii="Times New Roman"/>
                <w:sz w:val="20"/>
              </w:rPr>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9.33%</w:t>
            </w:r>
          </w:p>
        </w:tc>
      </w:tr>
      <w:tr>
        <w:trPr>
          <w:trHeight w:val="343" w:hRule="exact"/>
        </w:trPr>
        <w:tc>
          <w:tcPr>
            <w:tcW w:w="3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京东商城</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136,986.00</w:t>
            </w:r>
            <w:r>
              <w:rPr>
                <w:rFonts w:ascii="Times New Roman"/>
                <w:sz w:val="20"/>
              </w:rPr>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8.52%</w:t>
            </w:r>
          </w:p>
        </w:tc>
      </w:tr>
      <w:tr>
        <w:trPr>
          <w:trHeight w:val="341" w:hRule="exact"/>
        </w:trPr>
        <w:tc>
          <w:tcPr>
            <w:tcW w:w="3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高丽</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70,000.00</w:t>
            </w:r>
            <w:r>
              <w:rPr>
                <w:rFonts w:ascii="Times New Roman"/>
                <w:sz w:val="20"/>
              </w:rPr>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4.35%</w:t>
            </w:r>
          </w:p>
        </w:tc>
      </w:tr>
      <w:tr>
        <w:trPr>
          <w:trHeight w:val="343" w:hRule="exact"/>
        </w:trPr>
        <w:tc>
          <w:tcPr>
            <w:tcW w:w="3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1,003,148.58</w:t>
            </w:r>
            <w:r>
              <w:rPr>
                <w:rFonts w:ascii="Times New Roman"/>
                <w:sz w:val="20"/>
              </w:rPr>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62.40%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其他应收款" w:id="219"/>
      <w:bookmarkEnd w:id="219"/>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20"/>
      <w:bookmarkEnd w:id="22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4D4D4"/>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4,797,04</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2.19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4,797,042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3,211,5</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40.56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32,800.00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3,178,740.5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4,797,04</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2.19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4,797,042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3,211,5</w:t>
            </w:r>
          </w:p>
          <w:p>
            <w:pPr>
              <w:pStyle w:val="TableParagraph"/>
              <w:spacing w:line="240" w:lineRule="auto" w:before="102"/>
              <w:ind w:left="199" w:right="0"/>
              <w:jc w:val="center"/>
              <w:rPr>
                <w:rFonts w:ascii="Times New Roman" w:hAnsi="Times New Roman" w:cs="Times New Roman" w:eastAsia="Times New Roman" w:hint="default"/>
                <w:sz w:val="18"/>
                <w:szCs w:val="18"/>
              </w:rPr>
            </w:pPr>
            <w:r>
              <w:rPr>
                <w:rFonts w:ascii="Times New Roman"/>
                <w:sz w:val="18"/>
              </w:rPr>
              <w:t>40.56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32,800.00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3,178,740.5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49"/>
        <w:ind w:right="0"/>
        <w:jc w:val="left"/>
      </w:pPr>
      <w:r>
        <w:rPr/>
        <w:t>期末单项金额重大并单项计提坏账准备的其他应收款：</w:t>
      </w:r>
    </w:p>
    <w:p>
      <w:pPr>
        <w:pStyle w:val="BodyText"/>
        <w:spacing w:line="338" w:lineRule="auto" w:before="117"/>
        <w:ind w:right="56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340" w:lineRule="auto" w:before="43"/>
        <w:ind w:left="153" w:right="527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组合中，采用余额百分比法计提坏账准备的其他应收款：</w:t>
      </w:r>
    </w:p>
    <w:p>
      <w:pPr>
        <w:pStyle w:val="BodyText"/>
        <w:spacing w:line="340" w:lineRule="auto" w:before="39"/>
        <w:ind w:left="153" w:right="563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spacing w:after="0" w:line="3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21"/>
      <w:bookmarkEnd w:id="22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32,800.00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其他应收款按款项性质分类情况" w:id="222"/>
      <w:bookmarkEnd w:id="222"/>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备用金及职工暂借款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941,796.45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814,274.15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702,790.20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1,137,421.00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999,242.13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634,816.25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601,503.12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164,000.00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1,551,710.29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461,029.16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4,797,042.19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3,211,540.56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存货" w:id="223"/>
      <w:bookmarkEnd w:id="223"/>
      <w:r>
        <w:rPr>
          <w:b w:val="0"/>
          <w:bCs w:val="0"/>
        </w:rPr>
      </w:r>
      <w:r>
        <w:rPr>
          <w:rFonts w:ascii="Times New Roman" w:hAnsi="Times New Roman" w:cs="Times New Roman" w:eastAsia="Times New Roman" w:hint="default"/>
        </w:rPr>
        <w:t>6</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24"/>
      <w:bookmarkEnd w:id="22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1,064,984.70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1,064,984.70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2,155,382.17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2,155,382.17</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817,022.34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817,022.34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1,064,984.70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1,064,984.70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2,972,404.51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2,972,404.51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一年内到期的非流动资产" w:id="225"/>
      <w:bookmarkEnd w:id="225"/>
      <w:r>
        <w:rPr>
          <w:b w:val="0"/>
          <w:bCs w:val="0"/>
        </w:rPr>
      </w:r>
      <w:r>
        <w:rPr>
          <w:rFonts w:ascii="Times New Roman" w:hAnsi="Times New Roman" w:cs="Times New Roman" w:eastAsia="Times New Roman" w:hint="default"/>
        </w:rPr>
        <w:t>7</w:t>
      </w:r>
      <w:r>
        <w:rPr/>
        <w:t>、一年内到期的非流动资产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1,372,572.68</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1,372,572.68</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8、其他流动资产" w:id="226"/>
      <w:bookmarkEnd w:id="226"/>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729,812.31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4,170.57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733,982.88</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9、可供出售金融资产" w:id="227"/>
      <w:bookmarkEnd w:id="227"/>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28"/>
      <w:bookmarkEnd w:id="228"/>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1195"/>
        <w:gridCol w:w="1198"/>
        <w:gridCol w:w="1195"/>
        <w:gridCol w:w="1248"/>
        <w:gridCol w:w="1368"/>
        <w:gridCol w:w="1366"/>
      </w:tblGrid>
      <w:tr>
        <w:trPr>
          <w:trHeight w:val="401" w:hRule="exact"/>
        </w:trPr>
        <w:tc>
          <w:tcPr>
            <w:tcW w:w="19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99"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按成本计量的可供出售金融资产" w:id="229"/>
      <w:bookmarkEnd w:id="229"/>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上海软件 产业促进 中心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12.50%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可供出售权益工具期末公允价值严重下跌或非暂时性下跌但未计提减值准备的相关说" w:id="230"/>
      <w:bookmarkEnd w:id="230"/>
      <w:r>
        <w:rPr>
          <w:b w:val="0"/>
          <w:bCs w:val="0"/>
        </w:rPr>
      </w:r>
      <w:r>
        <w:rPr/>
        <w:t>（</w:t>
      </w:r>
      <w:r>
        <w:rPr>
          <w:rFonts w:ascii="Times New Roman" w:hAnsi="Times New Roman" w:cs="Times New Roman" w:eastAsia="Times New Roman" w:hint="default"/>
        </w:rPr>
        <w:t>3</w:t>
      </w:r>
      <w:r>
        <w:rPr/>
        <w:t>）可供出售权益工具期末公允价值严重下跌或非暂时性下跌但未计提减值准备的相关说明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0"/>
        <w:jc w:val="left"/>
      </w:pPr>
      <w:r>
        <w:rPr/>
        <w:t>其他说明</w:t>
      </w:r>
    </w:p>
    <w:p>
      <w:pPr>
        <w:pStyle w:val="BodyText"/>
        <w:spacing w:line="316" w:lineRule="auto" w:before="115"/>
        <w:ind w:right="155" w:firstLine="360"/>
        <w:jc w:val="both"/>
      </w:pP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23</w:t>
      </w:r>
      <w:r>
        <w:rPr/>
        <w:t>日，上海东方通泰软件科技有限公司向上海软件产业促进中心出资</w:t>
      </w:r>
      <w:r>
        <w:rPr>
          <w:rFonts w:ascii="宋体" w:hAnsi="宋体" w:cs="宋体" w:eastAsia="宋体" w:hint="default"/>
        </w:rPr>
        <w:t>20</w:t>
      </w:r>
      <w:r>
        <w:rPr/>
        <w:t>万元，该出资事项由上海信光会计师 事务所有限公司审验，并出具沪信光会验</w:t>
      </w:r>
      <w:r>
        <w:rPr>
          <w:rFonts w:ascii="宋体" w:hAnsi="宋体" w:cs="宋体" w:eastAsia="宋体" w:hint="default"/>
        </w:rPr>
        <w:t>(2010)</w:t>
      </w:r>
      <w:r>
        <w:rPr/>
        <w:t>第</w:t>
      </w:r>
      <w:r>
        <w:rPr>
          <w:rFonts w:ascii="宋体" w:hAnsi="宋体" w:cs="宋体" w:eastAsia="宋体" w:hint="default"/>
        </w:rPr>
        <w:t>022</w:t>
      </w:r>
      <w:r>
        <w:rPr/>
        <w:t>号验资报告。</w:t>
      </w:r>
    </w:p>
    <w:p>
      <w:pPr>
        <w:pStyle w:val="BodyText"/>
        <w:spacing w:line="316" w:lineRule="auto" w:before="18"/>
        <w:ind w:right="150" w:firstLine="360"/>
        <w:jc w:val="both"/>
      </w:pPr>
      <w:r>
        <w:rPr>
          <w:spacing w:val="-2"/>
        </w:rPr>
        <w:t>上海软件产业促进中心于</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17</w:t>
      </w:r>
      <w:r>
        <w:rPr>
          <w:spacing w:val="-2"/>
        </w:rPr>
        <w:t>日在上海市闸北区民政局注册，开办资金</w:t>
      </w:r>
      <w:r>
        <w:rPr>
          <w:rFonts w:ascii="宋体" w:hAnsi="宋体" w:cs="宋体" w:eastAsia="宋体" w:hint="default"/>
          <w:spacing w:val="-2"/>
        </w:rPr>
        <w:t>160</w:t>
      </w:r>
      <w:r>
        <w:rPr>
          <w:spacing w:val="-2"/>
        </w:rPr>
        <w:t>万元，法定代表人唐全荣，法定住所</w:t>
      </w:r>
      <w:r>
        <w:rPr/>
        <w:t> 上海市闸北区江场三路</w:t>
      </w:r>
      <w:r>
        <w:rPr>
          <w:rFonts w:ascii="宋体" w:hAnsi="宋体" w:cs="宋体" w:eastAsia="宋体" w:hint="default"/>
        </w:rPr>
        <w:t>26</w:t>
      </w:r>
      <w:r>
        <w:rPr/>
        <w:t>、</w:t>
      </w:r>
      <w:r>
        <w:rPr>
          <w:rFonts w:ascii="宋体" w:hAnsi="宋体" w:cs="宋体" w:eastAsia="宋体" w:hint="default"/>
        </w:rPr>
        <w:t>28</w:t>
      </w:r>
      <w:r>
        <w:rPr/>
        <w:t>号</w:t>
      </w:r>
      <w:r>
        <w:rPr>
          <w:rFonts w:ascii="宋体" w:hAnsi="宋体" w:cs="宋体" w:eastAsia="宋体" w:hint="default"/>
        </w:rPr>
        <w:t>301</w:t>
      </w:r>
      <w:r>
        <w:rPr/>
        <w:t>室，业务范围为为软件应用及培训、咨询提供服务，加强交流，促进技术创新，承接政</w:t>
      </w:r>
      <w:r>
        <w:rPr>
          <w:spacing w:val="-85"/>
        </w:rPr>
        <w:t> </w:t>
      </w:r>
      <w:r>
        <w:rPr>
          <w:spacing w:val="-85"/>
        </w:rPr>
      </w:r>
      <w:r>
        <w:rPr/>
        <w:t>府委托项目，为软件产业发展服务。</w:t>
      </w:r>
    </w:p>
    <w:p>
      <w:pPr>
        <w:pStyle w:val="BodyText"/>
        <w:spacing w:line="240" w:lineRule="auto" w:before="18"/>
        <w:ind w:left="512" w:right="0"/>
        <w:jc w:val="left"/>
      </w:pPr>
      <w:r>
        <w:rPr/>
        <w:t>上海软件产业促进中心是从事非营利性社会服务活动的社会组织。</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10、长期股权投资" w:id="231"/>
      <w:bookmarkEnd w:id="231"/>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北京核高 基软件有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317,569.9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-38,417.7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279,152.2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317,569.9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279,152.2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317,569.9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279,152.2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316" w:lineRule="auto" w:before="115"/>
        <w:ind w:right="153" w:firstLine="360"/>
        <w:jc w:val="both"/>
      </w:pPr>
      <w:r>
        <w:rPr>
          <w:spacing w:val="-2"/>
        </w:rPr>
        <w:t>北京核高基软件有限公司系由本公司、北京中科红旗软件技术有限公司和北京人大金仓信息技术股份有限公司共同出资</w:t>
      </w:r>
      <w:r>
        <w:rPr/>
        <w:t> 组建，注册资本人民币</w:t>
      </w:r>
      <w:r>
        <w:rPr>
          <w:rFonts w:ascii="宋体" w:hAnsi="宋体" w:cs="宋体" w:eastAsia="宋体" w:hint="default"/>
        </w:rPr>
        <w:t>150</w:t>
      </w:r>
      <w:r>
        <w:rPr/>
        <w:t>万元，各股东分别以货币资金出资</w:t>
      </w:r>
      <w:r>
        <w:rPr>
          <w:rFonts w:ascii="宋体" w:hAnsi="宋体" w:cs="宋体" w:eastAsia="宋体" w:hint="default"/>
        </w:rPr>
        <w:t>50</w:t>
      </w:r>
      <w:r>
        <w:rPr/>
        <w:t>万元，该事项已由天华正信（北京）会计师事务所有限公司 </w:t>
      </w:r>
      <w:r>
        <w:rPr>
          <w:spacing w:val="-2"/>
        </w:rPr>
        <w:t>于</w:t>
      </w:r>
      <w:r>
        <w:rPr>
          <w:rFonts w:ascii="宋体" w:hAnsi="宋体" w:cs="宋体" w:eastAsia="宋体" w:hint="default"/>
          <w:spacing w:val="-2"/>
        </w:rPr>
        <w:t>2008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23</w:t>
      </w:r>
      <w:r>
        <w:rPr>
          <w:spacing w:val="-2"/>
        </w:rPr>
        <w:t>日以天华正信验字</w:t>
      </w:r>
      <w:r>
        <w:rPr>
          <w:rFonts w:ascii="宋体" w:hAnsi="宋体" w:cs="宋体" w:eastAsia="宋体" w:hint="default"/>
          <w:spacing w:val="-2"/>
        </w:rPr>
        <w:t>[2008]</w:t>
      </w:r>
      <w:r>
        <w:rPr>
          <w:spacing w:val="-2"/>
        </w:rPr>
        <w:t>第</w:t>
      </w:r>
      <w:r>
        <w:rPr>
          <w:rFonts w:ascii="宋体" w:hAnsi="宋体" w:cs="宋体" w:eastAsia="宋体" w:hint="default"/>
          <w:spacing w:val="-2"/>
        </w:rPr>
        <w:t>1-46</w:t>
      </w:r>
      <w:r>
        <w:rPr>
          <w:spacing w:val="-2"/>
        </w:rPr>
        <w:t>号验资报告予以验证。该公司于</w:t>
      </w:r>
      <w:r>
        <w:rPr>
          <w:rFonts w:ascii="宋体" w:hAnsi="宋体" w:cs="宋体" w:eastAsia="宋体" w:hint="default"/>
          <w:spacing w:val="-2"/>
        </w:rPr>
        <w:t>2008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29</w:t>
      </w:r>
      <w:r>
        <w:rPr>
          <w:spacing w:val="-2"/>
        </w:rPr>
        <w:t>日在北京市工商行政管理局海淀</w:t>
      </w:r>
      <w:r>
        <w:rPr>
          <w:spacing w:val="-52"/>
        </w:rPr>
        <w:t> </w:t>
      </w:r>
      <w:r>
        <w:rPr/>
        <w:t>分局领取注册号为</w:t>
      </w:r>
      <w:r>
        <w:rPr>
          <w:rFonts w:ascii="宋体" w:hAnsi="宋体" w:cs="宋体" w:eastAsia="宋体" w:hint="default"/>
        </w:rPr>
        <w:t>110108010781219</w:t>
      </w:r>
      <w:r>
        <w:rPr/>
        <w:t>号企业法人营业执照。经营期限为</w:t>
      </w:r>
      <w:r>
        <w:rPr>
          <w:rFonts w:ascii="宋体" w:hAnsi="宋体" w:cs="宋体" w:eastAsia="宋体" w:hint="default"/>
        </w:rPr>
        <w:t>2008</w:t>
      </w:r>
      <w:r>
        <w:rPr/>
        <w:t>年</w:t>
      </w:r>
      <w:r>
        <w:rPr>
          <w:rFonts w:ascii="宋体" w:hAnsi="宋体" w:cs="宋体" w:eastAsia="宋体" w:hint="default"/>
        </w:rPr>
        <w:t>1</w:t>
      </w:r>
      <w:r>
        <w:rPr/>
        <w:t>月</w:t>
      </w:r>
      <w:r>
        <w:rPr>
          <w:rFonts w:ascii="宋体" w:hAnsi="宋体" w:cs="宋体" w:eastAsia="宋体" w:hint="default"/>
        </w:rPr>
        <w:t>29</w:t>
      </w:r>
      <w:r>
        <w:rPr/>
        <w:t>日至</w:t>
      </w:r>
      <w:r>
        <w:rPr>
          <w:rFonts w:ascii="宋体" w:hAnsi="宋体" w:cs="宋体" w:eastAsia="宋体" w:hint="default"/>
        </w:rPr>
        <w:t>2028</w:t>
      </w:r>
      <w:r>
        <w:rPr/>
        <w:t>年</w:t>
      </w:r>
      <w:r>
        <w:rPr>
          <w:rFonts w:ascii="宋体" w:hAnsi="宋体" w:cs="宋体" w:eastAsia="宋体" w:hint="default"/>
        </w:rPr>
        <w:t>1</w:t>
      </w:r>
      <w:r>
        <w:rPr/>
        <w:t>月</w:t>
      </w:r>
      <w:r>
        <w:rPr>
          <w:rFonts w:ascii="宋体" w:hAnsi="宋体" w:cs="宋体" w:eastAsia="宋体" w:hint="default"/>
        </w:rPr>
        <w:t>28</w:t>
      </w:r>
      <w:r>
        <w:rPr/>
        <w:t>日。</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11、固定资产" w:id="232"/>
      <w:bookmarkEnd w:id="232"/>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33"/>
      <w:bookmarkEnd w:id="23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239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2,365,543.00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19,373,332.04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21,738,875.04</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2,982,197.26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3,037,197.26</w:t>
            </w:r>
            <w:r>
              <w:rPr>
                <w:rFonts w:ascii="Times New Roman"/>
                <w:sz w:val="18"/>
              </w:rPr>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784,956.16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784,956.16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2,197,241.10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2,252,241.10</w:t>
            </w:r>
            <w:r>
              <w:rPr>
                <w:rFonts w:ascii="Times New Roman"/>
                <w:sz w:val="18"/>
              </w:rPr>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11,072,903.59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11,127,903.59</w:t>
            </w:r>
            <w:r>
              <w:rPr>
                <w:rFonts w:ascii="Times New Roman"/>
                <w:sz w:val="18"/>
              </w:rPr>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11,072,903.59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11,127,903.59</w:t>
            </w:r>
            <w:r>
              <w:rPr>
                <w:rFonts w:ascii="Times New Roman"/>
                <w:sz w:val="18"/>
              </w:rPr>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2,365,543.00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11,282,625.71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13,648,168.71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1,864,354.35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11,545,837.62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13,410,191.97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170,069.00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4,716,845.57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4,886,914.57</w:t>
            </w:r>
            <w:r>
              <w:rPr>
                <w:rFonts w:ascii="Times New Roman"/>
                <w:sz w:val="18"/>
              </w:rPr>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120,431.50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3,018,565.83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3,138,997.33</w:t>
            </w:r>
            <w:r>
              <w:rPr>
                <w:rFonts w:ascii="Times New Roman"/>
                <w:sz w:val="18"/>
              </w:rPr>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49,637.50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1,698,279.74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1,747,917.24</w:t>
            </w:r>
            <w:r>
              <w:rPr>
                <w:rFonts w:ascii="Times New Roman"/>
                <w:sz w:val="18"/>
              </w:rPr>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9,936,998.27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9,989,248.27</w:t>
            </w:r>
            <w:r>
              <w:rPr>
                <w:rFonts w:ascii="Times New Roman"/>
                <w:sz w:val="18"/>
              </w:rPr>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64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52,250.00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9,936,998.27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9,989,248.27</w:t>
            </w:r>
            <w:r>
              <w:rPr>
                <w:rFonts w:ascii="Times New Roman"/>
                <w:sz w:val="18"/>
              </w:rPr>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1,982,173.35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6,325,684.92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8,307,858.27</w:t>
            </w:r>
            <w:r>
              <w:rPr>
                <w:rFonts w:ascii="Times New Roman"/>
                <w:sz w:val="18"/>
              </w:rPr>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4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383,369.65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4,956,940.79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5,340,310.44</w:t>
            </w:r>
            <w:r>
              <w:rPr>
                <w:rFonts w:ascii="Times New Roman"/>
                <w:sz w:val="18"/>
              </w:rPr>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501,188.65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7,827,494.42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8,328,683.07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办妥产权证书的固定资产情况" w:id="234"/>
      <w:bookmarkEnd w:id="234"/>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pStyle w:val="BodyText"/>
        <w:spacing w:line="316" w:lineRule="auto" w:before="115"/>
        <w:ind w:left="512" w:right="5634"/>
        <w:jc w:val="left"/>
      </w:pPr>
      <w:r>
        <w:rPr/>
        <w:t>本公司无暂时闲置的固定资产 本报告期内，公司无融资租入的固定资产。 本报告期内，公司无经营租赁租出的固定资产。 本公司无未办妥产权证书的固定资产。 本报告期末无用于抵押的固定资产。</w:t>
      </w:r>
    </w:p>
    <w:p>
      <w:pPr>
        <w:spacing w:after="0" w:line="316"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12、无形资产" w:id="235"/>
      <w:bookmarkEnd w:id="235"/>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36"/>
      <w:bookmarkEnd w:id="23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36,593,371.70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36,593,371.70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394,780.12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394,780.12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290,459.61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290,459.61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104,320.51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104,320.51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1,737,530.00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1,737,530.00</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1,737,530.00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1,737,530.00</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35,250,621.82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35,250,621.82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15,629,450.03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15,629,450.03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7,274,785.88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7,274,785.88</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7,198,284.18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7,198,284.18</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76,501.70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76,501.70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1,737,530.00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1,737,530.00</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1,737,530.00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1,737,530.00</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21,166,705.91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21,166,705.91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8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14,083,915.91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14,083,915.91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20,963,921.67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20,963,921.67</w:t>
            </w:r>
          </w:p>
        </w:tc>
      </w:tr>
    </w:tbl>
    <w:p>
      <w:pPr>
        <w:pStyle w:val="BodyText"/>
        <w:spacing w:line="240" w:lineRule="auto" w:before="49"/>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未办妥产权证书的土地使用权情况" w:id="237"/>
      <w:bookmarkEnd w:id="23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pStyle w:val="BodyText"/>
        <w:spacing w:line="240" w:lineRule="auto" w:before="117"/>
        <w:ind w:left="512" w:right="0"/>
        <w:jc w:val="left"/>
      </w:pPr>
      <w:r>
        <w:rPr/>
        <w:t>本报告期末公司无用于抵押，或者担保的无形资产。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bookmarkStart w:name="13、开发支出" w:id="238"/>
      <w:bookmarkEnd w:id="238"/>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3"/>
        <w:gridCol w:w="1063"/>
        <w:gridCol w:w="1063"/>
        <w:gridCol w:w="1063"/>
        <w:gridCol w:w="1061"/>
        <w:gridCol w:w="1063"/>
        <w:gridCol w:w="1063"/>
      </w:tblGrid>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4"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数据融合平 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10,278,252.5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10,278,252.5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10,278,252.5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10,278,252.5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其他说明</w:t>
      </w:r>
    </w:p>
    <w:p>
      <w:pPr>
        <w:pStyle w:val="BodyText"/>
        <w:spacing w:line="316" w:lineRule="auto" w:before="117"/>
        <w:ind w:right="153" w:firstLine="360"/>
        <w:jc w:val="both"/>
      </w:pPr>
      <w:r>
        <w:rPr>
          <w:spacing w:val="-2"/>
        </w:rPr>
        <w:t>数据融合平台系本公司创新型项目，采用敏捷迭代开发模式和组件化设计理念，单个组件的高内聚以及组件之间的低耦</w:t>
      </w:r>
      <w:r>
        <w:rPr/>
        <w:t> </w:t>
      </w:r>
      <w:r>
        <w:rPr>
          <w:spacing w:val="-2"/>
        </w:rPr>
        <w:t>合、关系透明、服务及接口可视等特征，使得数据融合平台具有强大的生命力。本公司于确定平台各组件的开发、满足客户</w:t>
      </w:r>
      <w:r>
        <w:rPr>
          <w:spacing w:val="-67"/>
        </w:rPr>
        <w:t> </w:t>
      </w:r>
      <w:r>
        <w:rPr>
          <w:spacing w:val="-67"/>
        </w:rPr>
      </w:r>
      <w:r>
        <w:rPr/>
        <w:t>需求的开发方向，并确定技术可以完善组件功能时作为开发支出资本化的起始时点；于</w:t>
      </w:r>
      <w:r>
        <w:rPr>
          <w:rFonts w:ascii="宋体" w:hAnsi="宋体" w:cs="宋体" w:eastAsia="宋体" w:hint="default"/>
        </w:rPr>
        <w:t>1.0</w:t>
      </w:r>
      <w:r>
        <w:rPr/>
        <w:t>版本完成申请著作权时终止开发</w:t>
      </w:r>
      <w:r>
        <w:rPr>
          <w:spacing w:val="-85"/>
        </w:rPr>
        <w:t> </w:t>
      </w:r>
      <w:r>
        <w:rPr>
          <w:spacing w:val="-85"/>
        </w:rPr>
      </w:r>
      <w:r>
        <w:rPr/>
        <w:t>支出资本化，并将开发支出结转无形资产。目前开发阶段尚未完成。</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14、商誉" w:id="239"/>
      <w:bookmarkEnd w:id="239"/>
      <w:r>
        <w:rPr>
          <w:b w:val="0"/>
          <w:bCs w:val="0"/>
        </w:rPr>
      </w:r>
      <w:r>
        <w:rPr>
          <w:rFonts w:ascii="Times New Roman" w:hAnsi="Times New Roman" w:cs="Times New Roman" w:eastAsia="Times New Roman" w:hint="default"/>
        </w:rPr>
        <w:t>14</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40"/>
      <w:bookmarkEnd w:id="24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6"/>
        <w:gridCol w:w="1366"/>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9"/>
              <w:ind w:left="4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586" w:right="48" w:hanging="540"/>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北京惠捷朗科技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363,369,417.11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363,369,417.11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北京同德一心科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29,607,378.92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29,607,378.92</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北京数字天堂信 息科技有限责任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34,847,082.00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34,847,082.00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392,976,796.03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34,847,082.00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427,823,878.03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商誉减值准备" w:id="241"/>
      <w:bookmarkEnd w:id="24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094"/>
        <w:jc w:val="left"/>
      </w:pPr>
      <w:r>
        <w:rPr/>
        <w:t>说明商誉减值测试过程、参数及商誉减值损失的确认方法： 其他说明</w:t>
      </w:r>
    </w:p>
    <w:p>
      <w:pPr>
        <w:spacing w:line="240" w:lineRule="auto" w:before="3"/>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3142"/>
        <w:gridCol w:w="4219"/>
        <w:gridCol w:w="2297"/>
      </w:tblGrid>
      <w:tr>
        <w:trPr>
          <w:trHeight w:val="265" w:hRule="exact"/>
        </w:trPr>
        <w:tc>
          <w:tcPr>
            <w:tcW w:w="3142" w:type="dxa"/>
            <w:tcBorders>
              <w:top w:val="nil" w:sz="6" w:space="0" w:color="auto"/>
              <w:left w:val="nil" w:sz="6" w:space="0" w:color="auto"/>
              <w:bottom w:val="single" w:sz="6"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被收购方</w:t>
            </w:r>
          </w:p>
        </w:tc>
        <w:tc>
          <w:tcPr>
            <w:tcW w:w="4219" w:type="dxa"/>
            <w:tcBorders>
              <w:top w:val="nil" w:sz="6" w:space="0" w:color="auto"/>
              <w:left w:val="nil" w:sz="6" w:space="0" w:color="auto"/>
              <w:bottom w:val="single" w:sz="6" w:space="0" w:color="000000"/>
              <w:right w:val="nil" w:sz="6" w:space="0" w:color="auto"/>
            </w:tcBorders>
          </w:tcPr>
          <w:p>
            <w:pPr>
              <w:pStyle w:val="TableParagraph"/>
              <w:spacing w:line="180" w:lineRule="exact"/>
              <w:ind w:right="362"/>
              <w:jc w:val="center"/>
              <w:rPr>
                <w:rFonts w:ascii="宋体" w:hAnsi="宋体" w:cs="宋体" w:eastAsia="宋体" w:hint="default"/>
                <w:sz w:val="18"/>
                <w:szCs w:val="18"/>
              </w:rPr>
            </w:pPr>
            <w:r>
              <w:rPr>
                <w:rFonts w:ascii="宋体" w:hAnsi="宋体" w:cs="宋体" w:eastAsia="宋体" w:hint="default"/>
                <w:sz w:val="18"/>
                <w:szCs w:val="18"/>
              </w:rPr>
              <w:t>项目</w:t>
            </w:r>
          </w:p>
        </w:tc>
        <w:tc>
          <w:tcPr>
            <w:tcW w:w="2297" w:type="dxa"/>
            <w:tcBorders>
              <w:top w:val="nil" w:sz="6" w:space="0" w:color="auto"/>
              <w:left w:val="nil" w:sz="6" w:space="0" w:color="auto"/>
              <w:bottom w:val="single" w:sz="6" w:space="0" w:color="000000"/>
              <w:right w:val="nil" w:sz="6" w:space="0" w:color="auto"/>
            </w:tcBorders>
          </w:tcPr>
          <w:p>
            <w:pPr>
              <w:pStyle w:val="TableParagraph"/>
              <w:spacing w:line="180" w:lineRule="exact"/>
              <w:ind w:left="357"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38" w:hRule="exact"/>
        </w:trPr>
        <w:tc>
          <w:tcPr>
            <w:tcW w:w="3142" w:type="dxa"/>
            <w:tcBorders>
              <w:top w:val="single" w:sz="6" w:space="0" w:color="000000"/>
              <w:left w:val="nil" w:sz="6" w:space="0" w:color="auto"/>
              <w:bottom w:val="nil" w:sz="6" w:space="0" w:color="auto"/>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420,000,000.00</w:t>
            </w:r>
            <w:r>
              <w:rPr>
                <w:rFonts w:ascii="Times New Roman"/>
                <w:sz w:val="18"/>
              </w:rPr>
            </w:r>
          </w:p>
        </w:tc>
      </w:tr>
      <w:tr>
        <w:trPr>
          <w:trHeight w:val="336" w:hRule="exact"/>
        </w:trPr>
        <w:tc>
          <w:tcPr>
            <w:tcW w:w="3142" w:type="dxa"/>
            <w:tcBorders>
              <w:top w:val="nil" w:sz="6" w:space="0" w:color="auto"/>
              <w:left w:val="nil" w:sz="6" w:space="0" w:color="auto"/>
              <w:bottom w:val="nil" w:sz="6" w:space="0" w:color="auto"/>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134,937,600.00</w:t>
            </w:r>
            <w:r>
              <w:rPr>
                <w:rFonts w:ascii="Times New Roman"/>
                <w:sz w:val="18"/>
              </w:rPr>
            </w:r>
          </w:p>
        </w:tc>
      </w:tr>
      <w:tr>
        <w:trPr>
          <w:trHeight w:val="336" w:hRule="exact"/>
        </w:trPr>
        <w:tc>
          <w:tcPr>
            <w:tcW w:w="3142" w:type="dxa"/>
            <w:tcBorders>
              <w:top w:val="nil" w:sz="6" w:space="0" w:color="auto"/>
              <w:left w:val="nil" w:sz="6" w:space="0" w:color="auto"/>
              <w:bottom w:val="nil" w:sz="6" w:space="0" w:color="auto"/>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285,062,400.00</w:t>
            </w:r>
            <w:r>
              <w:rPr>
                <w:rFonts w:ascii="Times New Roman"/>
                <w:sz w:val="18"/>
              </w:rPr>
            </w:r>
          </w:p>
        </w:tc>
      </w:tr>
      <w:tr>
        <w:trPr>
          <w:trHeight w:val="338"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北京惠捷朗科技有限公司</w:t>
            </w: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2297" w:type="dxa"/>
            <w:tcBorders>
              <w:top w:val="single" w:sz="6" w:space="0" w:color="000000"/>
              <w:left w:val="nil" w:sz="6" w:space="0" w:color="auto"/>
              <w:bottom w:val="single" w:sz="6" w:space="0" w:color="000000"/>
              <w:right w:val="nil" w:sz="6" w:space="0" w:color="auto"/>
            </w:tcBorders>
          </w:tcPr>
          <w:p>
            <w:pPr/>
          </w:p>
        </w:tc>
      </w:tr>
      <w:tr>
        <w:trPr>
          <w:trHeight w:val="336" w:hRule="exact"/>
        </w:trPr>
        <w:tc>
          <w:tcPr>
            <w:tcW w:w="3142" w:type="dxa"/>
            <w:tcBorders>
              <w:top w:val="nil" w:sz="6" w:space="0" w:color="auto"/>
              <w:left w:val="nil" w:sz="6" w:space="0" w:color="auto"/>
              <w:bottom w:val="nil" w:sz="6" w:space="0" w:color="auto"/>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420,000,000.00</w:t>
            </w:r>
            <w:r>
              <w:rPr>
                <w:rFonts w:ascii="Times New Roman"/>
                <w:sz w:val="18"/>
              </w:rPr>
            </w:r>
          </w:p>
        </w:tc>
      </w:tr>
      <w:tr>
        <w:trPr>
          <w:trHeight w:val="338" w:hRule="exact"/>
        </w:trPr>
        <w:tc>
          <w:tcPr>
            <w:tcW w:w="3142" w:type="dxa"/>
            <w:tcBorders>
              <w:top w:val="nil" w:sz="6" w:space="0" w:color="auto"/>
              <w:left w:val="nil" w:sz="6" w:space="0" w:color="auto"/>
              <w:bottom w:val="nil" w:sz="6" w:space="0" w:color="auto"/>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56,630,582.89</w:t>
            </w:r>
          </w:p>
        </w:tc>
      </w:tr>
      <w:tr>
        <w:trPr>
          <w:trHeight w:val="336" w:hRule="exact"/>
        </w:trPr>
        <w:tc>
          <w:tcPr>
            <w:tcW w:w="3142" w:type="dxa"/>
            <w:tcBorders>
              <w:top w:val="nil" w:sz="6" w:space="0" w:color="auto"/>
              <w:left w:val="nil" w:sz="6" w:space="0" w:color="auto"/>
              <w:bottom w:val="single" w:sz="6" w:space="0" w:color="000000"/>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363,369,417.11</w:t>
            </w:r>
            <w:r>
              <w:rPr>
                <w:rFonts w:ascii="Times New Roman"/>
                <w:sz w:val="18"/>
              </w:rPr>
            </w:r>
          </w:p>
        </w:tc>
      </w:tr>
      <w:tr>
        <w:trPr>
          <w:trHeight w:val="338" w:hRule="exact"/>
        </w:trPr>
        <w:tc>
          <w:tcPr>
            <w:tcW w:w="3142" w:type="dxa"/>
            <w:tcBorders>
              <w:top w:val="single" w:sz="6" w:space="0" w:color="000000"/>
              <w:left w:val="nil" w:sz="6" w:space="0" w:color="auto"/>
              <w:bottom w:val="nil" w:sz="6" w:space="0" w:color="auto"/>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36" w:hRule="exact"/>
        </w:trPr>
        <w:tc>
          <w:tcPr>
            <w:tcW w:w="3142" w:type="dxa"/>
            <w:tcBorders>
              <w:top w:val="nil" w:sz="6" w:space="0" w:color="auto"/>
              <w:left w:val="nil" w:sz="6" w:space="0" w:color="auto"/>
              <w:bottom w:val="nil" w:sz="6" w:space="0" w:color="auto"/>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36" w:hRule="exact"/>
        </w:trPr>
        <w:tc>
          <w:tcPr>
            <w:tcW w:w="3142" w:type="dxa"/>
            <w:tcBorders>
              <w:top w:val="nil" w:sz="6" w:space="0" w:color="auto"/>
              <w:left w:val="nil" w:sz="6" w:space="0" w:color="auto"/>
              <w:bottom w:val="nil" w:sz="6" w:space="0" w:color="auto"/>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2297" w:type="dxa"/>
            <w:tcBorders>
              <w:top w:val="single" w:sz="6" w:space="0" w:color="000000"/>
              <w:left w:val="nil" w:sz="6" w:space="0" w:color="auto"/>
              <w:bottom w:val="single" w:sz="6" w:space="0" w:color="000000"/>
              <w:right w:val="nil" w:sz="6" w:space="0" w:color="auto"/>
            </w:tcBorders>
          </w:tcPr>
          <w:p>
            <w:pPr/>
          </w:p>
        </w:tc>
      </w:tr>
      <w:tr>
        <w:trPr>
          <w:trHeight w:val="338"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北京同德一心科技有限公司</w:t>
            </w: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2297" w:type="dxa"/>
            <w:tcBorders>
              <w:top w:val="single" w:sz="6" w:space="0" w:color="000000"/>
              <w:left w:val="nil" w:sz="6" w:space="0" w:color="auto"/>
              <w:bottom w:val="single" w:sz="6" w:space="0" w:color="000000"/>
              <w:right w:val="nil" w:sz="6" w:space="0" w:color="auto"/>
            </w:tcBorders>
          </w:tcPr>
          <w:p>
            <w:pPr/>
          </w:p>
        </w:tc>
      </w:tr>
      <w:tr>
        <w:trPr>
          <w:trHeight w:val="336" w:hRule="exact"/>
        </w:trPr>
        <w:tc>
          <w:tcPr>
            <w:tcW w:w="3142" w:type="dxa"/>
            <w:tcBorders>
              <w:top w:val="nil" w:sz="6" w:space="0" w:color="auto"/>
              <w:left w:val="nil" w:sz="6" w:space="0" w:color="auto"/>
              <w:bottom w:val="nil" w:sz="6" w:space="0" w:color="auto"/>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38" w:hRule="exact"/>
        </w:trPr>
        <w:tc>
          <w:tcPr>
            <w:tcW w:w="3142" w:type="dxa"/>
            <w:tcBorders>
              <w:top w:val="nil" w:sz="6" w:space="0" w:color="auto"/>
              <w:left w:val="nil" w:sz="6" w:space="0" w:color="auto"/>
              <w:bottom w:val="nil" w:sz="6" w:space="0" w:color="auto"/>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392,621.08</w:t>
            </w:r>
          </w:p>
        </w:tc>
      </w:tr>
      <w:tr>
        <w:trPr>
          <w:trHeight w:val="336" w:hRule="exact"/>
        </w:trPr>
        <w:tc>
          <w:tcPr>
            <w:tcW w:w="3142" w:type="dxa"/>
            <w:tcBorders>
              <w:top w:val="nil" w:sz="6" w:space="0" w:color="auto"/>
              <w:left w:val="nil" w:sz="6" w:space="0" w:color="auto"/>
              <w:bottom w:val="single" w:sz="6" w:space="0" w:color="000000"/>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29,607,378.92</w:t>
            </w:r>
          </w:p>
        </w:tc>
      </w:tr>
      <w:tr>
        <w:trPr>
          <w:trHeight w:val="336" w:hRule="exact"/>
        </w:trPr>
        <w:tc>
          <w:tcPr>
            <w:tcW w:w="3142" w:type="dxa"/>
            <w:tcBorders>
              <w:top w:val="single" w:sz="6" w:space="0" w:color="000000"/>
              <w:left w:val="nil" w:sz="6" w:space="0" w:color="auto"/>
              <w:bottom w:val="nil" w:sz="6" w:space="0" w:color="auto"/>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41,370,000.00</w:t>
            </w:r>
          </w:p>
        </w:tc>
      </w:tr>
      <w:tr>
        <w:trPr>
          <w:trHeight w:val="338" w:hRule="exact"/>
        </w:trPr>
        <w:tc>
          <w:tcPr>
            <w:tcW w:w="3142" w:type="dxa"/>
            <w:tcBorders>
              <w:top w:val="nil" w:sz="6" w:space="0" w:color="auto"/>
              <w:left w:val="nil" w:sz="6" w:space="0" w:color="auto"/>
              <w:bottom w:val="nil" w:sz="6" w:space="0" w:color="auto"/>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41,370,000.00</w:t>
            </w:r>
          </w:p>
        </w:tc>
      </w:tr>
      <w:tr>
        <w:trPr>
          <w:trHeight w:val="336" w:hRule="exact"/>
        </w:trPr>
        <w:tc>
          <w:tcPr>
            <w:tcW w:w="3142" w:type="dxa"/>
            <w:tcBorders>
              <w:top w:val="nil" w:sz="6" w:space="0" w:color="auto"/>
              <w:left w:val="nil" w:sz="6" w:space="0" w:color="auto"/>
              <w:bottom w:val="nil" w:sz="6" w:space="0" w:color="auto"/>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2297" w:type="dxa"/>
            <w:tcBorders>
              <w:top w:val="single" w:sz="6" w:space="0" w:color="000000"/>
              <w:left w:val="nil" w:sz="6" w:space="0" w:color="auto"/>
              <w:bottom w:val="single" w:sz="6" w:space="0" w:color="000000"/>
              <w:right w:val="nil" w:sz="6" w:space="0" w:color="auto"/>
            </w:tcBorders>
          </w:tcPr>
          <w:p>
            <w:pPr/>
          </w:p>
        </w:tc>
      </w:tr>
      <w:tr>
        <w:trPr>
          <w:trHeight w:val="338"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北京数字天堂信息科技有限责任公司</w:t>
            </w: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2297" w:type="dxa"/>
            <w:tcBorders>
              <w:top w:val="single" w:sz="6" w:space="0" w:color="000000"/>
              <w:left w:val="nil" w:sz="6" w:space="0" w:color="auto"/>
              <w:bottom w:val="single" w:sz="6" w:space="0" w:color="000000"/>
              <w:right w:val="nil" w:sz="6" w:space="0" w:color="auto"/>
            </w:tcBorders>
          </w:tcPr>
          <w:p>
            <w:pPr/>
          </w:p>
        </w:tc>
      </w:tr>
      <w:tr>
        <w:trPr>
          <w:trHeight w:val="336" w:hRule="exact"/>
        </w:trPr>
        <w:tc>
          <w:tcPr>
            <w:tcW w:w="3142" w:type="dxa"/>
            <w:tcBorders>
              <w:top w:val="nil" w:sz="6" w:space="0" w:color="auto"/>
              <w:left w:val="nil" w:sz="6" w:space="0" w:color="auto"/>
              <w:bottom w:val="nil" w:sz="6" w:space="0" w:color="auto"/>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41,370,000.00</w:t>
            </w:r>
          </w:p>
        </w:tc>
      </w:tr>
      <w:tr>
        <w:trPr>
          <w:trHeight w:val="338" w:hRule="exact"/>
        </w:trPr>
        <w:tc>
          <w:tcPr>
            <w:tcW w:w="3142" w:type="dxa"/>
            <w:tcBorders>
              <w:top w:val="nil" w:sz="6" w:space="0" w:color="auto"/>
              <w:left w:val="nil" w:sz="6" w:space="0" w:color="auto"/>
              <w:bottom w:val="nil" w:sz="6" w:space="0" w:color="auto"/>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6,522,918.00</w:t>
            </w:r>
            <w:r>
              <w:rPr>
                <w:rFonts w:ascii="Times New Roman"/>
                <w:sz w:val="18"/>
              </w:rPr>
            </w:r>
          </w:p>
        </w:tc>
      </w:tr>
      <w:tr>
        <w:trPr>
          <w:trHeight w:val="336" w:hRule="exact"/>
        </w:trPr>
        <w:tc>
          <w:tcPr>
            <w:tcW w:w="3142" w:type="dxa"/>
            <w:tcBorders>
              <w:top w:val="nil" w:sz="6" w:space="0" w:color="auto"/>
              <w:left w:val="nil" w:sz="6" w:space="0" w:color="auto"/>
              <w:bottom w:val="single" w:sz="6" w:space="0" w:color="000000"/>
              <w:right w:val="nil" w:sz="6" w:space="0" w:color="auto"/>
            </w:tcBorders>
          </w:tcPr>
          <w:p>
            <w:pPr/>
          </w:p>
        </w:tc>
        <w:tc>
          <w:tcPr>
            <w:tcW w:w="42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34,847,082.00</w:t>
            </w:r>
          </w:p>
        </w:tc>
      </w:tr>
    </w:tbl>
    <w:p>
      <w:pPr>
        <w:spacing w:line="240" w:lineRule="auto" w:before="1"/>
        <w:rPr>
          <w:rFonts w:ascii="宋体" w:hAnsi="宋体" w:cs="宋体" w:eastAsia="宋体" w:hint="default"/>
          <w:sz w:val="21"/>
          <w:szCs w:val="21"/>
        </w:rPr>
      </w:pPr>
    </w:p>
    <w:p>
      <w:pPr>
        <w:pStyle w:val="BodyText"/>
        <w:spacing w:line="300" w:lineRule="auto" w:before="44"/>
        <w:ind w:right="151" w:firstLine="424"/>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日，中和资产评估有限公司以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日为基准日对北京惠捷朗科技有限公司全部股东权益价值进行 </w:t>
      </w:r>
      <w:r>
        <w:rPr>
          <w:spacing w:val="-1"/>
        </w:rPr>
        <w:t>了评估，并出具中和评报字（</w:t>
      </w:r>
      <w:r>
        <w:rPr>
          <w:rFonts w:ascii="Times New Roman" w:hAnsi="Times New Roman" w:cs="Times New Roman" w:eastAsia="Times New Roman" w:hint="default"/>
          <w:spacing w:val="-1"/>
        </w:rPr>
        <w:t>2014</w:t>
      </w:r>
      <w:r>
        <w:rPr>
          <w:spacing w:val="-1"/>
        </w:rPr>
        <w:t>）第</w:t>
      </w:r>
      <w:r>
        <w:rPr>
          <w:rFonts w:ascii="Times New Roman" w:hAnsi="Times New Roman" w:cs="Times New Roman" w:eastAsia="Times New Roman" w:hint="default"/>
          <w:spacing w:val="-1"/>
        </w:rPr>
        <w:t>BJV2044</w:t>
      </w:r>
      <w:r>
        <w:rPr>
          <w:spacing w:val="-1"/>
        </w:rPr>
        <w:t>号资产评估报告书。北京惠捷朗科技有限公司可辨认净资产于收购日（</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日）公允价值以评估结果为基础确定。</w:t>
      </w:r>
    </w:p>
    <w:p>
      <w:pPr>
        <w:spacing w:after="0" w:line="300"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50" w:firstLine="359"/>
        <w:jc w:val="right"/>
      </w:pPr>
      <w:r>
        <w:rPr>
          <w:spacing w:val="-1"/>
        </w:rPr>
        <w:t>北京同德一心科技有限公司于收购日（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18</w:t>
      </w:r>
      <w:r>
        <w:rPr>
          <w:spacing w:val="-1"/>
        </w:rPr>
        <w:t>日）可辨认净资产均为货币性资产，其公允价值以账面价值确定。</w:t>
      </w:r>
      <w:r>
        <w:rPr/>
        <w:t> 根据中和资产评估有限公司出具的</w:t>
      </w:r>
      <w:r>
        <w:rPr>
          <w:rFonts w:ascii="Times New Roman" w:hAnsi="Times New Roman" w:cs="Times New Roman" w:eastAsia="Times New Roman" w:hint="default"/>
        </w:rPr>
        <w:t>”</w:t>
      </w:r>
      <w:r>
        <w:rPr/>
        <w:t>中和咨报字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BJU3002</w:t>
      </w:r>
      <w:r>
        <w:rPr/>
        <w:t>号</w:t>
      </w:r>
      <w:r>
        <w:rPr>
          <w:rFonts w:ascii="Times New Roman" w:hAnsi="Times New Roman" w:cs="Times New Roman" w:eastAsia="Times New Roman" w:hint="default"/>
        </w:rPr>
        <w:t>”</w:t>
      </w:r>
      <w:r>
        <w:rPr/>
        <w:t>《评估咨询报告书》，北京数字天堂信息科技有限 </w:t>
      </w:r>
      <w:r>
        <w:rPr>
          <w:spacing w:val="-2"/>
        </w:rPr>
        <w:t>责任公司截至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日资产基础法评估值合计为</w:t>
      </w:r>
      <w:r>
        <w:rPr>
          <w:rFonts w:ascii="Times New Roman" w:hAnsi="Times New Roman" w:cs="Times New Roman" w:eastAsia="Times New Roman" w:hint="default"/>
          <w:spacing w:val="-2"/>
        </w:rPr>
        <w:t>648</w:t>
      </w:r>
      <w:r>
        <w:rPr>
          <w:spacing w:val="-2"/>
        </w:rPr>
        <w:t>万元，账面净资产</w:t>
      </w:r>
      <w:r>
        <w:rPr>
          <w:rFonts w:ascii="Times New Roman" w:hAnsi="Times New Roman" w:cs="Times New Roman" w:eastAsia="Times New Roman" w:hint="default"/>
          <w:spacing w:val="-2"/>
        </w:rPr>
        <w:t>616</w:t>
      </w:r>
      <w:r>
        <w:rPr>
          <w:spacing w:val="-2"/>
        </w:rPr>
        <w:t>万元，账面净资产主要为货币性资产，账面</w:t>
      </w:r>
    </w:p>
    <w:p>
      <w:pPr>
        <w:pStyle w:val="BodyText"/>
        <w:spacing w:line="240" w:lineRule="auto" w:before="13"/>
        <w:ind w:right="0"/>
        <w:jc w:val="left"/>
      </w:pPr>
      <w:r>
        <w:rPr/>
        <w:t>价值与公允价值之间差异较小，因此以截止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日即合并日账面净资产作为可辨认净资产公允价值。</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15、长期待摊费用" w:id="242"/>
      <w:bookmarkEnd w:id="242"/>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3"/>
        <w:gridCol w:w="1346"/>
        <w:gridCol w:w="1594"/>
        <w:gridCol w:w="1596"/>
        <w:gridCol w:w="1594"/>
        <w:gridCol w:w="1594"/>
      </w:tblGrid>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JavaEE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技术支持费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1,455,006.15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1,455,006.15</w:t>
            </w:r>
            <w:r>
              <w:rPr>
                <w:rFonts w:ascii="Times New Roman"/>
                <w:sz w:val="18"/>
              </w:rPr>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大厦保密室</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19,722.33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19,722.33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1,474,728.48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19,722.33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1,455,006.15</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6、递延所得税资产/递延所得税负债" w:id="243"/>
      <w:bookmarkEnd w:id="243"/>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44"/>
      <w:bookmarkEnd w:id="24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6"/>
        <w:gridCol w:w="1702"/>
        <w:gridCol w:w="1915"/>
        <w:gridCol w:w="1913"/>
        <w:gridCol w:w="1915"/>
      </w:tblGrid>
      <w:tr>
        <w:trPr>
          <w:trHeight w:val="401" w:hRule="exact"/>
        </w:trPr>
        <w:tc>
          <w:tcPr>
            <w:tcW w:w="21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1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26" w:type="dxa"/>
            <w:vMerge/>
            <w:tcBorders>
              <w:left w:val="single" w:sz="4" w:space="0" w:color="000000"/>
              <w:bottom w:val="single" w:sz="4" w:space="0" w:color="000000"/>
              <w:right w:val="single" w:sz="4" w:space="0" w:color="000000"/>
            </w:tcBorders>
            <w:shd w:val="clear" w:color="auto" w:fill="D4D4D4"/>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18,828,629.48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4,707,157.38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44,321,648.07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6,786,357.15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26,319,260.84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2,942,742.17</w:t>
            </w:r>
            <w:r>
              <w:rPr>
                <w:rFonts w:ascii="Times New Roman"/>
                <w:sz w:val="18"/>
              </w:rPr>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其他流动负债</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1,087,778.01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121,902.80</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2,882,763.69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290,421.37</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63,570,277.55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11,556,514.53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30,289,802.54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3,355,066.34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经抵销的递延所得税负债" w:id="245"/>
      <w:bookmarkEnd w:id="24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11,355,351.07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1,703,302.66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16,054,117.02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2,408,117.55</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11,355,351.07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1,703,302.66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16,054,117.02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2,408,117.55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以抵销后净额列示的递延所得税资产或负债" w:id="246"/>
      <w:bookmarkEnd w:id="24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11,556,514.52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3,355,066.34</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1,703,302.66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2,408,117.55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7、短期借款" w:id="247"/>
      <w:bookmarkEnd w:id="247"/>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48"/>
      <w:bookmarkEnd w:id="24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240" w:lineRule="auto" w:before="49"/>
        <w:ind w:right="0"/>
        <w:jc w:val="left"/>
      </w:pPr>
      <w:r>
        <w:rPr/>
        <w:t>短期借款分类的说明：</w:t>
      </w:r>
    </w:p>
    <w:p>
      <w:pPr>
        <w:pStyle w:val="BodyText"/>
        <w:spacing w:line="300" w:lineRule="auto" w:before="115"/>
        <w:ind w:right="152" w:firstLine="360"/>
        <w:jc w:val="both"/>
      </w:pP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26</w:t>
      </w:r>
      <w:r>
        <w:rPr>
          <w:spacing w:val="-5"/>
        </w:rPr>
        <w:t>日，招商银行股份有限公司北京分行在</w:t>
      </w:r>
      <w:r>
        <w:rPr>
          <w:rFonts w:ascii="Times New Roman" w:hAnsi="Times New Roman" w:cs="Times New Roman" w:eastAsia="Times New Roman" w:hint="default"/>
          <w:spacing w:val="-5"/>
        </w:rPr>
        <w:t>2013</w:t>
      </w:r>
      <w:r>
        <w:rPr>
          <w:spacing w:val="-5"/>
        </w:rPr>
        <w:t>年大望授字第</w:t>
      </w:r>
      <w:r>
        <w:rPr>
          <w:rFonts w:ascii="Times New Roman" w:hAnsi="Times New Roman" w:cs="Times New Roman" w:eastAsia="Times New Roman" w:hint="default"/>
          <w:spacing w:val="-5"/>
        </w:rPr>
        <w:t>035</w:t>
      </w:r>
      <w:r>
        <w:rPr>
          <w:spacing w:val="-5"/>
        </w:rPr>
        <w:t>号授信协议下与本公司签署《借款合同》（</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2"/>
        </w:rPr>
        <w:t> </w:t>
      </w:r>
      <w:r>
        <w:rPr/>
        <w:t>年大望授字第</w:t>
      </w:r>
      <w:r>
        <w:rPr>
          <w:rFonts w:ascii="Times New Roman" w:hAnsi="Times New Roman" w:cs="Times New Roman" w:eastAsia="Times New Roman" w:hint="default"/>
        </w:rPr>
        <w:t>035</w:t>
      </w:r>
      <w:r>
        <w:rPr/>
        <w:t>号贷</w:t>
      </w:r>
      <w:r>
        <w:rPr>
          <w:rFonts w:ascii="Times New Roman" w:hAnsi="Times New Roman" w:cs="Times New Roman" w:eastAsia="Times New Roman" w:hint="default"/>
        </w:rPr>
        <w:t>003</w:t>
      </w:r>
      <w:r>
        <w:rPr/>
        <w:t>），向本公司发行短期贷款</w:t>
      </w:r>
      <w:r>
        <w:rPr>
          <w:rFonts w:ascii="Times New Roman" w:hAnsi="Times New Roman" w:cs="Times New Roman" w:eastAsia="Times New Roman" w:hint="default"/>
        </w:rPr>
        <w:t>1,000</w:t>
      </w:r>
      <w:r>
        <w:rPr/>
        <w:t>万元，用于流动资金周转，贷款期限</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spacing w:val="-51"/>
        </w:rPr>
        <w:t> </w:t>
      </w:r>
      <w:r>
        <w:rPr>
          <w:rFonts w:ascii="Times New Roman" w:hAnsi="Times New Roman" w:cs="Times New Roman" w:eastAsia="Times New Roman" w:hint="default"/>
        </w:rPr>
        <w:t>25</w:t>
      </w:r>
      <w:r>
        <w:rPr/>
        <w:t>日，利率为央行贷款基准利率。</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日，公司已偿还招行</w:t>
      </w:r>
      <w:r>
        <w:rPr>
          <w:rFonts w:ascii="Times New Roman" w:hAnsi="Times New Roman" w:cs="Times New Roman" w:eastAsia="Times New Roman" w:hint="default"/>
        </w:rPr>
        <w:t>1000</w:t>
      </w:r>
      <w:r>
        <w:rPr/>
        <w:t>万元的借款。</w:t>
      </w:r>
    </w:p>
    <w:p>
      <w:pPr>
        <w:pStyle w:val="BodyText"/>
        <w:spacing w:line="300" w:lineRule="auto" w:before="13"/>
        <w:ind w:right="153" w:firstLine="36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20</w:t>
      </w:r>
      <w:r>
        <w:rPr>
          <w:spacing w:val="-1"/>
        </w:rPr>
        <w:t>日，杭州银行股份有限公司北京中关村支行与本公司签署《杭州银行股份有限公司借款合同》（</w:t>
      </w:r>
      <w:r>
        <w:rPr>
          <w:rFonts w:ascii="Times New Roman" w:hAnsi="Times New Roman" w:cs="Times New Roman" w:eastAsia="Times New Roman" w:hint="default"/>
          <w:spacing w:val="-1"/>
        </w:rPr>
        <w:t>C-A-10</w:t>
      </w:r>
      <w:r>
        <w:rPr>
          <w:spacing w:val="-1"/>
        </w:rPr>
        <w:t>）</w:t>
      </w:r>
      <w:r>
        <w:rPr>
          <w:rFonts w:ascii="Times New Roman" w:hAnsi="Times New Roman" w:cs="Times New Roman" w:eastAsia="Times New Roman" w:hint="default"/>
          <w:spacing w:val="-1"/>
        </w:rPr>
        <w:t>,</w:t>
      </w:r>
      <w:r>
        <w:rPr>
          <w:rFonts w:ascii="Times New Roman" w:hAnsi="Times New Roman" w:cs="Times New Roman" w:eastAsia="Times New Roman" w:hint="default"/>
          <w:w w:val="99"/>
        </w:rPr>
        <w:t> </w:t>
      </w:r>
      <w:r>
        <w:rPr>
          <w:spacing w:val="-1"/>
        </w:rPr>
        <w:t>向本公司发放普通流动资金贷款</w:t>
      </w:r>
      <w:r>
        <w:rPr>
          <w:rFonts w:ascii="Times New Roman" w:hAnsi="Times New Roman" w:cs="Times New Roman" w:eastAsia="Times New Roman" w:hint="default"/>
          <w:spacing w:val="-1"/>
        </w:rPr>
        <w:t>1,000</w:t>
      </w:r>
      <w:r>
        <w:rPr>
          <w:spacing w:val="-1"/>
        </w:rPr>
        <w:t>万元，用于向成都东方通科技有限责任公司支付货款，期限自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20</w:t>
      </w:r>
      <w:r>
        <w:rPr>
          <w:spacing w:val="-1"/>
        </w:rPr>
        <w:t>日至</w:t>
      </w:r>
      <w:r>
        <w:rPr>
          <w:rFonts w:ascii="Times New Roman" w:hAnsi="Times New Roman" w:cs="Times New Roman" w:eastAsia="Times New Roman" w:hint="default"/>
          <w:spacing w:val="-1"/>
        </w:rPr>
        <w:t>2015</w:t>
      </w:r>
      <w:r>
        <w:rPr>
          <w:spacing w:val="-1"/>
        </w:rPr>
        <w:t>年</w:t>
      </w:r>
      <w:r>
        <w:rPr>
          <w:spacing w:val="-75"/>
        </w:rPr>
        <w:t> </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日，利率为固定月率</w:t>
      </w:r>
      <w:r>
        <w:rPr>
          <w:rFonts w:ascii="Times New Roman" w:hAnsi="Times New Roman" w:cs="Times New Roman" w:eastAsia="Times New Roman" w:hint="default"/>
        </w:rPr>
        <w:t>5.0‰</w:t>
      </w:r>
      <w:r>
        <w:rPr/>
        <w:t>，一次还本，按季付息。</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日，公司已偿还杭州银行</w:t>
      </w:r>
      <w:r>
        <w:rPr>
          <w:rFonts w:ascii="Times New Roman" w:hAnsi="Times New Roman" w:cs="Times New Roman" w:eastAsia="Times New Roman" w:hint="default"/>
        </w:rPr>
        <w:t>1000</w:t>
      </w:r>
      <w:r>
        <w:rPr/>
        <w:t>万元借款。</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18、应付账款" w:id="249"/>
      <w:bookmarkEnd w:id="249"/>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50"/>
      <w:bookmarkEnd w:id="25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941,188.64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1,482,942.93</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1,646,142.44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271,473.30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149,500.00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335,500.00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3,008,304.38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1,833,692.93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应付账款" w:id="251"/>
      <w:bookmarkEnd w:id="251"/>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67"/>
              <w:jc w:val="center"/>
              <w:rPr>
                <w:rFonts w:ascii="宋体" w:hAnsi="宋体" w:cs="宋体" w:eastAsia="宋体" w:hint="default"/>
                <w:sz w:val="18"/>
                <w:szCs w:val="18"/>
              </w:rPr>
            </w:pPr>
            <w:r>
              <w:rPr>
                <w:rFonts w:ascii="宋体" w:hAnsi="宋体" w:cs="宋体" w:eastAsia="宋体" w:hint="default"/>
                <w:sz w:val="18"/>
                <w:szCs w:val="18"/>
              </w:rPr>
              <w:t>航天科工系统仿真科技（北京）有限公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435,849.06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未及时结算</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6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435,849.06</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300" w:lineRule="auto" w:before="117"/>
        <w:ind w:left="512" w:right="3354"/>
        <w:jc w:val="left"/>
      </w:pPr>
      <w:r>
        <w:rPr/>
        <w:t>本报告期应付账款中无欠持本公司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）表决权的股东单位款项。 本报告期无应付其他关联方的款项。</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19、预收款项" w:id="252"/>
      <w:bookmarkEnd w:id="252"/>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53"/>
      <w:bookmarkEnd w:id="25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2,600,863.45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3,543,139.75</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739,986.73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3,340,850.18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3,543,139.75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建造合同形成的已结算未完工项目情况" w:id="254"/>
      <w:bookmarkEnd w:id="254"/>
      <w:r>
        <w:rPr>
          <w:b w:val="0"/>
          <w:bCs w:val="0"/>
        </w:rPr>
      </w:r>
      <w:r>
        <w:rPr/>
        <w:t>（</w:t>
      </w:r>
      <w:r>
        <w:rPr>
          <w:rFonts w:ascii="Times New Roman" w:hAnsi="Times New Roman" w:cs="Times New Roman" w:eastAsia="Times New Roman" w:hint="default"/>
        </w:rPr>
        <w:t>2</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0"/>
        <w:jc w:val="left"/>
      </w:pPr>
      <w:r>
        <w:rPr/>
        <w:t>其他说明：</w:t>
      </w:r>
    </w:p>
    <w:p>
      <w:pPr>
        <w:pStyle w:val="BodyText"/>
        <w:spacing w:line="309" w:lineRule="auto" w:before="115"/>
        <w:ind w:left="512" w:right="3174"/>
        <w:jc w:val="left"/>
      </w:pPr>
      <w:r>
        <w:rPr/>
        <w:t>本报告期无账龄超过一年的重要预收账款。 本报告期预收账款中无预收持本公司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）表决权的股东单位款项。 本报告期无预收其他关联方的款项。</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20、应付职工薪酬" w:id="255"/>
      <w:bookmarkEnd w:id="255"/>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56"/>
      <w:bookmarkEnd w:id="25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4,372,503.43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86,108,024.73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83,602,384.48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6,878,143.68</w:t>
            </w:r>
            <w:r>
              <w:rPr>
                <w:rFonts w:ascii="Times New Roman"/>
                <w:sz w:val="18"/>
              </w:rPr>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9,707.40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6,175,508.86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6,178,662.94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6,553.32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4,382,210.83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92,283,533.59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89,781,047.42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6,884,697.00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短期薪酬列示" w:id="257"/>
      <w:bookmarkEnd w:id="25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782,671.63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68,713,425.09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68,638,455.05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857,641.67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372,989.76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372,989.76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8,470.16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6,374,324.14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6,377,099.34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5,694.96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4,544.53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3,606,277.79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3,607,692.71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3,129.61</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121,593.29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121,642.84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w:t>
            </w:r>
            <w:r>
              <w:rPr>
                <w:rFonts w:ascii="Times New Roman"/>
                <w:sz w:val="18"/>
              </w:rPr>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83.43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244,128.82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244,208.21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w:t>
            </w:r>
            <w:r>
              <w:rPr>
                <w:rFonts w:ascii="Times New Roman"/>
                <w:sz w:val="18"/>
              </w:rPr>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9,959.00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7,294,538.61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7,295,761.61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8,736.00</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3,571,402.64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3,352,747.13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918,078.72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6,006,071.05</w:t>
            </w:r>
            <w:r>
              <w:rPr>
                <w:rFonts w:ascii="Times New Roman"/>
                <w:sz w:val="18"/>
              </w:rPr>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4,372,503.43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86,108,024.73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83,602,384.48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6,878,143.68</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设定提存计划列示" w:id="258"/>
      <w:bookmarkEnd w:id="25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9,242.87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5,827,732.18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5,830,731.01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6,244.04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464.53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347,776.68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347,931.93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309.28</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9,707.40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6,175,508.86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6,178,662.94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6,553.32</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1、应交税费" w:id="259"/>
      <w:bookmarkEnd w:id="259"/>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12,864,055.76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9,135,896.29</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95,636.47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2,213.34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8,071,595.63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2,944,635.95</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575,838.01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487,888.73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821,193.78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647,193.70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350,350.20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277,368.75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236,216.75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184,912.48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214,150.32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副食品价格调控基金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20,529.23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8,401.00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7,786.62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5,739.58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23,043,202.45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13,908,400.14</w:t>
            </w:r>
          </w:p>
        </w:tc>
      </w:tr>
    </w:tbl>
    <w:p>
      <w:pPr>
        <w:pStyle w:val="BodyText"/>
        <w:spacing w:line="240" w:lineRule="auto" w:before="49"/>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2、其他应付款" w:id="260"/>
      <w:bookmarkEnd w:id="260"/>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61"/>
      <w:bookmarkEnd w:id="26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、单位往来款项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19,236,392.59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、应付职工个人款项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101,769.45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150,570.09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141,937,600.00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150,511.46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184,632.20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40,488,673.50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142,296,062.29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其他应付款" w:id="262"/>
      <w:bookmarkEnd w:id="262"/>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left"/>
      </w:pPr>
      <w:r>
        <w:rPr/>
        <w:t>其他说明</w:t>
      </w:r>
    </w:p>
    <w:p>
      <w:pPr>
        <w:pStyle w:val="BodyText"/>
        <w:spacing w:line="240" w:lineRule="auto" w:before="115"/>
        <w:ind w:left="512" w:right="0"/>
        <w:jc w:val="left"/>
      </w:pPr>
      <w:r>
        <w:rPr/>
        <w:t>无账龄一年以上的重要其他应付款。</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3、其他流动负债" w:id="263"/>
      <w:bookmarkEnd w:id="263"/>
      <w:r>
        <w:rPr>
          <w:b w:val="0"/>
          <w:bCs w:val="0"/>
        </w:rPr>
      </w:r>
      <w:r>
        <w:rPr>
          <w:rFonts w:ascii="Times New Roman" w:hAnsi="Times New Roman" w:cs="Times New Roman" w:eastAsia="Times New Roman" w:hint="default"/>
        </w:rPr>
        <w:t>23</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394"/>
        <w:gridCol w:w="2551"/>
        <w:gridCol w:w="2623"/>
      </w:tblGrid>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支撑工具集研发</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24,111.64</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开源软件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资源库组织及集成技术</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1,666.66</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面向软件服务运营的中间件系统的定制化研发</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23,133.33</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集成化中间件套件产品研发及产业化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6-2</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371,066.37</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国产中间件参考实现及平台之东方通部分</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69,333.33</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面向大型复杂网络应用的集成类中间件产品研发</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91,833.33</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中间件与数据库的互操作及集成性能测试用例开发</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10,800.00</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金融领域密码软硬件研发及应用示范</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233,333.35</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基于移动通信网络路测解决方案的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CDSLTE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测试系统</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262,500.00</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1,087,778.01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4、递延收益" w:id="264"/>
      <w:bookmarkEnd w:id="264"/>
      <w:r>
        <w:rPr>
          <w:b w:val="0"/>
          <w:bCs w:val="0"/>
        </w:rPr>
      </w:r>
      <w:r>
        <w:rPr>
          <w:rFonts w:ascii="Times New Roman" w:hAnsi="Times New Roman" w:cs="Times New Roman" w:eastAsia="Times New Roman" w:hint="default"/>
        </w:rPr>
        <w:t>24</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94"/>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4,071,800.00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629,874.20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3,441,925.80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政府拨款</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4,071,800.00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629,874.20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3,441,925.80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034"/>
        <w:gridCol w:w="1368"/>
        <w:gridCol w:w="1366"/>
        <w:gridCol w:w="1368"/>
        <w:gridCol w:w="1366"/>
        <w:gridCol w:w="1368"/>
      </w:tblGrid>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软件特色开发库与迁 移维护工具集</w:t>
            </w:r>
          </w:p>
        </w:tc>
        <w:tc>
          <w:tcPr>
            <w:tcW w:w="103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3,351,800.00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329,874.20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3,021,925.80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软件和集成电路产业 发展专项资金项目</w:t>
            </w:r>
          </w:p>
        </w:tc>
        <w:tc>
          <w:tcPr>
            <w:tcW w:w="103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4,071,800.00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629,874.20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3,441,925.80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5、股本" w:id="265"/>
      <w:bookmarkEnd w:id="265"/>
      <w:r>
        <w:rPr>
          <w:b w:val="0"/>
          <w:bCs w:val="0"/>
        </w:rPr>
      </w:r>
      <w:r>
        <w:rPr>
          <w:rFonts w:ascii="Times New Roman" w:hAnsi="Times New Roman" w:cs="Times New Roman" w:eastAsia="Times New Roman" w:hint="default"/>
        </w:rPr>
        <w:t>25</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5"/>
        <w:gridCol w:w="1198"/>
        <w:gridCol w:w="1195"/>
        <w:gridCol w:w="1196"/>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4D4D4"/>
          </w:tcPr>
          <w:p>
            <w:pP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57,610,150.00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57,610,150.00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57,610,150.00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115,220,300.00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6、资本公积" w:id="266"/>
      <w:bookmarkEnd w:id="266"/>
      <w:r>
        <w:rPr>
          <w:b w:val="0"/>
          <w:bCs w:val="0"/>
        </w:rPr>
      </w:r>
      <w:r>
        <w:rPr>
          <w:rFonts w:ascii="Times New Roman" w:hAnsi="Times New Roman" w:cs="Times New Roman" w:eastAsia="Times New Roman" w:hint="default"/>
        </w:rPr>
        <w:t>26</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555,791,322.20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57,610,150.00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498,181,172.20</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512,400.00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512,400.00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555,791,322.20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57,610,150.00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498,693,572.20</w:t>
            </w:r>
            <w:r>
              <w:rPr>
                <w:rFonts w:ascii="Times New Roman"/>
                <w:sz w:val="18"/>
              </w:rPr>
            </w:r>
          </w:p>
        </w:tc>
      </w:tr>
    </w:tbl>
    <w:p>
      <w:pPr>
        <w:pStyle w:val="BodyText"/>
        <w:spacing w:line="357" w:lineRule="auto" w:before="49"/>
        <w:ind w:left="512" w:right="0" w:hanging="360"/>
        <w:jc w:val="left"/>
      </w:pPr>
      <w:r>
        <w:rPr/>
        <w:t>其他说明，包括本期增减变动情况、变动原因说明： </w:t>
      </w:r>
      <w:r>
        <w:rPr>
          <w:spacing w:val="-2"/>
        </w:rPr>
        <w:t>本年增加：对可行权权益工具数量的最佳估计的确定方法：在等待期的每个资产负债表日，根据最新取得的可行权人数</w:t>
      </w:r>
    </w:p>
    <w:p>
      <w:pPr>
        <w:pStyle w:val="BodyText"/>
        <w:spacing w:line="237" w:lineRule="exact"/>
        <w:ind w:right="0"/>
        <w:jc w:val="left"/>
        <w:rPr>
          <w:rFonts w:ascii="Times New Roman" w:hAnsi="Times New Roman" w:cs="Times New Roman" w:eastAsia="Times New Roman" w:hint="default"/>
        </w:rPr>
      </w:pPr>
      <w:r>
        <w:rPr>
          <w:spacing w:val="-3"/>
        </w:rPr>
        <w:t>变动、业绩指标完成情况等信息，修正预计可行权的股票期权数量。以权益结算的股份支付计入资本公积的累计金额：</w:t>
      </w:r>
      <w:r>
        <w:rPr>
          <w:rFonts w:ascii="Times New Roman" w:hAnsi="Times New Roman" w:cs="Times New Roman" w:eastAsia="Times New Roman" w:hint="default"/>
          <w:spacing w:val="-3"/>
        </w:rPr>
        <w:t>51.24</w:t>
      </w:r>
      <w:r>
        <w:rPr>
          <w:rFonts w:ascii="Times New Roman" w:hAnsi="Times New Roman" w:cs="Times New Roman" w:eastAsia="Times New Roman" w:hint="default"/>
        </w:rPr>
      </w:r>
    </w:p>
    <w:p>
      <w:pPr>
        <w:pStyle w:val="BodyText"/>
        <w:spacing w:line="300" w:lineRule="auto" w:before="62"/>
        <w:ind w:left="512" w:right="144" w:hanging="360"/>
        <w:jc w:val="left"/>
      </w:pPr>
      <w:r>
        <w:rPr/>
        <w:t>万元。本期以权益结算的股份支付确认的费用总额：</w:t>
      </w:r>
      <w:r>
        <w:rPr>
          <w:rFonts w:ascii="Times New Roman" w:hAnsi="Times New Roman" w:cs="Times New Roman" w:eastAsia="Times New Roman" w:hint="default"/>
        </w:rPr>
        <w:t>51.24</w:t>
      </w:r>
      <w:r>
        <w:rPr/>
        <w:t>万元。 本年减少：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日，本公司</w:t>
      </w:r>
      <w:r>
        <w:rPr>
          <w:rFonts w:ascii="Times New Roman" w:hAnsi="Times New Roman" w:cs="Times New Roman" w:eastAsia="Times New Roman" w:hint="default"/>
        </w:rPr>
        <w:t>2014</w:t>
      </w:r>
      <w:r>
        <w:rPr/>
        <w:t>年度股东大会决议批准，以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57,610,150</w:t>
      </w:r>
      <w:r>
        <w:rPr/>
        <w:t>股为基数，以资本</w:t>
      </w:r>
    </w:p>
    <w:p>
      <w:pPr>
        <w:pStyle w:val="BodyText"/>
        <w:spacing w:line="240" w:lineRule="auto" w:before="13"/>
        <w:ind w:right="0"/>
        <w:jc w:val="left"/>
      </w:pPr>
      <w:r>
        <w:rPr/>
        <w:t>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w:t>
      </w:r>
      <w:r>
        <w:rPr>
          <w:rFonts w:ascii="Times New Roman" w:hAnsi="Times New Roman" w:cs="Times New Roman" w:eastAsia="Times New Roman" w:hint="default"/>
        </w:rPr>
        <w:t>57,610,150</w:t>
      </w:r>
      <w:r>
        <w:rPr/>
        <w:t>股，减少资本公积</w:t>
      </w:r>
      <w:r>
        <w:rPr>
          <w:rFonts w:ascii="Times New Roman" w:hAnsi="Times New Roman" w:cs="Times New Roman" w:eastAsia="Times New Roman" w:hint="default"/>
        </w:rPr>
        <w:t>57,610,150.00</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7、其他综合收益" w:id="267"/>
      <w:bookmarkEnd w:id="267"/>
      <w:r>
        <w:rPr>
          <w:b w:val="0"/>
          <w:bCs w:val="0"/>
        </w:rPr>
      </w:r>
      <w:r>
        <w:rPr>
          <w:rFonts w:ascii="Times New Roman" w:hAnsi="Times New Roman" w:cs="Times New Roman" w:eastAsia="Times New Roman" w:hint="default"/>
        </w:rPr>
        <w:t>27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09"/>
        <w:gridCol w:w="1068"/>
        <w:gridCol w:w="4894"/>
        <w:gridCol w:w="799"/>
      </w:tblGrid>
      <w:tr>
        <w:trPr>
          <w:trHeight w:val="402" w:hRule="exact"/>
        </w:trPr>
        <w:tc>
          <w:tcPr>
            <w:tcW w:w="28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10"/>
        <w:gridCol w:w="1068"/>
        <w:gridCol w:w="936"/>
        <w:gridCol w:w="1152"/>
        <w:gridCol w:w="934"/>
        <w:gridCol w:w="936"/>
        <w:gridCol w:w="936"/>
        <w:gridCol w:w="797"/>
      </w:tblGrid>
      <w:tr>
        <w:trPr>
          <w:trHeight w:val="1025" w:hRule="exact"/>
        </w:trPr>
        <w:tc>
          <w:tcPr>
            <w:tcW w:w="281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2,301.28</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2,301.28</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2,301.28</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8、盈余公积" w:id="268"/>
      <w:bookmarkEnd w:id="268"/>
      <w:r>
        <w:rPr>
          <w:b w:val="0"/>
          <w:bCs w:val="0"/>
        </w:rPr>
      </w:r>
      <w:r>
        <w:rPr>
          <w:rFonts w:ascii="Times New Roman" w:hAnsi="Times New Roman" w:cs="Times New Roman" w:eastAsia="Times New Roman" w:hint="default"/>
        </w:rPr>
        <w:t>28</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13,356,477.30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1,377,746.08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14,734,223.38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13,356,477.30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1,377,746.08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14,734,223.38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9、未分配利润" w:id="269"/>
      <w:bookmarkEnd w:id="269"/>
      <w:r>
        <w:rPr>
          <w:b w:val="0"/>
          <w:bCs w:val="0"/>
        </w:rPr>
      </w:r>
      <w:r>
        <w:rPr>
          <w:rFonts w:ascii="Times New Roman" w:hAnsi="Times New Roman" w:cs="Times New Roman" w:eastAsia="Times New Roman" w:hint="default"/>
        </w:rPr>
        <w:t>29</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3"/>
        <w:gridCol w:w="2918"/>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154,543,236.14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112,017,593.59</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154,543,236.14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112,017,593.59</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70,686,419.86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57,116,020.86</w:t>
            </w:r>
            <w:r>
              <w:rPr>
                <w:rFonts w:ascii="Times New Roman"/>
                <w:sz w:val="18"/>
              </w:rPr>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1,377,746.08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4,303,742.11</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11,522,030.00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10,286,636.20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212,329,879.92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154,543,236.14</w:t>
            </w:r>
            <w:r>
              <w:rPr>
                <w:rFonts w:ascii="Times New Roman"/>
                <w:sz w:val="18"/>
              </w:rPr>
            </w:r>
          </w:p>
        </w:tc>
      </w:tr>
    </w:tbl>
    <w:p>
      <w:pPr>
        <w:pStyle w:val="BodyText"/>
        <w:spacing w:line="240" w:lineRule="auto" w:before="49"/>
        <w:ind w:right="0"/>
        <w:jc w:val="left"/>
      </w:pPr>
      <w:r>
        <w:rPr/>
        <w:t>调整期初未分配利润明细：</w:t>
      </w:r>
    </w:p>
    <w:p>
      <w:pPr>
        <w:pStyle w:val="BodyText"/>
        <w:spacing w:line="240" w:lineRule="auto" w:before="115"/>
        <w:ind w:left="512"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62"/>
        <w:ind w:left="512"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62"/>
        <w:ind w:left="512"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62"/>
        <w:ind w:left="512"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62"/>
        <w:ind w:left="512" w:right="0"/>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0、营业收入和营业成本" w:id="270"/>
      <w:bookmarkEnd w:id="270"/>
      <w:r>
        <w:rPr>
          <w:b w:val="0"/>
          <w:bCs w:val="0"/>
        </w:rPr>
      </w:r>
      <w:r>
        <w:rPr>
          <w:rFonts w:ascii="Times New Roman" w:hAnsi="Times New Roman" w:cs="Times New Roman" w:eastAsia="Times New Roman" w:hint="default"/>
        </w:rPr>
        <w:t>30</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237,138,791.29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37,533,067.53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194,137,637.99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3,967,139.97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138,424.09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237,277,215.38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37,533,067.53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194,137,637.99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3,967,139.97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1、营业税金及附加" w:id="271"/>
      <w:bookmarkEnd w:id="271"/>
      <w:r>
        <w:rPr>
          <w:b w:val="0"/>
          <w:bCs w:val="0"/>
        </w:rPr>
      </w:r>
      <w:r>
        <w:rPr>
          <w:rFonts w:ascii="Times New Roman" w:hAnsi="Times New Roman" w:cs="Times New Roman" w:eastAsia="Times New Roman" w:hint="default"/>
        </w:rPr>
        <w:t>31</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2,120,663.59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2,182,915.55</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908,855.88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935,535.24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605,903.92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623,690.12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副食品价格调控基金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46,256.99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14,762.47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24,529.94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3,681,680.38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3,787,373.32</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2、销售费用" w:id="272"/>
      <w:bookmarkEnd w:id="272"/>
      <w:r>
        <w:rPr>
          <w:b w:val="0"/>
          <w:bCs w:val="0"/>
        </w:rPr>
      </w:r>
      <w:r>
        <w:rPr>
          <w:rFonts w:ascii="Times New Roman" w:hAnsi="Times New Roman" w:cs="Times New Roman" w:eastAsia="Times New Roman" w:hint="default"/>
        </w:rPr>
        <w:t>32</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32,165,930.96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35,092,446.81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74,018.01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67,809.18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4,158,477.22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5,159,318.66</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广告及业务宣传费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1,658,325.55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517,150.04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7,940,166.10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8,035,510.20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5,614,648.79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6,013,289.54</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4,633,962.91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3,869,789.84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976,502.40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235,223.78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1,574,073.06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2,109,848.45</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312,719.62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543,801.58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2,090,097.28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2,433,408.05</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146,096.68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141,523.47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61,345,018.58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64,219,119.60</w:t>
            </w:r>
            <w:r>
              <w:rPr>
                <w:rFonts w:ascii="Times New Roman"/>
                <w:sz w:val="18"/>
              </w:rPr>
            </w:r>
          </w:p>
        </w:tc>
      </w:tr>
    </w:tbl>
    <w:p>
      <w:pPr>
        <w:pStyle w:val="BodyText"/>
        <w:spacing w:line="240" w:lineRule="auto" w:before="49"/>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3、管理费用" w:id="273"/>
      <w:bookmarkEnd w:id="273"/>
      <w:r>
        <w:rPr>
          <w:b w:val="0"/>
          <w:bCs w:val="0"/>
        </w:rPr>
      </w:r>
      <w:r>
        <w:rPr>
          <w:rFonts w:ascii="Times New Roman" w:hAnsi="Times New Roman" w:cs="Times New Roman" w:eastAsia="Times New Roman" w:hint="default"/>
        </w:rPr>
        <w:t>33</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15,685,252.03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15,059,185.15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1,364,564.21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1,229,010.41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2,584,914.18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995,834.38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长期待费用摊销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184,706.49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605,997.00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792,890.30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922,326.21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627,249.15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1,195,614.91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395,181.52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118,814.59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4,979,506.79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7,478,326.58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965,051.84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1,495,228.51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1,452,440.39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1,002,212.93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研究与开发费用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38,759,313.54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46,222,487.95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1,066,392.59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561,838.47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627,806.13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434,499.10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90,140.00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168,556.39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2,724,126.99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3,243,602.05</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网络服务费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110,300.06</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1,210,906.30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196,524.89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62,899.70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512,400.00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73,008,461.04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82,117,640.69</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4、财务费用" w:id="274"/>
      <w:bookmarkEnd w:id="274"/>
      <w:r>
        <w:rPr>
          <w:b w:val="0"/>
          <w:bCs w:val="0"/>
        </w:rPr>
      </w:r>
      <w:r>
        <w:rPr>
          <w:rFonts w:ascii="Times New Roman" w:hAnsi="Times New Roman" w:cs="Times New Roman" w:eastAsia="Times New Roman" w:hint="default"/>
        </w:rPr>
        <w:t>34</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394,555.55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3,255,656.17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2,826,536.14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874,633.38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75,749.23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42,553.01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38,376.25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-2,317,855.11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2,423,575.80</w:t>
            </w:r>
            <w:r>
              <w:rPr>
                <w:rFonts w:ascii="Times New Roman"/>
                <w:sz w:val="18"/>
              </w:rPr>
            </w:r>
          </w:p>
        </w:tc>
      </w:tr>
    </w:tbl>
    <w:p>
      <w:pPr>
        <w:pStyle w:val="BodyText"/>
        <w:spacing w:line="240" w:lineRule="auto" w:before="49"/>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5、资产减值损失" w:id="275"/>
      <w:bookmarkEnd w:id="275"/>
      <w:r>
        <w:rPr>
          <w:b w:val="0"/>
          <w:bCs w:val="0"/>
        </w:rPr>
      </w:r>
      <w:r>
        <w:rPr>
          <w:rFonts w:ascii="Times New Roman" w:hAnsi="Times New Roman" w:cs="Times New Roman" w:eastAsia="Times New Roman" w:hint="default"/>
        </w:rPr>
        <w:t>35</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15,770,493.05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7,858,583.08</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15,770,493.05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7,858,583.08</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6、投资收益" w:id="276"/>
      <w:bookmarkEnd w:id="276"/>
      <w:r>
        <w:rPr>
          <w:b w:val="0"/>
          <w:bCs w:val="0"/>
        </w:rPr>
      </w:r>
      <w:r>
        <w:rPr>
          <w:rFonts w:ascii="Times New Roman" w:hAnsi="Times New Roman" w:cs="Times New Roman" w:eastAsia="Times New Roman" w:hint="default"/>
        </w:rPr>
        <w:t>36</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0"/>
        <w:gridCol w:w="2918"/>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-38,417.74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9,350.64</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70,867.46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32,449.72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9,350.64</w:t>
            </w:r>
          </w:p>
        </w:tc>
      </w:tr>
    </w:tbl>
    <w:p>
      <w:pPr>
        <w:pStyle w:val="BodyText"/>
        <w:spacing w:line="240" w:lineRule="auto" w:before="49"/>
        <w:ind w:right="0"/>
        <w:jc w:val="left"/>
      </w:pPr>
      <w:r>
        <w:rPr/>
        <w:t>其他说明：</w:t>
      </w:r>
    </w:p>
    <w:p>
      <w:pPr>
        <w:pStyle w:val="BodyText"/>
        <w:spacing w:line="240" w:lineRule="auto" w:before="115"/>
        <w:ind w:left="512" w:right="0"/>
        <w:jc w:val="left"/>
      </w:pPr>
      <w:r>
        <w:rPr/>
        <w:t>按权益法核算的长期股权投资收益：</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378"/>
        <w:gridCol w:w="2640"/>
        <w:gridCol w:w="2640"/>
      </w:tblGrid>
      <w:tr>
        <w:trPr>
          <w:trHeight w:val="343" w:hRule="exact"/>
        </w:trPr>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年发生额</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年发生额</w:t>
            </w:r>
          </w:p>
        </w:tc>
      </w:tr>
      <w:tr>
        <w:trPr>
          <w:trHeight w:val="341" w:hRule="exact"/>
        </w:trPr>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北京核高基软件有限公司</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653" w:right="0"/>
              <w:jc w:val="left"/>
              <w:rPr>
                <w:rFonts w:ascii="Times New Roman" w:hAnsi="Times New Roman" w:cs="Times New Roman" w:eastAsia="Times New Roman" w:hint="default"/>
                <w:sz w:val="18"/>
                <w:szCs w:val="18"/>
              </w:rPr>
            </w:pPr>
            <w:r>
              <w:rPr>
                <w:rFonts w:ascii="Times New Roman"/>
                <w:sz w:val="18"/>
              </w:rPr>
              <w:t>-38,417.74</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2"/>
              <w:jc w:val="right"/>
              <w:rPr>
                <w:rFonts w:ascii="Times New Roman" w:hAnsi="Times New Roman" w:cs="Times New Roman" w:eastAsia="Times New Roman" w:hint="default"/>
                <w:sz w:val="18"/>
                <w:szCs w:val="18"/>
              </w:rPr>
            </w:pPr>
            <w:r>
              <w:rPr>
                <w:rFonts w:ascii="Times New Roman"/>
                <w:sz w:val="18"/>
              </w:rPr>
              <w:t>9,350.64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bookmarkStart w:name="37、营业外收入" w:id="277"/>
      <w:bookmarkEnd w:id="277"/>
      <w:r>
        <w:rPr>
          <w:b w:val="0"/>
          <w:bCs w:val="0"/>
        </w:rPr>
      </w:r>
      <w:r>
        <w:rPr>
          <w:rFonts w:ascii="Times New Roman" w:hAnsi="Times New Roman" w:cs="Times New Roman" w:eastAsia="Times New Roman" w:hint="default"/>
        </w:rPr>
        <w:t>37</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4D4D4"/>
          </w:tcPr>
          <w:p>
            <w:pPr/>
          </w:p>
        </w:tc>
        <w:tc>
          <w:tcPr>
            <w:tcW w:w="2395" w:type="dxa"/>
            <w:vMerge/>
            <w:tcBorders>
              <w:left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4D4D4"/>
          </w:tcPr>
          <w:p>
            <w:pPr/>
          </w:p>
        </w:tc>
        <w:tc>
          <w:tcPr>
            <w:tcW w:w="2395"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5,094.66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5,094.66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5,094.66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34,866,757.14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33,558,525.69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11,399,096.16</w:t>
            </w:r>
            <w:r>
              <w:rPr>
                <w:rFonts w:ascii="Times New Roman"/>
                <w:sz w:val="18"/>
              </w:rPr>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26,401.75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579,575.79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26,401.75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34,898,253.55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34,138,101.48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11,430,592.57</w:t>
            </w:r>
            <w:r>
              <w:rPr>
                <w:rFonts w:ascii="Times New Roman"/>
                <w:sz w:val="18"/>
              </w:rPr>
            </w:r>
          </w:p>
        </w:tc>
      </w:tr>
    </w:tbl>
    <w:p>
      <w:pPr>
        <w:pStyle w:val="BodyText"/>
        <w:spacing w:line="240" w:lineRule="auto" w:before="49"/>
        <w:ind w:right="0"/>
        <w:jc w:val="left"/>
      </w:pPr>
      <w:r>
        <w:rPr/>
        <w:t>计入当期损益的政府补助：</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4" w:right="131"/>
              <w:jc w:val="left"/>
              <w:rPr>
                <w:rFonts w:ascii="宋体" w:hAnsi="宋体" w:cs="宋体" w:eastAsia="宋体" w:hint="default"/>
                <w:sz w:val="18"/>
                <w:szCs w:val="18"/>
              </w:rPr>
            </w:pPr>
            <w:r>
              <w:rPr>
                <w:rFonts w:ascii="宋体" w:hAnsi="宋体" w:cs="宋体" w:eastAsia="宋体" w:hint="default"/>
                <w:sz w:val="18"/>
                <w:szCs w:val="18"/>
              </w:rPr>
              <w:t>增值税即征 即退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北京市丰台 区国家税务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23,467,660.9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24,248,617.2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44"/>
        <w:ind w:left="1389" w:right="2606"/>
        <w:jc w:val="center"/>
      </w:pPr>
      <w:r>
        <w:rPr/>
        <w:pict>
          <v:shape style="position:absolute;margin-left:56.639999pt;margin-top:-49.808807pt;width:212.8pt;height:79.4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3"/>
                    <w:gridCol w:w="1063"/>
                    <w:gridCol w:w="1063"/>
                  </w:tblGrid>
                  <w:tr>
                    <w:trPr>
                      <w:trHeight w:val="986" w:hRule="exact"/>
                    </w:trPr>
                    <w:tc>
                      <w:tcPr>
                        <w:tcW w:w="3192" w:type="dxa"/>
                        <w:gridSpan w:val="3"/>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316" w:lineRule="auto" w:before="13"/>
                          <w:ind w:left="28" w:right="24"/>
                          <w:jc w:val="left"/>
                          <w:rPr>
                            <w:rFonts w:ascii="宋体" w:hAnsi="宋体" w:cs="宋体" w:eastAsia="宋体" w:hint="default"/>
                            <w:sz w:val="18"/>
                            <w:szCs w:val="18"/>
                          </w:rPr>
                        </w:pP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r>
                  <w:tr>
                    <w:trPr>
                      <w:trHeight w:val="601"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产业发展引</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北京市丰台</w:t>
                        </w: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312" w:lineRule="exact" w:before="14"/>
                          <w:ind w:left="28" w:right="132"/>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r>
                </w:tbl>
                <w:p>
                  <w:pPr/>
                </w:p>
              </w:txbxContent>
            </v:textbox>
            <w10:wrap type="none"/>
          </v:shape>
        </w:pict>
      </w:r>
      <w:r>
        <w:rPr/>
        <w:t>、</w:t>
      </w: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5" w:footer="982" w:top="1060" w:bottom="1180" w:left="980" w:right="980"/>
        </w:sectPr>
      </w:pPr>
    </w:p>
    <w:p>
      <w:pPr>
        <w:pStyle w:val="BodyText"/>
        <w:spacing w:line="196" w:lineRule="exact" w:before="44"/>
        <w:ind w:left="0" w:right="0"/>
        <w:jc w:val="right"/>
      </w:pPr>
      <w:r>
        <w:rPr/>
        <w:t>补助</w:t>
      </w:r>
    </w:p>
    <w:p>
      <w:pPr>
        <w:pStyle w:val="BodyText"/>
        <w:tabs>
          <w:tab w:pos="1247" w:val="left" w:leader="none"/>
        </w:tabs>
        <w:spacing w:line="196" w:lineRule="exact"/>
        <w:ind w:left="181" w:right="0"/>
        <w:jc w:val="left"/>
      </w:pPr>
      <w:r>
        <w:rPr/>
        <w:t>导</w:t>
        <w:tab/>
        <w:t>区财政局</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81" w:right="-20"/>
        <w:jc w:val="left"/>
      </w:pPr>
      <w:r>
        <w:rPr/>
        <w:t>改造等获得 的补助</w:t>
      </w:r>
    </w:p>
    <w:p>
      <w:pPr>
        <w:pStyle w:val="BodyText"/>
        <w:tabs>
          <w:tab w:pos="1186" w:val="left" w:leader="none"/>
          <w:tab w:pos="2309" w:val="left" w:leader="none"/>
          <w:tab w:pos="4373" w:val="left" w:leader="none"/>
        </w:tabs>
        <w:spacing w:line="240" w:lineRule="auto" w:before="44"/>
        <w:ind w:left="123" w:right="0"/>
        <w:jc w:val="left"/>
      </w:pPr>
      <w:r>
        <w:rPr/>
        <w:br w:type="column"/>
      </w:r>
      <w:r>
        <w:rPr/>
        <w:t>是</w:t>
        <w:tab/>
        <w:t>否</w:t>
        <w:tab/>
      </w:r>
      <w:r>
        <w:rPr>
          <w:rFonts w:ascii="Times New Roman" w:hAnsi="Times New Roman" w:cs="Times New Roman" w:eastAsia="Times New Roman" w:hint="default"/>
          <w:spacing w:val="-1"/>
        </w:rPr>
        <w:t>2,500,000.00</w:t>
        <w:tab/>
      </w:r>
      <w:r>
        <w:rPr/>
        <w:t>与收益相关</w:t>
      </w:r>
    </w:p>
    <w:p>
      <w:pPr>
        <w:spacing w:after="0" w:line="240" w:lineRule="auto"/>
        <w:jc w:val="left"/>
        <w:sectPr>
          <w:type w:val="continuous"/>
          <w:pgSz w:w="11910" w:h="16840"/>
          <w:pgMar w:top="1060" w:bottom="1180" w:left="980" w:right="980"/>
          <w:cols w:num="3" w:equalWidth="0">
            <w:col w:w="2671" w:space="521"/>
            <w:col w:w="1082" w:space="40"/>
            <w:col w:w="5636"/>
          </w:cols>
        </w:sectPr>
      </w:pPr>
    </w:p>
    <w:p>
      <w:pPr>
        <w:pStyle w:val="BodyText"/>
        <w:spacing w:line="316" w:lineRule="auto" w:before="107"/>
        <w:ind w:left="181" w:right="0"/>
        <w:jc w:val="both"/>
      </w:pPr>
      <w:r>
        <w:rPr/>
        <w:t>可支持普通 智能终端的 移动网络测 试优化新型 云服务平台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4"/>
          <w:szCs w:val="14"/>
        </w:rPr>
      </w:pPr>
    </w:p>
    <w:p>
      <w:pPr>
        <w:pStyle w:val="BodyText"/>
        <w:spacing w:line="316" w:lineRule="auto"/>
        <w:ind w:left="125" w:right="-20"/>
        <w:jc w:val="left"/>
      </w:pPr>
      <w:r>
        <w:rPr/>
        <w:t>中关村科技 园区管理委</w:t>
      </w:r>
      <w:r>
        <w:rPr>
          <w:spacing w:val="73"/>
        </w:rPr>
        <w:t> </w:t>
      </w:r>
      <w:r>
        <w:rPr/>
        <w:t>补助</w:t>
      </w:r>
      <w:r>
        <w:rPr/>
        <w:t> 员会</w:t>
      </w:r>
    </w:p>
    <w:p>
      <w:pPr>
        <w:spacing w:line="240" w:lineRule="auto" w:before="6"/>
        <w:rPr>
          <w:rFonts w:ascii="宋体" w:hAnsi="宋体" w:cs="宋体" w:eastAsia="宋体" w:hint="default"/>
          <w:sz w:val="14"/>
          <w:szCs w:val="14"/>
        </w:rPr>
      </w:pPr>
      <w:r>
        <w:rPr/>
        <w:br w:type="column"/>
      </w:r>
      <w:r>
        <w:rPr>
          <w:rFonts w:ascii="宋体"/>
          <w:sz w:val="14"/>
        </w:rPr>
      </w:r>
    </w:p>
    <w:p>
      <w:pPr>
        <w:pStyle w:val="BodyText"/>
        <w:spacing w:line="310" w:lineRule="atLeast"/>
        <w:ind w:left="181" w:right="5473"/>
        <w:jc w:val="left"/>
      </w:pPr>
      <w:r>
        <w:rPr/>
        <w:t>因研究开发、 技术更新及</w:t>
      </w:r>
    </w:p>
    <w:p>
      <w:pPr>
        <w:pStyle w:val="BodyText"/>
        <w:tabs>
          <w:tab w:pos="2307" w:val="left" w:leader="none"/>
          <w:tab w:pos="3431" w:val="left" w:leader="none"/>
          <w:tab w:pos="5495" w:val="left" w:leader="none"/>
        </w:tabs>
        <w:spacing w:line="123" w:lineRule="exact"/>
        <w:ind w:left="1244" w:right="0"/>
        <w:jc w:val="left"/>
      </w:pPr>
      <w:r>
        <w:rPr/>
        <w:t>是</w:t>
        <w:tab/>
        <w:t>否</w:t>
        <w:tab/>
      </w:r>
      <w:r>
        <w:rPr>
          <w:rFonts w:ascii="Times New Roman" w:hAnsi="Times New Roman" w:cs="Times New Roman" w:eastAsia="Times New Roman" w:hint="default"/>
          <w:spacing w:val="-1"/>
        </w:rPr>
        <w:t>2,290,000.00</w:t>
        <w:tab/>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240" w:lineRule="auto"/>
        <w:ind w:left="181" w:right="-20"/>
        <w:jc w:val="left"/>
      </w:pPr>
      <w:r>
        <w:rPr/>
        <w:t>上市补助</w:t>
      </w:r>
    </w:p>
    <w:p>
      <w:pPr>
        <w:pStyle w:val="BodyText"/>
        <w:spacing w:line="316" w:lineRule="auto" w:before="110"/>
        <w:ind w:left="181" w:right="-20"/>
        <w:jc w:val="left"/>
      </w:pPr>
      <w:r>
        <w:rPr/>
        <w:br w:type="column"/>
      </w:r>
      <w:r>
        <w:rPr/>
        <w:t>中关村科技 园区丰台园</w:t>
      </w:r>
      <w:r>
        <w:rPr>
          <w:spacing w:val="73"/>
        </w:rPr>
        <w:t> </w:t>
      </w:r>
      <w:r>
        <w:rPr/>
        <w:t>补助</w:t>
      </w:r>
      <w:r>
        <w:rPr/>
        <w:t> 管理委员会</w:t>
      </w:r>
    </w:p>
    <w:p>
      <w:pPr>
        <w:pStyle w:val="BodyText"/>
        <w:spacing w:line="316" w:lineRule="auto" w:before="110"/>
        <w:ind w:left="181" w:right="0"/>
        <w:jc w:val="both"/>
      </w:pPr>
      <w:r>
        <w:rPr/>
        <w:br w:type="column"/>
      </w:r>
      <w:r>
        <w:rPr/>
        <w:t>奖励上市而 给予的政府 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tabs>
          <w:tab w:pos="1186" w:val="left" w:leader="none"/>
          <w:tab w:pos="2309" w:val="left" w:leader="none"/>
          <w:tab w:pos="4373" w:val="left" w:leader="none"/>
        </w:tabs>
        <w:spacing w:line="240" w:lineRule="auto"/>
        <w:ind w:left="123" w:right="0"/>
        <w:jc w:val="left"/>
      </w:pPr>
      <w:r>
        <w:rPr/>
        <w:t>是</w:t>
        <w:tab/>
        <w:t>否</w:t>
        <w:tab/>
      </w:r>
      <w:r>
        <w:rPr>
          <w:rFonts w:ascii="Times New Roman" w:hAnsi="Times New Roman" w:cs="Times New Roman" w:eastAsia="Times New Roman" w:hint="default"/>
          <w:spacing w:val="-1"/>
        </w:rPr>
        <w:t>2,000,000.00</w:t>
        <w:tab/>
      </w:r>
      <w:r>
        <w:rPr/>
        <w:t>与收益相关</w:t>
      </w:r>
    </w:p>
    <w:p>
      <w:pPr>
        <w:spacing w:after="0" w:line="240" w:lineRule="auto"/>
        <w:jc w:val="left"/>
        <w:sectPr>
          <w:type w:val="continuous"/>
          <w:pgSz w:w="11910" w:h="16840"/>
          <w:pgMar w:top="1060" w:bottom="1180" w:left="980" w:right="980"/>
          <w:cols w:num="4" w:equalWidth="0">
            <w:col w:w="902" w:space="163"/>
            <w:col w:w="1605" w:space="521"/>
            <w:col w:w="1082" w:space="40"/>
            <w:col w:w="5637"/>
          </w:cols>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316" w:lineRule="auto"/>
        <w:ind w:left="181" w:right="-20"/>
        <w:jc w:val="left"/>
      </w:pPr>
      <w:r>
        <w:rPr/>
        <w:t>创制标准奖 政策奖励</w:t>
      </w:r>
    </w:p>
    <w:p>
      <w:pPr>
        <w:spacing w:line="240" w:lineRule="auto" w:before="2"/>
        <w:rPr>
          <w:rFonts w:ascii="宋体" w:hAnsi="宋体" w:cs="宋体" w:eastAsia="宋体" w:hint="default"/>
          <w:sz w:val="20"/>
          <w:szCs w:val="20"/>
        </w:rPr>
      </w:pPr>
      <w:r>
        <w:rPr/>
        <w:br w:type="column"/>
      </w:r>
      <w:r>
        <w:rPr>
          <w:rFonts w:ascii="宋体"/>
          <w:sz w:val="20"/>
        </w:rPr>
      </w:r>
    </w:p>
    <w:p>
      <w:pPr>
        <w:pStyle w:val="BodyText"/>
        <w:spacing w:line="316" w:lineRule="auto"/>
        <w:ind w:left="125" w:right="-20"/>
        <w:jc w:val="left"/>
      </w:pPr>
      <w:r>
        <w:rPr/>
        <w:t>中关村科技 园区丰台园</w:t>
      </w:r>
      <w:r>
        <w:rPr>
          <w:spacing w:val="73"/>
        </w:rPr>
        <w:t> </w:t>
      </w:r>
      <w:r>
        <w:rPr/>
        <w:t>补助</w:t>
      </w:r>
      <w:r>
        <w:rPr/>
        <w:t> 管理委员会</w:t>
      </w:r>
    </w:p>
    <w:p>
      <w:pPr>
        <w:pStyle w:val="BodyText"/>
        <w:spacing w:line="310" w:lineRule="atLeast" w:before="33"/>
        <w:ind w:left="181" w:right="5473"/>
        <w:jc w:val="left"/>
      </w:pPr>
      <w:r>
        <w:rPr/>
        <w:br w:type="column"/>
      </w:r>
      <w:r>
        <w:rPr/>
        <w:t>因研究开发、 技术更新及</w:t>
      </w:r>
    </w:p>
    <w:p>
      <w:pPr>
        <w:pStyle w:val="BodyText"/>
        <w:tabs>
          <w:tab w:pos="2307" w:val="left" w:leader="none"/>
          <w:tab w:pos="3565" w:val="left" w:leader="none"/>
          <w:tab w:pos="5495" w:val="left" w:leader="none"/>
        </w:tabs>
        <w:spacing w:line="123" w:lineRule="exact"/>
        <w:ind w:left="1244" w:right="0"/>
        <w:jc w:val="left"/>
      </w:pPr>
      <w:r>
        <w:rPr/>
        <w:t>是</w:t>
        <w:tab/>
        <w:t>否</w:t>
        <w:tab/>
      </w:r>
      <w:r>
        <w:rPr>
          <w:rFonts w:ascii="Times New Roman" w:hAnsi="Times New Roman" w:cs="Times New Roman" w:eastAsia="Times New Roman" w:hint="default"/>
          <w:spacing w:val="-1"/>
        </w:rPr>
        <w:t>900,000.00</w:t>
        <w:tab/>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人力资源和 社会保障局 研发资助</w:t>
      </w:r>
    </w:p>
    <w:p>
      <w:pPr>
        <w:pStyle w:val="BodyText"/>
        <w:spacing w:line="312" w:lineRule="exact" w:before="5"/>
        <w:ind w:left="125" w:right="503"/>
        <w:jc w:val="left"/>
      </w:pPr>
      <w:r>
        <w:rPr/>
        <w:br w:type="column"/>
      </w:r>
      <w:r>
        <w:rPr/>
        <w:t>北京市丰台 区人力资源</w:t>
      </w:r>
    </w:p>
    <w:p>
      <w:pPr>
        <w:pStyle w:val="BodyText"/>
        <w:spacing w:line="79" w:lineRule="exact"/>
        <w:ind w:left="1188" w:right="-20"/>
        <w:jc w:val="left"/>
      </w:pPr>
      <w:r>
        <w:rPr/>
        <w:t>补助</w:t>
      </w:r>
    </w:p>
    <w:p>
      <w:pPr>
        <w:pStyle w:val="BodyText"/>
        <w:spacing w:line="196" w:lineRule="exact"/>
        <w:ind w:left="125" w:right="-20"/>
        <w:jc w:val="left"/>
      </w:pPr>
      <w:r>
        <w:rPr/>
        <w:t>和社会保障</w:t>
      </w:r>
    </w:p>
    <w:p>
      <w:pPr>
        <w:pStyle w:val="BodyText"/>
        <w:spacing w:line="240" w:lineRule="auto" w:before="76"/>
        <w:ind w:left="125" w:right="-20"/>
        <w:jc w:val="left"/>
      </w:pPr>
      <w:r>
        <w:rPr/>
        <w:t>局</w:t>
      </w:r>
    </w:p>
    <w:p>
      <w:pPr>
        <w:pStyle w:val="BodyText"/>
        <w:spacing w:line="312" w:lineRule="exact" w:before="5"/>
        <w:ind w:left="181" w:right="5473"/>
        <w:jc w:val="left"/>
      </w:pPr>
      <w:r>
        <w:rPr/>
        <w:br w:type="column"/>
      </w:r>
      <w:r>
        <w:rPr/>
        <w:t>因研究开发、 技术更新及</w:t>
      </w:r>
    </w:p>
    <w:p>
      <w:pPr>
        <w:pStyle w:val="BodyText"/>
        <w:tabs>
          <w:tab w:pos="2307" w:val="left" w:leader="none"/>
          <w:tab w:pos="3565" w:val="left" w:leader="none"/>
          <w:tab w:pos="5495" w:val="left" w:leader="none"/>
        </w:tabs>
        <w:spacing w:line="86" w:lineRule="exact"/>
        <w:ind w:left="1244" w:right="0"/>
        <w:jc w:val="left"/>
      </w:pPr>
      <w:r>
        <w:rPr/>
        <w:t>是</w:t>
        <w:tab/>
        <w:t>否</w:t>
        <w:tab/>
      </w:r>
      <w:r>
        <w:rPr>
          <w:rFonts w:ascii="Times New Roman" w:hAnsi="Times New Roman" w:cs="Times New Roman" w:eastAsia="Times New Roman" w:hint="default"/>
          <w:spacing w:val="-1"/>
        </w:rPr>
        <w:t>500,000.00</w:t>
        <w:tab/>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t>技术中心奖 励</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20"/>
        <w:jc w:val="left"/>
      </w:pPr>
      <w:r>
        <w:rPr/>
        <w:t>中关村科技 园区丰台园</w:t>
      </w:r>
      <w:r>
        <w:rPr>
          <w:spacing w:val="73"/>
        </w:rPr>
        <w:t> </w:t>
      </w:r>
      <w:r>
        <w:rPr/>
        <w:t>奖励</w:t>
      </w:r>
      <w:r>
        <w:rPr/>
        <w:t> 管理委员会</w:t>
      </w:r>
    </w:p>
    <w:p>
      <w:pPr>
        <w:pStyle w:val="BodyText"/>
        <w:spacing w:line="312" w:lineRule="exact" w:before="5"/>
        <w:ind w:left="181" w:right="5473"/>
        <w:jc w:val="left"/>
      </w:pPr>
      <w:r>
        <w:rPr/>
        <w:br w:type="column"/>
      </w:r>
      <w:r>
        <w:rPr/>
        <w:t>因研究开发、 技术更新及</w:t>
      </w:r>
    </w:p>
    <w:p>
      <w:pPr>
        <w:pStyle w:val="BodyText"/>
        <w:tabs>
          <w:tab w:pos="2307" w:val="left" w:leader="none"/>
          <w:tab w:pos="3565" w:val="left" w:leader="none"/>
          <w:tab w:pos="5495" w:val="left" w:leader="none"/>
        </w:tabs>
        <w:spacing w:line="86" w:lineRule="exact"/>
        <w:ind w:left="1244" w:right="0"/>
        <w:jc w:val="left"/>
      </w:pPr>
      <w:r>
        <w:rPr/>
        <w:t>否</w:t>
        <w:tab/>
        <w:t>否</w:t>
        <w:tab/>
      </w:r>
      <w:r>
        <w:rPr>
          <w:rFonts w:ascii="Times New Roman" w:hAnsi="Times New Roman" w:cs="Times New Roman" w:eastAsia="Times New Roman" w:hint="default"/>
          <w:spacing w:val="-1"/>
        </w:rPr>
        <w:t>500,000.00</w:t>
        <w:tab/>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rPr>
          <w:rFonts w:ascii="Times New Roman" w:hAnsi="Times New Roman" w:cs="Times New Roman" w:eastAsia="Times New Roman" w:hint="default"/>
        </w:rPr>
      </w:pPr>
      <w:r>
        <w:rPr/>
        <w:t>集成化中间 件套件产品 研发及产业 化</w:t>
      </w:r>
      <w:r>
        <w:rPr>
          <w:spacing w:val="-44"/>
        </w:rPr>
        <w:t> </w:t>
      </w:r>
      <w:r>
        <w:rPr>
          <w:rFonts w:ascii="Times New Roman" w:hAnsi="Times New Roman" w:cs="Times New Roman" w:eastAsia="Times New Roman" w:hint="default"/>
        </w:rPr>
        <w:t>6-2</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pStyle w:val="BodyText"/>
        <w:spacing w:line="196" w:lineRule="exact" w:before="149"/>
        <w:ind w:left="125" w:right="-20"/>
        <w:jc w:val="left"/>
      </w:pPr>
      <w:r>
        <w:rPr/>
        <w:t>中华人民共</w:t>
      </w:r>
    </w:p>
    <w:p>
      <w:pPr>
        <w:pStyle w:val="BodyText"/>
        <w:spacing w:line="156" w:lineRule="exact"/>
        <w:ind w:left="0" w:right="0"/>
        <w:jc w:val="right"/>
      </w:pPr>
      <w:r>
        <w:rPr/>
        <w:t>补助</w:t>
      </w:r>
    </w:p>
    <w:p>
      <w:pPr>
        <w:pStyle w:val="BodyText"/>
        <w:spacing w:line="196" w:lineRule="exact"/>
        <w:ind w:left="125" w:right="-20"/>
        <w:jc w:val="left"/>
      </w:pPr>
      <w:r>
        <w:rPr/>
        <w:t>和国财政部</w:t>
      </w:r>
    </w:p>
    <w:p>
      <w:pPr>
        <w:pStyle w:val="BodyText"/>
        <w:spacing w:line="312" w:lineRule="exact" w:before="5"/>
        <w:ind w:left="181" w:right="5473"/>
        <w:jc w:val="left"/>
      </w:pPr>
      <w:r>
        <w:rPr/>
        <w:br w:type="column"/>
      </w:r>
      <w:r>
        <w:rPr/>
        <w:t>因研究开发、 技术更新及</w:t>
      </w:r>
    </w:p>
    <w:p>
      <w:pPr>
        <w:pStyle w:val="BodyText"/>
        <w:tabs>
          <w:tab w:pos="2307" w:val="left" w:leader="none"/>
          <w:tab w:pos="3565" w:val="left" w:leader="none"/>
          <w:tab w:pos="4628" w:val="left" w:leader="none"/>
        </w:tabs>
        <w:spacing w:line="86" w:lineRule="exact"/>
        <w:ind w:left="1244" w:right="0"/>
        <w:jc w:val="left"/>
      </w:pPr>
      <w:r>
        <w:rPr/>
        <w:t>是</w:t>
        <w:tab/>
        <w:t>否</w:t>
        <w:tab/>
      </w:r>
      <w:r>
        <w:rPr>
          <w:rFonts w:ascii="Times New Roman" w:hAnsi="Times New Roman" w:cs="Times New Roman" w:eastAsia="Times New Roman" w:hint="default"/>
          <w:spacing w:val="-1"/>
        </w:rPr>
        <w:t>371,066.05</w:t>
        <w:tab/>
        <w:t>880,000.23</w:t>
      </w:r>
      <w:r>
        <w:rPr>
          <w:rFonts w:ascii="Times New Roman" w:hAnsi="Times New Roman" w:cs="Times New Roman" w:eastAsia="Times New Roman" w:hint="default"/>
          <w:spacing w:val="17"/>
        </w:rPr>
        <w:t> </w:t>
      </w:r>
      <w:r>
        <w:rPr/>
        <w:t>与资产相关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pStyle w:val="BodyText"/>
        <w:spacing w:line="240" w:lineRule="auto" w:before="130"/>
        <w:ind w:left="181" w:right="0"/>
        <w:jc w:val="both"/>
        <w:rPr>
          <w:rFonts w:ascii="Times New Roman" w:hAnsi="Times New Roman" w:cs="Times New Roman" w:eastAsia="Times New Roman" w:hint="default"/>
        </w:rPr>
      </w:pPr>
      <w:r>
        <w:rPr>
          <w:rFonts w:ascii="Times New Roman"/>
        </w:rPr>
        <w:t>2015ZX0104</w:t>
      </w:r>
    </w:p>
    <w:p>
      <w:pPr>
        <w:pStyle w:val="BodyText"/>
        <w:spacing w:line="240" w:lineRule="auto" w:before="63"/>
        <w:ind w:left="181" w:right="0"/>
        <w:jc w:val="both"/>
      </w:pPr>
      <w:r>
        <w:rPr>
          <w:rFonts w:ascii="Times New Roman" w:hAnsi="Times New Roman" w:cs="Times New Roman" w:eastAsia="Times New Roman" w:hint="default"/>
        </w:rPr>
        <w:t>0101-002</w:t>
      </w:r>
      <w:r>
        <w:rPr>
          <w:rFonts w:ascii="Times New Roman" w:hAnsi="Times New Roman" w:cs="Times New Roman" w:eastAsia="Times New Roman" w:hint="default"/>
          <w:spacing w:val="-2"/>
        </w:rPr>
        <w:t> </w:t>
      </w:r>
      <w:r>
        <w:rPr/>
        <w:t>军</w:t>
      </w:r>
    </w:p>
    <w:p>
      <w:pPr>
        <w:pStyle w:val="BodyText"/>
        <w:spacing w:line="316" w:lineRule="auto" w:before="63"/>
        <w:ind w:left="181" w:right="59"/>
        <w:jc w:val="both"/>
      </w:pPr>
      <w:r>
        <w:rPr/>
        <w:t>用软件特色 开发库与迁 移维护工具 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4"/>
          <w:szCs w:val="24"/>
        </w:rPr>
      </w:pPr>
    </w:p>
    <w:p>
      <w:pPr>
        <w:pStyle w:val="BodyText"/>
        <w:spacing w:line="316" w:lineRule="auto"/>
        <w:ind w:left="64" w:right="-20"/>
        <w:jc w:val="left"/>
      </w:pPr>
      <w:r>
        <w:rPr/>
        <w:t>中国人民解 放军装备学</w:t>
      </w:r>
      <w:r>
        <w:rPr>
          <w:spacing w:val="73"/>
        </w:rPr>
        <w:t> </w:t>
      </w:r>
      <w:r>
        <w:rPr/>
        <w:t>补助</w:t>
      </w:r>
      <w:r>
        <w:rPr/>
        <w:t> 院</w:t>
      </w:r>
    </w:p>
    <w:p>
      <w:pPr>
        <w:spacing w:line="240" w:lineRule="auto" w:before="11"/>
        <w:rPr>
          <w:rFonts w:ascii="宋体" w:hAnsi="宋体" w:cs="宋体" w:eastAsia="宋体" w:hint="default"/>
          <w:sz w:val="24"/>
          <w:szCs w:val="24"/>
        </w:rPr>
      </w:pPr>
      <w:r>
        <w:rPr/>
        <w:br w:type="column"/>
      </w:r>
      <w:r>
        <w:rPr>
          <w:rFonts w:ascii="宋体"/>
          <w:sz w:val="24"/>
        </w:rPr>
      </w:r>
    </w:p>
    <w:p>
      <w:pPr>
        <w:pStyle w:val="BodyText"/>
        <w:spacing w:line="310" w:lineRule="atLeast"/>
        <w:ind w:left="181" w:right="5473"/>
        <w:jc w:val="left"/>
      </w:pPr>
      <w:r>
        <w:rPr/>
        <w:t>因研究开发、 技术更新及</w:t>
      </w:r>
    </w:p>
    <w:p>
      <w:pPr>
        <w:pStyle w:val="BodyText"/>
        <w:tabs>
          <w:tab w:pos="2307" w:val="left" w:leader="none"/>
          <w:tab w:pos="3565" w:val="left" w:leader="none"/>
          <w:tab w:pos="5495" w:val="left" w:leader="none"/>
        </w:tabs>
        <w:spacing w:line="123" w:lineRule="exact"/>
        <w:ind w:left="1244" w:right="0"/>
        <w:jc w:val="left"/>
      </w:pPr>
      <w:r>
        <w:rPr/>
        <w:t>是</w:t>
        <w:tab/>
        <w:t>否</w:t>
        <w:tab/>
      </w:r>
      <w:r>
        <w:rPr>
          <w:rFonts w:ascii="Times New Roman" w:hAnsi="Times New Roman" w:cs="Times New Roman" w:eastAsia="Times New Roman" w:hint="default"/>
          <w:spacing w:val="-1"/>
        </w:rPr>
        <w:t>329,874.20</w:t>
        <w:tab/>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143" w:space="40"/>
            <w:col w:w="1488" w:space="521"/>
            <w:col w:w="6758"/>
          </w:cols>
        </w:sectPr>
      </w:pPr>
    </w:p>
    <w:p>
      <w:pPr>
        <w:pStyle w:val="BodyText"/>
        <w:spacing w:line="316" w:lineRule="auto" w:before="110"/>
        <w:ind w:left="181" w:right="0"/>
        <w:jc w:val="both"/>
      </w:pPr>
      <w:r>
        <w:rPr/>
        <w:pict>
          <v:group style="position:absolute;margin-left:56.400002pt;margin-top:71.758484pt;width:478.95pt;height:683.55pt;mso-position-horizontal-relative:page;mso-position-vertical-relative:page;z-index:-1034440" coordorigin="1128,1435" coordsize="9579,13671">
            <v:group style="position:absolute;left:1138;top:1445;width:1056;height:2" coordorigin="1138,1445" coordsize="1056,2">
              <v:shape style="position:absolute;left:1138;top:1445;width:1056;height:2" coordorigin="1138,1445" coordsize="1056,0" path="m1138,1445l2194,1445e" filled="false" stroked="true" strokeweight=".481pt" strokecolor="#000000">
                <v:path arrowok="t"/>
              </v:shape>
            </v:group>
            <v:group style="position:absolute;left:2203;top:1445;width:1054;height:2" coordorigin="2203,1445" coordsize="1054,2">
              <v:shape style="position:absolute;left:2203;top:1445;width:1054;height:2" coordorigin="2203,1445" coordsize="1054,0" path="m2203,1445l3257,1445e" filled="false" stroked="true" strokeweight=".481pt" strokecolor="#000000">
                <v:path arrowok="t"/>
              </v:shape>
            </v:group>
            <v:group style="position:absolute;left:3266;top:1445;width:1054;height:2" coordorigin="3266,1445" coordsize="1054,2">
              <v:shape style="position:absolute;left:3266;top:1445;width:1054;height:2" coordorigin="3266,1445" coordsize="1054,0" path="m3266,1445l4320,1445e" filled="false" stroked="true" strokeweight=".481pt" strokecolor="#000000">
                <v:path arrowok="t"/>
              </v:shape>
            </v:group>
            <v:group style="position:absolute;left:4330;top:1445;width:1054;height:2" coordorigin="4330,1445" coordsize="1054,2">
              <v:shape style="position:absolute;left:4330;top:1445;width:1054;height:2" coordorigin="4330,1445" coordsize="1054,0" path="m4330,1445l5383,1445e" filled="false" stroked="true" strokeweight=".481pt" strokecolor="#000000">
                <v:path arrowok="t"/>
              </v:shape>
            </v:group>
            <v:group style="position:absolute;left:5393;top:1445;width:1052;height:2" coordorigin="5393,1445" coordsize="1052,2">
              <v:shape style="position:absolute;left:5393;top:1445;width:1052;height:2" coordorigin="5393,1445" coordsize="1052,0" path="m5393,1445l6444,1445e" filled="false" stroked="true" strokeweight=".481pt" strokecolor="#000000">
                <v:path arrowok="t"/>
              </v:shape>
            </v:group>
            <v:group style="position:absolute;left:6454;top:1445;width:1054;height:2" coordorigin="6454,1445" coordsize="1054,2">
              <v:shape style="position:absolute;left:6454;top:1445;width:1054;height:2" coordorigin="6454,1445" coordsize="1054,0" path="m6454,1445l7507,1445e" filled="false" stroked="true" strokeweight=".481pt" strokecolor="#000000">
                <v:path arrowok="t"/>
              </v:shape>
            </v:group>
            <v:group style="position:absolute;left:7517;top:1445;width:1054;height:2" coordorigin="7517,1445" coordsize="1054,2">
              <v:shape style="position:absolute;left:7517;top:1445;width:1054;height:2" coordorigin="7517,1445" coordsize="1054,0" path="m7517,1445l8570,1445e" filled="false" stroked="true" strokeweight=".481pt" strokecolor="#000000">
                <v:path arrowok="t"/>
              </v:shape>
            </v:group>
            <v:group style="position:absolute;left:8580;top:1445;width:1054;height:2" coordorigin="8580,1445" coordsize="1054,2">
              <v:shape style="position:absolute;left:8580;top:1445;width:1054;height:2" coordorigin="8580,1445" coordsize="1054,0" path="m8580,1445l9634,1445e" filled="false" stroked="true" strokeweight=".481pt" strokecolor="#000000">
                <v:path arrowok="t"/>
              </v:shape>
            </v:group>
            <v:group style="position:absolute;left:9643;top:1445;width:1054;height:2" coordorigin="9643,1445" coordsize="1054,2">
              <v:shape style="position:absolute;left:9643;top:1445;width:1054;height:2" coordorigin="9643,1445" coordsize="1054,0" path="m9643,1445l10697,1445e" filled="false" stroked="true" strokeweight=".481pt" strokecolor="#000000">
                <v:path arrowok="t"/>
              </v:shape>
            </v:group>
            <v:group style="position:absolute;left:5393;top:2436;width:1054;height:1328" coordorigin="5393,2436" coordsize="1054,1328">
              <v:shape style="position:absolute;left:5393;top:2436;width:1054;height:1328" coordorigin="5393,2436" coordsize="1054,1328" path="m5393,3763l6446,3763,6446,2436,5393,2436,5393,3763xe" filled="true" fillcolor="#ffffff" stroked="false">
                <v:path arrowok="t"/>
                <v:fill type="solid"/>
              </v:shape>
            </v:group>
            <v:group style="position:absolute;left:5417;top:2904;width:1006;height:392" coordorigin="5417,2904" coordsize="1006,392">
              <v:shape style="position:absolute;left:5417;top:2904;width:1006;height:392" coordorigin="5417,2904" coordsize="1006,392" path="m5417,3295l6422,3295,6422,2904,5417,2904,5417,3295xe" filled="true" fillcolor="#ffffff" stroked="false">
                <v:path arrowok="t"/>
                <v:fill type="solid"/>
              </v:shape>
            </v:group>
            <v:group style="position:absolute;left:1138;top:2431;width:1056;height:2" coordorigin="1138,2431" coordsize="1056,2">
              <v:shape style="position:absolute;left:1138;top:2431;width:1056;height:2" coordorigin="1138,2431" coordsize="1056,0" path="m1138,2431l2194,2431e" filled="false" stroked="true" strokeweight=".481pt" strokecolor="#000000">
                <v:path arrowok="t"/>
              </v:shape>
            </v:group>
            <v:group style="position:absolute;left:2203;top:2431;width:1054;height:2" coordorigin="2203,2431" coordsize="1054,2">
              <v:shape style="position:absolute;left:2203;top:2431;width:1054;height:2" coordorigin="2203,2431" coordsize="1054,0" path="m2203,2431l3257,2431e" filled="false" stroked="true" strokeweight=".481pt" strokecolor="#000000">
                <v:path arrowok="t"/>
              </v:shape>
            </v:group>
            <v:group style="position:absolute;left:3266;top:2431;width:1054;height:2" coordorigin="3266,2431" coordsize="1054,2">
              <v:shape style="position:absolute;left:3266;top:2431;width:1054;height:2" coordorigin="3266,2431" coordsize="1054,0" path="m3266,2431l4320,2431e" filled="false" stroked="true" strokeweight=".481pt" strokecolor="#000000">
                <v:path arrowok="t"/>
              </v:shape>
            </v:group>
            <v:group style="position:absolute;left:4330;top:2431;width:1054;height:2" coordorigin="4330,2431" coordsize="1054,2">
              <v:shape style="position:absolute;left:4330;top:2431;width:1054;height:2" coordorigin="4330,2431" coordsize="1054,0" path="m4330,2431l5383,2431e" filled="false" stroked="true" strokeweight=".481pt" strokecolor="#000000">
                <v:path arrowok="t"/>
              </v:shape>
            </v:group>
            <v:group style="position:absolute;left:5393;top:2431;width:1052;height:2" coordorigin="5393,2431" coordsize="1052,2">
              <v:shape style="position:absolute;left:5393;top:2431;width:1052;height:2" coordorigin="5393,2431" coordsize="1052,0" path="m5393,2431l6444,2431e" filled="false" stroked="true" strokeweight=".481pt" strokecolor="#000000">
                <v:path arrowok="t"/>
              </v:shape>
            </v:group>
            <v:group style="position:absolute;left:6454;top:2431;width:1054;height:2" coordorigin="6454,2431" coordsize="1054,2">
              <v:shape style="position:absolute;left:6454;top:2431;width:1054;height:2" coordorigin="6454,2431" coordsize="1054,0" path="m6454,2431l7507,2431e" filled="false" stroked="true" strokeweight=".481pt" strokecolor="#000000">
                <v:path arrowok="t"/>
              </v:shape>
            </v:group>
            <v:group style="position:absolute;left:7517;top:2431;width:1054;height:2" coordorigin="7517,2431" coordsize="1054,2">
              <v:shape style="position:absolute;left:7517;top:2431;width:1054;height:2" coordorigin="7517,2431" coordsize="1054,0" path="m7517,2431l8570,2431e" filled="false" stroked="true" strokeweight=".481pt" strokecolor="#000000">
                <v:path arrowok="t"/>
              </v:shape>
            </v:group>
            <v:group style="position:absolute;left:8580;top:2431;width:1054;height:2" coordorigin="8580,2431" coordsize="1054,2">
              <v:shape style="position:absolute;left:8580;top:2431;width:1054;height:2" coordorigin="8580,2431" coordsize="1054,0" path="m8580,2431l9634,2431e" filled="false" stroked="true" strokeweight=".481pt" strokecolor="#000000">
                <v:path arrowok="t"/>
              </v:shape>
            </v:group>
            <v:group style="position:absolute;left:9643;top:2431;width:1054;height:2" coordorigin="9643,2431" coordsize="1054,2">
              <v:shape style="position:absolute;left:9643;top:2431;width:1054;height:2" coordorigin="9643,2431" coordsize="1054,0" path="m9643,2431l10697,2431e" filled="false" stroked="true" strokeweight=".481pt" strokecolor="#000000">
                <v:path arrowok="t"/>
              </v:shape>
            </v:group>
            <v:group style="position:absolute;left:5393;top:3773;width:1054;height:1642" coordorigin="5393,3773" coordsize="1054,1642">
              <v:shape style="position:absolute;left:5393;top:3773;width:1054;height:1642" coordorigin="5393,3773" coordsize="1054,1642" path="m5393,5414l6446,5414,6446,3773,5393,3773,5393,5414xe" filled="true" fillcolor="#ffffff" stroked="false">
                <v:path arrowok="t"/>
                <v:fill type="solid"/>
              </v:shape>
            </v:group>
            <v:group style="position:absolute;left:5417;top:4397;width:1006;height:394" coordorigin="5417,4397" coordsize="1006,394">
              <v:shape style="position:absolute;left:5417;top:4397;width:1006;height:394" coordorigin="5417,4397" coordsize="1006,394" path="m5417,4790l6422,4790,6422,4397,5417,4397,5417,4790xe" filled="true" fillcolor="#ffffff" stroked="false">
                <v:path arrowok="t"/>
                <v:fill type="solid"/>
              </v:shape>
            </v:group>
            <v:group style="position:absolute;left:1138;top:3768;width:1056;height:2" coordorigin="1138,3768" coordsize="1056,2">
              <v:shape style="position:absolute;left:1138;top:3768;width:1056;height:2" coordorigin="1138,3768" coordsize="1056,0" path="m1138,3768l2194,3768e" filled="false" stroked="true" strokeweight=".48pt" strokecolor="#000000">
                <v:path arrowok="t"/>
              </v:shape>
            </v:group>
            <v:group style="position:absolute;left:2203;top:3768;width:1054;height:2" coordorigin="2203,3768" coordsize="1054,2">
              <v:shape style="position:absolute;left:2203;top:3768;width:1054;height:2" coordorigin="2203,3768" coordsize="1054,0" path="m2203,3768l3257,3768e" filled="false" stroked="true" strokeweight=".48pt" strokecolor="#000000">
                <v:path arrowok="t"/>
              </v:shape>
            </v:group>
            <v:group style="position:absolute;left:3266;top:3768;width:1054;height:2" coordorigin="3266,3768" coordsize="1054,2">
              <v:shape style="position:absolute;left:3266;top:3768;width:1054;height:2" coordorigin="3266,3768" coordsize="1054,0" path="m3266,3768l4320,3768e" filled="false" stroked="true" strokeweight=".48pt" strokecolor="#000000">
                <v:path arrowok="t"/>
              </v:shape>
            </v:group>
            <v:group style="position:absolute;left:4330;top:3768;width:1054;height:2" coordorigin="4330,3768" coordsize="1054,2">
              <v:shape style="position:absolute;left:4330;top:3768;width:1054;height:2" coordorigin="4330,3768" coordsize="1054,0" path="m4330,3768l5383,3768e" filled="false" stroked="true" strokeweight=".48pt" strokecolor="#000000">
                <v:path arrowok="t"/>
              </v:shape>
            </v:group>
            <v:group style="position:absolute;left:5393;top:3768;width:1052;height:2" coordorigin="5393,3768" coordsize="1052,2">
              <v:shape style="position:absolute;left:5393;top:3768;width:1052;height:2" coordorigin="5393,3768" coordsize="1052,0" path="m5393,3768l6444,3768e" filled="false" stroked="true" strokeweight=".48pt" strokecolor="#000000">
                <v:path arrowok="t"/>
              </v:shape>
            </v:group>
            <v:group style="position:absolute;left:6454;top:3768;width:1054;height:2" coordorigin="6454,3768" coordsize="1054,2">
              <v:shape style="position:absolute;left:6454;top:3768;width:1054;height:2" coordorigin="6454,3768" coordsize="1054,0" path="m6454,3768l7507,3768e" filled="false" stroked="true" strokeweight=".48pt" strokecolor="#000000">
                <v:path arrowok="t"/>
              </v:shape>
            </v:group>
            <v:group style="position:absolute;left:7517;top:3768;width:1054;height:2" coordorigin="7517,3768" coordsize="1054,2">
              <v:shape style="position:absolute;left:7517;top:3768;width:1054;height:2" coordorigin="7517,3768" coordsize="1054,0" path="m7517,3768l8570,3768e" filled="false" stroked="true" strokeweight=".48pt" strokecolor="#000000">
                <v:path arrowok="t"/>
              </v:shape>
            </v:group>
            <v:group style="position:absolute;left:8580;top:3768;width:1054;height:2" coordorigin="8580,3768" coordsize="1054,2">
              <v:shape style="position:absolute;left:8580;top:3768;width:1054;height:2" coordorigin="8580,3768" coordsize="1054,0" path="m8580,3768l9634,3768e" filled="false" stroked="true" strokeweight=".48pt" strokecolor="#000000">
                <v:path arrowok="t"/>
              </v:shape>
            </v:group>
            <v:group style="position:absolute;left:9643;top:3768;width:1054;height:2" coordorigin="9643,3768" coordsize="1054,2">
              <v:shape style="position:absolute;left:9643;top:3768;width:1054;height:2" coordorigin="9643,3768" coordsize="1054,0" path="m9643,3768l10697,3768e" filled="false" stroked="true" strokeweight=".48pt" strokecolor="#000000">
                <v:path arrowok="t"/>
              </v:shape>
            </v:group>
            <v:group style="position:absolute;left:1138;top:5419;width:1056;height:2" coordorigin="1138,5419" coordsize="1056,2">
              <v:shape style="position:absolute;left:1138;top:5419;width:1056;height:2" coordorigin="1138,5419" coordsize="1056,0" path="m1138,5419l2194,5419e" filled="false" stroked="true" strokeweight=".481pt" strokecolor="#000000">
                <v:path arrowok="t"/>
              </v:shape>
            </v:group>
            <v:group style="position:absolute;left:2203;top:5419;width:1054;height:2" coordorigin="2203,5419" coordsize="1054,2">
              <v:shape style="position:absolute;left:2203;top:5419;width:1054;height:2" coordorigin="2203,5419" coordsize="1054,0" path="m2203,5419l3257,5419e" filled="false" stroked="true" strokeweight=".481pt" strokecolor="#000000">
                <v:path arrowok="t"/>
              </v:shape>
            </v:group>
            <v:group style="position:absolute;left:3266;top:5419;width:1054;height:2" coordorigin="3266,5419" coordsize="1054,2">
              <v:shape style="position:absolute;left:3266;top:5419;width:1054;height:2" coordorigin="3266,5419" coordsize="1054,0" path="m3266,5419l4320,5419e" filled="false" stroked="true" strokeweight=".481pt" strokecolor="#000000">
                <v:path arrowok="t"/>
              </v:shape>
            </v:group>
            <v:group style="position:absolute;left:4330;top:5419;width:1054;height:2" coordorigin="4330,5419" coordsize="1054,2">
              <v:shape style="position:absolute;left:4330;top:5419;width:1054;height:2" coordorigin="4330,5419" coordsize="1054,0" path="m4330,5419l5383,5419e" filled="false" stroked="true" strokeweight=".481pt" strokecolor="#000000">
                <v:path arrowok="t"/>
              </v:shape>
            </v:group>
            <v:group style="position:absolute;left:5393;top:5419;width:1052;height:2" coordorigin="5393,5419" coordsize="1052,2">
              <v:shape style="position:absolute;left:5393;top:5419;width:1052;height:2" coordorigin="5393,5419" coordsize="1052,0" path="m5393,5419l6444,5419e" filled="false" stroked="true" strokeweight=".481pt" strokecolor="#000000">
                <v:path arrowok="t"/>
              </v:shape>
            </v:group>
            <v:group style="position:absolute;left:6454;top:5419;width:1054;height:2" coordorigin="6454,5419" coordsize="1054,2">
              <v:shape style="position:absolute;left:6454;top:5419;width:1054;height:2" coordorigin="6454,5419" coordsize="1054,0" path="m6454,5419l7507,5419e" filled="false" stroked="true" strokeweight=".481pt" strokecolor="#000000">
                <v:path arrowok="t"/>
              </v:shape>
            </v:group>
            <v:group style="position:absolute;left:7517;top:5419;width:1054;height:2" coordorigin="7517,5419" coordsize="1054,2">
              <v:shape style="position:absolute;left:7517;top:5419;width:1054;height:2" coordorigin="7517,5419" coordsize="1054,0" path="m7517,5419l8570,5419e" filled="false" stroked="true" strokeweight=".481pt" strokecolor="#000000">
                <v:path arrowok="t"/>
              </v:shape>
            </v:group>
            <v:group style="position:absolute;left:8580;top:5419;width:1054;height:2" coordorigin="8580,5419" coordsize="1054,2">
              <v:shape style="position:absolute;left:8580;top:5419;width:1054;height:2" coordorigin="8580,5419" coordsize="1054,0" path="m8580,5419l9634,5419e" filled="false" stroked="true" strokeweight=".481pt" strokecolor="#000000">
                <v:path arrowok="t"/>
              </v:shape>
            </v:group>
            <v:group style="position:absolute;left:9643;top:5419;width:1054;height:2" coordorigin="9643,5419" coordsize="1054,2">
              <v:shape style="position:absolute;left:9643;top:5419;width:1054;height:2" coordorigin="9643,5419" coordsize="1054,0" path="m9643,5419l10697,5419e" filled="false" stroked="true" strokeweight=".481pt" strokecolor="#000000">
                <v:path arrowok="t"/>
              </v:shape>
            </v:group>
            <v:group style="position:absolute;left:5393;top:6449;width:1054;height:1330" coordorigin="5393,6449" coordsize="1054,1330">
              <v:shape style="position:absolute;left:5393;top:6449;width:1054;height:1330" coordorigin="5393,6449" coordsize="1054,1330" path="m5393,7778l6446,7778,6446,6449,5393,6449,5393,7778xe" filled="true" fillcolor="#ffffff" stroked="false">
                <v:path arrowok="t"/>
                <v:fill type="solid"/>
              </v:shape>
            </v:group>
            <v:group style="position:absolute;left:5417;top:6917;width:1006;height:394" coordorigin="5417,6917" coordsize="1006,394">
              <v:shape style="position:absolute;left:5417;top:6917;width:1006;height:394" coordorigin="5417,6917" coordsize="1006,394" path="m5417,7310l6422,7310,6422,6917,5417,6917,5417,7310xe" filled="true" fillcolor="#ffffff" stroked="false">
                <v:path arrowok="t"/>
                <v:fill type="solid"/>
              </v:shape>
            </v:group>
            <v:group style="position:absolute;left:1138;top:6444;width:1056;height:2" coordorigin="1138,6444" coordsize="1056,2">
              <v:shape style="position:absolute;left:1138;top:6444;width:1056;height:2" coordorigin="1138,6444" coordsize="1056,0" path="m1138,6444l2194,6444e" filled="false" stroked="true" strokeweight=".48pt" strokecolor="#000000">
                <v:path arrowok="t"/>
              </v:shape>
            </v:group>
            <v:group style="position:absolute;left:2203;top:6444;width:1054;height:2" coordorigin="2203,6444" coordsize="1054,2">
              <v:shape style="position:absolute;left:2203;top:6444;width:1054;height:2" coordorigin="2203,6444" coordsize="1054,0" path="m2203,6444l3257,6444e" filled="false" stroked="true" strokeweight=".48pt" strokecolor="#000000">
                <v:path arrowok="t"/>
              </v:shape>
            </v:group>
            <v:group style="position:absolute;left:3266;top:6444;width:1054;height:2" coordorigin="3266,6444" coordsize="1054,2">
              <v:shape style="position:absolute;left:3266;top:6444;width:1054;height:2" coordorigin="3266,6444" coordsize="1054,0" path="m3266,6444l4320,6444e" filled="false" stroked="true" strokeweight=".48pt" strokecolor="#000000">
                <v:path arrowok="t"/>
              </v:shape>
            </v:group>
            <v:group style="position:absolute;left:4330;top:6444;width:1054;height:2" coordorigin="4330,6444" coordsize="1054,2">
              <v:shape style="position:absolute;left:4330;top:6444;width:1054;height:2" coordorigin="4330,6444" coordsize="1054,0" path="m4330,6444l5383,6444e" filled="false" stroked="true" strokeweight=".48pt" strokecolor="#000000">
                <v:path arrowok="t"/>
              </v:shape>
            </v:group>
            <v:group style="position:absolute;left:5393;top:6444;width:1052;height:2" coordorigin="5393,6444" coordsize="1052,2">
              <v:shape style="position:absolute;left:5393;top:6444;width:1052;height:2" coordorigin="5393,6444" coordsize="1052,0" path="m5393,6444l6444,6444e" filled="false" stroked="true" strokeweight=".48pt" strokecolor="#000000">
                <v:path arrowok="t"/>
              </v:shape>
            </v:group>
            <v:group style="position:absolute;left:6454;top:6444;width:1054;height:2" coordorigin="6454,6444" coordsize="1054,2">
              <v:shape style="position:absolute;left:6454;top:6444;width:1054;height:2" coordorigin="6454,6444" coordsize="1054,0" path="m6454,6444l7507,6444e" filled="false" stroked="true" strokeweight=".48pt" strokecolor="#000000">
                <v:path arrowok="t"/>
              </v:shape>
            </v:group>
            <v:group style="position:absolute;left:7517;top:6444;width:1054;height:2" coordorigin="7517,6444" coordsize="1054,2">
              <v:shape style="position:absolute;left:7517;top:6444;width:1054;height:2" coordorigin="7517,6444" coordsize="1054,0" path="m7517,6444l8570,6444e" filled="false" stroked="true" strokeweight=".48pt" strokecolor="#000000">
                <v:path arrowok="t"/>
              </v:shape>
            </v:group>
            <v:group style="position:absolute;left:8580;top:6444;width:1054;height:2" coordorigin="8580,6444" coordsize="1054,2">
              <v:shape style="position:absolute;left:8580;top:6444;width:1054;height:2" coordorigin="8580,6444" coordsize="1054,0" path="m8580,6444l9634,6444e" filled="false" stroked="true" strokeweight=".48pt" strokecolor="#000000">
                <v:path arrowok="t"/>
              </v:shape>
            </v:group>
            <v:group style="position:absolute;left:9643;top:6444;width:1054;height:2" coordorigin="9643,6444" coordsize="1054,2">
              <v:shape style="position:absolute;left:9643;top:6444;width:1054;height:2" coordorigin="9643,6444" coordsize="1054,0" path="m9643,6444l10697,6444e" filled="false" stroked="true" strokeweight=".48pt" strokecolor="#000000">
                <v:path arrowok="t"/>
              </v:shape>
            </v:group>
            <v:group style="position:absolute;left:5393;top:7788;width:1054;height:1328" coordorigin="5393,7788" coordsize="1054,1328">
              <v:shape style="position:absolute;left:5393;top:7788;width:1054;height:1328" coordorigin="5393,7788" coordsize="1054,1328" path="m5393,9115l6446,9115,6446,7788,5393,7788,5393,9115xe" filled="true" fillcolor="#ffffff" stroked="false">
                <v:path arrowok="t"/>
                <v:fill type="solid"/>
              </v:shape>
            </v:group>
            <v:group style="position:absolute;left:5417;top:8256;width:1006;height:392" coordorigin="5417,8256" coordsize="1006,392">
              <v:shape style="position:absolute;left:5417;top:8256;width:1006;height:392" coordorigin="5417,8256" coordsize="1006,392" path="m5417,8647l6422,8647,6422,8256,5417,8256,5417,8647xe" filled="true" fillcolor="#ffffff" stroked="false">
                <v:path arrowok="t"/>
                <v:fill type="solid"/>
              </v:shape>
            </v:group>
            <v:group style="position:absolute;left:1138;top:7783;width:1056;height:2" coordorigin="1138,7783" coordsize="1056,2">
              <v:shape style="position:absolute;left:1138;top:7783;width:1056;height:2" coordorigin="1138,7783" coordsize="1056,0" path="m1138,7783l2194,7783e" filled="false" stroked="true" strokeweight=".48pt" strokecolor="#000000">
                <v:path arrowok="t"/>
              </v:shape>
            </v:group>
            <v:group style="position:absolute;left:2203;top:7783;width:1054;height:2" coordorigin="2203,7783" coordsize="1054,2">
              <v:shape style="position:absolute;left:2203;top:7783;width:1054;height:2" coordorigin="2203,7783" coordsize="1054,0" path="m2203,7783l3257,7783e" filled="false" stroked="true" strokeweight=".48pt" strokecolor="#000000">
                <v:path arrowok="t"/>
              </v:shape>
            </v:group>
            <v:group style="position:absolute;left:3266;top:7783;width:1054;height:2" coordorigin="3266,7783" coordsize="1054,2">
              <v:shape style="position:absolute;left:3266;top:7783;width:1054;height:2" coordorigin="3266,7783" coordsize="1054,0" path="m3266,7783l4320,7783e" filled="false" stroked="true" strokeweight=".48pt" strokecolor="#000000">
                <v:path arrowok="t"/>
              </v:shape>
            </v:group>
            <v:group style="position:absolute;left:4330;top:7783;width:1054;height:2" coordorigin="4330,7783" coordsize="1054,2">
              <v:shape style="position:absolute;left:4330;top:7783;width:1054;height:2" coordorigin="4330,7783" coordsize="1054,0" path="m4330,7783l5383,7783e" filled="false" stroked="true" strokeweight=".48pt" strokecolor="#000000">
                <v:path arrowok="t"/>
              </v:shape>
            </v:group>
            <v:group style="position:absolute;left:5393;top:7783;width:1052;height:2" coordorigin="5393,7783" coordsize="1052,2">
              <v:shape style="position:absolute;left:5393;top:7783;width:1052;height:2" coordorigin="5393,7783" coordsize="1052,0" path="m5393,7783l6444,7783e" filled="false" stroked="true" strokeweight=".48pt" strokecolor="#000000">
                <v:path arrowok="t"/>
              </v:shape>
            </v:group>
            <v:group style="position:absolute;left:6454;top:7783;width:1054;height:2" coordorigin="6454,7783" coordsize="1054,2">
              <v:shape style="position:absolute;left:6454;top:7783;width:1054;height:2" coordorigin="6454,7783" coordsize="1054,0" path="m6454,7783l7507,7783e" filled="false" stroked="true" strokeweight=".48pt" strokecolor="#000000">
                <v:path arrowok="t"/>
              </v:shape>
            </v:group>
            <v:group style="position:absolute;left:7517;top:7783;width:1054;height:2" coordorigin="7517,7783" coordsize="1054,2">
              <v:shape style="position:absolute;left:7517;top:7783;width:1054;height:2" coordorigin="7517,7783" coordsize="1054,0" path="m7517,7783l8570,7783e" filled="false" stroked="true" strokeweight=".48pt" strokecolor="#000000">
                <v:path arrowok="t"/>
              </v:shape>
            </v:group>
            <v:group style="position:absolute;left:8580;top:7783;width:1054;height:2" coordorigin="8580,7783" coordsize="1054,2">
              <v:shape style="position:absolute;left:8580;top:7783;width:1054;height:2" coordorigin="8580,7783" coordsize="1054,0" path="m8580,7783l9634,7783e" filled="false" stroked="true" strokeweight=".48pt" strokecolor="#000000">
                <v:path arrowok="t"/>
              </v:shape>
            </v:group>
            <v:group style="position:absolute;left:9643;top:7783;width:1054;height:2" coordorigin="9643,7783" coordsize="1054,2">
              <v:shape style="position:absolute;left:9643;top:7783;width:1054;height:2" coordorigin="9643,7783" coordsize="1054,0" path="m9643,7783l10697,7783e" filled="false" stroked="true" strokeweight=".48pt" strokecolor="#000000">
                <v:path arrowok="t"/>
              </v:shape>
            </v:group>
            <v:group style="position:absolute;left:5393;top:9125;width:1054;height:1330" coordorigin="5393,9125" coordsize="1054,1330">
              <v:shape style="position:absolute;left:5393;top:9125;width:1054;height:1330" coordorigin="5393,9125" coordsize="1054,1330" path="m5393,10454l6446,10454,6446,9125,5393,9125,5393,10454xe" filled="true" fillcolor="#ffffff" stroked="false">
                <v:path arrowok="t"/>
                <v:fill type="solid"/>
              </v:shape>
            </v:group>
            <v:group style="position:absolute;left:5417;top:9593;width:1006;height:394" coordorigin="5417,9593" coordsize="1006,394">
              <v:shape style="position:absolute;left:5417;top:9593;width:1006;height:394" coordorigin="5417,9593" coordsize="1006,394" path="m5417,9986l6422,9986,6422,9593,5417,9593,5417,9986xe" filled="true" fillcolor="#ffffff" stroked="false">
                <v:path arrowok="t"/>
                <v:fill type="solid"/>
              </v:shape>
            </v:group>
            <v:group style="position:absolute;left:1138;top:9120;width:1056;height:2" coordorigin="1138,9120" coordsize="1056,2">
              <v:shape style="position:absolute;left:1138;top:9120;width:1056;height:2" coordorigin="1138,9120" coordsize="1056,0" path="m1138,9120l2194,9120e" filled="false" stroked="true" strokeweight=".481pt" strokecolor="#000000">
                <v:path arrowok="t"/>
              </v:shape>
            </v:group>
            <v:group style="position:absolute;left:2203;top:9120;width:1054;height:2" coordorigin="2203,9120" coordsize="1054,2">
              <v:shape style="position:absolute;left:2203;top:9120;width:1054;height:2" coordorigin="2203,9120" coordsize="1054,0" path="m2203,9120l3257,9120e" filled="false" stroked="true" strokeweight=".481pt" strokecolor="#000000">
                <v:path arrowok="t"/>
              </v:shape>
            </v:group>
            <v:group style="position:absolute;left:3266;top:9120;width:1054;height:2" coordorigin="3266,9120" coordsize="1054,2">
              <v:shape style="position:absolute;left:3266;top:9120;width:1054;height:2" coordorigin="3266,9120" coordsize="1054,0" path="m3266,9120l4320,9120e" filled="false" stroked="true" strokeweight=".481pt" strokecolor="#000000">
                <v:path arrowok="t"/>
              </v:shape>
            </v:group>
            <v:group style="position:absolute;left:4330;top:9120;width:1054;height:2" coordorigin="4330,9120" coordsize="1054,2">
              <v:shape style="position:absolute;left:4330;top:9120;width:1054;height:2" coordorigin="4330,9120" coordsize="1054,0" path="m4330,9120l5383,9120e" filled="false" stroked="true" strokeweight=".481pt" strokecolor="#000000">
                <v:path arrowok="t"/>
              </v:shape>
            </v:group>
            <v:group style="position:absolute;left:5393;top:9120;width:1052;height:2" coordorigin="5393,9120" coordsize="1052,2">
              <v:shape style="position:absolute;left:5393;top:9120;width:1052;height:2" coordorigin="5393,9120" coordsize="1052,0" path="m5393,9120l6444,9120e" filled="false" stroked="true" strokeweight=".481pt" strokecolor="#000000">
                <v:path arrowok="t"/>
              </v:shape>
            </v:group>
            <v:group style="position:absolute;left:6454;top:9120;width:1054;height:2" coordorigin="6454,9120" coordsize="1054,2">
              <v:shape style="position:absolute;left:6454;top:9120;width:1054;height:2" coordorigin="6454,9120" coordsize="1054,0" path="m6454,9120l7507,9120e" filled="false" stroked="true" strokeweight=".481pt" strokecolor="#000000">
                <v:path arrowok="t"/>
              </v:shape>
            </v:group>
            <v:group style="position:absolute;left:7517;top:9120;width:1054;height:2" coordorigin="7517,9120" coordsize="1054,2">
              <v:shape style="position:absolute;left:7517;top:9120;width:1054;height:2" coordorigin="7517,9120" coordsize="1054,0" path="m7517,9120l8570,9120e" filled="false" stroked="true" strokeweight=".481pt" strokecolor="#000000">
                <v:path arrowok="t"/>
              </v:shape>
            </v:group>
            <v:group style="position:absolute;left:8580;top:9120;width:1054;height:2" coordorigin="8580,9120" coordsize="1054,2">
              <v:shape style="position:absolute;left:8580;top:9120;width:1054;height:2" coordorigin="8580,9120" coordsize="1054,0" path="m8580,9120l9634,9120e" filled="false" stroked="true" strokeweight=".481pt" strokecolor="#000000">
                <v:path arrowok="t"/>
              </v:shape>
            </v:group>
            <v:group style="position:absolute;left:9643;top:9120;width:1054;height:2" coordorigin="9643,9120" coordsize="1054,2">
              <v:shape style="position:absolute;left:9643;top:9120;width:1054;height:2" coordorigin="9643,9120" coordsize="1054,0" path="m9643,9120l10697,9120e" filled="false" stroked="true" strokeweight=".481pt" strokecolor="#000000">
                <v:path arrowok="t"/>
              </v:shape>
            </v:group>
            <v:group style="position:absolute;left:5393;top:10464;width:1054;height:1328" coordorigin="5393,10464" coordsize="1054,1328">
              <v:shape style="position:absolute;left:5393;top:10464;width:1054;height:1328" coordorigin="5393,10464" coordsize="1054,1328" path="m5393,11791l6446,11791,6446,10464,5393,10464,5393,11791xe" filled="true" fillcolor="#ffffff" stroked="false">
                <v:path arrowok="t"/>
                <v:fill type="solid"/>
              </v:shape>
            </v:group>
            <v:group style="position:absolute;left:5417;top:10932;width:1006;height:392" coordorigin="5417,10932" coordsize="1006,392">
              <v:shape style="position:absolute;left:5417;top:10932;width:1006;height:392" coordorigin="5417,10932" coordsize="1006,392" path="m5417,11323l6422,11323,6422,10932,5417,10932,5417,11323xe" filled="true" fillcolor="#ffffff" stroked="false">
                <v:path arrowok="t"/>
                <v:fill type="solid"/>
              </v:shape>
            </v:group>
            <v:group style="position:absolute;left:1138;top:10459;width:1056;height:2" coordorigin="1138,10459" coordsize="1056,2">
              <v:shape style="position:absolute;left:1138;top:10459;width:1056;height:2" coordorigin="1138,10459" coordsize="1056,0" path="m1138,10459l2194,10459e" filled="false" stroked="true" strokeweight=".481pt" strokecolor="#000000">
                <v:path arrowok="t"/>
              </v:shape>
            </v:group>
            <v:group style="position:absolute;left:2203;top:10459;width:1054;height:2" coordorigin="2203,10459" coordsize="1054,2">
              <v:shape style="position:absolute;left:2203;top:10459;width:1054;height:2" coordorigin="2203,10459" coordsize="1054,0" path="m2203,10459l3257,10459e" filled="false" stroked="true" strokeweight=".481pt" strokecolor="#000000">
                <v:path arrowok="t"/>
              </v:shape>
            </v:group>
            <v:group style="position:absolute;left:3266;top:10459;width:1054;height:2" coordorigin="3266,10459" coordsize="1054,2">
              <v:shape style="position:absolute;left:3266;top:10459;width:1054;height:2" coordorigin="3266,10459" coordsize="1054,0" path="m3266,10459l4320,10459e" filled="false" stroked="true" strokeweight=".481pt" strokecolor="#000000">
                <v:path arrowok="t"/>
              </v:shape>
            </v:group>
            <v:group style="position:absolute;left:4330;top:10459;width:1054;height:2" coordorigin="4330,10459" coordsize="1054,2">
              <v:shape style="position:absolute;left:4330;top:10459;width:1054;height:2" coordorigin="4330,10459" coordsize="1054,0" path="m4330,10459l5383,10459e" filled="false" stroked="true" strokeweight=".481pt" strokecolor="#000000">
                <v:path arrowok="t"/>
              </v:shape>
            </v:group>
            <v:group style="position:absolute;left:5393;top:10459;width:1052;height:2" coordorigin="5393,10459" coordsize="1052,2">
              <v:shape style="position:absolute;left:5393;top:10459;width:1052;height:2" coordorigin="5393,10459" coordsize="1052,0" path="m5393,10459l6444,10459e" filled="false" stroked="true" strokeweight=".481pt" strokecolor="#000000">
                <v:path arrowok="t"/>
              </v:shape>
            </v:group>
            <v:group style="position:absolute;left:6454;top:10459;width:1054;height:2" coordorigin="6454,10459" coordsize="1054,2">
              <v:shape style="position:absolute;left:6454;top:10459;width:1054;height:2" coordorigin="6454,10459" coordsize="1054,0" path="m6454,10459l7507,10459e" filled="false" stroked="true" strokeweight=".481pt" strokecolor="#000000">
                <v:path arrowok="t"/>
              </v:shape>
            </v:group>
            <v:group style="position:absolute;left:7517;top:10459;width:1054;height:2" coordorigin="7517,10459" coordsize="1054,2">
              <v:shape style="position:absolute;left:7517;top:10459;width:1054;height:2" coordorigin="7517,10459" coordsize="1054,0" path="m7517,10459l8570,10459e" filled="false" stroked="true" strokeweight=".481pt" strokecolor="#000000">
                <v:path arrowok="t"/>
              </v:shape>
            </v:group>
            <v:group style="position:absolute;left:8580;top:10459;width:1054;height:2" coordorigin="8580,10459" coordsize="1054,2">
              <v:shape style="position:absolute;left:8580;top:10459;width:1054;height:2" coordorigin="8580,10459" coordsize="1054,0" path="m8580,10459l9634,10459e" filled="false" stroked="true" strokeweight=".481pt" strokecolor="#000000">
                <v:path arrowok="t"/>
              </v:shape>
            </v:group>
            <v:group style="position:absolute;left:9643;top:10459;width:1054;height:2" coordorigin="9643,10459" coordsize="1054,2">
              <v:shape style="position:absolute;left:9643;top:10459;width:1054;height:2" coordorigin="9643,10459" coordsize="1054,0" path="m9643,10459l10697,10459e" filled="false" stroked="true" strokeweight=".481pt" strokecolor="#000000">
                <v:path arrowok="t"/>
              </v:shape>
            </v:group>
            <v:group style="position:absolute;left:5393;top:11801;width:1054;height:1954" coordorigin="5393,11801" coordsize="1054,1954">
              <v:shape style="position:absolute;left:5393;top:11801;width:1054;height:1954" coordorigin="5393,11801" coordsize="1054,1954" path="m5393,13754l6446,13754,6446,11801,5393,11801,5393,13754xe" filled="true" fillcolor="#ffffff" stroked="false">
                <v:path arrowok="t"/>
                <v:fill type="solid"/>
              </v:shape>
            </v:group>
            <v:group style="position:absolute;left:5417;top:12581;width:1006;height:394" coordorigin="5417,12581" coordsize="1006,394">
              <v:shape style="position:absolute;left:5417;top:12581;width:1006;height:394" coordorigin="5417,12581" coordsize="1006,394" path="m5417,12974l6422,12974,6422,12581,5417,12581,5417,12974xe" filled="true" fillcolor="#ffffff" stroked="false">
                <v:path arrowok="t"/>
                <v:fill type="solid"/>
              </v:shape>
            </v:group>
            <v:group style="position:absolute;left:1138;top:11796;width:1056;height:2" coordorigin="1138,11796" coordsize="1056,2">
              <v:shape style="position:absolute;left:1138;top:11796;width:1056;height:2" coordorigin="1138,11796" coordsize="1056,0" path="m1138,11796l2194,11796e" filled="false" stroked="true" strokeweight=".48pt" strokecolor="#000000">
                <v:path arrowok="t"/>
              </v:shape>
            </v:group>
            <v:group style="position:absolute;left:2203;top:11796;width:1054;height:2" coordorigin="2203,11796" coordsize="1054,2">
              <v:shape style="position:absolute;left:2203;top:11796;width:1054;height:2" coordorigin="2203,11796" coordsize="1054,0" path="m2203,11796l3257,11796e" filled="false" stroked="true" strokeweight=".48pt" strokecolor="#000000">
                <v:path arrowok="t"/>
              </v:shape>
            </v:group>
            <v:group style="position:absolute;left:3266;top:11796;width:1054;height:2" coordorigin="3266,11796" coordsize="1054,2">
              <v:shape style="position:absolute;left:3266;top:11796;width:1054;height:2" coordorigin="3266,11796" coordsize="1054,0" path="m3266,11796l4320,11796e" filled="false" stroked="true" strokeweight=".48pt" strokecolor="#000000">
                <v:path arrowok="t"/>
              </v:shape>
            </v:group>
            <v:group style="position:absolute;left:4330;top:11796;width:1054;height:2" coordorigin="4330,11796" coordsize="1054,2">
              <v:shape style="position:absolute;left:4330;top:11796;width:1054;height:2" coordorigin="4330,11796" coordsize="1054,0" path="m4330,11796l5383,11796e" filled="false" stroked="true" strokeweight=".48pt" strokecolor="#000000">
                <v:path arrowok="t"/>
              </v:shape>
            </v:group>
            <v:group style="position:absolute;left:5393;top:11796;width:1052;height:2" coordorigin="5393,11796" coordsize="1052,2">
              <v:shape style="position:absolute;left:5393;top:11796;width:1052;height:2" coordorigin="5393,11796" coordsize="1052,0" path="m5393,11796l6444,11796e" filled="false" stroked="true" strokeweight=".48pt" strokecolor="#000000">
                <v:path arrowok="t"/>
              </v:shape>
            </v:group>
            <v:group style="position:absolute;left:6454;top:11796;width:1054;height:2" coordorigin="6454,11796" coordsize="1054,2">
              <v:shape style="position:absolute;left:6454;top:11796;width:1054;height:2" coordorigin="6454,11796" coordsize="1054,0" path="m6454,11796l7507,11796e" filled="false" stroked="true" strokeweight=".48pt" strokecolor="#000000">
                <v:path arrowok="t"/>
              </v:shape>
            </v:group>
            <v:group style="position:absolute;left:7517;top:11796;width:1054;height:2" coordorigin="7517,11796" coordsize="1054,2">
              <v:shape style="position:absolute;left:7517;top:11796;width:1054;height:2" coordorigin="7517,11796" coordsize="1054,0" path="m7517,11796l8570,11796e" filled="false" stroked="true" strokeweight=".48pt" strokecolor="#000000">
                <v:path arrowok="t"/>
              </v:shape>
            </v:group>
            <v:group style="position:absolute;left:8580;top:11796;width:1054;height:2" coordorigin="8580,11796" coordsize="1054,2">
              <v:shape style="position:absolute;left:8580;top:11796;width:1054;height:2" coordorigin="8580,11796" coordsize="1054,0" path="m8580,11796l9634,11796e" filled="false" stroked="true" strokeweight=".48pt" strokecolor="#000000">
                <v:path arrowok="t"/>
              </v:shape>
            </v:group>
            <v:group style="position:absolute;left:9643;top:11796;width:1054;height:2" coordorigin="9643,11796" coordsize="1054,2">
              <v:shape style="position:absolute;left:9643;top:11796;width:1054;height:2" coordorigin="9643,11796" coordsize="1054,0" path="m9643,11796l10697,11796e" filled="false" stroked="true" strokeweight=".48pt" strokecolor="#000000">
                <v:path arrowok="t"/>
              </v:shape>
            </v:group>
            <v:group style="position:absolute;left:5393;top:13764;width:1054;height:1328" coordorigin="5393,13764" coordsize="1054,1328">
              <v:shape style="position:absolute;left:5393;top:13764;width:1054;height:1328" coordorigin="5393,13764" coordsize="1054,1328" path="m5393,15091l6446,15091,6446,13764,5393,13764,5393,15091xe" filled="true" fillcolor="#ffffff" stroked="false">
                <v:path arrowok="t"/>
                <v:fill type="solid"/>
              </v:shape>
            </v:group>
            <v:group style="position:absolute;left:5417;top:14232;width:1006;height:392" coordorigin="5417,14232" coordsize="1006,392">
              <v:shape style="position:absolute;left:5417;top:14232;width:1006;height:392" coordorigin="5417,14232" coordsize="1006,392" path="m5417,14623l6422,14623,6422,14232,5417,14232,5417,14623xe" filled="true" fillcolor="#ffffff" stroked="false">
                <v:path arrowok="t"/>
                <v:fill type="solid"/>
              </v:shape>
            </v:group>
            <v:group style="position:absolute;left:1138;top:13759;width:1056;height:2" coordorigin="1138,13759" coordsize="1056,2">
              <v:shape style="position:absolute;left:1138;top:13759;width:1056;height:2" coordorigin="1138,13759" coordsize="1056,0" path="m1138,13759l2194,13759e" filled="false" stroked="true" strokeweight=".48pt" strokecolor="#000000">
                <v:path arrowok="t"/>
              </v:shape>
            </v:group>
            <v:group style="position:absolute;left:2203;top:13759;width:1054;height:2" coordorigin="2203,13759" coordsize="1054,2">
              <v:shape style="position:absolute;left:2203;top:13759;width:1054;height:2" coordorigin="2203,13759" coordsize="1054,0" path="m2203,13759l3257,13759e" filled="false" stroked="true" strokeweight=".48pt" strokecolor="#000000">
                <v:path arrowok="t"/>
              </v:shape>
            </v:group>
            <v:group style="position:absolute;left:3266;top:13759;width:1054;height:2" coordorigin="3266,13759" coordsize="1054,2">
              <v:shape style="position:absolute;left:3266;top:13759;width:1054;height:2" coordorigin="3266,13759" coordsize="1054,0" path="m3266,13759l4320,13759e" filled="false" stroked="true" strokeweight=".48pt" strokecolor="#000000">
                <v:path arrowok="t"/>
              </v:shape>
            </v:group>
            <v:group style="position:absolute;left:4330;top:13759;width:1054;height:2" coordorigin="4330,13759" coordsize="1054,2">
              <v:shape style="position:absolute;left:4330;top:13759;width:1054;height:2" coordorigin="4330,13759" coordsize="1054,0" path="m4330,13759l5383,13759e" filled="false" stroked="true" strokeweight=".48pt" strokecolor="#000000">
                <v:path arrowok="t"/>
              </v:shape>
            </v:group>
            <v:group style="position:absolute;left:5393;top:13759;width:1052;height:2" coordorigin="5393,13759" coordsize="1052,2">
              <v:shape style="position:absolute;left:5393;top:13759;width:1052;height:2" coordorigin="5393,13759" coordsize="1052,0" path="m5393,13759l6444,13759e" filled="false" stroked="true" strokeweight=".48pt" strokecolor="#000000">
                <v:path arrowok="t"/>
              </v:shape>
            </v:group>
            <v:group style="position:absolute;left:6454;top:13759;width:1054;height:2" coordorigin="6454,13759" coordsize="1054,2">
              <v:shape style="position:absolute;left:6454;top:13759;width:1054;height:2" coordorigin="6454,13759" coordsize="1054,0" path="m6454,13759l7507,13759e" filled="false" stroked="true" strokeweight=".48pt" strokecolor="#000000">
                <v:path arrowok="t"/>
              </v:shape>
            </v:group>
            <v:group style="position:absolute;left:7517;top:13759;width:1054;height:2" coordorigin="7517,13759" coordsize="1054,2">
              <v:shape style="position:absolute;left:7517;top:13759;width:1054;height:2" coordorigin="7517,13759" coordsize="1054,0" path="m7517,13759l8570,13759e" filled="false" stroked="true" strokeweight=".48pt" strokecolor="#000000">
                <v:path arrowok="t"/>
              </v:shape>
            </v:group>
            <v:group style="position:absolute;left:8580;top:13759;width:1054;height:2" coordorigin="8580,13759" coordsize="1054,2">
              <v:shape style="position:absolute;left:8580;top:13759;width:1054;height:2" coordorigin="8580,13759" coordsize="1054,0" path="m8580,13759l9634,13759e" filled="false" stroked="true" strokeweight=".48pt" strokecolor="#000000">
                <v:path arrowok="t"/>
              </v:shape>
            </v:group>
            <v:group style="position:absolute;left:9643;top:13759;width:1054;height:2" coordorigin="9643,13759" coordsize="1054,2">
              <v:shape style="position:absolute;left:9643;top:13759;width:1054;height:2" coordorigin="9643,13759" coordsize="1054,0" path="m9643,13759l10697,13759e" filled="false" stroked="true" strokeweight=".48pt" strokecolor="#000000">
                <v:path arrowok="t"/>
              </v:shape>
            </v:group>
            <v:group style="position:absolute;left:1133;top:1440;width:2;height:13661" coordorigin="1133,1440" coordsize="2,13661">
              <v:shape style="position:absolute;left:1133;top:1440;width:2;height:13661" coordorigin="1133,1440" coordsize="0,13661" path="m1133,1440l1133,15101e" filled="false" stroked="true" strokeweight=".48pt" strokecolor="#000000">
                <v:path arrowok="t"/>
              </v:shape>
            </v:group>
            <v:group style="position:absolute;left:1138;top:15096;width:1056;height:2" coordorigin="1138,15096" coordsize="1056,2">
              <v:shape style="position:absolute;left:1138;top:15096;width:1056;height:2" coordorigin="1138,15096" coordsize="1056,0" path="m1138,15096l2194,15096e" filled="false" stroked="true" strokeweight=".481pt" strokecolor="#000000">
                <v:path arrowok="t"/>
              </v:shape>
            </v:group>
            <v:group style="position:absolute;left:2198;top:1440;width:2;height:13661" coordorigin="2198,1440" coordsize="2,13661">
              <v:shape style="position:absolute;left:2198;top:1440;width:2;height:13661" coordorigin="2198,1440" coordsize="0,13661" path="m2198,1440l2198,15101e" filled="false" stroked="true" strokeweight=".48pt" strokecolor="#000000">
                <v:path arrowok="t"/>
              </v:shape>
            </v:group>
            <v:group style="position:absolute;left:2203;top:15096;width:1054;height:2" coordorigin="2203,15096" coordsize="1054,2">
              <v:shape style="position:absolute;left:2203;top:15096;width:1054;height:2" coordorigin="2203,15096" coordsize="1054,0" path="m2203,15096l3257,15096e" filled="false" stroked="true" strokeweight=".481pt" strokecolor="#000000">
                <v:path arrowok="t"/>
              </v:shape>
            </v:group>
            <v:group style="position:absolute;left:3262;top:1440;width:2;height:13661" coordorigin="3262,1440" coordsize="2,13661">
              <v:shape style="position:absolute;left:3262;top:1440;width:2;height:13661" coordorigin="3262,1440" coordsize="0,13661" path="m3262,1440l3262,15101e" filled="false" stroked="true" strokeweight=".481pt" strokecolor="#000000">
                <v:path arrowok="t"/>
              </v:shape>
            </v:group>
            <v:group style="position:absolute;left:3266;top:15096;width:1054;height:2" coordorigin="3266,15096" coordsize="1054,2">
              <v:shape style="position:absolute;left:3266;top:15096;width:1054;height:2" coordorigin="3266,15096" coordsize="1054,0" path="m3266,15096l4320,15096e" filled="false" stroked="true" strokeweight=".481pt" strokecolor="#000000">
                <v:path arrowok="t"/>
              </v:shape>
            </v:group>
            <v:group style="position:absolute;left:4325;top:1440;width:2;height:13661" coordorigin="4325,1440" coordsize="2,13661">
              <v:shape style="position:absolute;left:4325;top:1440;width:2;height:13661" coordorigin="4325,1440" coordsize="0,13661" path="m4325,1440l4325,15101e" filled="false" stroked="true" strokeweight=".48pt" strokecolor="#000000">
                <v:path arrowok="t"/>
              </v:shape>
            </v:group>
            <v:group style="position:absolute;left:4330;top:15096;width:1054;height:2" coordorigin="4330,15096" coordsize="1054,2">
              <v:shape style="position:absolute;left:4330;top:15096;width:1054;height:2" coordorigin="4330,15096" coordsize="1054,0" path="m4330,15096l5383,15096e" filled="false" stroked="true" strokeweight=".481pt" strokecolor="#000000">
                <v:path arrowok="t"/>
              </v:shape>
            </v:group>
            <v:group style="position:absolute;left:5388;top:1440;width:2;height:13661" coordorigin="5388,1440" coordsize="2,13661">
              <v:shape style="position:absolute;left:5388;top:1440;width:2;height:13661" coordorigin="5388,1440" coordsize="0,13661" path="m5388,1440l5388,15101e" filled="false" stroked="true" strokeweight=".48pt" strokecolor="#000000">
                <v:path arrowok="t"/>
              </v:shape>
            </v:group>
            <v:group style="position:absolute;left:5393;top:15096;width:1052;height:2" coordorigin="5393,15096" coordsize="1052,2">
              <v:shape style="position:absolute;left:5393;top:15096;width:1052;height:2" coordorigin="5393,15096" coordsize="1052,0" path="m5393,15096l6444,15096e" filled="false" stroked="true" strokeweight=".481pt" strokecolor="#000000">
                <v:path arrowok="t"/>
              </v:shape>
            </v:group>
            <v:group style="position:absolute;left:6449;top:1440;width:2;height:13661" coordorigin="6449,1440" coordsize="2,13661">
              <v:shape style="position:absolute;left:6449;top:1440;width:2;height:13661" coordorigin="6449,1440" coordsize="0,13661" path="m6449,1440l6449,15101e" filled="false" stroked="true" strokeweight=".48pt" strokecolor="#000000">
                <v:path arrowok="t"/>
              </v:shape>
            </v:group>
            <v:group style="position:absolute;left:6454;top:15096;width:1054;height:2" coordorigin="6454,15096" coordsize="1054,2">
              <v:shape style="position:absolute;left:6454;top:15096;width:1054;height:2" coordorigin="6454,15096" coordsize="1054,0" path="m6454,15096l7507,15096e" filled="false" stroked="true" strokeweight=".481pt" strokecolor="#000000">
                <v:path arrowok="t"/>
              </v:shape>
            </v:group>
            <v:group style="position:absolute;left:7512;top:1440;width:2;height:13661" coordorigin="7512,1440" coordsize="2,13661">
              <v:shape style="position:absolute;left:7512;top:1440;width:2;height:13661" coordorigin="7512,1440" coordsize="0,13661" path="m7512,1440l7512,15101e" filled="false" stroked="true" strokeweight=".48pt" strokecolor="#000000">
                <v:path arrowok="t"/>
              </v:shape>
            </v:group>
            <v:group style="position:absolute;left:7517;top:15096;width:1054;height:2" coordorigin="7517,15096" coordsize="1054,2">
              <v:shape style="position:absolute;left:7517;top:15096;width:1054;height:2" coordorigin="7517,15096" coordsize="1054,0" path="m7517,15096l8570,15096e" filled="false" stroked="true" strokeweight=".481pt" strokecolor="#000000">
                <v:path arrowok="t"/>
              </v:shape>
            </v:group>
            <v:group style="position:absolute;left:8575;top:1440;width:2;height:13661" coordorigin="8575,1440" coordsize="2,13661">
              <v:shape style="position:absolute;left:8575;top:1440;width:2;height:13661" coordorigin="8575,1440" coordsize="0,13661" path="m8575,1440l8575,15101e" filled="false" stroked="true" strokeweight=".481pt" strokecolor="#000000">
                <v:path arrowok="t"/>
              </v:shape>
            </v:group>
            <v:group style="position:absolute;left:8580;top:15096;width:1054;height:2" coordorigin="8580,15096" coordsize="1054,2">
              <v:shape style="position:absolute;left:8580;top:15096;width:1054;height:2" coordorigin="8580,15096" coordsize="1054,0" path="m8580,15096l9634,15096e" filled="false" stroked="true" strokeweight=".481pt" strokecolor="#000000">
                <v:path arrowok="t"/>
              </v:shape>
            </v:group>
            <v:group style="position:absolute;left:9638;top:1440;width:2;height:13661" coordorigin="9638,1440" coordsize="2,13661">
              <v:shape style="position:absolute;left:9638;top:1440;width:2;height:13661" coordorigin="9638,1440" coordsize="0,13661" path="m9638,1440l9638,15101e" filled="false" stroked="true" strokeweight=".48pt" strokecolor="#000000">
                <v:path arrowok="t"/>
              </v:shape>
            </v:group>
            <v:group style="position:absolute;left:9643;top:15096;width:1054;height:2" coordorigin="9643,15096" coordsize="1054,2">
              <v:shape style="position:absolute;left:9643;top:15096;width:1054;height:2" coordorigin="9643,15096" coordsize="1054,0" path="m9643,15096l10697,15096e" filled="false" stroked="true" strokeweight=".481pt" strokecolor="#000000">
                <v:path arrowok="t"/>
              </v:shape>
            </v:group>
            <v:group style="position:absolute;left:10702;top:1440;width:2;height:13661" coordorigin="10702,1440" coordsize="2,13661">
              <v:shape style="position:absolute;left:10702;top:1440;width:2;height:13661" coordorigin="10702,1440" coordsize="0,13661" path="m10702,1440l10702,15101e" filled="false" stroked="true" strokeweight=".48pt" strokecolor="#000000">
                <v:path arrowok="t"/>
              </v:shape>
            </v:group>
            <w10:wrap type="none"/>
          </v:group>
        </w:pict>
      </w:r>
      <w:r>
        <w:rPr/>
        <w:t>软件和集成 电路产业发 展专项资金 项目</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6" w:lineRule="auto"/>
        <w:ind w:left="125" w:right="-20"/>
        <w:jc w:val="left"/>
      </w:pPr>
      <w:r>
        <w:rPr/>
        <w:t>上海市经济 和信息化委</w:t>
      </w:r>
      <w:r>
        <w:rPr>
          <w:spacing w:val="73"/>
        </w:rPr>
        <w:t> </w:t>
      </w:r>
      <w:r>
        <w:rPr/>
        <w:t>补助</w:t>
      </w:r>
      <w:r>
        <w:rPr/>
        <w:t> 员会</w:t>
      </w:r>
    </w:p>
    <w:p>
      <w:pPr>
        <w:pStyle w:val="BodyText"/>
        <w:spacing w:line="310" w:lineRule="atLeast" w:before="35"/>
        <w:ind w:left="181" w:right="5473"/>
        <w:jc w:val="left"/>
      </w:pPr>
      <w:r>
        <w:rPr/>
        <w:br w:type="column"/>
      </w:r>
      <w:r>
        <w:rPr/>
        <w:t>因研究开发、 技术更新及</w:t>
      </w:r>
    </w:p>
    <w:p>
      <w:pPr>
        <w:pStyle w:val="BodyText"/>
        <w:tabs>
          <w:tab w:pos="2307" w:val="left" w:leader="none"/>
          <w:tab w:pos="3565" w:val="left" w:leader="none"/>
          <w:tab w:pos="5495" w:val="left" w:leader="none"/>
        </w:tabs>
        <w:spacing w:line="123" w:lineRule="exact"/>
        <w:ind w:left="1244" w:right="0"/>
        <w:jc w:val="left"/>
      </w:pPr>
      <w:r>
        <w:rPr/>
        <w:t>是</w:t>
        <w:tab/>
        <w:t>否</w:t>
        <w:tab/>
      </w:r>
      <w:r>
        <w:rPr>
          <w:rFonts w:ascii="Times New Roman" w:hAnsi="Times New Roman" w:cs="Times New Roman" w:eastAsia="Times New Roman" w:hint="default"/>
          <w:spacing w:val="-1"/>
        </w:rPr>
        <w:t>300,000.00</w:t>
        <w:tab/>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82" w:top="1060" w:bottom="1180" w:left="980" w:right="980"/>
        </w:sectPr>
      </w:pPr>
    </w:p>
    <w:p>
      <w:pPr>
        <w:pStyle w:val="BodyText"/>
        <w:spacing w:line="316" w:lineRule="auto" w:before="44"/>
        <w:ind w:left="181" w:right="0"/>
        <w:jc w:val="both"/>
      </w:pPr>
      <w:r>
        <w:rPr/>
        <w:t>基于移动通 信网络路测 解决方案的 </w:t>
      </w:r>
      <w:r>
        <w:rPr>
          <w:rFonts w:ascii="Times New Roman" w:hAnsi="Times New Roman" w:cs="Times New Roman" w:eastAsia="Times New Roman" w:hint="default"/>
          <w:spacing w:val="-3"/>
        </w:rPr>
        <w:t>CD-SLTE</w:t>
      </w:r>
      <w:r>
        <w:rPr>
          <w:rFonts w:ascii="Times New Roman" w:hAnsi="Times New Roman" w:cs="Times New Roman" w:eastAsia="Times New Roman" w:hint="default"/>
          <w:spacing w:val="1"/>
        </w:rPr>
        <w:t> </w:t>
      </w:r>
      <w:r>
        <w:rPr/>
        <w:t>测</w:t>
      </w:r>
    </w:p>
    <w:p>
      <w:pPr>
        <w:pStyle w:val="BodyText"/>
        <w:spacing w:line="235" w:lineRule="exact"/>
        <w:ind w:left="181" w:right="0"/>
        <w:jc w:val="both"/>
      </w:pPr>
      <w:r>
        <w:rPr/>
        <w:t>试系统</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316" w:lineRule="auto" w:before="121"/>
        <w:ind w:left="77" w:right="-20"/>
        <w:jc w:val="left"/>
      </w:pPr>
      <w:r>
        <w:rPr/>
        <w:t>北京高技术 创业服务中</w:t>
      </w:r>
      <w:r>
        <w:rPr>
          <w:spacing w:val="73"/>
        </w:rPr>
        <w:t> </w:t>
      </w:r>
      <w:r>
        <w:rPr/>
        <w:t>补助</w:t>
      </w:r>
      <w:r>
        <w:rPr/>
        <w:t> 心</w:t>
      </w:r>
    </w:p>
    <w:p>
      <w:pPr>
        <w:pStyle w:val="BodyText"/>
        <w:spacing w:line="310" w:lineRule="atLeast" w:before="126"/>
        <w:ind w:left="181" w:right="5473"/>
        <w:jc w:val="left"/>
      </w:pPr>
      <w:r>
        <w:rPr/>
        <w:br w:type="column"/>
      </w:r>
      <w:r>
        <w:rPr/>
        <w:t>因研究开发、 技术更新及</w:t>
      </w:r>
    </w:p>
    <w:p>
      <w:pPr>
        <w:pStyle w:val="BodyText"/>
        <w:tabs>
          <w:tab w:pos="2307" w:val="left" w:leader="none"/>
          <w:tab w:pos="3565" w:val="left" w:leader="none"/>
          <w:tab w:pos="4719" w:val="left" w:leader="none"/>
        </w:tabs>
        <w:spacing w:line="123" w:lineRule="exact"/>
        <w:ind w:left="1244" w:right="0"/>
        <w:jc w:val="left"/>
      </w:pPr>
      <w:r>
        <w:rPr/>
        <w:t>是</w:t>
        <w:tab/>
        <w:t>否</w:t>
        <w:tab/>
      </w:r>
      <w:r>
        <w:rPr>
          <w:rFonts w:ascii="Times New Roman" w:hAnsi="Times New Roman" w:cs="Times New Roman" w:eastAsia="Times New Roman" w:hint="default"/>
          <w:spacing w:val="-1"/>
        </w:rPr>
        <w:t>262,500.00</w:t>
        <w:tab/>
        <w:t>29,166.67</w:t>
      </w:r>
      <w:r>
        <w:rPr>
          <w:rFonts w:ascii="Times New Roman" w:hAnsi="Times New Roman" w:cs="Times New Roman" w:eastAsia="Times New Roman" w:hint="default"/>
          <w:spacing w:val="15"/>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130" w:space="40"/>
            <w:col w:w="1501"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pPr>
      <w:r>
        <w:rPr/>
        <w:t>金融领域密 码软硬件研 发及应用示 范</w:t>
      </w:r>
    </w:p>
    <w:p>
      <w:pPr>
        <w:pStyle w:val="BodyText"/>
        <w:spacing w:line="310" w:lineRule="exact" w:before="6"/>
        <w:ind w:left="125" w:right="503"/>
        <w:jc w:val="left"/>
      </w:pPr>
      <w:r>
        <w:rPr/>
        <w:br w:type="column"/>
      </w:r>
      <w:r>
        <w:rPr/>
        <w:t>山东中创软 件商用中间</w:t>
      </w:r>
    </w:p>
    <w:p>
      <w:pPr>
        <w:pStyle w:val="BodyText"/>
        <w:spacing w:line="81" w:lineRule="exact"/>
        <w:ind w:left="1188" w:right="-20"/>
        <w:jc w:val="left"/>
      </w:pPr>
      <w:r>
        <w:rPr/>
        <w:t>补助</w:t>
      </w:r>
    </w:p>
    <w:p>
      <w:pPr>
        <w:pStyle w:val="BodyText"/>
        <w:spacing w:line="195" w:lineRule="exact"/>
        <w:ind w:left="125" w:right="-20"/>
        <w:jc w:val="left"/>
      </w:pPr>
      <w:r>
        <w:rPr/>
        <w:t>件股份有限</w:t>
      </w:r>
    </w:p>
    <w:p>
      <w:pPr>
        <w:pStyle w:val="BodyText"/>
        <w:spacing w:line="240" w:lineRule="auto" w:before="76"/>
        <w:ind w:left="125" w:right="-20"/>
        <w:jc w:val="left"/>
      </w:pPr>
      <w:r>
        <w:rPr/>
        <w:t>公司</w:t>
      </w:r>
    </w:p>
    <w:p>
      <w:pPr>
        <w:pStyle w:val="BodyText"/>
        <w:spacing w:line="310" w:lineRule="exact" w:before="6"/>
        <w:ind w:left="181" w:right="5473"/>
        <w:jc w:val="left"/>
      </w:pPr>
      <w:r>
        <w:rPr/>
        <w:br w:type="column"/>
      </w:r>
      <w:r>
        <w:rPr/>
        <w:t>因研究开发、 技术更新及</w:t>
      </w:r>
    </w:p>
    <w:p>
      <w:pPr>
        <w:pStyle w:val="BodyText"/>
        <w:tabs>
          <w:tab w:pos="2307" w:val="left" w:leader="none"/>
          <w:tab w:pos="3565" w:val="left" w:leader="none"/>
          <w:tab w:pos="4628" w:val="left" w:leader="none"/>
        </w:tabs>
        <w:spacing w:line="88" w:lineRule="exact"/>
        <w:ind w:left="1244" w:right="0"/>
        <w:jc w:val="left"/>
      </w:pPr>
      <w:r>
        <w:rPr/>
        <w:t>是</w:t>
        <w:tab/>
        <w:t>否</w:t>
        <w:tab/>
      </w:r>
      <w:r>
        <w:rPr>
          <w:rFonts w:ascii="Times New Roman" w:hAnsi="Times New Roman" w:cs="Times New Roman" w:eastAsia="Times New Roman" w:hint="default"/>
          <w:spacing w:val="-1"/>
        </w:rPr>
        <w:t>233,333.40</w:t>
        <w:tab/>
        <w:t>279,999.98</w:t>
      </w:r>
      <w:r>
        <w:rPr>
          <w:rFonts w:ascii="Times New Roman" w:hAnsi="Times New Roman" w:cs="Times New Roman" w:eastAsia="Times New Roman" w:hint="default"/>
          <w:spacing w:val="17"/>
        </w:rPr>
        <w:t> </w:t>
      </w:r>
      <w:r>
        <w:rPr/>
        <w:t>与收益相关</w:t>
      </w:r>
    </w:p>
    <w:p>
      <w:pPr>
        <w:pStyle w:val="BodyText"/>
        <w:spacing w:line="188"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pStyle w:val="BodyText"/>
        <w:spacing w:line="316" w:lineRule="auto" w:before="110"/>
        <w:ind w:left="181" w:right="0"/>
        <w:jc w:val="both"/>
      </w:pPr>
      <w:r>
        <w:rPr/>
        <w:t>面向大型复 杂网络应用 的集成类中 间件产品研 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pStyle w:val="BodyText"/>
        <w:spacing w:line="196" w:lineRule="exact"/>
        <w:ind w:left="125" w:right="-20"/>
        <w:jc w:val="left"/>
      </w:pPr>
      <w:r>
        <w:rPr/>
        <w:t>北京市丰台</w:t>
      </w:r>
    </w:p>
    <w:p>
      <w:pPr>
        <w:pStyle w:val="BodyText"/>
        <w:spacing w:line="156" w:lineRule="exact"/>
        <w:ind w:left="0" w:right="0"/>
        <w:jc w:val="right"/>
      </w:pPr>
      <w:r>
        <w:rPr/>
        <w:t>补助</w:t>
      </w:r>
    </w:p>
    <w:p>
      <w:pPr>
        <w:pStyle w:val="BodyText"/>
        <w:spacing w:line="196" w:lineRule="exact"/>
        <w:ind w:left="125" w:right="-20"/>
        <w:jc w:val="left"/>
      </w:pPr>
      <w:r>
        <w:rPr/>
        <w:t>区财政局</w:t>
      </w:r>
    </w:p>
    <w:p>
      <w:pPr>
        <w:spacing w:line="240" w:lineRule="auto" w:before="8"/>
        <w:rPr>
          <w:rFonts w:ascii="宋体" w:hAnsi="宋体" w:cs="宋体" w:eastAsia="宋体" w:hint="default"/>
          <w:sz w:val="14"/>
          <w:szCs w:val="14"/>
        </w:rPr>
      </w:pPr>
      <w:r>
        <w:rPr/>
        <w:br w:type="column"/>
      </w:r>
      <w:r>
        <w:rPr>
          <w:rFonts w:ascii="宋体"/>
          <w:sz w:val="14"/>
        </w:rPr>
      </w:r>
    </w:p>
    <w:p>
      <w:pPr>
        <w:pStyle w:val="BodyText"/>
        <w:spacing w:line="310" w:lineRule="atLeast"/>
        <w:ind w:left="181" w:right="5473"/>
        <w:jc w:val="left"/>
      </w:pPr>
      <w:r>
        <w:rPr/>
        <w:t>因研究开发、 技术更新及</w:t>
      </w:r>
    </w:p>
    <w:p>
      <w:pPr>
        <w:pStyle w:val="BodyText"/>
        <w:tabs>
          <w:tab w:pos="2307" w:val="left" w:leader="none"/>
          <w:tab w:pos="3656" w:val="left" w:leader="none"/>
          <w:tab w:pos="4628" w:val="left" w:leader="none"/>
        </w:tabs>
        <w:spacing w:line="123" w:lineRule="exact"/>
        <w:ind w:left="1244" w:right="0"/>
        <w:jc w:val="left"/>
      </w:pPr>
      <w:r>
        <w:rPr/>
        <w:t>是</w:t>
        <w:tab/>
        <w:t>否</w:t>
        <w:tab/>
      </w:r>
      <w:r>
        <w:rPr>
          <w:rFonts w:ascii="Times New Roman" w:hAnsi="Times New Roman" w:cs="Times New Roman" w:eastAsia="Times New Roman" w:hint="default"/>
          <w:spacing w:val="-1"/>
        </w:rPr>
        <w:t>91,833.20</w:t>
        <w:tab/>
        <w:t>134,000.00</w:t>
      </w:r>
      <w:r>
        <w:rPr>
          <w:rFonts w:ascii="Times New Roman" w:hAnsi="Times New Roman" w:cs="Times New Roman" w:eastAsia="Times New Roman" w:hint="default"/>
          <w:spacing w:val="17"/>
        </w:rPr>
        <w:t> </w:t>
      </w:r>
      <w:r>
        <w:rPr/>
        <w:t>与资产相关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pStyle w:val="BodyText"/>
        <w:spacing w:line="316" w:lineRule="auto" w:before="110"/>
        <w:ind w:left="181" w:right="0"/>
        <w:jc w:val="both"/>
      </w:pPr>
      <w:r>
        <w:rPr/>
        <w:t>国产中间件 参考实现及 平台之东方 通部分</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6" w:lineRule="auto"/>
        <w:ind w:left="125" w:right="-20"/>
        <w:jc w:val="left"/>
      </w:pPr>
      <w:r>
        <w:rPr/>
        <w:t>山东中创软 件工程股份</w:t>
      </w:r>
      <w:r>
        <w:rPr>
          <w:spacing w:val="73"/>
        </w:rPr>
        <w:t> </w:t>
      </w:r>
      <w:r>
        <w:rPr/>
        <w:t>补助</w:t>
      </w:r>
      <w:r>
        <w:rPr/>
        <w:t> 有限公司</w:t>
      </w:r>
    </w:p>
    <w:p>
      <w:pPr>
        <w:pStyle w:val="BodyText"/>
        <w:spacing w:line="310" w:lineRule="atLeast" w:before="35"/>
        <w:ind w:left="181" w:right="5473"/>
        <w:jc w:val="left"/>
      </w:pPr>
      <w:r>
        <w:rPr/>
        <w:br w:type="column"/>
      </w:r>
      <w:r>
        <w:rPr/>
        <w:t>因研究开发、 技术更新及</w:t>
      </w:r>
    </w:p>
    <w:p>
      <w:pPr>
        <w:pStyle w:val="BodyText"/>
        <w:tabs>
          <w:tab w:pos="2307" w:val="left" w:leader="none"/>
          <w:tab w:pos="3656" w:val="left" w:leader="none"/>
          <w:tab w:pos="4628" w:val="left" w:leader="none"/>
        </w:tabs>
        <w:spacing w:line="124" w:lineRule="exact"/>
        <w:ind w:left="1244" w:right="0"/>
        <w:jc w:val="left"/>
      </w:pPr>
      <w:r>
        <w:rPr/>
        <w:t>是</w:t>
        <w:tab/>
        <w:t>否</w:t>
        <w:tab/>
      </w:r>
      <w:r>
        <w:rPr>
          <w:rFonts w:ascii="Times New Roman" w:hAnsi="Times New Roman" w:cs="Times New Roman" w:eastAsia="Times New Roman" w:hint="default"/>
          <w:spacing w:val="-1"/>
        </w:rPr>
        <w:t>69,333.45</w:t>
        <w:tab/>
        <w:t>266,500.00</w:t>
      </w:r>
      <w:r>
        <w:rPr>
          <w:rFonts w:ascii="Times New Roman" w:hAnsi="Times New Roman" w:cs="Times New Roman" w:eastAsia="Times New Roman" w:hint="default"/>
          <w:spacing w:val="17"/>
        </w:rPr>
        <w:t> </w:t>
      </w:r>
      <w:r>
        <w:rPr/>
        <w:t>与资产相关</w:t>
      </w:r>
    </w:p>
    <w:p>
      <w:pPr>
        <w:pStyle w:val="BodyText"/>
        <w:spacing w:line="188"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300" w:lineRule="auto"/>
        <w:ind w:left="181" w:right="-18"/>
        <w:jc w:val="left"/>
      </w:pPr>
      <w:r>
        <w:rPr>
          <w:rFonts w:ascii="Times New Roman" w:hAnsi="Times New Roman" w:cs="Times New Roman" w:eastAsia="Times New Roman" w:hint="default"/>
        </w:rPr>
        <w:t>SOA</w:t>
      </w:r>
      <w:r>
        <w:rPr>
          <w:rFonts w:ascii="Times New Roman" w:hAnsi="Times New Roman" w:cs="Times New Roman" w:eastAsia="Times New Roman" w:hint="default"/>
          <w:spacing w:val="-4"/>
        </w:rPr>
        <w:t> </w:t>
      </w:r>
      <w:r>
        <w:rPr/>
        <w:t>支撑工 具集研发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spacing w:line="196" w:lineRule="exact"/>
        <w:ind w:left="82" w:right="0"/>
        <w:jc w:val="left"/>
      </w:pPr>
      <w:r>
        <w:rPr/>
        <w:t>北京市科学</w:t>
      </w:r>
    </w:p>
    <w:p>
      <w:pPr>
        <w:pStyle w:val="BodyText"/>
        <w:spacing w:line="156" w:lineRule="exact"/>
        <w:ind w:left="0" w:right="0"/>
        <w:jc w:val="right"/>
      </w:pPr>
      <w:r>
        <w:rPr/>
        <w:t>补助</w:t>
      </w:r>
    </w:p>
    <w:p>
      <w:pPr>
        <w:pStyle w:val="BodyText"/>
        <w:spacing w:line="196" w:lineRule="exact"/>
        <w:ind w:left="82" w:right="0"/>
        <w:jc w:val="left"/>
      </w:pPr>
      <w:r>
        <w:rPr/>
        <w:t>技术委员会</w:t>
      </w:r>
    </w:p>
    <w:p>
      <w:pPr>
        <w:pStyle w:val="BodyText"/>
        <w:spacing w:line="310" w:lineRule="atLeast" w:before="35"/>
        <w:ind w:left="181" w:right="5473"/>
        <w:jc w:val="left"/>
      </w:pPr>
      <w:r>
        <w:rPr/>
        <w:br w:type="column"/>
      </w:r>
      <w:r>
        <w:rPr/>
        <w:t>因研究开发、 技术更新及</w:t>
      </w:r>
    </w:p>
    <w:p>
      <w:pPr>
        <w:pStyle w:val="BodyText"/>
        <w:tabs>
          <w:tab w:pos="2307" w:val="left" w:leader="none"/>
          <w:tab w:pos="3671" w:val="left" w:leader="none"/>
          <w:tab w:pos="4628" w:val="left" w:leader="none"/>
        </w:tabs>
        <w:spacing w:line="123" w:lineRule="exact"/>
        <w:ind w:left="1244" w:right="0"/>
        <w:jc w:val="left"/>
      </w:pPr>
      <w:r>
        <w:rPr/>
        <w:t>是</w:t>
        <w:tab/>
        <w:t>否</w:t>
        <w:tab/>
      </w:r>
      <w:r>
        <w:rPr>
          <w:rFonts w:ascii="Times New Roman" w:hAnsi="Times New Roman" w:cs="Times New Roman" w:eastAsia="Times New Roman" w:hint="default"/>
          <w:spacing w:val="-2"/>
        </w:rPr>
        <w:t>24,111.60</w:t>
        <w:tab/>
      </w:r>
      <w:r>
        <w:rPr>
          <w:rFonts w:ascii="Times New Roman" w:hAnsi="Times New Roman" w:cs="Times New Roman" w:eastAsia="Times New Roman" w:hint="default"/>
          <w:spacing w:val="-1"/>
        </w:rPr>
        <w:t>319,840.00</w:t>
      </w:r>
      <w:r>
        <w:rPr>
          <w:rFonts w:ascii="Times New Roman" w:hAnsi="Times New Roman" w:cs="Times New Roman" w:eastAsia="Times New Roman" w:hint="default"/>
          <w:spacing w:val="17"/>
        </w:rPr>
        <w:t> </w:t>
      </w:r>
      <w:r>
        <w:rPr/>
        <w:t>与资产相关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125" w:space="40"/>
            <w:col w:w="1506"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pPr>
      <w:r>
        <w:rPr/>
        <w:t>面向软件服 务运营的中 间件系统的 定制化研发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北京市科学</w:t>
      </w:r>
    </w:p>
    <w:p>
      <w:pPr>
        <w:pStyle w:val="BodyText"/>
        <w:spacing w:line="155" w:lineRule="exact"/>
        <w:ind w:left="0" w:right="0"/>
        <w:jc w:val="right"/>
      </w:pPr>
      <w:r>
        <w:rPr/>
        <w:t>补助</w:t>
      </w:r>
    </w:p>
    <w:p>
      <w:pPr>
        <w:pStyle w:val="BodyText"/>
        <w:spacing w:line="195" w:lineRule="exact"/>
        <w:ind w:left="125" w:right="-20"/>
        <w:jc w:val="left"/>
      </w:pPr>
      <w:r>
        <w:rPr/>
        <w:t>技术委员会</w:t>
      </w:r>
    </w:p>
    <w:p>
      <w:pPr>
        <w:pStyle w:val="BodyText"/>
        <w:spacing w:line="310" w:lineRule="exact" w:before="6"/>
        <w:ind w:left="181" w:right="5473"/>
        <w:jc w:val="left"/>
      </w:pPr>
      <w:r>
        <w:rPr/>
        <w:br w:type="column"/>
      </w:r>
      <w:r>
        <w:rPr/>
        <w:t>因研究开发、 技术更新及</w:t>
      </w:r>
    </w:p>
    <w:p>
      <w:pPr>
        <w:pStyle w:val="BodyText"/>
        <w:tabs>
          <w:tab w:pos="2307" w:val="left" w:leader="none"/>
          <w:tab w:pos="3656" w:val="left" w:leader="none"/>
          <w:tab w:pos="4628" w:val="left" w:leader="none"/>
        </w:tabs>
        <w:spacing w:line="88" w:lineRule="exact"/>
        <w:ind w:left="1244" w:right="0"/>
        <w:jc w:val="left"/>
      </w:pPr>
      <w:r>
        <w:rPr/>
        <w:t>是</w:t>
        <w:tab/>
        <w:t>否</w:t>
        <w:tab/>
      </w:r>
      <w:r>
        <w:rPr>
          <w:rFonts w:ascii="Times New Roman" w:hAnsi="Times New Roman" w:cs="Times New Roman" w:eastAsia="Times New Roman" w:hint="default"/>
          <w:spacing w:val="-1"/>
        </w:rPr>
        <w:t>23,133.70</w:t>
        <w:tab/>
        <w:t>156,000.01</w:t>
      </w:r>
      <w:r>
        <w:rPr>
          <w:rFonts w:ascii="Times New Roman" w:hAnsi="Times New Roman" w:cs="Times New Roman" w:eastAsia="Times New Roman" w:hint="default"/>
          <w:spacing w:val="17"/>
        </w:rPr>
        <w:t> </w:t>
      </w:r>
      <w:r>
        <w:rPr/>
        <w:t>与资产相关</w:t>
      </w:r>
    </w:p>
    <w:p>
      <w:pPr>
        <w:pStyle w:val="BodyText"/>
        <w:spacing w:line="188"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pStyle w:val="BodyText"/>
        <w:spacing w:line="316" w:lineRule="auto" w:before="110"/>
        <w:ind w:left="181" w:right="0"/>
        <w:jc w:val="both"/>
      </w:pPr>
      <w:r>
        <w:rPr/>
        <w:t>中间件与数 据库的互操 作及集成性 能测试用例 开发</w:t>
      </w:r>
    </w:p>
    <w:p>
      <w:pPr>
        <w:spacing w:line="240" w:lineRule="auto" w:before="8"/>
        <w:rPr>
          <w:rFonts w:ascii="宋体" w:hAnsi="宋体" w:cs="宋体" w:eastAsia="宋体" w:hint="default"/>
          <w:sz w:val="14"/>
          <w:szCs w:val="14"/>
        </w:rPr>
      </w:pPr>
      <w:r>
        <w:rPr/>
        <w:br w:type="column"/>
      </w:r>
      <w:r>
        <w:rPr>
          <w:rFonts w:ascii="宋体"/>
          <w:sz w:val="14"/>
        </w:rPr>
      </w:r>
    </w:p>
    <w:p>
      <w:pPr>
        <w:pStyle w:val="BodyText"/>
        <w:spacing w:line="310" w:lineRule="atLeast"/>
        <w:ind w:left="125" w:right="503"/>
        <w:jc w:val="left"/>
      </w:pPr>
      <w:r>
        <w:rPr/>
        <w:t>工业和信息 化部电子工</w:t>
      </w:r>
    </w:p>
    <w:p>
      <w:pPr>
        <w:pStyle w:val="BodyText"/>
        <w:spacing w:line="116" w:lineRule="exact"/>
        <w:ind w:left="0" w:right="0"/>
        <w:jc w:val="right"/>
      </w:pPr>
      <w:r>
        <w:rPr/>
        <w:t>补助</w:t>
      </w:r>
    </w:p>
    <w:p>
      <w:pPr>
        <w:pStyle w:val="BodyText"/>
        <w:spacing w:line="196" w:lineRule="exact"/>
        <w:ind w:left="125" w:right="-20"/>
        <w:jc w:val="left"/>
      </w:pPr>
      <w:r>
        <w:rPr/>
        <w:t>业标准化研</w:t>
      </w:r>
    </w:p>
    <w:p>
      <w:pPr>
        <w:pStyle w:val="BodyText"/>
        <w:spacing w:line="240" w:lineRule="auto" w:before="76"/>
        <w:ind w:left="125" w:right="-20"/>
        <w:jc w:val="left"/>
      </w:pPr>
      <w:r>
        <w:rPr/>
        <w:t>究院</w:t>
      </w:r>
    </w:p>
    <w:p>
      <w:pPr>
        <w:spacing w:line="240" w:lineRule="auto" w:before="8"/>
        <w:rPr>
          <w:rFonts w:ascii="宋体" w:hAnsi="宋体" w:cs="宋体" w:eastAsia="宋体" w:hint="default"/>
          <w:sz w:val="14"/>
          <w:szCs w:val="14"/>
        </w:rPr>
      </w:pPr>
      <w:r>
        <w:rPr/>
        <w:br w:type="column"/>
      </w:r>
      <w:r>
        <w:rPr>
          <w:rFonts w:ascii="宋体"/>
          <w:sz w:val="14"/>
        </w:rPr>
      </w:r>
    </w:p>
    <w:p>
      <w:pPr>
        <w:pStyle w:val="BodyText"/>
        <w:spacing w:line="310" w:lineRule="atLeast"/>
        <w:ind w:left="181" w:right="5473"/>
        <w:jc w:val="left"/>
      </w:pPr>
      <w:r>
        <w:rPr/>
        <w:t>因研究开发、 技术更新及</w:t>
      </w:r>
    </w:p>
    <w:p>
      <w:pPr>
        <w:pStyle w:val="BodyText"/>
        <w:tabs>
          <w:tab w:pos="2307" w:val="left" w:leader="none"/>
          <w:tab w:pos="3663" w:val="left" w:leader="none"/>
          <w:tab w:pos="4719" w:val="left" w:leader="none"/>
        </w:tabs>
        <w:spacing w:line="123" w:lineRule="exact"/>
        <w:ind w:left="1244" w:right="0"/>
        <w:jc w:val="left"/>
      </w:pPr>
      <w:r>
        <w:rPr/>
        <w:t>是</w:t>
        <w:tab/>
        <w:t>否</w:t>
        <w:tab/>
      </w:r>
      <w:r>
        <w:rPr>
          <w:rFonts w:ascii="Times New Roman" w:hAnsi="Times New Roman" w:cs="Times New Roman" w:eastAsia="Times New Roman" w:hint="default"/>
          <w:spacing w:val="-1"/>
        </w:rPr>
        <w:t>10,800.11</w:t>
        <w:tab/>
        <w:t>42,400.00</w:t>
      </w:r>
      <w:r>
        <w:rPr>
          <w:rFonts w:ascii="Times New Roman" w:hAnsi="Times New Roman" w:cs="Times New Roman" w:eastAsia="Times New Roman" w:hint="default"/>
          <w:spacing w:val="15"/>
        </w:rPr>
        <w:t> </w:t>
      </w:r>
      <w:r>
        <w:rPr/>
        <w:t>与资产相关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4"/>
        <w:rPr>
          <w:rFonts w:ascii="宋体" w:hAnsi="宋体" w:cs="宋体" w:eastAsia="宋体" w:hint="default"/>
          <w:sz w:val="20"/>
          <w:szCs w:val="20"/>
        </w:rPr>
      </w:pPr>
    </w:p>
    <w:p>
      <w:pPr>
        <w:pStyle w:val="BodyText"/>
        <w:spacing w:line="307" w:lineRule="auto"/>
        <w:ind w:left="181" w:right="0"/>
        <w:jc w:val="both"/>
      </w:pPr>
      <w:r>
        <w:rPr/>
        <w:t>开源软件</w:t>
      </w:r>
      <w:r>
        <w:rPr>
          <w:spacing w:val="-45"/>
        </w:rPr>
        <w:t> </w:t>
      </w:r>
      <w:r>
        <w:rPr>
          <w:rFonts w:ascii="Times New Roman" w:hAnsi="Times New Roman" w:cs="Times New Roman" w:eastAsia="Times New Roman" w:hint="default"/>
          <w:spacing w:val="-3"/>
        </w:rPr>
        <w:t>IP</w:t>
      </w:r>
      <w:r>
        <w:rPr>
          <w:rFonts w:ascii="Times New Roman" w:hAnsi="Times New Roman" w:cs="Times New Roman" w:eastAsia="Times New Roman" w:hint="default"/>
          <w:spacing w:val="-3"/>
          <w:w w:val="99"/>
        </w:rPr>
        <w:t> </w:t>
      </w:r>
      <w:r>
        <w:rPr/>
        <w:t>资源库组织 及集成技术</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6" w:lineRule="auto"/>
        <w:ind w:left="104" w:right="-20"/>
        <w:jc w:val="left"/>
      </w:pPr>
      <w:r>
        <w:rPr/>
        <w:t>北京软件与 信息服务业</w:t>
      </w:r>
      <w:r>
        <w:rPr>
          <w:spacing w:val="73"/>
        </w:rPr>
        <w:t> </w:t>
      </w:r>
      <w:r>
        <w:rPr/>
        <w:t>补助</w:t>
      </w:r>
      <w:r>
        <w:rPr/>
        <w:t> 促进中心</w:t>
      </w:r>
    </w:p>
    <w:p>
      <w:pPr>
        <w:pStyle w:val="BodyText"/>
        <w:spacing w:line="310" w:lineRule="atLeast" w:before="35"/>
        <w:ind w:left="181" w:right="5473"/>
        <w:jc w:val="left"/>
      </w:pPr>
      <w:r>
        <w:rPr/>
        <w:br w:type="column"/>
      </w:r>
      <w:r>
        <w:rPr/>
        <w:t>因研究开发、 技术更新及</w:t>
      </w:r>
    </w:p>
    <w:p>
      <w:pPr>
        <w:pStyle w:val="BodyText"/>
        <w:tabs>
          <w:tab w:pos="2307" w:val="left" w:leader="none"/>
          <w:tab w:pos="3745" w:val="left" w:leader="none"/>
          <w:tab w:pos="4719" w:val="left" w:leader="none"/>
        </w:tabs>
        <w:spacing w:line="124" w:lineRule="exact"/>
        <w:ind w:left="1244" w:right="0"/>
        <w:jc w:val="left"/>
      </w:pPr>
      <w:r>
        <w:rPr/>
        <w:t>是</w:t>
        <w:tab/>
        <w:t>否</w:t>
        <w:tab/>
      </w:r>
      <w:r>
        <w:rPr>
          <w:rFonts w:ascii="Times New Roman" w:hAnsi="Times New Roman" w:cs="Times New Roman" w:eastAsia="Times New Roman" w:hint="default"/>
        </w:rPr>
        <w:t>1,666.50</w:t>
        <w:tab/>
        <w:t>20,000.00</w:t>
      </w:r>
      <w:r>
        <w:rPr>
          <w:rFonts w:ascii="Times New Roman" w:hAnsi="Times New Roman" w:cs="Times New Roman" w:eastAsia="Times New Roman" w:hint="default"/>
          <w:spacing w:val="6"/>
        </w:rPr>
        <w:t> </w:t>
      </w:r>
      <w:r>
        <w:rPr/>
        <w:t>与资产相关</w:t>
      </w:r>
    </w:p>
    <w:p>
      <w:pPr>
        <w:pStyle w:val="BodyText"/>
        <w:spacing w:line="188"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103" w:space="40"/>
            <w:col w:w="1528"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2" w:lineRule="exact" w:before="5"/>
        <w:ind w:left="181" w:right="-9"/>
        <w:jc w:val="left"/>
      </w:pPr>
      <w:r>
        <w:rPr/>
        <w:t>云计算平台 </w:t>
      </w:r>
      <w:r>
        <w:rPr>
          <w:rFonts w:ascii="Times New Roman" w:hAnsi="Times New Roman" w:cs="Times New Roman" w:eastAsia="Times New Roman" w:hint="default"/>
          <w:spacing w:val="-2"/>
        </w:rPr>
        <w:t>TongAppland</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研发及产业 化</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36" w:right="-20"/>
        <w:jc w:val="left"/>
      </w:pPr>
      <w:r>
        <w:rPr/>
        <w:t>丰台区发展 和改革委员</w:t>
      </w:r>
      <w:r>
        <w:rPr>
          <w:spacing w:val="73"/>
        </w:rPr>
        <w:t> </w:t>
      </w:r>
      <w:r>
        <w:rPr/>
        <w:t>补助</w:t>
      </w:r>
      <w:r>
        <w:rPr/>
        <w:t> 会</w:t>
      </w:r>
    </w:p>
    <w:p>
      <w:pPr>
        <w:pStyle w:val="BodyText"/>
        <w:spacing w:line="312" w:lineRule="exact" w:before="5"/>
        <w:ind w:left="181" w:right="5473"/>
        <w:jc w:val="left"/>
      </w:pPr>
      <w:r>
        <w:rPr/>
        <w:br w:type="column"/>
      </w:r>
      <w:r>
        <w:rPr/>
        <w:t>因研究开发、 技术更新及</w:t>
      </w:r>
    </w:p>
    <w:p>
      <w:pPr>
        <w:pStyle w:val="BodyText"/>
        <w:tabs>
          <w:tab w:pos="2307" w:val="left" w:leader="none"/>
          <w:tab w:pos="4494" w:val="left" w:leader="none"/>
        </w:tabs>
        <w:spacing w:line="86" w:lineRule="exact"/>
        <w:ind w:left="1244" w:right="0"/>
        <w:jc w:val="left"/>
      </w:pPr>
      <w:r>
        <w:rPr/>
        <w:t>否</w:t>
        <w:tab/>
        <w:t>否</w:t>
        <w:tab/>
      </w:r>
      <w:r>
        <w:rPr>
          <w:rFonts w:ascii="Times New Roman" w:hAnsi="Times New Roman" w:cs="Times New Roman" w:eastAsia="Times New Roman" w:hint="default"/>
        </w:rPr>
        <w:t>2,500,000.00</w:t>
      </w:r>
      <w:r>
        <w:rPr>
          <w:rFonts w:ascii="Times New Roman" w:hAnsi="Times New Roman" w:cs="Times New Roman" w:eastAsia="Times New Roman" w:hint="default"/>
          <w:spacing w:val="6"/>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171" w:space="40"/>
            <w:col w:w="1460" w:space="521"/>
            <w:col w:w="6758"/>
          </w:cols>
        </w:sectPr>
      </w:pPr>
    </w:p>
    <w:p>
      <w:pPr>
        <w:pStyle w:val="BodyText"/>
        <w:spacing w:line="314" w:lineRule="auto" w:before="130"/>
        <w:ind w:left="181" w:right="-20"/>
        <w:jc w:val="left"/>
      </w:pPr>
      <w:r>
        <w:rPr/>
        <w:pict>
          <v:group style="position:absolute;margin-left:56.400002pt;margin-top:71.758484pt;width:478.95pt;height:683.55pt;mso-position-horizontal-relative:page;mso-position-vertical-relative:page;z-index:-1034392" coordorigin="1128,1435" coordsize="9579,13671">
            <v:group style="position:absolute;left:5393;top:1450;width:1054;height:1640" coordorigin="5393,1450" coordsize="1054,1640">
              <v:shape style="position:absolute;left:5393;top:1450;width:1054;height:1640" coordorigin="5393,1450" coordsize="1054,1640" path="m5393,3089l6446,3089,6446,1450,5393,1450,5393,3089xe" filled="true" fillcolor="#ffffff" stroked="false">
                <v:path arrowok="t"/>
                <v:fill type="solid"/>
              </v:shape>
            </v:group>
            <v:group style="position:absolute;left:5417;top:2074;width:1006;height:392" coordorigin="5417,2074" coordsize="1006,392">
              <v:shape style="position:absolute;left:5417;top:2074;width:1006;height:392" coordorigin="5417,2074" coordsize="1006,392" path="m5417,2465l6422,2465,6422,2074,5417,2074,5417,2465xe" filled="true" fillcolor="#ffffff" stroked="false">
                <v:path arrowok="t"/>
                <v:fill type="solid"/>
              </v:shape>
            </v:group>
            <v:group style="position:absolute;left:1138;top:1445;width:1056;height:2" coordorigin="1138,1445" coordsize="1056,2">
              <v:shape style="position:absolute;left:1138;top:1445;width:1056;height:2" coordorigin="1138,1445" coordsize="1056,0" path="m1138,1445l2194,1445e" filled="false" stroked="true" strokeweight=".481pt" strokecolor="#000000">
                <v:path arrowok="t"/>
              </v:shape>
            </v:group>
            <v:group style="position:absolute;left:2203;top:1445;width:1054;height:2" coordorigin="2203,1445" coordsize="1054,2">
              <v:shape style="position:absolute;left:2203;top:1445;width:1054;height:2" coordorigin="2203,1445" coordsize="1054,0" path="m2203,1445l3257,1445e" filled="false" stroked="true" strokeweight=".481pt" strokecolor="#000000">
                <v:path arrowok="t"/>
              </v:shape>
            </v:group>
            <v:group style="position:absolute;left:3266;top:1445;width:1054;height:2" coordorigin="3266,1445" coordsize="1054,2">
              <v:shape style="position:absolute;left:3266;top:1445;width:1054;height:2" coordorigin="3266,1445" coordsize="1054,0" path="m3266,1445l4320,1445e" filled="false" stroked="true" strokeweight=".481pt" strokecolor="#000000">
                <v:path arrowok="t"/>
              </v:shape>
            </v:group>
            <v:group style="position:absolute;left:4330;top:1445;width:1054;height:2" coordorigin="4330,1445" coordsize="1054,2">
              <v:shape style="position:absolute;left:4330;top:1445;width:1054;height:2" coordorigin="4330,1445" coordsize="1054,0" path="m4330,1445l5383,1445e" filled="false" stroked="true" strokeweight=".481pt" strokecolor="#000000">
                <v:path arrowok="t"/>
              </v:shape>
            </v:group>
            <v:group style="position:absolute;left:5393;top:1445;width:1052;height:2" coordorigin="5393,1445" coordsize="1052,2">
              <v:shape style="position:absolute;left:5393;top:1445;width:1052;height:2" coordorigin="5393,1445" coordsize="1052,0" path="m5393,1445l6444,1445e" filled="false" stroked="true" strokeweight=".481pt" strokecolor="#000000">
                <v:path arrowok="t"/>
              </v:shape>
            </v:group>
            <v:group style="position:absolute;left:6454;top:1445;width:1054;height:2" coordorigin="6454,1445" coordsize="1054,2">
              <v:shape style="position:absolute;left:6454;top:1445;width:1054;height:2" coordorigin="6454,1445" coordsize="1054,0" path="m6454,1445l7507,1445e" filled="false" stroked="true" strokeweight=".481pt" strokecolor="#000000">
                <v:path arrowok="t"/>
              </v:shape>
            </v:group>
            <v:group style="position:absolute;left:7517;top:1445;width:1054;height:2" coordorigin="7517,1445" coordsize="1054,2">
              <v:shape style="position:absolute;left:7517;top:1445;width:1054;height:2" coordorigin="7517,1445" coordsize="1054,0" path="m7517,1445l8570,1445e" filled="false" stroked="true" strokeweight=".481pt" strokecolor="#000000">
                <v:path arrowok="t"/>
              </v:shape>
            </v:group>
            <v:group style="position:absolute;left:8580;top:1445;width:1054;height:2" coordorigin="8580,1445" coordsize="1054,2">
              <v:shape style="position:absolute;left:8580;top:1445;width:1054;height:2" coordorigin="8580,1445" coordsize="1054,0" path="m8580,1445l9634,1445e" filled="false" stroked="true" strokeweight=".481pt" strokecolor="#000000">
                <v:path arrowok="t"/>
              </v:shape>
            </v:group>
            <v:group style="position:absolute;left:9643;top:1445;width:1054;height:2" coordorigin="9643,1445" coordsize="1054,2">
              <v:shape style="position:absolute;left:9643;top:1445;width:1054;height:2" coordorigin="9643,1445" coordsize="1054,0" path="m9643,1445l10697,1445e" filled="false" stroked="true" strokeweight=".481pt" strokecolor="#000000">
                <v:path arrowok="t"/>
              </v:shape>
            </v:group>
            <v:group style="position:absolute;left:5393;top:3101;width:1054;height:1328" coordorigin="5393,3101" coordsize="1054,1328">
              <v:shape style="position:absolute;left:5393;top:3101;width:1054;height:1328" coordorigin="5393,3101" coordsize="1054,1328" path="m5393,4428l6446,4428,6446,3101,5393,3101,5393,4428xe" filled="true" fillcolor="#ffffff" stroked="false">
                <v:path arrowok="t"/>
                <v:fill type="solid"/>
              </v:shape>
            </v:group>
            <v:group style="position:absolute;left:5417;top:3569;width:1006;height:392" coordorigin="5417,3569" coordsize="1006,392">
              <v:shape style="position:absolute;left:5417;top:3569;width:1006;height:392" coordorigin="5417,3569" coordsize="1006,392" path="m5417,3960l6422,3960,6422,3569,5417,3569,5417,3960xe" filled="true" fillcolor="#ffffff" stroked="false">
                <v:path arrowok="t"/>
                <v:fill type="solid"/>
              </v:shape>
            </v:group>
            <v:group style="position:absolute;left:1138;top:3094;width:1056;height:2" coordorigin="1138,3094" coordsize="1056,2">
              <v:shape style="position:absolute;left:1138;top:3094;width:1056;height:2" coordorigin="1138,3094" coordsize="1056,0" path="m1138,3094l2194,3094e" filled="false" stroked="true" strokeweight=".481pt" strokecolor="#000000">
                <v:path arrowok="t"/>
              </v:shape>
            </v:group>
            <v:group style="position:absolute;left:2203;top:3094;width:1054;height:2" coordorigin="2203,3094" coordsize="1054,2">
              <v:shape style="position:absolute;left:2203;top:3094;width:1054;height:2" coordorigin="2203,3094" coordsize="1054,0" path="m2203,3094l3257,3094e" filled="false" stroked="true" strokeweight=".481pt" strokecolor="#000000">
                <v:path arrowok="t"/>
              </v:shape>
            </v:group>
            <v:group style="position:absolute;left:3266;top:3094;width:1054;height:2" coordorigin="3266,3094" coordsize="1054,2">
              <v:shape style="position:absolute;left:3266;top:3094;width:1054;height:2" coordorigin="3266,3094" coordsize="1054,0" path="m3266,3094l4320,3094e" filled="false" stroked="true" strokeweight=".481pt" strokecolor="#000000">
                <v:path arrowok="t"/>
              </v:shape>
            </v:group>
            <v:group style="position:absolute;left:4330;top:3094;width:1054;height:2" coordorigin="4330,3094" coordsize="1054,2">
              <v:shape style="position:absolute;left:4330;top:3094;width:1054;height:2" coordorigin="4330,3094" coordsize="1054,0" path="m4330,3094l5383,3094e" filled="false" stroked="true" strokeweight=".481pt" strokecolor="#000000">
                <v:path arrowok="t"/>
              </v:shape>
            </v:group>
            <v:group style="position:absolute;left:5393;top:3094;width:1052;height:2" coordorigin="5393,3094" coordsize="1052,2">
              <v:shape style="position:absolute;left:5393;top:3094;width:1052;height:2" coordorigin="5393,3094" coordsize="1052,0" path="m5393,3094l6444,3094e" filled="false" stroked="true" strokeweight=".481pt" strokecolor="#000000">
                <v:path arrowok="t"/>
              </v:shape>
            </v:group>
            <v:group style="position:absolute;left:6454;top:3094;width:1054;height:2" coordorigin="6454,3094" coordsize="1054,2">
              <v:shape style="position:absolute;left:6454;top:3094;width:1054;height:2" coordorigin="6454,3094" coordsize="1054,0" path="m6454,3094l7507,3094e" filled="false" stroked="true" strokeweight=".481pt" strokecolor="#000000">
                <v:path arrowok="t"/>
              </v:shape>
            </v:group>
            <v:group style="position:absolute;left:7517;top:3094;width:1054;height:2" coordorigin="7517,3094" coordsize="1054,2">
              <v:shape style="position:absolute;left:7517;top:3094;width:1054;height:2" coordorigin="7517,3094" coordsize="1054,0" path="m7517,3094l8570,3094e" filled="false" stroked="true" strokeweight=".481pt" strokecolor="#000000">
                <v:path arrowok="t"/>
              </v:shape>
            </v:group>
            <v:group style="position:absolute;left:8580;top:3094;width:1054;height:2" coordorigin="8580,3094" coordsize="1054,2">
              <v:shape style="position:absolute;left:8580;top:3094;width:1054;height:2" coordorigin="8580,3094" coordsize="1054,0" path="m8580,3094l9634,3094e" filled="false" stroked="true" strokeweight=".481pt" strokecolor="#000000">
                <v:path arrowok="t"/>
              </v:shape>
            </v:group>
            <v:group style="position:absolute;left:9643;top:3094;width:1054;height:2" coordorigin="9643,3094" coordsize="1054,2">
              <v:shape style="position:absolute;left:9643;top:3094;width:1054;height:2" coordorigin="9643,3094" coordsize="1054,0" path="m9643,3094l10697,3094e" filled="false" stroked="true" strokeweight=".481pt" strokecolor="#000000">
                <v:path arrowok="t"/>
              </v:shape>
            </v:group>
            <v:group style="position:absolute;left:5393;top:4438;width:1054;height:1640" coordorigin="5393,4438" coordsize="1054,1640">
              <v:shape style="position:absolute;left:5393;top:4438;width:1054;height:1640" coordorigin="5393,4438" coordsize="1054,1640" path="m5393,6077l6446,6077,6446,4438,5393,4438,5393,6077xe" filled="true" fillcolor="#ffffff" stroked="false">
                <v:path arrowok="t"/>
                <v:fill type="solid"/>
              </v:shape>
            </v:group>
            <v:group style="position:absolute;left:5417;top:5062;width:1006;height:392" coordorigin="5417,5062" coordsize="1006,392">
              <v:shape style="position:absolute;left:5417;top:5062;width:1006;height:392" coordorigin="5417,5062" coordsize="1006,392" path="m5417,5453l6422,5453,6422,5062,5417,5062,5417,5453xe" filled="true" fillcolor="#ffffff" stroked="false">
                <v:path arrowok="t"/>
                <v:fill type="solid"/>
              </v:shape>
            </v:group>
            <v:group style="position:absolute;left:1138;top:4433;width:1056;height:2" coordorigin="1138,4433" coordsize="1056,2">
              <v:shape style="position:absolute;left:1138;top:4433;width:1056;height:2" coordorigin="1138,4433" coordsize="1056,0" path="m1138,4433l2194,4433e" filled="false" stroked="true" strokeweight=".481pt" strokecolor="#000000">
                <v:path arrowok="t"/>
              </v:shape>
            </v:group>
            <v:group style="position:absolute;left:2203;top:4433;width:1054;height:2" coordorigin="2203,4433" coordsize="1054,2">
              <v:shape style="position:absolute;left:2203;top:4433;width:1054;height:2" coordorigin="2203,4433" coordsize="1054,0" path="m2203,4433l3257,4433e" filled="false" stroked="true" strokeweight=".481pt" strokecolor="#000000">
                <v:path arrowok="t"/>
              </v:shape>
            </v:group>
            <v:group style="position:absolute;left:3266;top:4433;width:1054;height:2" coordorigin="3266,4433" coordsize="1054,2">
              <v:shape style="position:absolute;left:3266;top:4433;width:1054;height:2" coordorigin="3266,4433" coordsize="1054,0" path="m3266,4433l4320,4433e" filled="false" stroked="true" strokeweight=".481pt" strokecolor="#000000">
                <v:path arrowok="t"/>
              </v:shape>
            </v:group>
            <v:group style="position:absolute;left:4330;top:4433;width:1054;height:2" coordorigin="4330,4433" coordsize="1054,2">
              <v:shape style="position:absolute;left:4330;top:4433;width:1054;height:2" coordorigin="4330,4433" coordsize="1054,0" path="m4330,4433l5383,4433e" filled="false" stroked="true" strokeweight=".481pt" strokecolor="#000000">
                <v:path arrowok="t"/>
              </v:shape>
            </v:group>
            <v:group style="position:absolute;left:5393;top:4433;width:1052;height:2" coordorigin="5393,4433" coordsize="1052,2">
              <v:shape style="position:absolute;left:5393;top:4433;width:1052;height:2" coordorigin="5393,4433" coordsize="1052,0" path="m5393,4433l6444,4433e" filled="false" stroked="true" strokeweight=".481pt" strokecolor="#000000">
                <v:path arrowok="t"/>
              </v:shape>
            </v:group>
            <v:group style="position:absolute;left:6454;top:4433;width:1054;height:2" coordorigin="6454,4433" coordsize="1054,2">
              <v:shape style="position:absolute;left:6454;top:4433;width:1054;height:2" coordorigin="6454,4433" coordsize="1054,0" path="m6454,4433l7507,4433e" filled="false" stroked="true" strokeweight=".481pt" strokecolor="#000000">
                <v:path arrowok="t"/>
              </v:shape>
            </v:group>
            <v:group style="position:absolute;left:7517;top:4433;width:1054;height:2" coordorigin="7517,4433" coordsize="1054,2">
              <v:shape style="position:absolute;left:7517;top:4433;width:1054;height:2" coordorigin="7517,4433" coordsize="1054,0" path="m7517,4433l8570,4433e" filled="false" stroked="true" strokeweight=".481pt" strokecolor="#000000">
                <v:path arrowok="t"/>
              </v:shape>
            </v:group>
            <v:group style="position:absolute;left:8580;top:4433;width:1054;height:2" coordorigin="8580,4433" coordsize="1054,2">
              <v:shape style="position:absolute;left:8580;top:4433;width:1054;height:2" coordorigin="8580,4433" coordsize="1054,0" path="m8580,4433l9634,4433e" filled="false" stroked="true" strokeweight=".481pt" strokecolor="#000000">
                <v:path arrowok="t"/>
              </v:shape>
            </v:group>
            <v:group style="position:absolute;left:9643;top:4433;width:1054;height:2" coordorigin="9643,4433" coordsize="1054,2">
              <v:shape style="position:absolute;left:9643;top:4433;width:1054;height:2" coordorigin="9643,4433" coordsize="1054,0" path="m9643,4433l10697,4433e" filled="false" stroked="true" strokeweight=".481pt" strokecolor="#000000">
                <v:path arrowok="t"/>
              </v:shape>
            </v:group>
            <v:group style="position:absolute;left:5393;top:6089;width:1054;height:1328" coordorigin="5393,6089" coordsize="1054,1328">
              <v:shape style="position:absolute;left:5393;top:6089;width:1054;height:1328" coordorigin="5393,6089" coordsize="1054,1328" path="m5393,7416l6446,7416,6446,6089,5393,6089,5393,7416xe" filled="true" fillcolor="#ffffff" stroked="false">
                <v:path arrowok="t"/>
                <v:fill type="solid"/>
              </v:shape>
            </v:group>
            <v:group style="position:absolute;left:5417;top:6557;width:1006;height:392" coordorigin="5417,6557" coordsize="1006,392">
              <v:shape style="position:absolute;left:5417;top:6557;width:1006;height:392" coordorigin="5417,6557" coordsize="1006,392" path="m5417,6948l6422,6948,6422,6557,5417,6557,5417,6948xe" filled="true" fillcolor="#ffffff" stroked="false">
                <v:path arrowok="t"/>
                <v:fill type="solid"/>
              </v:shape>
            </v:group>
            <v:group style="position:absolute;left:1138;top:6082;width:1056;height:2" coordorigin="1138,6082" coordsize="1056,2">
              <v:shape style="position:absolute;left:1138;top:6082;width:1056;height:2" coordorigin="1138,6082" coordsize="1056,0" path="m1138,6082l2194,6082e" filled="false" stroked="true" strokeweight=".481pt" strokecolor="#000000">
                <v:path arrowok="t"/>
              </v:shape>
            </v:group>
            <v:group style="position:absolute;left:2203;top:6082;width:1054;height:2" coordorigin="2203,6082" coordsize="1054,2">
              <v:shape style="position:absolute;left:2203;top:6082;width:1054;height:2" coordorigin="2203,6082" coordsize="1054,0" path="m2203,6082l3257,6082e" filled="false" stroked="true" strokeweight=".481pt" strokecolor="#000000">
                <v:path arrowok="t"/>
              </v:shape>
            </v:group>
            <v:group style="position:absolute;left:3266;top:6082;width:1054;height:2" coordorigin="3266,6082" coordsize="1054,2">
              <v:shape style="position:absolute;left:3266;top:6082;width:1054;height:2" coordorigin="3266,6082" coordsize="1054,0" path="m3266,6082l4320,6082e" filled="false" stroked="true" strokeweight=".481pt" strokecolor="#000000">
                <v:path arrowok="t"/>
              </v:shape>
            </v:group>
            <v:group style="position:absolute;left:4330;top:6082;width:1054;height:2" coordorigin="4330,6082" coordsize="1054,2">
              <v:shape style="position:absolute;left:4330;top:6082;width:1054;height:2" coordorigin="4330,6082" coordsize="1054,0" path="m4330,6082l5383,6082e" filled="false" stroked="true" strokeweight=".481pt" strokecolor="#000000">
                <v:path arrowok="t"/>
              </v:shape>
            </v:group>
            <v:group style="position:absolute;left:5393;top:6082;width:1052;height:2" coordorigin="5393,6082" coordsize="1052,2">
              <v:shape style="position:absolute;left:5393;top:6082;width:1052;height:2" coordorigin="5393,6082" coordsize="1052,0" path="m5393,6082l6444,6082e" filled="false" stroked="true" strokeweight=".481pt" strokecolor="#000000">
                <v:path arrowok="t"/>
              </v:shape>
            </v:group>
            <v:group style="position:absolute;left:6454;top:6082;width:1054;height:2" coordorigin="6454,6082" coordsize="1054,2">
              <v:shape style="position:absolute;left:6454;top:6082;width:1054;height:2" coordorigin="6454,6082" coordsize="1054,0" path="m6454,6082l7507,6082e" filled="false" stroked="true" strokeweight=".481pt" strokecolor="#000000">
                <v:path arrowok="t"/>
              </v:shape>
            </v:group>
            <v:group style="position:absolute;left:7517;top:6082;width:1054;height:2" coordorigin="7517,6082" coordsize="1054,2">
              <v:shape style="position:absolute;left:7517;top:6082;width:1054;height:2" coordorigin="7517,6082" coordsize="1054,0" path="m7517,6082l8570,6082e" filled="false" stroked="true" strokeweight=".481pt" strokecolor="#000000">
                <v:path arrowok="t"/>
              </v:shape>
            </v:group>
            <v:group style="position:absolute;left:8580;top:6082;width:1054;height:2" coordorigin="8580,6082" coordsize="1054,2">
              <v:shape style="position:absolute;left:8580;top:6082;width:1054;height:2" coordorigin="8580,6082" coordsize="1054,0" path="m8580,6082l9634,6082e" filled="false" stroked="true" strokeweight=".481pt" strokecolor="#000000">
                <v:path arrowok="t"/>
              </v:shape>
            </v:group>
            <v:group style="position:absolute;left:9643;top:6082;width:1054;height:2" coordorigin="9643,6082" coordsize="1054,2">
              <v:shape style="position:absolute;left:9643;top:6082;width:1054;height:2" coordorigin="9643,6082" coordsize="1054,0" path="m9643,6082l10697,6082e" filled="false" stroked="true" strokeweight=".481pt" strokecolor="#000000">
                <v:path arrowok="t"/>
              </v:shape>
            </v:group>
            <v:group style="position:absolute;left:5393;top:7426;width:1054;height:1328" coordorigin="5393,7426" coordsize="1054,1328">
              <v:shape style="position:absolute;left:5393;top:7426;width:1054;height:1328" coordorigin="5393,7426" coordsize="1054,1328" path="m5393,8753l6446,8753,6446,7426,5393,7426,5393,8753xe" filled="true" fillcolor="#ffffff" stroked="false">
                <v:path arrowok="t"/>
                <v:fill type="solid"/>
              </v:shape>
            </v:group>
            <v:group style="position:absolute;left:5417;top:7894;width:1006;height:392" coordorigin="5417,7894" coordsize="1006,392">
              <v:shape style="position:absolute;left:5417;top:7894;width:1006;height:392" coordorigin="5417,7894" coordsize="1006,392" path="m5417,8285l6422,8285,6422,7894,5417,7894,5417,8285xe" filled="true" fillcolor="#ffffff" stroked="false">
                <v:path arrowok="t"/>
                <v:fill type="solid"/>
              </v:shape>
            </v:group>
            <v:group style="position:absolute;left:1138;top:7421;width:1056;height:2" coordorigin="1138,7421" coordsize="1056,2">
              <v:shape style="position:absolute;left:1138;top:7421;width:1056;height:2" coordorigin="1138,7421" coordsize="1056,0" path="m1138,7421l2194,7421e" filled="false" stroked="true" strokeweight=".481pt" strokecolor="#000000">
                <v:path arrowok="t"/>
              </v:shape>
            </v:group>
            <v:group style="position:absolute;left:2203;top:7421;width:1054;height:2" coordorigin="2203,7421" coordsize="1054,2">
              <v:shape style="position:absolute;left:2203;top:7421;width:1054;height:2" coordorigin="2203,7421" coordsize="1054,0" path="m2203,7421l3257,7421e" filled="false" stroked="true" strokeweight=".481pt" strokecolor="#000000">
                <v:path arrowok="t"/>
              </v:shape>
            </v:group>
            <v:group style="position:absolute;left:3266;top:7421;width:1054;height:2" coordorigin="3266,7421" coordsize="1054,2">
              <v:shape style="position:absolute;left:3266;top:7421;width:1054;height:2" coordorigin="3266,7421" coordsize="1054,0" path="m3266,7421l4320,7421e" filled="false" stroked="true" strokeweight=".481pt" strokecolor="#000000">
                <v:path arrowok="t"/>
              </v:shape>
            </v:group>
            <v:group style="position:absolute;left:4330;top:7421;width:1054;height:2" coordorigin="4330,7421" coordsize="1054,2">
              <v:shape style="position:absolute;left:4330;top:7421;width:1054;height:2" coordorigin="4330,7421" coordsize="1054,0" path="m4330,7421l5383,7421e" filled="false" stroked="true" strokeweight=".481pt" strokecolor="#000000">
                <v:path arrowok="t"/>
              </v:shape>
            </v:group>
            <v:group style="position:absolute;left:5393;top:7421;width:1052;height:2" coordorigin="5393,7421" coordsize="1052,2">
              <v:shape style="position:absolute;left:5393;top:7421;width:1052;height:2" coordorigin="5393,7421" coordsize="1052,0" path="m5393,7421l6444,7421e" filled="false" stroked="true" strokeweight=".481pt" strokecolor="#000000">
                <v:path arrowok="t"/>
              </v:shape>
            </v:group>
            <v:group style="position:absolute;left:6454;top:7421;width:1054;height:2" coordorigin="6454,7421" coordsize="1054,2">
              <v:shape style="position:absolute;left:6454;top:7421;width:1054;height:2" coordorigin="6454,7421" coordsize="1054,0" path="m6454,7421l7507,7421e" filled="false" stroked="true" strokeweight=".481pt" strokecolor="#000000">
                <v:path arrowok="t"/>
              </v:shape>
            </v:group>
            <v:group style="position:absolute;left:7517;top:7421;width:1054;height:2" coordorigin="7517,7421" coordsize="1054,2">
              <v:shape style="position:absolute;left:7517;top:7421;width:1054;height:2" coordorigin="7517,7421" coordsize="1054,0" path="m7517,7421l8570,7421e" filled="false" stroked="true" strokeweight=".481pt" strokecolor="#000000">
                <v:path arrowok="t"/>
              </v:shape>
            </v:group>
            <v:group style="position:absolute;left:8580;top:7421;width:1054;height:2" coordorigin="8580,7421" coordsize="1054,2">
              <v:shape style="position:absolute;left:8580;top:7421;width:1054;height:2" coordorigin="8580,7421" coordsize="1054,0" path="m8580,7421l9634,7421e" filled="false" stroked="true" strokeweight=".481pt" strokecolor="#000000">
                <v:path arrowok="t"/>
              </v:shape>
            </v:group>
            <v:group style="position:absolute;left:9643;top:7421;width:1054;height:2" coordorigin="9643,7421" coordsize="1054,2">
              <v:shape style="position:absolute;left:9643;top:7421;width:1054;height:2" coordorigin="9643,7421" coordsize="1054,0" path="m9643,7421l10697,7421e" filled="false" stroked="true" strokeweight=".481pt" strokecolor="#000000">
                <v:path arrowok="t"/>
              </v:shape>
            </v:group>
            <v:group style="position:absolute;left:5393;top:8765;width:1054;height:1328" coordorigin="5393,8765" coordsize="1054,1328">
              <v:shape style="position:absolute;left:5393;top:8765;width:1054;height:1328" coordorigin="5393,8765" coordsize="1054,1328" path="m5393,10092l6446,10092,6446,8765,5393,8765,5393,10092xe" filled="true" fillcolor="#ffffff" stroked="false">
                <v:path arrowok="t"/>
                <v:fill type="solid"/>
              </v:shape>
            </v:group>
            <v:group style="position:absolute;left:5417;top:9233;width:1006;height:392" coordorigin="5417,9233" coordsize="1006,392">
              <v:shape style="position:absolute;left:5417;top:9233;width:1006;height:392" coordorigin="5417,9233" coordsize="1006,392" path="m5417,9624l6422,9624,6422,9233,5417,9233,5417,9624xe" filled="true" fillcolor="#ffffff" stroked="false">
                <v:path arrowok="t"/>
                <v:fill type="solid"/>
              </v:shape>
            </v:group>
            <v:group style="position:absolute;left:1138;top:8758;width:1056;height:2" coordorigin="1138,8758" coordsize="1056,2">
              <v:shape style="position:absolute;left:1138;top:8758;width:1056;height:2" coordorigin="1138,8758" coordsize="1056,0" path="m1138,8758l2194,8758e" filled="false" stroked="true" strokeweight=".48pt" strokecolor="#000000">
                <v:path arrowok="t"/>
              </v:shape>
            </v:group>
            <v:group style="position:absolute;left:2203;top:8758;width:1054;height:2" coordorigin="2203,8758" coordsize="1054,2">
              <v:shape style="position:absolute;left:2203;top:8758;width:1054;height:2" coordorigin="2203,8758" coordsize="1054,0" path="m2203,8758l3257,8758e" filled="false" stroked="true" strokeweight=".48pt" strokecolor="#000000">
                <v:path arrowok="t"/>
              </v:shape>
            </v:group>
            <v:group style="position:absolute;left:3266;top:8758;width:1054;height:2" coordorigin="3266,8758" coordsize="1054,2">
              <v:shape style="position:absolute;left:3266;top:8758;width:1054;height:2" coordorigin="3266,8758" coordsize="1054,0" path="m3266,8758l4320,8758e" filled="false" stroked="true" strokeweight=".48pt" strokecolor="#000000">
                <v:path arrowok="t"/>
              </v:shape>
            </v:group>
            <v:group style="position:absolute;left:4330;top:8758;width:1054;height:2" coordorigin="4330,8758" coordsize="1054,2">
              <v:shape style="position:absolute;left:4330;top:8758;width:1054;height:2" coordorigin="4330,8758" coordsize="1054,0" path="m4330,8758l5383,8758e" filled="false" stroked="true" strokeweight=".48pt" strokecolor="#000000">
                <v:path arrowok="t"/>
              </v:shape>
            </v:group>
            <v:group style="position:absolute;left:5393;top:8758;width:1052;height:2" coordorigin="5393,8758" coordsize="1052,2">
              <v:shape style="position:absolute;left:5393;top:8758;width:1052;height:2" coordorigin="5393,8758" coordsize="1052,0" path="m5393,8758l6444,8758e" filled="false" stroked="true" strokeweight=".48pt" strokecolor="#000000">
                <v:path arrowok="t"/>
              </v:shape>
            </v:group>
            <v:group style="position:absolute;left:6454;top:8758;width:1054;height:2" coordorigin="6454,8758" coordsize="1054,2">
              <v:shape style="position:absolute;left:6454;top:8758;width:1054;height:2" coordorigin="6454,8758" coordsize="1054,0" path="m6454,8758l7507,8758e" filled="false" stroked="true" strokeweight=".48pt" strokecolor="#000000">
                <v:path arrowok="t"/>
              </v:shape>
            </v:group>
            <v:group style="position:absolute;left:7517;top:8758;width:1054;height:2" coordorigin="7517,8758" coordsize="1054,2">
              <v:shape style="position:absolute;left:7517;top:8758;width:1054;height:2" coordorigin="7517,8758" coordsize="1054,0" path="m7517,8758l8570,8758e" filled="false" stroked="true" strokeweight=".48pt" strokecolor="#000000">
                <v:path arrowok="t"/>
              </v:shape>
            </v:group>
            <v:group style="position:absolute;left:8580;top:8758;width:1054;height:2" coordorigin="8580,8758" coordsize="1054,2">
              <v:shape style="position:absolute;left:8580;top:8758;width:1054;height:2" coordorigin="8580,8758" coordsize="1054,0" path="m8580,8758l9634,8758e" filled="false" stroked="true" strokeweight=".48pt" strokecolor="#000000">
                <v:path arrowok="t"/>
              </v:shape>
            </v:group>
            <v:group style="position:absolute;left:9643;top:8758;width:1054;height:2" coordorigin="9643,8758" coordsize="1054,2">
              <v:shape style="position:absolute;left:9643;top:8758;width:1054;height:2" coordorigin="9643,8758" coordsize="1054,0" path="m9643,8758l10697,8758e" filled="false" stroked="true" strokeweight=".48pt" strokecolor="#000000">
                <v:path arrowok="t"/>
              </v:shape>
            </v:group>
            <v:group style="position:absolute;left:5393;top:10102;width:1054;height:1640" coordorigin="5393,10102" coordsize="1054,1640">
              <v:shape style="position:absolute;left:5393;top:10102;width:1054;height:1640" coordorigin="5393,10102" coordsize="1054,1640" path="m5393,11741l6446,11741,6446,10102,5393,10102,5393,11741xe" filled="true" fillcolor="#ffffff" stroked="false">
                <v:path arrowok="t"/>
                <v:fill type="solid"/>
              </v:shape>
            </v:group>
            <v:group style="position:absolute;left:5417;top:10726;width:1006;height:392" coordorigin="5417,10726" coordsize="1006,392">
              <v:shape style="position:absolute;left:5417;top:10726;width:1006;height:392" coordorigin="5417,10726" coordsize="1006,392" path="m5417,11117l6422,11117,6422,10726,5417,10726,5417,11117xe" filled="true" fillcolor="#ffffff" stroked="false">
                <v:path arrowok="t"/>
                <v:fill type="solid"/>
              </v:shape>
            </v:group>
            <v:group style="position:absolute;left:1138;top:10097;width:1056;height:2" coordorigin="1138,10097" coordsize="1056,2">
              <v:shape style="position:absolute;left:1138;top:10097;width:1056;height:2" coordorigin="1138,10097" coordsize="1056,0" path="m1138,10097l2194,10097e" filled="false" stroked="true" strokeweight=".48pt" strokecolor="#000000">
                <v:path arrowok="t"/>
              </v:shape>
            </v:group>
            <v:group style="position:absolute;left:2203;top:10097;width:1054;height:2" coordorigin="2203,10097" coordsize="1054,2">
              <v:shape style="position:absolute;left:2203;top:10097;width:1054;height:2" coordorigin="2203,10097" coordsize="1054,0" path="m2203,10097l3257,10097e" filled="false" stroked="true" strokeweight=".48pt" strokecolor="#000000">
                <v:path arrowok="t"/>
              </v:shape>
            </v:group>
            <v:group style="position:absolute;left:3266;top:10097;width:1054;height:2" coordorigin="3266,10097" coordsize="1054,2">
              <v:shape style="position:absolute;left:3266;top:10097;width:1054;height:2" coordorigin="3266,10097" coordsize="1054,0" path="m3266,10097l4320,10097e" filled="false" stroked="true" strokeweight=".48pt" strokecolor="#000000">
                <v:path arrowok="t"/>
              </v:shape>
            </v:group>
            <v:group style="position:absolute;left:4330;top:10097;width:1054;height:2" coordorigin="4330,10097" coordsize="1054,2">
              <v:shape style="position:absolute;left:4330;top:10097;width:1054;height:2" coordorigin="4330,10097" coordsize="1054,0" path="m4330,10097l5383,10097e" filled="false" stroked="true" strokeweight=".48pt" strokecolor="#000000">
                <v:path arrowok="t"/>
              </v:shape>
            </v:group>
            <v:group style="position:absolute;left:5393;top:10097;width:1052;height:2" coordorigin="5393,10097" coordsize="1052,2">
              <v:shape style="position:absolute;left:5393;top:10097;width:1052;height:2" coordorigin="5393,10097" coordsize="1052,0" path="m5393,10097l6444,10097e" filled="false" stroked="true" strokeweight=".48pt" strokecolor="#000000">
                <v:path arrowok="t"/>
              </v:shape>
            </v:group>
            <v:group style="position:absolute;left:6454;top:10097;width:1054;height:2" coordorigin="6454,10097" coordsize="1054,2">
              <v:shape style="position:absolute;left:6454;top:10097;width:1054;height:2" coordorigin="6454,10097" coordsize="1054,0" path="m6454,10097l7507,10097e" filled="false" stroked="true" strokeweight=".48pt" strokecolor="#000000">
                <v:path arrowok="t"/>
              </v:shape>
            </v:group>
            <v:group style="position:absolute;left:7517;top:10097;width:1054;height:2" coordorigin="7517,10097" coordsize="1054,2">
              <v:shape style="position:absolute;left:7517;top:10097;width:1054;height:2" coordorigin="7517,10097" coordsize="1054,0" path="m7517,10097l8570,10097e" filled="false" stroked="true" strokeweight=".48pt" strokecolor="#000000">
                <v:path arrowok="t"/>
              </v:shape>
            </v:group>
            <v:group style="position:absolute;left:8580;top:10097;width:1054;height:2" coordorigin="8580,10097" coordsize="1054,2">
              <v:shape style="position:absolute;left:8580;top:10097;width:1054;height:2" coordorigin="8580,10097" coordsize="1054,0" path="m8580,10097l9634,10097e" filled="false" stroked="true" strokeweight=".48pt" strokecolor="#000000">
                <v:path arrowok="t"/>
              </v:shape>
            </v:group>
            <v:group style="position:absolute;left:9643;top:10097;width:1054;height:2" coordorigin="9643,10097" coordsize="1054,2">
              <v:shape style="position:absolute;left:9643;top:10097;width:1054;height:2" coordorigin="9643,10097" coordsize="1054,0" path="m9643,10097l10697,10097e" filled="false" stroked="true" strokeweight=".48pt" strokecolor="#000000">
                <v:path arrowok="t"/>
              </v:shape>
            </v:group>
            <v:group style="position:absolute;left:5393;top:11753;width:1054;height:1328" coordorigin="5393,11753" coordsize="1054,1328">
              <v:shape style="position:absolute;left:5393;top:11753;width:1054;height:1328" coordorigin="5393,11753" coordsize="1054,1328" path="m5393,13080l6446,13080,6446,11753,5393,11753,5393,13080xe" filled="true" fillcolor="#ffffff" stroked="false">
                <v:path arrowok="t"/>
                <v:fill type="solid"/>
              </v:shape>
            </v:group>
            <v:group style="position:absolute;left:5417;top:12221;width:1006;height:392" coordorigin="5417,12221" coordsize="1006,392">
              <v:shape style="position:absolute;left:5417;top:12221;width:1006;height:392" coordorigin="5417,12221" coordsize="1006,392" path="m5417,12612l6422,12612,6422,12221,5417,12221,5417,12612xe" filled="true" fillcolor="#ffffff" stroked="false">
                <v:path arrowok="t"/>
                <v:fill type="solid"/>
              </v:shape>
            </v:group>
            <v:group style="position:absolute;left:1138;top:11746;width:1056;height:2" coordorigin="1138,11746" coordsize="1056,2">
              <v:shape style="position:absolute;left:1138;top:11746;width:1056;height:2" coordorigin="1138,11746" coordsize="1056,0" path="m1138,11746l2194,11746e" filled="false" stroked="true" strokeweight=".48pt" strokecolor="#000000">
                <v:path arrowok="t"/>
              </v:shape>
            </v:group>
            <v:group style="position:absolute;left:2203;top:11746;width:1054;height:2" coordorigin="2203,11746" coordsize="1054,2">
              <v:shape style="position:absolute;left:2203;top:11746;width:1054;height:2" coordorigin="2203,11746" coordsize="1054,0" path="m2203,11746l3257,11746e" filled="false" stroked="true" strokeweight=".48pt" strokecolor="#000000">
                <v:path arrowok="t"/>
              </v:shape>
            </v:group>
            <v:group style="position:absolute;left:3266;top:11746;width:1054;height:2" coordorigin="3266,11746" coordsize="1054,2">
              <v:shape style="position:absolute;left:3266;top:11746;width:1054;height:2" coordorigin="3266,11746" coordsize="1054,0" path="m3266,11746l4320,11746e" filled="false" stroked="true" strokeweight=".48pt" strokecolor="#000000">
                <v:path arrowok="t"/>
              </v:shape>
            </v:group>
            <v:group style="position:absolute;left:4330;top:11746;width:1054;height:2" coordorigin="4330,11746" coordsize="1054,2">
              <v:shape style="position:absolute;left:4330;top:11746;width:1054;height:2" coordorigin="4330,11746" coordsize="1054,0" path="m4330,11746l5383,11746e" filled="false" stroked="true" strokeweight=".48pt" strokecolor="#000000">
                <v:path arrowok="t"/>
              </v:shape>
            </v:group>
            <v:group style="position:absolute;left:5393;top:11746;width:1052;height:2" coordorigin="5393,11746" coordsize="1052,2">
              <v:shape style="position:absolute;left:5393;top:11746;width:1052;height:2" coordorigin="5393,11746" coordsize="1052,0" path="m5393,11746l6444,11746e" filled="false" stroked="true" strokeweight=".48pt" strokecolor="#000000">
                <v:path arrowok="t"/>
              </v:shape>
            </v:group>
            <v:group style="position:absolute;left:6454;top:11746;width:1054;height:2" coordorigin="6454,11746" coordsize="1054,2">
              <v:shape style="position:absolute;left:6454;top:11746;width:1054;height:2" coordorigin="6454,11746" coordsize="1054,0" path="m6454,11746l7507,11746e" filled="false" stroked="true" strokeweight=".48pt" strokecolor="#000000">
                <v:path arrowok="t"/>
              </v:shape>
            </v:group>
            <v:group style="position:absolute;left:7517;top:11746;width:1054;height:2" coordorigin="7517,11746" coordsize="1054,2">
              <v:shape style="position:absolute;left:7517;top:11746;width:1054;height:2" coordorigin="7517,11746" coordsize="1054,0" path="m7517,11746l8570,11746e" filled="false" stroked="true" strokeweight=".48pt" strokecolor="#000000">
                <v:path arrowok="t"/>
              </v:shape>
            </v:group>
            <v:group style="position:absolute;left:8580;top:11746;width:1054;height:2" coordorigin="8580,11746" coordsize="1054,2">
              <v:shape style="position:absolute;left:8580;top:11746;width:1054;height:2" coordorigin="8580,11746" coordsize="1054,0" path="m8580,11746l9634,11746e" filled="false" stroked="true" strokeweight=".48pt" strokecolor="#000000">
                <v:path arrowok="t"/>
              </v:shape>
            </v:group>
            <v:group style="position:absolute;left:9643;top:11746;width:1054;height:2" coordorigin="9643,11746" coordsize="1054,2">
              <v:shape style="position:absolute;left:9643;top:11746;width:1054;height:2" coordorigin="9643,11746" coordsize="1054,0" path="m9643,11746l10697,11746e" filled="false" stroked="true" strokeweight=".48pt" strokecolor="#000000">
                <v:path arrowok="t"/>
              </v:shape>
            </v:group>
            <v:group style="position:absolute;left:5393;top:13090;width:1054;height:1328" coordorigin="5393,13090" coordsize="1054,1328">
              <v:shape style="position:absolute;left:5393;top:13090;width:1054;height:1328" coordorigin="5393,13090" coordsize="1054,1328" path="m5393,14417l6446,14417,6446,13090,5393,13090,5393,14417xe" filled="true" fillcolor="#ffffff" stroked="false">
                <v:path arrowok="t"/>
                <v:fill type="solid"/>
              </v:shape>
            </v:group>
            <v:group style="position:absolute;left:5417;top:13558;width:1006;height:392" coordorigin="5417,13558" coordsize="1006,392">
              <v:shape style="position:absolute;left:5417;top:13558;width:1006;height:392" coordorigin="5417,13558" coordsize="1006,392" path="m5417,13949l6422,13949,6422,13558,5417,13558,5417,13949xe" filled="true" fillcolor="#ffffff" stroked="false">
                <v:path arrowok="t"/>
                <v:fill type="solid"/>
              </v:shape>
            </v:group>
            <v:group style="position:absolute;left:1138;top:13085;width:1056;height:2" coordorigin="1138,13085" coordsize="1056,2">
              <v:shape style="position:absolute;left:1138;top:13085;width:1056;height:2" coordorigin="1138,13085" coordsize="1056,0" path="m1138,13085l2194,13085e" filled="false" stroked="true" strokeweight=".48pt" strokecolor="#000000">
                <v:path arrowok="t"/>
              </v:shape>
            </v:group>
            <v:group style="position:absolute;left:2203;top:13085;width:1054;height:2" coordorigin="2203,13085" coordsize="1054,2">
              <v:shape style="position:absolute;left:2203;top:13085;width:1054;height:2" coordorigin="2203,13085" coordsize="1054,0" path="m2203,13085l3257,13085e" filled="false" stroked="true" strokeweight=".48pt" strokecolor="#000000">
                <v:path arrowok="t"/>
              </v:shape>
            </v:group>
            <v:group style="position:absolute;left:3266;top:13085;width:1054;height:2" coordorigin="3266,13085" coordsize="1054,2">
              <v:shape style="position:absolute;left:3266;top:13085;width:1054;height:2" coordorigin="3266,13085" coordsize="1054,0" path="m3266,13085l4320,13085e" filled="false" stroked="true" strokeweight=".48pt" strokecolor="#000000">
                <v:path arrowok="t"/>
              </v:shape>
            </v:group>
            <v:group style="position:absolute;left:4330;top:13085;width:1054;height:2" coordorigin="4330,13085" coordsize="1054,2">
              <v:shape style="position:absolute;left:4330;top:13085;width:1054;height:2" coordorigin="4330,13085" coordsize="1054,0" path="m4330,13085l5383,13085e" filled="false" stroked="true" strokeweight=".48pt" strokecolor="#000000">
                <v:path arrowok="t"/>
              </v:shape>
            </v:group>
            <v:group style="position:absolute;left:5393;top:13085;width:1052;height:2" coordorigin="5393,13085" coordsize="1052,2">
              <v:shape style="position:absolute;left:5393;top:13085;width:1052;height:2" coordorigin="5393,13085" coordsize="1052,0" path="m5393,13085l6444,13085e" filled="false" stroked="true" strokeweight=".48pt" strokecolor="#000000">
                <v:path arrowok="t"/>
              </v:shape>
            </v:group>
            <v:group style="position:absolute;left:6454;top:13085;width:1054;height:2" coordorigin="6454,13085" coordsize="1054,2">
              <v:shape style="position:absolute;left:6454;top:13085;width:1054;height:2" coordorigin="6454,13085" coordsize="1054,0" path="m6454,13085l7507,13085e" filled="false" stroked="true" strokeweight=".48pt" strokecolor="#000000">
                <v:path arrowok="t"/>
              </v:shape>
            </v:group>
            <v:group style="position:absolute;left:7517;top:13085;width:1054;height:2" coordorigin="7517,13085" coordsize="1054,2">
              <v:shape style="position:absolute;left:7517;top:13085;width:1054;height:2" coordorigin="7517,13085" coordsize="1054,0" path="m7517,13085l8570,13085e" filled="false" stroked="true" strokeweight=".48pt" strokecolor="#000000">
                <v:path arrowok="t"/>
              </v:shape>
            </v:group>
            <v:group style="position:absolute;left:8580;top:13085;width:1054;height:2" coordorigin="8580,13085" coordsize="1054,2">
              <v:shape style="position:absolute;left:8580;top:13085;width:1054;height:2" coordorigin="8580,13085" coordsize="1054,0" path="m8580,13085l9634,13085e" filled="false" stroked="true" strokeweight=".48pt" strokecolor="#000000">
                <v:path arrowok="t"/>
              </v:shape>
            </v:group>
            <v:group style="position:absolute;left:9643;top:13085;width:1054;height:2" coordorigin="9643,13085" coordsize="1054,2">
              <v:shape style="position:absolute;left:9643;top:13085;width:1054;height:2" coordorigin="9643,13085" coordsize="1054,0" path="m9643,13085l10697,13085e" filled="false" stroked="true" strokeweight=".48pt" strokecolor="#000000">
                <v:path arrowok="t"/>
              </v:shape>
            </v:group>
            <v:group style="position:absolute;left:5393;top:14429;width:1054;height:663" coordorigin="5393,14429" coordsize="1054,663">
              <v:shape style="position:absolute;left:5393;top:14429;width:1054;height:663" coordorigin="5393,14429" coordsize="1054,663" path="m5393,15091l6446,15091,6446,14429,5393,14429,5393,15091xe" filled="true" fillcolor="#ffffff" stroked="false">
                <v:path arrowok="t"/>
                <v:fill type="solid"/>
              </v:shape>
            </v:group>
            <v:group style="position:absolute;left:5417;top:14563;width:1006;height:394" coordorigin="5417,14563" coordsize="1006,394">
              <v:shape style="position:absolute;left:5417;top:14563;width:1006;height:394" coordorigin="5417,14563" coordsize="1006,394" path="m5417,14957l6422,14957,6422,14563,5417,14563,5417,14957xe" filled="true" fillcolor="#ffffff" stroked="false">
                <v:path arrowok="t"/>
                <v:fill type="solid"/>
              </v:shape>
            </v:group>
            <v:group style="position:absolute;left:1138;top:14422;width:1056;height:2" coordorigin="1138,14422" coordsize="1056,2">
              <v:shape style="position:absolute;left:1138;top:14422;width:1056;height:2" coordorigin="1138,14422" coordsize="1056,0" path="m1138,14422l2194,14422e" filled="false" stroked="true" strokeweight=".48pt" strokecolor="#000000">
                <v:path arrowok="t"/>
              </v:shape>
            </v:group>
            <v:group style="position:absolute;left:2203;top:14422;width:1054;height:2" coordorigin="2203,14422" coordsize="1054,2">
              <v:shape style="position:absolute;left:2203;top:14422;width:1054;height:2" coordorigin="2203,14422" coordsize="1054,0" path="m2203,14422l3257,14422e" filled="false" stroked="true" strokeweight=".48pt" strokecolor="#000000">
                <v:path arrowok="t"/>
              </v:shape>
            </v:group>
            <v:group style="position:absolute;left:3266;top:14422;width:1054;height:2" coordorigin="3266,14422" coordsize="1054,2">
              <v:shape style="position:absolute;left:3266;top:14422;width:1054;height:2" coordorigin="3266,14422" coordsize="1054,0" path="m3266,14422l4320,14422e" filled="false" stroked="true" strokeweight=".48pt" strokecolor="#000000">
                <v:path arrowok="t"/>
              </v:shape>
            </v:group>
            <v:group style="position:absolute;left:4330;top:14422;width:1054;height:2" coordorigin="4330,14422" coordsize="1054,2">
              <v:shape style="position:absolute;left:4330;top:14422;width:1054;height:2" coordorigin="4330,14422" coordsize="1054,0" path="m4330,14422l5383,14422e" filled="false" stroked="true" strokeweight=".48pt" strokecolor="#000000">
                <v:path arrowok="t"/>
              </v:shape>
            </v:group>
            <v:group style="position:absolute;left:5393;top:14422;width:1052;height:2" coordorigin="5393,14422" coordsize="1052,2">
              <v:shape style="position:absolute;left:5393;top:14422;width:1052;height:2" coordorigin="5393,14422" coordsize="1052,0" path="m5393,14422l6444,14422e" filled="false" stroked="true" strokeweight=".48pt" strokecolor="#000000">
                <v:path arrowok="t"/>
              </v:shape>
            </v:group>
            <v:group style="position:absolute;left:6454;top:14422;width:1054;height:2" coordorigin="6454,14422" coordsize="1054,2">
              <v:shape style="position:absolute;left:6454;top:14422;width:1054;height:2" coordorigin="6454,14422" coordsize="1054,0" path="m6454,14422l7507,14422e" filled="false" stroked="true" strokeweight=".48pt" strokecolor="#000000">
                <v:path arrowok="t"/>
              </v:shape>
            </v:group>
            <v:group style="position:absolute;left:7517;top:14422;width:1054;height:2" coordorigin="7517,14422" coordsize="1054,2">
              <v:shape style="position:absolute;left:7517;top:14422;width:1054;height:2" coordorigin="7517,14422" coordsize="1054,0" path="m7517,14422l8570,14422e" filled="false" stroked="true" strokeweight=".48pt" strokecolor="#000000">
                <v:path arrowok="t"/>
              </v:shape>
            </v:group>
            <v:group style="position:absolute;left:8580;top:14422;width:1054;height:2" coordorigin="8580,14422" coordsize="1054,2">
              <v:shape style="position:absolute;left:8580;top:14422;width:1054;height:2" coordorigin="8580,14422" coordsize="1054,0" path="m8580,14422l9634,14422e" filled="false" stroked="true" strokeweight=".48pt" strokecolor="#000000">
                <v:path arrowok="t"/>
              </v:shape>
            </v:group>
            <v:group style="position:absolute;left:9643;top:14422;width:1054;height:2" coordorigin="9643,14422" coordsize="1054,2">
              <v:shape style="position:absolute;left:9643;top:14422;width:1054;height:2" coordorigin="9643,14422" coordsize="1054,0" path="m9643,14422l10697,14422e" filled="false" stroked="true" strokeweight=".48pt" strokecolor="#000000">
                <v:path arrowok="t"/>
              </v:shape>
            </v:group>
            <v:group style="position:absolute;left:1133;top:1440;width:2;height:13661" coordorigin="1133,1440" coordsize="2,13661">
              <v:shape style="position:absolute;left:1133;top:1440;width:2;height:13661" coordorigin="1133,1440" coordsize="0,13661" path="m1133,1440l1133,15101e" filled="false" stroked="true" strokeweight=".48pt" strokecolor="#000000">
                <v:path arrowok="t"/>
              </v:shape>
            </v:group>
            <v:group style="position:absolute;left:1138;top:15096;width:1056;height:2" coordorigin="1138,15096" coordsize="1056,2">
              <v:shape style="position:absolute;left:1138;top:15096;width:1056;height:2" coordorigin="1138,15096" coordsize="1056,0" path="m1138,15096l2194,15096e" filled="false" stroked="true" strokeweight=".481pt" strokecolor="#000000">
                <v:path arrowok="t"/>
              </v:shape>
            </v:group>
            <v:group style="position:absolute;left:2198;top:1440;width:2;height:13661" coordorigin="2198,1440" coordsize="2,13661">
              <v:shape style="position:absolute;left:2198;top:1440;width:2;height:13661" coordorigin="2198,1440" coordsize="0,13661" path="m2198,1440l2198,15101e" filled="false" stroked="true" strokeweight=".48pt" strokecolor="#000000">
                <v:path arrowok="t"/>
              </v:shape>
            </v:group>
            <v:group style="position:absolute;left:2203;top:15096;width:1054;height:2" coordorigin="2203,15096" coordsize="1054,2">
              <v:shape style="position:absolute;left:2203;top:15096;width:1054;height:2" coordorigin="2203,15096" coordsize="1054,0" path="m2203,15096l3257,15096e" filled="false" stroked="true" strokeweight=".481pt" strokecolor="#000000">
                <v:path arrowok="t"/>
              </v:shape>
            </v:group>
            <v:group style="position:absolute;left:3262;top:1440;width:2;height:13661" coordorigin="3262,1440" coordsize="2,13661">
              <v:shape style="position:absolute;left:3262;top:1440;width:2;height:13661" coordorigin="3262,1440" coordsize="0,13661" path="m3262,1440l3262,15101e" filled="false" stroked="true" strokeweight=".481pt" strokecolor="#000000">
                <v:path arrowok="t"/>
              </v:shape>
            </v:group>
            <v:group style="position:absolute;left:3266;top:15096;width:1054;height:2" coordorigin="3266,15096" coordsize="1054,2">
              <v:shape style="position:absolute;left:3266;top:15096;width:1054;height:2" coordorigin="3266,15096" coordsize="1054,0" path="m3266,15096l4320,15096e" filled="false" stroked="true" strokeweight=".481pt" strokecolor="#000000">
                <v:path arrowok="t"/>
              </v:shape>
            </v:group>
            <v:group style="position:absolute;left:4325;top:1440;width:2;height:13661" coordorigin="4325,1440" coordsize="2,13661">
              <v:shape style="position:absolute;left:4325;top:1440;width:2;height:13661" coordorigin="4325,1440" coordsize="0,13661" path="m4325,1440l4325,15101e" filled="false" stroked="true" strokeweight=".48pt" strokecolor="#000000">
                <v:path arrowok="t"/>
              </v:shape>
            </v:group>
            <v:group style="position:absolute;left:4330;top:15096;width:1054;height:2" coordorigin="4330,15096" coordsize="1054,2">
              <v:shape style="position:absolute;left:4330;top:15096;width:1054;height:2" coordorigin="4330,15096" coordsize="1054,0" path="m4330,15096l5383,15096e" filled="false" stroked="true" strokeweight=".481pt" strokecolor="#000000">
                <v:path arrowok="t"/>
              </v:shape>
            </v:group>
            <v:group style="position:absolute;left:5388;top:1440;width:2;height:13661" coordorigin="5388,1440" coordsize="2,13661">
              <v:shape style="position:absolute;left:5388;top:1440;width:2;height:13661" coordorigin="5388,1440" coordsize="0,13661" path="m5388,1440l5388,15101e" filled="false" stroked="true" strokeweight=".48pt" strokecolor="#000000">
                <v:path arrowok="t"/>
              </v:shape>
            </v:group>
            <v:group style="position:absolute;left:5393;top:15096;width:1052;height:2" coordorigin="5393,15096" coordsize="1052,2">
              <v:shape style="position:absolute;left:5393;top:15096;width:1052;height:2" coordorigin="5393,15096" coordsize="1052,0" path="m5393,15096l6444,15096e" filled="false" stroked="true" strokeweight=".481pt" strokecolor="#000000">
                <v:path arrowok="t"/>
              </v:shape>
            </v:group>
            <v:group style="position:absolute;left:6449;top:1440;width:2;height:13661" coordorigin="6449,1440" coordsize="2,13661">
              <v:shape style="position:absolute;left:6449;top:1440;width:2;height:13661" coordorigin="6449,1440" coordsize="0,13661" path="m6449,1440l6449,15101e" filled="false" stroked="true" strokeweight=".48pt" strokecolor="#000000">
                <v:path arrowok="t"/>
              </v:shape>
            </v:group>
            <v:group style="position:absolute;left:6454;top:15096;width:1054;height:2" coordorigin="6454,15096" coordsize="1054,2">
              <v:shape style="position:absolute;left:6454;top:15096;width:1054;height:2" coordorigin="6454,15096" coordsize="1054,0" path="m6454,15096l7507,15096e" filled="false" stroked="true" strokeweight=".481pt" strokecolor="#000000">
                <v:path arrowok="t"/>
              </v:shape>
            </v:group>
            <v:group style="position:absolute;left:7512;top:1440;width:2;height:13661" coordorigin="7512,1440" coordsize="2,13661">
              <v:shape style="position:absolute;left:7512;top:1440;width:2;height:13661" coordorigin="7512,1440" coordsize="0,13661" path="m7512,1440l7512,15101e" filled="false" stroked="true" strokeweight=".48pt" strokecolor="#000000">
                <v:path arrowok="t"/>
              </v:shape>
            </v:group>
            <v:group style="position:absolute;left:7517;top:15096;width:1054;height:2" coordorigin="7517,15096" coordsize="1054,2">
              <v:shape style="position:absolute;left:7517;top:15096;width:1054;height:2" coordorigin="7517,15096" coordsize="1054,0" path="m7517,15096l8570,15096e" filled="false" stroked="true" strokeweight=".481pt" strokecolor="#000000">
                <v:path arrowok="t"/>
              </v:shape>
            </v:group>
            <v:group style="position:absolute;left:8575;top:1440;width:2;height:13661" coordorigin="8575,1440" coordsize="2,13661">
              <v:shape style="position:absolute;left:8575;top:1440;width:2;height:13661" coordorigin="8575,1440" coordsize="0,13661" path="m8575,1440l8575,15101e" filled="false" stroked="true" strokeweight=".481pt" strokecolor="#000000">
                <v:path arrowok="t"/>
              </v:shape>
            </v:group>
            <v:group style="position:absolute;left:8580;top:15096;width:1054;height:2" coordorigin="8580,15096" coordsize="1054,2">
              <v:shape style="position:absolute;left:8580;top:15096;width:1054;height:2" coordorigin="8580,15096" coordsize="1054,0" path="m8580,15096l9634,15096e" filled="false" stroked="true" strokeweight=".481pt" strokecolor="#000000">
                <v:path arrowok="t"/>
              </v:shape>
            </v:group>
            <v:group style="position:absolute;left:9638;top:1440;width:2;height:13661" coordorigin="9638,1440" coordsize="2,13661">
              <v:shape style="position:absolute;left:9638;top:1440;width:2;height:13661" coordorigin="9638,1440" coordsize="0,13661" path="m9638,1440l9638,15101e" filled="false" stroked="true" strokeweight=".48pt" strokecolor="#000000">
                <v:path arrowok="t"/>
              </v:shape>
            </v:group>
            <v:group style="position:absolute;left:9643;top:15096;width:1054;height:2" coordorigin="9643,15096" coordsize="1054,2">
              <v:shape style="position:absolute;left:9643;top:15096;width:1054;height:2" coordorigin="9643,15096" coordsize="1054,0" path="m9643,15096l10697,15096e" filled="false" stroked="true" strokeweight=".481pt" strokecolor="#000000">
                <v:path arrowok="t"/>
              </v:shape>
            </v:group>
            <v:group style="position:absolute;left:10702;top:1440;width:2;height:13661" coordorigin="10702,1440" coordsize="2,13661">
              <v:shape style="position:absolute;left:10702;top:1440;width:2;height:13661" coordorigin="10702,1440" coordsize="0,13661" path="m10702,1440l10702,15101e" filled="false" stroked="true" strokeweight=".48pt" strokecolor="#000000">
                <v:path arrowok="t"/>
              </v:shape>
            </v:group>
            <w10:wrap type="none"/>
          </v:group>
        </w:pict>
      </w:r>
      <w:r>
        <w:rPr/>
        <w:t>支持移动互 联网络应用</w:t>
      </w:r>
    </w:p>
    <w:p>
      <w:pPr>
        <w:pStyle w:val="BodyText"/>
        <w:spacing w:line="185" w:lineRule="exact" w:before="130"/>
        <w:ind w:left="125" w:right="-20"/>
        <w:jc w:val="left"/>
      </w:pPr>
      <w:r>
        <w:rPr/>
        <w:br w:type="column"/>
      </w:r>
      <w:r>
        <w:rPr/>
        <w:t>中关村科技</w:t>
      </w:r>
    </w:p>
    <w:p>
      <w:pPr>
        <w:pStyle w:val="BodyText"/>
        <w:spacing w:line="155" w:lineRule="exact"/>
        <w:ind w:left="0" w:right="0"/>
        <w:jc w:val="right"/>
      </w:pPr>
      <w:r>
        <w:rPr/>
        <w:t>补助</w:t>
      </w:r>
    </w:p>
    <w:p>
      <w:pPr>
        <w:pStyle w:val="BodyText"/>
        <w:spacing w:line="205" w:lineRule="exact"/>
        <w:ind w:left="125" w:right="-20"/>
        <w:jc w:val="left"/>
      </w:pPr>
      <w:r>
        <w:rPr/>
        <w:t>园区丰台园</w:t>
      </w:r>
    </w:p>
    <w:p>
      <w:pPr>
        <w:pStyle w:val="BodyText"/>
        <w:spacing w:line="185" w:lineRule="exact" w:before="130"/>
        <w:ind w:left="181" w:right="0"/>
        <w:jc w:val="left"/>
      </w:pPr>
      <w:r>
        <w:rPr/>
        <w:br w:type="column"/>
      </w:r>
      <w:r>
        <w:rPr/>
        <w:t>因研究开发、</w:t>
      </w:r>
    </w:p>
    <w:p>
      <w:pPr>
        <w:pStyle w:val="BodyText"/>
        <w:tabs>
          <w:tab w:pos="2307" w:val="left" w:leader="none"/>
          <w:tab w:pos="4635" w:val="left" w:leader="none"/>
        </w:tabs>
        <w:spacing w:line="162" w:lineRule="exact"/>
        <w:ind w:left="1244" w:right="0"/>
        <w:jc w:val="left"/>
      </w:pPr>
      <w:r>
        <w:rPr/>
        <w:t>否</w:t>
        <w:tab/>
        <w:t>否</w:t>
        <w:tab/>
      </w:r>
      <w:r>
        <w:rPr>
          <w:rFonts w:ascii="Times New Roman" w:hAnsi="Times New Roman" w:cs="Times New Roman" w:eastAsia="Times New Roman" w:hint="default"/>
        </w:rPr>
        <w:t>116,666.59 </w:t>
      </w:r>
      <w:r>
        <w:rPr/>
        <w:t>与收益相关</w:t>
      </w:r>
    </w:p>
    <w:p>
      <w:pPr>
        <w:pStyle w:val="BodyText"/>
        <w:spacing w:line="199" w:lineRule="exact"/>
        <w:ind w:left="181" w:right="5473"/>
        <w:jc w:val="left"/>
      </w:pPr>
      <w:r>
        <w:rPr/>
        <w:t>技术更新及</w:t>
      </w:r>
    </w:p>
    <w:p>
      <w:pPr>
        <w:spacing w:after="0" w:line="199" w:lineRule="exact"/>
        <w:jc w:val="left"/>
        <w:sectPr>
          <w:type w:val="continuous"/>
          <w:pgSz w:w="11910" w:h="16840"/>
          <w:pgMar w:top="1060" w:bottom="1180" w:left="980" w:right="980"/>
          <w:cols w:num="3" w:equalWidth="0">
            <w:col w:w="1082" w:space="40"/>
            <w:col w:w="1549" w:space="521"/>
            <w:col w:w="6758"/>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1"/>
              <w:jc w:val="left"/>
              <w:rPr>
                <w:rFonts w:ascii="宋体" w:hAnsi="宋体" w:cs="宋体" w:eastAsia="宋体" w:hint="default"/>
                <w:sz w:val="18"/>
                <w:szCs w:val="18"/>
              </w:rPr>
            </w:pPr>
            <w:r>
              <w:rPr>
                <w:rFonts w:ascii="宋体" w:hAnsi="宋体" w:cs="宋体" w:eastAsia="宋体" w:hint="default"/>
                <w:sz w:val="18"/>
                <w:szCs w:val="18"/>
              </w:rPr>
              <w:t>的消息中间 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管理委员会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1"/>
              <w:jc w:val="left"/>
              <w:rPr>
                <w:rFonts w:ascii="宋体" w:hAnsi="宋体" w:cs="宋体" w:eastAsia="宋体" w:hint="default"/>
                <w:sz w:val="18"/>
                <w:szCs w:val="18"/>
              </w:rPr>
            </w:pPr>
            <w:r>
              <w:rPr>
                <w:rFonts w:ascii="宋体" w:hAnsi="宋体" w:cs="宋体" w:eastAsia="宋体" w:hint="default"/>
                <w:sz w:val="18"/>
                <w:szCs w:val="18"/>
              </w:rPr>
              <w:t>其他政府补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991,443.95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4,565,335.00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34,866,757.1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33,558,525.6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pict>
          <v:group style="position:absolute;margin-left:269.640015pt;margin-top:-102.598305pt;width:52.7pt;height:66.4pt;mso-position-horizontal-relative:page;mso-position-vertical-relative:paragraph;z-index:-1034368" coordorigin="5393,-2052" coordsize="1054,1328">
            <v:group style="position:absolute;left:5393;top:-2052;width:1054;height:1328" coordorigin="5393,-2052" coordsize="1054,1328">
              <v:shape style="position:absolute;left:5393;top:-2052;width:1054;height:1328" coordorigin="5393,-2052" coordsize="1054,1328" path="m5393,-725l6446,-725,6446,-2052,5393,-2052,5393,-725xe" filled="true" fillcolor="#ffffff" stroked="false">
                <v:path arrowok="t"/>
                <v:fill type="solid"/>
              </v:shape>
            </v:group>
            <v:group style="position:absolute;left:5417;top:-1584;width:1006;height:392" coordorigin="5417,-1584" coordsize="1006,392">
              <v:shape style="position:absolute;left:5417;top:-1584;width:1006;height:392" coordorigin="5417,-1584" coordsize="1006,392" path="m5417,-1193l6422,-1193,6422,-1584,5417,-1584,5417,-1193xe" filled="true" fillcolor="#ffffff" stroked="false">
                <v:path arrowok="t"/>
                <v:fill type="solid"/>
              </v:shape>
            </v:group>
            <w10:wrap type="none"/>
          </v:group>
        </w:pict>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8、营业外支出" w:id="278"/>
      <w:bookmarkEnd w:id="278"/>
      <w:r>
        <w:rPr>
          <w:b w:val="0"/>
          <w:bCs w:val="0"/>
        </w:rPr>
      </w:r>
      <w:r>
        <w:rPr>
          <w:rFonts w:ascii="Times New Roman" w:hAnsi="Times New Roman" w:cs="Times New Roman" w:eastAsia="Times New Roman" w:hint="default"/>
        </w:rPr>
        <w:t>38</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4D4D4"/>
          </w:tcPr>
          <w:p>
            <w:pPr/>
          </w:p>
        </w:tc>
        <w:tc>
          <w:tcPr>
            <w:tcW w:w="2395" w:type="dxa"/>
            <w:vMerge/>
            <w:tcBorders>
              <w:left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4D4D4"/>
          </w:tcPr>
          <w:p>
            <w:pPr/>
          </w:p>
        </w:tc>
        <w:tc>
          <w:tcPr>
            <w:tcW w:w="2395"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777,381.68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781,987.13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777,381.68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777,381.68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781,987.13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777,381.68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29,548.17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363,899.45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29,548.17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906,929.85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1,245,886.58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906,929.85</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9、所得税费用" w:id="279"/>
      <w:bookmarkEnd w:id="279"/>
      <w:r>
        <w:rPr>
          <w:b w:val="0"/>
          <w:bCs w:val="0"/>
        </w:rPr>
      </w:r>
      <w:r>
        <w:rPr>
          <w:rFonts w:ascii="Times New Roman" w:hAnsi="Times New Roman" w:cs="Times New Roman" w:eastAsia="Times New Roman" w:hint="default"/>
        </w:rPr>
        <w:t>39</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80"/>
      <w:bookmarkEnd w:id="28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14,504,162.98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5,973,655.07</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-2,910,459.51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-423,904.86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11,593,703.47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5,549,750.21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会计利润与所得税费用调整过程" w:id="281"/>
      <w:bookmarkEnd w:id="28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8"/>
        <w:gridCol w:w="4790"/>
      </w:tblGrid>
      <w:tr>
        <w:trPr>
          <w:trHeight w:val="396"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82,280,123.33</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12,342,018.50</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-239,686.41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-649,328.70</w:t>
            </w:r>
            <w:r>
              <w:rPr>
                <w:rFonts w:ascii="Times New Roman"/>
                <w:sz w:val="18"/>
              </w:rPr>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-848,267.60</w:t>
            </w:r>
            <w:r>
              <w:rPr>
                <w:rFonts w:ascii="Times New Roman"/>
                <w:sz w:val="18"/>
              </w:rPr>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978,822.44</w:t>
            </w:r>
          </w:p>
        </w:tc>
      </w:tr>
      <w:tr>
        <w:trPr>
          <w:trHeight w:val="714"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2" w:right="6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80,683.42</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税法规定的加计扣除费用的影响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-70,538.19</w:t>
            </w:r>
            <w:r>
              <w:rPr>
                <w:rFonts w:ascii="Times New Roman"/>
                <w:sz w:val="18"/>
              </w:rPr>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11,593,703.47</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0、现金流量表项目" w:id="282"/>
      <w:bookmarkEnd w:id="282"/>
      <w:r>
        <w:rPr>
          <w:b w:val="0"/>
          <w:bCs w:val="0"/>
        </w:rPr>
      </w:r>
      <w:r>
        <w:rPr>
          <w:rFonts w:ascii="Times New Roman" w:hAnsi="Times New Roman" w:cs="Times New Roman" w:eastAsia="Times New Roman" w:hint="default"/>
        </w:rPr>
        <w:t>40</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283"/>
      <w:bookmarkEnd w:id="28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2,826,447.88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874,633.38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政府补助或者研发项目经费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13,900,582.16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7,065,085.00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2,878,367.02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2,559,840.00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职工暂借款及备用金返还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244,894.92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597,141.37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68,202.00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1,284,943.27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1,764,821.75</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21,151,535.25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12,929,723.50</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支付的其他与经营活动有关的现金" w:id="284"/>
      <w:bookmarkEnd w:id="28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82,169.97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42,553.01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158,998.53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13,289.00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8,345,858.86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811,015.00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支付代收项目经费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78,983.05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备用金及职工暂借款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7,675,416.25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5,812,259.61</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直接付现的销售费用、管理费用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43,674,206.19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26,838,480.63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预付房租、物业费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3,341,327.36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6,394,848.29</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1,447,819.68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1,291,313.04</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64,804,779.89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41,203,758.58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收到的其他与筹资活动有关的现金" w:id="285"/>
      <w:bookmarkEnd w:id="285"/>
      <w:r>
        <w:rPr>
          <w:b w:val="0"/>
          <w:bCs w:val="0"/>
        </w:rPr>
      </w: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首次公开发行股份时原股东公开发售股 份的款项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137,551,581.89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非公开发行认购保证金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137,551,581.89</w:t>
            </w:r>
            <w:r>
              <w:rPr>
                <w:rFonts w:ascii="Times New Roman"/>
                <w:sz w:val="18"/>
              </w:rPr>
            </w:r>
          </w:p>
        </w:tc>
      </w:tr>
    </w:tbl>
    <w:p>
      <w:pPr>
        <w:pStyle w:val="BodyText"/>
        <w:spacing w:line="240" w:lineRule="auto" w:before="49"/>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支付的其他与筹资活动有关的现金" w:id="286"/>
      <w:bookmarkEnd w:id="286"/>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支付原股东公开发售股份的款项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135,327,140.72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利润分配时支付的有关费用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96,083.34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96,083.34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135,327,140.72</w:t>
            </w:r>
            <w:r>
              <w:rPr>
                <w:rFonts w:ascii="Times New Roman"/>
                <w:sz w:val="18"/>
              </w:rPr>
            </w: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1、现金流量表补充资料" w:id="287"/>
      <w:bookmarkEnd w:id="287"/>
      <w:r>
        <w:rPr>
          <w:b w:val="0"/>
          <w:bCs w:val="0"/>
        </w:rPr>
      </w:r>
      <w:r>
        <w:rPr>
          <w:rFonts w:ascii="Times New Roman" w:hAnsi="Times New Roman" w:cs="Times New Roman" w:eastAsia="Times New Roman" w:hint="default"/>
        </w:rPr>
        <w:t>41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288"/>
      <w:bookmarkEnd w:id="28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70,686,419.86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57,116,020.86</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15,770,493.05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7,858,583.08</w:t>
            </w:r>
            <w:r>
              <w:rPr>
                <w:rFonts w:ascii="Times New Roman"/>
                <w:sz w:val="18"/>
              </w:rPr>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3,052,559.00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5,254,886.46</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7,187,852.13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3,038,033.98</w:t>
            </w:r>
            <w:r>
              <w:rPr>
                <w:rFonts w:ascii="Times New Roman"/>
                <w:sz w:val="18"/>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1,372,572.73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1,963,148.01</w:t>
            </w:r>
            <w:r>
              <w:rPr>
                <w:rFonts w:ascii="Times New Roman"/>
                <w:sz w:val="18"/>
              </w:rPr>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785,226.34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781,987.13</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394,555.55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3,255,656.17</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-32,449.72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-9,350.64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r>
        <w:rPr/>
        <w:pict>
          <v:shape style="position:absolute;margin-left:190.080002pt;margin-top:72.47998pt;width:185.55pt;height:19.6pt;mso-position-horizontal-relative:page;mso-position-vertical-relative:page;z-index:-1034344"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90.080002pt;margin-top:92.639984pt;width:185.55pt;height:19.6pt;mso-position-horizontal-relative:page;mso-position-vertical-relative:page;z-index:-1034320"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6"/>
        <w:gridCol w:w="1043"/>
        <w:gridCol w:w="2015"/>
        <w:gridCol w:w="3185"/>
      </w:tblGrid>
      <w:tr>
        <w:trPr>
          <w:trHeight w:val="401" w:hRule="exact"/>
        </w:trPr>
        <w:tc>
          <w:tcPr>
            <w:tcW w:w="3326"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-1,834,347.06</w:t>
            </w:r>
            <w:r>
              <w:rPr>
                <w:rFonts w:ascii="Times New Roman"/>
                <w:sz w:val="18"/>
              </w:rPr>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-365,170.28</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-704,814.89</w:t>
            </w:r>
            <w:r>
              <w:rPr>
                <w:rFonts w:ascii="Times New Roman"/>
                <w:sz w:val="18"/>
              </w:rPr>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-58,734.58</w:t>
            </w:r>
            <w:r>
              <w:rPr>
                <w:rFonts w:ascii="Times New Roman"/>
                <w:sz w:val="18"/>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1,907,419.81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806,444.89</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-49,917,476.31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-23,223,896.47</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16,907,077.45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2,264,523.09</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89" w:right="0"/>
              <w:jc w:val="left"/>
              <w:rPr>
                <w:rFonts w:ascii="Times New Roman" w:hAnsi="Times New Roman" w:cs="Times New Roman" w:eastAsia="Times New Roman" w:hint="default"/>
                <w:sz w:val="18"/>
                <w:szCs w:val="18"/>
              </w:rPr>
            </w:pPr>
            <w:r>
              <w:rPr>
                <w:rFonts w:ascii="Times New Roman"/>
                <w:sz w:val="18"/>
              </w:rPr>
              <w:t>65,575,087.94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58,682,131.70</w:t>
            </w:r>
          </w:p>
        </w:tc>
      </w:tr>
      <w:tr>
        <w:trPr>
          <w:trHeight w:val="161" w:hRule="exact"/>
        </w:trPr>
        <w:tc>
          <w:tcPr>
            <w:tcW w:w="3326" w:type="dxa"/>
            <w:vMerge w:val="restart"/>
            <w:tcBorders>
              <w:top w:val="single" w:sz="4" w:space="0" w:color="000000"/>
              <w:left w:val="single" w:sz="4" w:space="0" w:color="000000"/>
              <w:right w:val="single" w:sz="4" w:space="0" w:color="000000"/>
            </w:tcBorders>
            <w:shd w:val="clear" w:color="auto" w:fill="D4D4D4"/>
          </w:tcPr>
          <w:p>
            <w:pPr>
              <w:pStyle w:val="TableParagraph"/>
              <w:spacing w:line="300" w:lineRule="auto" w:before="49"/>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326" w:type="dxa"/>
            <w:vMerge/>
            <w:tcBorders>
              <w:left w:val="single" w:sz="4" w:space="0" w:color="000000"/>
              <w:right w:val="single" w:sz="4" w:space="0" w:color="000000"/>
            </w:tcBorders>
            <w:shd w:val="clear" w:color="auto" w:fill="D4D4D4"/>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6" w:type="dxa"/>
            <w:vMerge/>
            <w:tcBorders>
              <w:left w:val="single" w:sz="4" w:space="0" w:color="000000"/>
              <w:bottom w:val="single" w:sz="4" w:space="0" w:color="000000"/>
              <w:right w:val="single" w:sz="4" w:space="0" w:color="000000"/>
            </w:tcBorders>
            <w:shd w:val="clear" w:color="auto" w:fill="D4D4D4"/>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181,478,584.46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296,922,795.29</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296,922,795.29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70,934,994.75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5" w:right="0"/>
              <w:jc w:val="left"/>
              <w:rPr>
                <w:rFonts w:ascii="Times New Roman" w:hAnsi="Times New Roman" w:cs="Times New Roman" w:eastAsia="Times New Roman" w:hint="default"/>
                <w:sz w:val="18"/>
                <w:szCs w:val="18"/>
              </w:rPr>
            </w:pPr>
            <w:r>
              <w:rPr>
                <w:rFonts w:ascii="Times New Roman"/>
                <w:sz w:val="18"/>
              </w:rPr>
              <w:t>-115,444,210.83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225,987,800.54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支付的取得子公司的现金净额" w:id="289"/>
      <w:bookmarkEnd w:id="28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954"/>
        <w:gridCol w:w="3614"/>
      </w:tblGrid>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27,370,000.00</w:t>
            </w:r>
          </w:p>
        </w:tc>
      </w:tr>
      <w:tr>
        <w:trPr>
          <w:trHeight w:val="401" w:hRule="exact"/>
        </w:trPr>
        <w:tc>
          <w:tcPr>
            <w:tcW w:w="5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收购北京数字天堂信息科技有限责任公司支付的现金或现金等价物</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27,370,000.00</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1,040,711.59</w:t>
            </w:r>
            <w:r>
              <w:rPr>
                <w:rFonts w:ascii="Times New Roman"/>
                <w:sz w:val="18"/>
              </w:rPr>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北京数字天堂信息科技有限责任公司持有的现金或现金等价物</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1,040,711.59</w:t>
            </w:r>
            <w:r>
              <w:rPr>
                <w:rFonts w:ascii="Times New Roman"/>
                <w:sz w:val="18"/>
              </w:rPr>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134,937,600.00</w:t>
            </w:r>
            <w:r>
              <w:rPr>
                <w:rFonts w:ascii="Times New Roman"/>
                <w:sz w:val="18"/>
              </w:rPr>
            </w:r>
          </w:p>
        </w:tc>
      </w:tr>
      <w:tr>
        <w:trPr>
          <w:trHeight w:val="401" w:hRule="exact"/>
        </w:trPr>
        <w:tc>
          <w:tcPr>
            <w:tcW w:w="5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收购北京惠捷朗科技有限公司支付的现金或现金等价物</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134,937,600.00</w:t>
            </w:r>
            <w:r>
              <w:rPr>
                <w:rFonts w:ascii="Times New Roman"/>
                <w:sz w:val="18"/>
              </w:rPr>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161,266,888.41</w:t>
            </w:r>
            <w:r>
              <w:rPr>
                <w:rFonts w:ascii="Times New Roman"/>
                <w:sz w:val="18"/>
              </w:rPr>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现金和现金等价物的构成" w:id="290"/>
      <w:bookmarkEnd w:id="290"/>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181,478,584.46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296,922,795.29</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66,297.18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102,214.69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5"/>
        <w:gridCol w:w="3058"/>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181,187,138.80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296,817,727.61</w:t>
            </w:r>
            <w:r>
              <w:rPr>
                <w:rFonts w:ascii="Times New Roman"/>
                <w:sz w:val="18"/>
              </w:rPr>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2,852.99</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181,478,584.46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296,922,795.29</w:t>
            </w:r>
            <w:r>
              <w:rPr>
                <w:rFonts w:ascii="Times New Roman"/>
                <w:sz w:val="18"/>
              </w:rPr>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291"/>
      <w:bookmarkEnd w:id="291"/>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292"/>
      <w:bookmarkEnd w:id="292"/>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293"/>
      <w:bookmarkEnd w:id="29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33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北京数字天 堂信息科技 有限责任公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41,370,000.0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现金收购股 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实际控制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9,330,732.39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2,839,893.22</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合并成本及商誉" w:id="294"/>
      <w:bookmarkEnd w:id="29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947" w:right="0"/>
              <w:jc w:val="left"/>
              <w:rPr>
                <w:rFonts w:ascii="宋体" w:hAnsi="宋体" w:cs="宋体" w:eastAsia="宋体" w:hint="default"/>
                <w:sz w:val="18"/>
                <w:szCs w:val="18"/>
              </w:rPr>
            </w:pPr>
            <w:r>
              <w:rPr>
                <w:rFonts w:ascii="宋体" w:hAnsi="宋体" w:cs="宋体" w:eastAsia="宋体" w:hint="default"/>
                <w:sz w:val="18"/>
                <w:szCs w:val="18"/>
              </w:rPr>
              <w:t>北京数字天堂信息科技有限责任公司</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41,370,000.00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41,370,000.00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6,522,918.00</w:t>
            </w:r>
            <w:r>
              <w:rPr>
                <w:rFonts w:ascii="Times New Roman"/>
                <w:sz w:val="18"/>
              </w:rPr>
            </w:r>
          </w:p>
        </w:tc>
      </w:tr>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34,847,082.00</w:t>
            </w:r>
          </w:p>
        </w:tc>
      </w:tr>
    </w:tbl>
    <w:p>
      <w:pPr>
        <w:pStyle w:val="BodyText"/>
        <w:spacing w:line="240" w:lineRule="auto" w:before="49"/>
        <w:ind w:right="0"/>
        <w:jc w:val="left"/>
      </w:pPr>
      <w:r>
        <w:rPr/>
        <w:t>合并成本公允价值的确定方法、或有对价及其变动的说明：</w:t>
      </w:r>
    </w:p>
    <w:p>
      <w:pPr>
        <w:pStyle w:val="BodyText"/>
        <w:spacing w:line="300" w:lineRule="auto" w:before="117"/>
        <w:ind w:right="150" w:firstLine="360"/>
        <w:jc w:val="right"/>
      </w:pPr>
      <w:r>
        <w:rPr>
          <w:spacing w:val="-1"/>
        </w:rPr>
        <w:t>根据中和资产评估有限公司出具的</w:t>
      </w:r>
      <w:r>
        <w:rPr>
          <w:rFonts w:ascii="Times New Roman" w:hAnsi="Times New Roman" w:cs="Times New Roman" w:eastAsia="Times New Roman" w:hint="default"/>
          <w:spacing w:val="-1"/>
        </w:rPr>
        <w:t>“</w:t>
      </w:r>
      <w:r>
        <w:rPr>
          <w:spacing w:val="-1"/>
        </w:rPr>
        <w:t>中和咨报字（</w:t>
      </w:r>
      <w:r>
        <w:rPr>
          <w:rFonts w:ascii="Times New Roman" w:hAnsi="Times New Roman" w:cs="Times New Roman" w:eastAsia="Times New Roman" w:hint="default"/>
          <w:spacing w:val="-1"/>
        </w:rPr>
        <w:t>2015</w:t>
      </w:r>
      <w:r>
        <w:rPr>
          <w:spacing w:val="-1"/>
        </w:rPr>
        <w:t>）第</w:t>
      </w:r>
      <w:r>
        <w:rPr/>
        <w:t> </w:t>
      </w:r>
      <w:r>
        <w:rPr>
          <w:rFonts w:ascii="Times New Roman" w:hAnsi="Times New Roman" w:cs="Times New Roman" w:eastAsia="Times New Roman" w:hint="default"/>
          <w:spacing w:val="-1"/>
          <w:w w:val="99"/>
        </w:rPr>
        <w:t>BJU3002</w:t>
      </w:r>
      <w:r>
        <w:rPr>
          <w:rFonts w:ascii="Times New Roman" w:hAnsi="Times New Roman" w:cs="Times New Roman" w:eastAsia="Times New Roman" w:hint="default"/>
          <w:spacing w:val="-12"/>
          <w:w w:val="99"/>
        </w:rPr>
        <w:t> </w:t>
      </w:r>
      <w:r>
        <w:rPr>
          <w:spacing w:val="-5"/>
        </w:rPr>
        <w:t>号</w:t>
      </w:r>
      <w:r>
        <w:rPr>
          <w:rFonts w:ascii="Times New Roman" w:hAnsi="Times New Roman" w:cs="Times New Roman" w:eastAsia="Times New Roman" w:hint="default"/>
          <w:spacing w:val="-5"/>
        </w:rPr>
        <w:t>”</w:t>
      </w:r>
      <w:r>
        <w:rPr>
          <w:spacing w:val="-5"/>
        </w:rPr>
        <w:t>《评估咨询报告书》，北京数字天堂信息科技有</w:t>
      </w:r>
      <w:r>
        <w:rPr/>
        <w:t> 限责任公司截至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日资产基础法评估值合计为</w:t>
      </w:r>
      <w:r>
        <w:rPr>
          <w:spacing w:val="-48"/>
        </w:rPr>
        <w:t> </w:t>
      </w:r>
      <w:r>
        <w:rPr>
          <w:rFonts w:ascii="Times New Roman" w:hAnsi="Times New Roman" w:cs="Times New Roman" w:eastAsia="Times New Roman" w:hint="default"/>
        </w:rPr>
        <w:t>648 </w:t>
      </w:r>
      <w:r>
        <w:rPr/>
        <w:t>万元，账面净资产</w:t>
      </w:r>
      <w:r>
        <w:rPr>
          <w:spacing w:val="-46"/>
        </w:rPr>
        <w:t> </w:t>
      </w:r>
      <w:r>
        <w:rPr>
          <w:rFonts w:ascii="Times New Roman" w:hAnsi="Times New Roman" w:cs="Times New Roman" w:eastAsia="Times New Roman" w:hint="default"/>
        </w:rPr>
        <w:t>616 </w:t>
      </w:r>
      <w:r>
        <w:rPr/>
        <w:t>万元，账面净资产主要为货币性资</w:t>
      </w:r>
    </w:p>
    <w:p>
      <w:pPr>
        <w:pStyle w:val="BodyText"/>
        <w:spacing w:line="240" w:lineRule="auto" w:before="13"/>
        <w:ind w:right="0"/>
        <w:jc w:val="left"/>
      </w:pPr>
      <w:r>
        <w:rPr/>
        <w:t>产，账面价值与公允价值之间差异较小，因此以截止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 </w:t>
      </w:r>
      <w:r>
        <w:rPr/>
        <w:t>月</w:t>
      </w:r>
      <w:r>
        <w:rPr>
          <w:spacing w:val="-48"/>
        </w:rPr>
        <w:t> </w:t>
      </w:r>
      <w:r>
        <w:rPr>
          <w:rFonts w:ascii="Times New Roman" w:hAnsi="Times New Roman" w:cs="Times New Roman" w:eastAsia="Times New Roman" w:hint="default"/>
        </w:rPr>
        <w:t>30 </w:t>
      </w:r>
      <w:r>
        <w:rPr/>
        <w:t>日即合并日账面净资产作为可辨认净资产公允价值。</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被购买方于购买日可辨认资产、负债" w:id="295"/>
      <w:bookmarkEnd w:id="29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2"/>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1744" w:right="0"/>
              <w:jc w:val="left"/>
              <w:rPr>
                <w:rFonts w:ascii="宋体" w:hAnsi="宋体" w:cs="宋体" w:eastAsia="宋体" w:hint="default"/>
                <w:sz w:val="18"/>
                <w:szCs w:val="18"/>
              </w:rPr>
            </w:pPr>
            <w:r>
              <w:rPr>
                <w:rFonts w:ascii="宋体" w:hAnsi="宋体" w:cs="宋体" w:eastAsia="宋体" w:hint="default"/>
                <w:sz w:val="18"/>
                <w:szCs w:val="18"/>
              </w:rPr>
              <w:t>北京数字天堂信息科技有限责任公司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2"/>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13,252,568.91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12,923,672.58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1,612,553.21</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1,612,553.21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4,571,266.77</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4,571,266.77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380,106.05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380,106.05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118,439.00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504,323.86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742,600.00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27,818.81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5,784,603.88</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5,784,603.88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6,767,707.52</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6,767,707.52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2,300,125.83</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2,300,125.83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367,415.09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367,415.09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1,244,901.38</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1,244,901.38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2,367,115.00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2,367,115.00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488,150.22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488,150.22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6,484,861.39</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6,155,965.06</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4,203,851.68</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4,203,851.68</w:t>
            </w:r>
            <w:r>
              <w:rPr>
                <w:rFonts w:ascii="Times New Roman"/>
                <w:sz w:val="18"/>
              </w:rPr>
            </w:r>
          </w:p>
        </w:tc>
      </w:tr>
    </w:tbl>
    <w:p>
      <w:pPr>
        <w:pStyle w:val="BodyText"/>
        <w:spacing w:line="240" w:lineRule="auto" w:before="49"/>
        <w:ind w:right="0"/>
        <w:jc w:val="left"/>
      </w:pPr>
      <w:r>
        <w:rPr/>
        <w:t>可辨认资产、负债公允价值的确定方法：</w:t>
      </w:r>
    </w:p>
    <w:p>
      <w:pPr>
        <w:pStyle w:val="BodyText"/>
        <w:spacing w:line="300" w:lineRule="auto" w:before="115"/>
        <w:ind w:right="146" w:firstLine="360"/>
        <w:jc w:val="left"/>
      </w:pPr>
      <w:r>
        <w:rPr>
          <w:spacing w:val="-1"/>
        </w:rPr>
        <w:t>根据中和资产评估有限公司出具的</w:t>
      </w:r>
      <w:r>
        <w:rPr>
          <w:rFonts w:ascii="Times New Roman" w:hAnsi="Times New Roman" w:cs="Times New Roman" w:eastAsia="Times New Roman" w:hint="default"/>
          <w:spacing w:val="-1"/>
        </w:rPr>
        <w:t>“</w:t>
      </w:r>
      <w:r>
        <w:rPr>
          <w:spacing w:val="-1"/>
        </w:rPr>
        <w:t>中和咨报字（</w:t>
      </w:r>
      <w:r>
        <w:rPr>
          <w:rFonts w:ascii="Times New Roman" w:hAnsi="Times New Roman" w:cs="Times New Roman" w:eastAsia="Times New Roman" w:hint="default"/>
          <w:spacing w:val="-1"/>
        </w:rPr>
        <w:t>2015</w:t>
      </w:r>
      <w:r>
        <w:rPr>
          <w:spacing w:val="-1"/>
        </w:rPr>
        <w:t>）第</w:t>
      </w:r>
      <w:r>
        <w:rPr/>
        <w:t> </w:t>
      </w:r>
      <w:r>
        <w:rPr>
          <w:rFonts w:ascii="Times New Roman" w:hAnsi="Times New Roman" w:cs="Times New Roman" w:eastAsia="Times New Roman" w:hint="default"/>
          <w:spacing w:val="-1"/>
          <w:w w:val="99"/>
        </w:rPr>
        <w:t>BJU3002</w:t>
      </w:r>
      <w:r>
        <w:rPr>
          <w:rFonts w:ascii="Times New Roman" w:hAnsi="Times New Roman" w:cs="Times New Roman" w:eastAsia="Times New Roman" w:hint="default"/>
          <w:spacing w:val="-17"/>
          <w:w w:val="99"/>
        </w:rPr>
        <w:t> </w:t>
      </w:r>
      <w:r>
        <w:rPr>
          <w:spacing w:val="-5"/>
        </w:rPr>
        <w:t>号</w:t>
      </w:r>
      <w:r>
        <w:rPr>
          <w:rFonts w:ascii="Times New Roman" w:hAnsi="Times New Roman" w:cs="Times New Roman" w:eastAsia="Times New Roman" w:hint="default"/>
          <w:spacing w:val="-5"/>
        </w:rPr>
        <w:t>”</w:t>
      </w:r>
      <w:r>
        <w:rPr>
          <w:spacing w:val="-5"/>
        </w:rPr>
        <w:t>《评估咨询报告书》，北京数字天堂信息科技有</w:t>
      </w:r>
      <w:r>
        <w:rPr/>
        <w:t> 限责任公司截至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日资产基础法评估值合计为</w:t>
      </w:r>
      <w:r>
        <w:rPr>
          <w:spacing w:val="-48"/>
        </w:rPr>
        <w:t> </w:t>
      </w:r>
      <w:r>
        <w:rPr>
          <w:rFonts w:ascii="Times New Roman" w:hAnsi="Times New Roman" w:cs="Times New Roman" w:eastAsia="Times New Roman" w:hint="default"/>
        </w:rPr>
        <w:t>648 </w:t>
      </w:r>
      <w:r>
        <w:rPr/>
        <w:t>万元，账面净资产</w:t>
      </w:r>
      <w:r>
        <w:rPr>
          <w:spacing w:val="-46"/>
        </w:rPr>
        <w:t> </w:t>
      </w:r>
      <w:r>
        <w:rPr>
          <w:rFonts w:ascii="Times New Roman" w:hAnsi="Times New Roman" w:cs="Times New Roman" w:eastAsia="Times New Roman" w:hint="default"/>
        </w:rPr>
        <w:t>616 </w:t>
      </w:r>
      <w:r>
        <w:rPr/>
        <w:t>万元，账面净资产主要为货币性资</w:t>
      </w:r>
    </w:p>
    <w:p>
      <w:pPr>
        <w:pStyle w:val="BodyText"/>
        <w:spacing w:line="240" w:lineRule="auto" w:before="13"/>
        <w:ind w:right="0"/>
        <w:jc w:val="left"/>
      </w:pPr>
      <w:r>
        <w:rPr/>
        <w:t>产，账面价值与公允价值之间差异较小，因此以截止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 </w:t>
      </w:r>
      <w:r>
        <w:rPr/>
        <w:t>月</w:t>
      </w:r>
      <w:r>
        <w:rPr>
          <w:spacing w:val="-48"/>
        </w:rPr>
        <w:t> </w:t>
      </w:r>
      <w:r>
        <w:rPr>
          <w:rFonts w:ascii="Times New Roman" w:hAnsi="Times New Roman" w:cs="Times New Roman" w:eastAsia="Times New Roman" w:hint="default"/>
        </w:rPr>
        <w:t>30 </w:t>
      </w:r>
      <w:r>
        <w:rPr/>
        <w:t>日即合并日账面净资产作为可辨认净资产公允价值。</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其他原因的合并范围变动" w:id="296"/>
      <w:bookmarkEnd w:id="296"/>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2" w:right="234" w:hanging="360"/>
        <w:jc w:val="left"/>
      </w:pPr>
      <w:r>
        <w:rPr/>
        <w:t>说明其他原因导致的合并范围变动（如，新设子公司、清算子公司等）及其相关情况： 本期通过并购新增子公司北京数字天堂信息科技有限责任公司；本期通过新设成立全资子公司东方通科技无锡有限公</w:t>
      </w:r>
    </w:p>
    <w:p>
      <w:pPr>
        <w:pStyle w:val="BodyText"/>
        <w:spacing w:line="222" w:lineRule="exact"/>
        <w:ind w:right="0"/>
        <w:jc w:val="left"/>
      </w:pPr>
      <w:r>
        <w:rPr/>
        <w:t>司。</w:t>
      </w:r>
    </w:p>
    <w:p>
      <w:pPr>
        <w:spacing w:line="240" w:lineRule="auto" w:before="0"/>
        <w:rPr>
          <w:rFonts w:ascii="宋体" w:hAnsi="宋体" w:cs="宋体" w:eastAsia="宋体" w:hint="default"/>
          <w:sz w:val="18"/>
          <w:szCs w:val="18"/>
        </w:rPr>
      </w:pPr>
    </w:p>
    <w:p>
      <w:pPr>
        <w:spacing w:line="487" w:lineRule="auto" w:before="118"/>
        <w:ind w:left="152" w:right="7124" w:firstLine="0"/>
        <w:jc w:val="left"/>
        <w:rPr>
          <w:rFonts w:ascii="宋体" w:hAnsi="宋体" w:cs="宋体" w:eastAsia="宋体" w:hint="default"/>
          <w:sz w:val="21"/>
          <w:szCs w:val="21"/>
        </w:rPr>
      </w:pPr>
      <w:bookmarkStart w:name="3、其他" w:id="297"/>
      <w:bookmarkEnd w:id="29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298"/>
      <w:bookmarkEnd w:id="298"/>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299"/>
      <w:bookmarkEnd w:id="29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0"/>
        <w:jc w:val="left"/>
        <w:rPr>
          <w:b w:val="0"/>
          <w:bCs w:val="0"/>
        </w:rPr>
      </w:pPr>
      <w:bookmarkStart w:name="（1）企业集团的构成" w:id="300"/>
      <w:bookmarkEnd w:id="30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成都东方通科技 有限责任公司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67"/>
              <w:jc w:val="left"/>
              <w:rPr>
                <w:rFonts w:ascii="宋体" w:hAnsi="宋体" w:cs="宋体" w:eastAsia="宋体" w:hint="default"/>
                <w:sz w:val="18"/>
                <w:szCs w:val="18"/>
              </w:rPr>
            </w:pPr>
            <w:r>
              <w:rPr>
                <w:rFonts w:ascii="宋体" w:hAnsi="宋体" w:cs="宋体" w:eastAsia="宋体" w:hint="default"/>
                <w:sz w:val="18"/>
                <w:szCs w:val="18"/>
              </w:rPr>
              <w:t>成都高新区天府 大道中段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801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674"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天府软件园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上海东方通泰软 件科技有限公司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江场三路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4"/>
              <w:jc w:val="left"/>
              <w:rPr>
                <w:rFonts w:ascii="宋体" w:hAnsi="宋体" w:cs="宋体" w:eastAsia="宋体" w:hint="default"/>
                <w:sz w:val="18"/>
                <w:szCs w:val="18"/>
              </w:rPr>
            </w:pPr>
            <w:r>
              <w:rPr>
                <w:rFonts w:ascii="宋体" w:hAnsi="宋体" w:cs="宋体" w:eastAsia="宋体" w:hint="default"/>
                <w:sz w:val="18"/>
                <w:szCs w:val="18"/>
              </w:rPr>
              <w:t>北京东方通宇技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北京市海淀区西 直门北大街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号楼一层</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4"/>
              <w:jc w:val="left"/>
              <w:rPr>
                <w:rFonts w:ascii="宋体" w:hAnsi="宋体" w:cs="宋体" w:eastAsia="宋体" w:hint="default"/>
                <w:sz w:val="18"/>
                <w:szCs w:val="18"/>
              </w:rPr>
            </w:pPr>
            <w:r>
              <w:rPr>
                <w:rFonts w:ascii="宋体" w:hAnsi="宋体" w:cs="宋体" w:eastAsia="宋体" w:hint="default"/>
                <w:sz w:val="18"/>
                <w:szCs w:val="18"/>
              </w:rPr>
              <w:t>北京惠捷朗科技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北京市海淀区花 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中城写字楼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北京同德一心科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北京市海淀区长 智路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902 </w:t>
            </w:r>
            <w:r>
              <w:rPr>
                <w:rFonts w:ascii="宋体" w:hAnsi="宋体" w:cs="宋体" w:eastAsia="宋体" w:hint="default"/>
                <w:sz w:val="18"/>
                <w:szCs w:val="18"/>
              </w:rPr>
              <w:t>室</w:t>
            </w:r>
            <w:r>
              <w:rPr>
                <w:rFonts w:ascii="Times New Roman" w:hAnsi="Times New Roman" w:cs="Times New Roman" w:eastAsia="Times New Roman" w:hint="default"/>
                <w:sz w:val="18"/>
                <w:szCs w:val="18"/>
              </w:rPr>
              <w:t>(</w:t>
            </w:r>
            <w:r>
              <w:rPr>
                <w:rFonts w:ascii="宋体" w:hAnsi="宋体" w:cs="宋体" w:eastAsia="宋体" w:hint="default"/>
                <w:sz w:val="18"/>
                <w:szCs w:val="18"/>
              </w:rPr>
              <w:t>住宅</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4"/>
              <w:jc w:val="both"/>
              <w:rPr>
                <w:rFonts w:ascii="宋体" w:hAnsi="宋体" w:cs="宋体" w:eastAsia="宋体" w:hint="default"/>
                <w:sz w:val="18"/>
                <w:szCs w:val="18"/>
              </w:rPr>
            </w:pPr>
            <w:r>
              <w:rPr>
                <w:rFonts w:ascii="宋体" w:hAnsi="宋体" w:cs="宋体" w:eastAsia="宋体" w:hint="default"/>
                <w:sz w:val="18"/>
                <w:szCs w:val="18"/>
              </w:rPr>
              <w:t>北京数字天堂信 息科技有限责任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北京市海淀区四 道口路皂君庙乙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号院第四幢平 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4"/>
              <w:jc w:val="left"/>
              <w:rPr>
                <w:rFonts w:ascii="宋体" w:hAnsi="宋体" w:cs="宋体" w:eastAsia="宋体" w:hint="default"/>
                <w:sz w:val="18"/>
                <w:szCs w:val="18"/>
              </w:rPr>
            </w:pPr>
            <w:r>
              <w:rPr>
                <w:rFonts w:ascii="宋体" w:hAnsi="宋体" w:cs="宋体" w:eastAsia="宋体" w:hint="default"/>
                <w:sz w:val="18"/>
                <w:szCs w:val="18"/>
              </w:rPr>
              <w:t>东方通科技无锡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无锡市新区震泽 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号无锡软件 园二期</w:t>
            </w:r>
            <w:r>
              <w:rPr>
                <w:rFonts w:ascii="Times New Roman" w:hAnsi="Times New Roman" w:cs="Times New Roman" w:eastAsia="Times New Roman" w:hint="default"/>
                <w:sz w:val="18"/>
                <w:szCs w:val="18"/>
              </w:rPr>
              <w:t>——</w:t>
            </w:r>
            <w:r>
              <w:rPr>
                <w:rFonts w:ascii="宋体" w:hAnsi="宋体" w:cs="宋体" w:eastAsia="宋体" w:hint="default"/>
                <w:sz w:val="18"/>
                <w:szCs w:val="18"/>
              </w:rPr>
              <w:t>巨蟹 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A-507</w:t>
            </w:r>
            <w:r>
              <w:rPr>
                <w:rFonts w:ascii="宋体" w:hAnsi="宋体" w:cs="宋体" w:eastAsia="宋体" w:hint="default"/>
                <w:sz w:val="18"/>
                <w:szCs w:val="18"/>
              </w:rPr>
              <w:t>、</w:t>
            </w:r>
            <w:r>
              <w:rPr>
                <w:rFonts w:ascii="Times New Roman" w:hAnsi="Times New Roman" w:cs="Times New Roman" w:eastAsia="Times New Roman" w:hint="default"/>
                <w:sz w:val="18"/>
                <w:szCs w:val="18"/>
              </w:rPr>
              <w:t>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49"/>
        <w:ind w:left="512" w:right="5634" w:hanging="360"/>
        <w:jc w:val="left"/>
      </w:pPr>
      <w:r>
        <w:rPr/>
        <w:t>在子公司的持股比例不同于表决权比例的说明： 本公司无持股比例与表决权比例不同的子公司。</w:t>
      </w:r>
    </w:p>
    <w:p>
      <w:pPr>
        <w:spacing w:line="240" w:lineRule="auto" w:before="0"/>
        <w:rPr>
          <w:rFonts w:ascii="宋体" w:hAnsi="宋体" w:cs="宋体" w:eastAsia="宋体" w:hint="default"/>
          <w:sz w:val="18"/>
          <w:szCs w:val="18"/>
        </w:rPr>
      </w:pPr>
    </w:p>
    <w:p>
      <w:pPr>
        <w:pStyle w:val="BodyText"/>
        <w:spacing w:line="357" w:lineRule="auto" w:before="146"/>
        <w:ind w:left="512" w:right="1854" w:hanging="360"/>
        <w:jc w:val="left"/>
      </w:pPr>
      <w:r>
        <w:rPr/>
        <w:t>持有半数或以下表决权但仍控制被投资单位、以及持有半数以上表决权但不控制被投资单位的依据： 本公司无持有半数或半数以下表决权，仍能够对其实施控制的子公司。 本公司无持有半数以上表决权而不能对其实施控制的子公司。</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在合营安排或联营企业中的权益" w:id="301"/>
      <w:bookmarkEnd w:id="301"/>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02"/>
      <w:bookmarkEnd w:id="30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北京核高基软件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北京市海淀区北 四环西路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43"/>
              <w:ind w:left="23" w:right="0"/>
              <w:jc w:val="left"/>
              <w:rPr>
                <w:rFonts w:ascii="Times New Roman" w:hAnsi="Times New Roman" w:cs="Times New Roman" w:eastAsia="Times New Roman" w:hint="default"/>
                <w:sz w:val="18"/>
                <w:szCs w:val="18"/>
              </w:rPr>
            </w:pPr>
            <w:r>
              <w:rPr>
                <w:rFonts w:ascii="Times New Roman"/>
                <w:sz w:val="18"/>
              </w:rPr>
              <w:t>2108-212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6" w:right="71"/>
              <w:jc w:val="left"/>
              <w:rPr>
                <w:rFonts w:ascii="宋体" w:hAnsi="宋体" w:cs="宋体" w:eastAsia="宋体" w:hint="default"/>
                <w:sz w:val="18"/>
                <w:szCs w:val="18"/>
              </w:rPr>
            </w:pPr>
            <w:r>
              <w:rPr>
                <w:rFonts w:ascii="宋体" w:hAnsi="宋体" w:cs="宋体" w:eastAsia="宋体" w:hint="default"/>
                <w:sz w:val="18"/>
                <w:szCs w:val="18"/>
              </w:rPr>
              <w:t>基础软件、应用 软件服务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33.33%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bookmarkStart w:name="（2）重要合营企业的主要财务信息" w:id="303"/>
      <w:bookmarkEnd w:id="30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2"/>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北京核高基软件有限公司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北京核高基软件有限公司</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1,016,419.01</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945,089.21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179,176.79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58,846.99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125,648.37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305,496.72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1,142,067.38</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1,250,585.93</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304,622.24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297,876.05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304,622.24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297,876.05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837,445.14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952,709.88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279,148.38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317,569.96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279,148.38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317,569.96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291,262.14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641.99</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-483.03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-115,264.74</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28,051.91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-115,264.74</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28,051.91</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关联方及关联交易" w:id="304"/>
      <w:bookmarkEnd w:id="304"/>
      <w:r>
        <w:rPr>
          <w:b w:val="0"/>
          <w:bCs w:val="0"/>
        </w:rPr>
      </w:r>
      <w:r>
        <w:rPr/>
        <w:t>十、关联方及关联交易</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5814" w:firstLine="360"/>
        <w:jc w:val="left"/>
      </w:pPr>
      <w:r>
        <w:rPr/>
        <w:t>本企业最终控制方是张齐春、朱海东、朱曼。 其他说明：</w:t>
      </w:r>
    </w:p>
    <w:tbl>
      <w:tblPr>
        <w:tblW w:w="0" w:type="auto"/>
        <w:jc w:val="left"/>
        <w:tblInd w:w="138" w:type="dxa"/>
        <w:tblLayout w:type="fixed"/>
        <w:tblCellMar>
          <w:top w:w="0" w:type="dxa"/>
          <w:left w:w="0" w:type="dxa"/>
          <w:bottom w:w="0" w:type="dxa"/>
          <w:right w:w="0" w:type="dxa"/>
        </w:tblCellMar>
        <w:tblLook w:val="01E0"/>
      </w:tblPr>
      <w:tblGrid>
        <w:gridCol w:w="2959"/>
        <w:gridCol w:w="1954"/>
        <w:gridCol w:w="2347"/>
        <w:gridCol w:w="2398"/>
      </w:tblGrid>
      <w:tr>
        <w:trPr>
          <w:trHeight w:val="343" w:hRule="exact"/>
        </w:trPr>
        <w:tc>
          <w:tcPr>
            <w:tcW w:w="295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395"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5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日持股及表决权比例</w:t>
            </w:r>
          </w:p>
        </w:tc>
      </w:tr>
      <w:tr>
        <w:trPr>
          <w:trHeight w:val="341" w:hRule="exact"/>
        </w:trPr>
        <w:tc>
          <w:tcPr>
            <w:tcW w:w="2959" w:type="dxa"/>
            <w:vMerge/>
            <w:tcBorders>
              <w:left w:val="single" w:sz="4" w:space="0" w:color="000000"/>
              <w:bottom w:val="single" w:sz="4" w:space="0" w:color="000000"/>
              <w:right w:val="single" w:sz="4" w:space="0" w:color="000000"/>
            </w:tcBorders>
          </w:tcPr>
          <w:p>
            <w:pPr/>
          </w:p>
        </w:tc>
        <w:tc>
          <w:tcPr>
            <w:tcW w:w="1954" w:type="dxa"/>
            <w:vMerge/>
            <w:tcBorders>
              <w:left w:val="single" w:sz="4" w:space="0" w:color="000000"/>
              <w:bottom w:val="single" w:sz="4" w:space="0" w:color="000000"/>
              <w:right w:val="single" w:sz="4" w:space="0" w:color="000000"/>
            </w:tcBorders>
          </w:tcPr>
          <w:p>
            <w:pP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直接持股比例</w:t>
            </w:r>
            <w:r>
              <w:rPr>
                <w:rFonts w:ascii="Times New Roman" w:hAnsi="Times New Roman" w:cs="Times New Roman" w:eastAsia="Times New Roman" w:hint="default"/>
                <w:sz w:val="18"/>
                <w:szCs w:val="18"/>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享有表决权比例</w:t>
            </w:r>
            <w:r>
              <w:rPr>
                <w:rFonts w:ascii="Times New Roman" w:hAnsi="Times New Roman" w:cs="Times New Roman" w:eastAsia="Times New Roman" w:hint="default"/>
                <w:sz w:val="18"/>
                <w:szCs w:val="18"/>
              </w:rPr>
              <w:t>(%)</w:t>
            </w:r>
          </w:p>
        </w:tc>
      </w:tr>
      <w:tr>
        <w:trPr>
          <w:trHeight w:val="343" w:hRule="exact"/>
        </w:trPr>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16.71</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16.71</w:t>
            </w:r>
          </w:p>
        </w:tc>
      </w:tr>
      <w:tr>
        <w:trPr>
          <w:trHeight w:val="341" w:hRule="exact"/>
        </w:trPr>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3.72</w:t>
            </w:r>
            <w:r>
              <w:rPr>
                <w:rFonts w:ascii="Times New Roman"/>
                <w:sz w:val="18"/>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3.72</w:t>
            </w:r>
            <w:r>
              <w:rPr>
                <w:rFonts w:ascii="Times New Roman"/>
                <w:sz w:val="18"/>
              </w:rPr>
            </w:r>
          </w:p>
        </w:tc>
      </w:tr>
      <w:tr>
        <w:trPr>
          <w:trHeight w:val="343" w:hRule="exact"/>
        </w:trPr>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朱</w:t>
            </w:r>
            <w:r>
              <w:rPr>
                <w:rFonts w:ascii="宋体" w:hAnsi="宋体" w:cs="宋体" w:eastAsia="宋体" w:hint="default"/>
                <w:spacing w:val="54"/>
                <w:sz w:val="18"/>
                <w:szCs w:val="18"/>
              </w:rPr>
              <w:t> </w:t>
            </w:r>
            <w:r>
              <w:rPr>
                <w:rFonts w:ascii="宋体" w:hAnsi="宋体" w:cs="宋体" w:eastAsia="宋体" w:hint="default"/>
                <w:sz w:val="18"/>
                <w:szCs w:val="18"/>
              </w:rPr>
              <w:t>曼</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0.13</w:t>
            </w:r>
            <w:r>
              <w:rPr>
                <w:rFonts w:ascii="Times New Roman"/>
                <w:sz w:val="18"/>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0.13</w:t>
            </w:r>
            <w:r>
              <w:rPr>
                <w:rFonts w:ascii="Times New Roman"/>
                <w:sz w:val="18"/>
              </w:rPr>
            </w:r>
          </w:p>
        </w:tc>
      </w:tr>
      <w:tr>
        <w:trPr>
          <w:trHeight w:val="343" w:hRule="exact"/>
        </w:trPr>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20.56</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20.56</w:t>
            </w:r>
          </w:p>
        </w:tc>
      </w:tr>
    </w:tbl>
    <w:p>
      <w:pPr>
        <w:spacing w:line="240" w:lineRule="auto" w:before="6"/>
        <w:rPr>
          <w:rFonts w:ascii="宋体" w:hAnsi="宋体" w:cs="宋体" w:eastAsia="宋体" w:hint="default"/>
          <w:sz w:val="20"/>
          <w:szCs w:val="20"/>
        </w:rPr>
      </w:pPr>
    </w:p>
    <w:p>
      <w:pPr>
        <w:pStyle w:val="Heading3"/>
        <w:spacing w:line="240" w:lineRule="auto" w:before="36"/>
        <w:ind w:right="0"/>
        <w:jc w:val="left"/>
        <w:rPr>
          <w:b w:val="0"/>
          <w:bCs w:val="0"/>
        </w:rPr>
      </w:pPr>
      <w:bookmarkStart w:name="2、本企业合营和联营企业情况" w:id="305"/>
      <w:bookmarkEnd w:id="305"/>
      <w:r>
        <w:rPr>
          <w:b w:val="0"/>
          <w:bCs w:val="0"/>
        </w:rPr>
      </w:r>
      <w:r>
        <w:rPr>
          <w:rFonts w:ascii="Times New Roman" w:hAnsi="Times New Roman" w:cs="Times New Roman" w:eastAsia="Times New Roman" w:hint="default"/>
        </w:rPr>
        <w:t>2</w:t>
      </w:r>
      <w:r>
        <w:rPr/>
        <w:t>、本企业合营和联营企业情况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本期与本公司发生关联方交易，或前期与本公司发生关联方交易形成余额的其他合营或联营企业情况如下：</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北京核高基软件有限公司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关联交易情况" w:id="306"/>
      <w:bookmarkEnd w:id="306"/>
      <w:r>
        <w:rPr>
          <w:b w:val="0"/>
          <w:bCs w:val="0"/>
        </w:rPr>
      </w:r>
      <w:r>
        <w:rPr>
          <w:rFonts w:ascii="Times New Roman" w:hAnsi="Times New Roman" w:cs="Times New Roman" w:eastAsia="Times New Roman" w:hint="default"/>
        </w:rPr>
        <w:t>3</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关键管理人员报酬" w:id="307"/>
      <w:bookmarkEnd w:id="307"/>
      <w:r>
        <w:rPr>
          <w:b w:val="0"/>
          <w:bCs w:val="0"/>
        </w:rPr>
      </w:r>
      <w:r>
        <w:rPr/>
        <w:t>（</w:t>
      </w:r>
      <w:r>
        <w:rPr>
          <w:rFonts w:ascii="Times New Roman" w:hAnsi="Times New Roman" w:cs="Times New Roman" w:eastAsia="Times New Roman" w:hint="default"/>
        </w:rPr>
        <w:t>1</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5,530,700.00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4,598,200.00</w:t>
            </w:r>
            <w:r>
              <w:rPr>
                <w:rFonts w:ascii="Times New Roman"/>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一、股份支付" w:id="308"/>
      <w:bookmarkEnd w:id="308"/>
      <w:r>
        <w:rPr>
          <w:b w:val="0"/>
          <w:bCs w:val="0"/>
        </w:rPr>
      </w:r>
      <w:r>
        <w:rPr/>
        <w:t>十一、股份支付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309"/>
      <w:bookmarkEnd w:id="309"/>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275,936,925.00</w:t>
            </w:r>
            <w:r>
              <w:rPr>
                <w:rFonts w:ascii="Times New Roman"/>
                <w:sz w:val="18"/>
              </w:rPr>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3,725,865.00</w:t>
            </w:r>
            <w:r>
              <w:rPr>
                <w:rFonts w:ascii="Times New Roman"/>
                <w:sz w:val="18"/>
              </w:rPr>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9"/>
              <w:jc w:val="right"/>
              <w:rPr>
                <w:rFonts w:ascii="宋体" w:hAnsi="宋体" w:cs="宋体" w:eastAsia="宋体" w:hint="default"/>
                <w:sz w:val="18"/>
                <w:szCs w:val="18"/>
              </w:rPr>
            </w:pPr>
            <w:r>
              <w:rPr>
                <w:rFonts w:ascii="宋体" w:hAnsi="宋体" w:cs="宋体" w:eastAsia="宋体" w:hint="default"/>
                <w:sz w:val="18"/>
                <w:szCs w:val="18"/>
              </w:rPr>
              <w:t>股票期权行权价格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63.69 </w:t>
            </w:r>
            <w:r>
              <w:rPr>
                <w:rFonts w:ascii="宋体" w:hAnsi="宋体" w:cs="宋体" w:eastAsia="宋体" w:hint="default"/>
                <w:sz w:val="18"/>
                <w:szCs w:val="18"/>
              </w:rPr>
              <w:t>元，合同剩余期限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个月</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以权益结算的股份支付情况" w:id="310"/>
      <w:bookmarkEnd w:id="31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w:t>
      </w:r>
      <w:r>
        <w:rPr>
          <w:spacing w:val="1"/>
        </w:rPr>
        <w:t> </w:t>
      </w:r>
      <w:r>
        <w:rPr/>
        <w:t>元</w:t>
      </w:r>
    </w:p>
    <w:p>
      <w:pPr>
        <w:spacing w:line="240" w:lineRule="auto" w:before="5"/>
        <w:rPr>
          <w:rFonts w:ascii="宋体" w:hAnsi="宋体" w:cs="宋体" w:eastAsia="宋体" w:hint="default"/>
          <w:sz w:val="9"/>
          <w:szCs w:val="9"/>
        </w:rPr>
      </w:pPr>
    </w:p>
    <w:p>
      <w:pPr>
        <w:pStyle w:val="BodyText"/>
        <w:spacing w:line="240" w:lineRule="auto" w:before="44"/>
        <w:ind w:left="0" w:right="160"/>
        <w:jc w:val="right"/>
      </w:pPr>
      <w:r>
        <w:rPr/>
        <w:pict>
          <v:shape style="position:absolute;margin-left:56.459999pt;margin-top:-.72829pt;width:479.1pt;height:147.8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r>
                          <w:rPr>
                            <w:rFonts w:ascii="Times New Roman" w:hAnsi="Times New Roman" w:cs="Times New Roman" w:eastAsia="Times New Roman" w:hint="default"/>
                            <w:spacing w:val="-3"/>
                            <w:sz w:val="18"/>
                            <w:szCs w:val="18"/>
                          </w:rPr>
                          <w:t>Black-Scholes</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模型</w:t>
                        </w:r>
                      </w:p>
                    </w:tc>
                  </w:tr>
                  <w:tr>
                    <w:trPr>
                      <w:trHeight w:val="1337"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对可行权权益工具数量的最佳估计的确定方法：在等待期 的每个资产负债表日，根据最新取得的可行权人数变动、 业绩指标完成情况等信息，修正预计可行权的股票期权数 量</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512,400.00</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512,400.00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44"/>
        <w:ind w:right="0"/>
        <w:jc w:val="left"/>
      </w:pPr>
      <w:r>
        <w:rPr/>
        <w:t>其他说明</w:t>
      </w:r>
    </w:p>
    <w:p>
      <w:pPr>
        <w:pStyle w:val="BodyText"/>
        <w:spacing w:line="240" w:lineRule="auto" w:before="115"/>
        <w:ind w:left="512" w:right="0"/>
        <w:jc w:val="left"/>
        <w:rPr>
          <w:rFonts w:ascii="Times New Roman" w:hAnsi="Times New Roman" w:cs="Times New Roman" w:eastAsia="Times New Roman" w:hint="default"/>
        </w:rPr>
      </w:pPr>
      <w:r>
        <w:rPr/>
        <w:t>根据本公</w:t>
      </w:r>
      <w:r>
        <w:rPr>
          <w:spacing w:val="-44"/>
        </w:rPr>
        <w:t>司</w:t>
      </w:r>
      <w:r>
        <w:rPr/>
        <w:t>《关于公</w:t>
      </w:r>
      <w:r>
        <w:rPr>
          <w:spacing w:val="-44"/>
        </w:rPr>
        <w:t>司</w:t>
      </w:r>
      <w:r>
        <w:rPr/>
        <w:t>《第一期股票期权激励计划</w:t>
      </w:r>
      <w:r>
        <w:rPr>
          <w:spacing w:val="-44"/>
        </w:rPr>
        <w:t>》</w:t>
      </w:r>
      <w:r>
        <w:rPr/>
        <w:t>首次授予期权相关事项的方案</w:t>
      </w:r>
      <w:r>
        <w:rPr>
          <w:spacing w:val="-92"/>
        </w:rPr>
        <w:t>》</w:t>
      </w:r>
      <w:r>
        <w:rPr>
          <w:spacing w:val="-44"/>
        </w:rPr>
        <w:t>，</w:t>
      </w:r>
      <w:r>
        <w:rPr/>
        <w:t>公司向</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6</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名激励对象获授</w:t>
      </w:r>
      <w:r>
        <w:rPr>
          <w:spacing w:val="-45"/>
        </w:rPr>
        <w:t> </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25</w:t>
      </w:r>
      <w:r>
        <w:rPr>
          <w:rFonts w:ascii="Times New Roman" w:hAnsi="Times New Roman" w:cs="Times New Roman" w:eastAsia="Times New Roman" w:hint="default"/>
        </w:rPr>
      </w:r>
    </w:p>
    <w:p>
      <w:pPr>
        <w:pStyle w:val="BodyText"/>
        <w:spacing w:line="240" w:lineRule="auto" w:before="62"/>
        <w:ind w:right="0"/>
        <w:jc w:val="left"/>
      </w:pPr>
      <w:r>
        <w:rPr/>
        <w:t>万份股票期权，授予日为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8 </w:t>
      </w:r>
      <w:r>
        <w:rPr/>
        <w:t>日。公司选择 </w:t>
      </w:r>
      <w:r>
        <w:rPr>
          <w:rFonts w:ascii="Times New Roman" w:hAnsi="Times New Roman" w:cs="Times New Roman" w:eastAsia="Times New Roman" w:hint="default"/>
        </w:rPr>
        <w:t>Black-Scholes </w:t>
      </w:r>
      <w:r>
        <w:rPr/>
        <w:t>模型来计算期权公允价值，授予的 </w:t>
      </w:r>
      <w:r>
        <w:rPr>
          <w:rFonts w:ascii="Times New Roman" w:hAnsi="Times New Roman" w:cs="Times New Roman" w:eastAsia="Times New Roman" w:hint="default"/>
        </w:rPr>
        <w:t>433.25</w:t>
      </w:r>
      <w:r>
        <w:rPr>
          <w:rFonts w:ascii="Times New Roman" w:hAnsi="Times New Roman" w:cs="Times New Roman" w:eastAsia="Times New Roman" w:hint="default"/>
          <w:spacing w:val="-10"/>
        </w:rPr>
        <w:t> </w:t>
      </w:r>
      <w:r>
        <w:rPr/>
        <w:t>万份股票</w:t>
      </w:r>
    </w:p>
    <w:p>
      <w:pPr>
        <w:pStyle w:val="BodyText"/>
        <w:spacing w:line="240" w:lineRule="auto" w:before="62"/>
        <w:ind w:right="0"/>
        <w:jc w:val="left"/>
      </w:pPr>
      <w:r>
        <w:rPr/>
        <w:t>期权总价值为</w:t>
      </w:r>
      <w:r>
        <w:rPr>
          <w:spacing w:val="-3"/>
        </w:rPr>
        <w:t> </w:t>
      </w:r>
      <w:r>
        <w:rPr>
          <w:rFonts w:ascii="Times New Roman" w:hAnsi="Times New Roman" w:cs="Times New Roman" w:eastAsia="Times New Roman" w:hint="default"/>
        </w:rPr>
        <w:t>454.79</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年应摊销期权成本</w:t>
      </w:r>
      <w:r>
        <w:rPr>
          <w:spacing w:val="-49"/>
        </w:rPr>
        <w:t> </w:t>
      </w:r>
      <w:r>
        <w:rPr>
          <w:rFonts w:ascii="Times New Roman" w:hAnsi="Times New Roman" w:cs="Times New Roman" w:eastAsia="Times New Roman" w:hint="default"/>
        </w:rPr>
        <w:t>51.94</w:t>
      </w:r>
      <w:r>
        <w:rPr>
          <w:rFonts w:ascii="Times New Roman" w:hAnsi="Times New Roman" w:cs="Times New Roman" w:eastAsia="Times New Roman" w:hint="default"/>
          <w:spacing w:val="-1"/>
        </w:rPr>
        <w:t> </w:t>
      </w:r>
      <w:r>
        <w:rPr/>
        <w:t>万元。由于激励对象存在业绩考核不达标或在股票期权的等待期</w:t>
      </w:r>
    </w:p>
    <w:p>
      <w:pPr>
        <w:pStyle w:val="BodyText"/>
        <w:spacing w:line="240" w:lineRule="auto" w:before="62"/>
        <w:ind w:right="0"/>
        <w:jc w:val="left"/>
      </w:pPr>
      <w:r>
        <w:rPr/>
        <w:t>内离职等情况</w:t>
      </w:r>
      <w:r>
        <w:rPr>
          <w:spacing w:val="-22"/>
        </w:rPr>
        <w:t>，</w:t>
      </w:r>
      <w:r>
        <w:rPr/>
        <w:t>期权的实际</w:t>
      </w:r>
      <w:r>
        <w:rPr>
          <w:spacing w:val="2"/>
        </w:rPr>
        <w:t>授</w:t>
      </w:r>
      <w:r>
        <w:rPr/>
        <w:t>予人数为</w:t>
      </w:r>
      <w:r>
        <w:rPr>
          <w:spacing w:val="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5</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22"/>
        </w:rPr>
        <w:t>人</w:t>
      </w:r>
      <w:r>
        <w:rPr/>
        <w:t>（截止</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92"/>
        </w:rPr>
        <w:t>）</w:t>
      </w:r>
      <w:r>
        <w:rPr>
          <w:spacing w:val="-22"/>
        </w:rPr>
        <w:t>，</w:t>
      </w:r>
      <w:r>
        <w:rPr/>
        <w:t>授予股数</w:t>
      </w:r>
      <w:r>
        <w:rPr>
          <w:spacing w:val="1"/>
        </w:rPr>
        <w:t> </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万股</w:t>
      </w:r>
      <w:r>
        <w:rPr>
          <w:spacing w:val="-22"/>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年应分摊期权</w:t>
      </w:r>
      <w:r>
        <w:rPr>
          <w:spacing w:val="-3"/>
        </w:rPr>
        <w:t>成</w:t>
      </w:r>
      <w:r>
        <w:rPr/>
        <w:t>本</w:t>
      </w:r>
    </w:p>
    <w:p>
      <w:pPr>
        <w:pStyle w:val="BodyText"/>
        <w:spacing w:line="240" w:lineRule="auto" w:before="62"/>
        <w:ind w:right="0"/>
        <w:jc w:val="left"/>
      </w:pPr>
      <w:r>
        <w:rPr>
          <w:rFonts w:ascii="Times New Roman" w:hAnsi="Times New Roman" w:cs="Times New Roman" w:eastAsia="Times New Roman" w:hint="default"/>
        </w:rPr>
        <w:t>51.24</w:t>
      </w:r>
      <w:r>
        <w:rPr>
          <w:rFonts w:ascii="Times New Roman" w:hAnsi="Times New Roman" w:cs="Times New Roman" w:eastAsia="Times New Roman" w:hint="default"/>
          <w:spacing w:val="2"/>
        </w:rPr>
        <w:t> </w:t>
      </w:r>
      <w:r>
        <w:rPr/>
        <w:t>万元。</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二、其他重要事项" w:id="311"/>
      <w:bookmarkEnd w:id="311"/>
      <w:r>
        <w:rPr>
          <w:b w:val="0"/>
          <w:bCs w:val="0"/>
        </w:rPr>
      </w:r>
      <w:r>
        <w:rPr/>
        <w:t>十二、其他重要事项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其他" w:id="312"/>
      <w:bookmarkEnd w:id="312"/>
      <w:r>
        <w:rPr>
          <w:b w:val="0"/>
          <w:bCs w:val="0"/>
        </w:rPr>
      </w:r>
      <w:r>
        <w:rPr>
          <w:rFonts w:ascii="Times New Roman" w:hAnsi="Times New Roman" w:cs="Times New Roman" w:eastAsia="Times New Roman" w:hint="default"/>
        </w:rPr>
        <w:t>1</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206"/>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日，本公司第二届董事会第十二次会议审议通过了《关于公司拟吸收合并全资子公司北京同德一心科</w:t>
      </w:r>
    </w:p>
    <w:p>
      <w:pPr>
        <w:pStyle w:val="BodyText"/>
        <w:spacing w:line="300" w:lineRule="auto" w:before="62"/>
        <w:ind w:right="197"/>
        <w:jc w:val="left"/>
      </w:pPr>
      <w:r>
        <w:rPr/>
        <w:t>技有限公司的议案</w:t>
      </w:r>
      <w:r>
        <w:rPr>
          <w:spacing w:val="-92"/>
        </w:rPr>
        <w:t>》</w:t>
      </w:r>
      <w:r>
        <w:rPr/>
        <w:t>，并经东</w:t>
      </w:r>
      <w:r>
        <w:rPr>
          <w:spacing w:val="2"/>
        </w:rPr>
        <w:t>方</w:t>
      </w:r>
      <w:r>
        <w:rPr/>
        <w:t>通</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4  </w:t>
      </w:r>
      <w:r>
        <w:rPr/>
        <w:t>年第三次临时股东</w:t>
      </w:r>
      <w:r>
        <w:rPr>
          <w:spacing w:val="-3"/>
        </w:rPr>
        <w:t>大</w:t>
      </w:r>
      <w:r>
        <w:rPr/>
        <w:t>会审议批准。北京同德一心科技有限公司于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 取得了北京市工商行政管理局海淀分局下发的《注销核准通知书</w:t>
      </w:r>
      <w:r>
        <w:rPr>
          <w:spacing w:val="-92"/>
        </w:rPr>
        <w:t>》</w:t>
      </w:r>
      <w:r>
        <w:rPr/>
        <w:t>，完成了工商注销登记。</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十三、母公司财务报表主要项目注释" w:id="313"/>
      <w:bookmarkEnd w:id="313"/>
      <w:r>
        <w:rPr>
          <w:b w:val="0"/>
          <w:bCs w:val="0"/>
        </w:rPr>
      </w:r>
      <w:r>
        <w:rPr/>
        <w:t>十三、母公司财务报表主要项目注释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14"/>
      <w:bookmarkEnd w:id="314"/>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15"/>
      <w:bookmarkEnd w:id="31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4D4D4"/>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201,144,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309.12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32,721,5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75.22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168,422,7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33.90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193,550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,217.98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20,715,99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9.06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172,834,21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8.92</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201,144,</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309.12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32,721,5</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75.22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168,422,7</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33.90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193,550</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,217.98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20,715,99</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9.06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172,834,21</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8.92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206" w:hRule="exact"/>
        </w:trPr>
        <w:tc>
          <w:tcPr>
            <w:tcW w:w="2492"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4D4D4"/>
          </w:tcPr>
          <w:p>
            <w:pPr/>
          </w:p>
        </w:tc>
      </w:tr>
      <w:tr>
        <w:trPr>
          <w:trHeight w:val="194" w:hRule="exact"/>
        </w:trPr>
        <w:tc>
          <w:tcPr>
            <w:tcW w:w="2492" w:type="dxa"/>
            <w:vMerge/>
            <w:tcBorders>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2"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69,087,329.60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3,454,366.48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34.35%</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60,469,044.53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6,046,904.45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30.06%</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47,345,643.34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9,469,128.67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23.54%</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14,867,789.00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5,947,115.60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7,852,213.15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6,281,770.52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1,522,289.50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1,522,289.50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201,144,309.12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32,721,575.22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组合中，采用余额百分比法计提坏账准备的应收账款：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316"/>
      <w:bookmarkEnd w:id="31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9"/>
        </w:rPr>
        <w:t> </w:t>
      </w:r>
      <w:r>
        <w:rPr>
          <w:rFonts w:ascii="Times New Roman" w:hAnsi="Times New Roman" w:cs="Times New Roman" w:eastAsia="Times New Roman" w:hint="default"/>
        </w:rPr>
        <w:t>12,005,576.16</w:t>
      </w:r>
      <w:r>
        <w:rPr>
          <w:rFonts w:ascii="Times New Roman" w:hAnsi="Times New Roman" w:cs="Times New Roman" w:eastAsia="Times New Roman" w:hint="default"/>
          <w:spacing w:val="-3"/>
        </w:rPr>
        <w:t> </w:t>
      </w:r>
      <w:r>
        <w:rPr/>
        <w:t>元；本期收回或转回坏账准备金额元。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按欠款方归集的期末余额前五名的应收账款情况" w:id="317"/>
      <w:bookmarkEnd w:id="317"/>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844"/>
        <w:gridCol w:w="2398"/>
        <w:gridCol w:w="2330"/>
        <w:gridCol w:w="2086"/>
      </w:tblGrid>
      <w:tr>
        <w:trPr>
          <w:trHeight w:val="343" w:hRule="exact"/>
        </w:trPr>
        <w:tc>
          <w:tcPr>
            <w:tcW w:w="284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8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2844" w:type="dxa"/>
            <w:vMerge/>
            <w:tcBorders>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9"/>
              <w:jc w:val="right"/>
              <w:rPr>
                <w:rFonts w:ascii="宋体" w:hAnsi="宋体" w:cs="宋体" w:eastAsia="宋体" w:hint="default"/>
                <w:sz w:val="18"/>
                <w:szCs w:val="18"/>
              </w:rPr>
            </w:pPr>
            <w:r>
              <w:rPr>
                <w:rFonts w:ascii="宋体" w:hAnsi="宋体" w:cs="宋体" w:eastAsia="宋体" w:hint="default"/>
                <w:sz w:val="18"/>
                <w:szCs w:val="18"/>
              </w:rPr>
              <w:t>占应收账款合计数的比例</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7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3"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北京天晟通科技有限公司</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12,655,000.00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6.29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1,505,250.00</w:t>
            </w:r>
          </w:p>
        </w:tc>
      </w:tr>
      <w:tr>
        <w:trPr>
          <w:trHeight w:val="341"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8,767,757.27</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4.36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438,387.86</w:t>
            </w:r>
          </w:p>
        </w:tc>
      </w:tr>
      <w:tr>
        <w:trPr>
          <w:trHeight w:val="343"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成都斯普智和信息技术有限公司</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8,550,000.00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4.25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855,000.00</w:t>
            </w:r>
          </w:p>
        </w:tc>
      </w:tr>
      <w:tr>
        <w:trPr>
          <w:trHeight w:val="341"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北京东恒华诚科技有限公司</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7,658,000.00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3.81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757,150.00</w:t>
            </w:r>
          </w:p>
        </w:tc>
      </w:tr>
      <w:tr>
        <w:trPr>
          <w:trHeight w:val="343"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北京京师励耘教育科技有限公司</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6,819,530.00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3.39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741,721.00</w:t>
            </w:r>
          </w:p>
        </w:tc>
      </w:tr>
      <w:tr>
        <w:trPr>
          <w:trHeight w:val="343"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44,450,287.27</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22.10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4,297,508.86</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bookmarkStart w:name="2、其他应收款" w:id="318"/>
      <w:bookmarkEnd w:id="31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19"/>
      <w:bookmarkEnd w:id="31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4D4D4"/>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4,424,43</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7.16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4,424,437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10,183,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903.36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10,183,903.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4,424,43</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7.16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4,424,437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10,183,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903.36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10,183,903.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r>
    </w:tbl>
    <w:p>
      <w:pPr>
        <w:pStyle w:val="BodyText"/>
        <w:spacing w:line="240" w:lineRule="auto" w:before="49"/>
        <w:ind w:right="0"/>
        <w:jc w:val="left"/>
      </w:pPr>
      <w:r>
        <w:rPr/>
        <w:t>期末单项金额重大并单项计提坏账准备的其他应收款：</w:t>
      </w:r>
    </w:p>
    <w:p>
      <w:pPr>
        <w:pStyle w:val="BodyText"/>
        <w:spacing w:line="340" w:lineRule="auto" w:before="115"/>
        <w:ind w:right="56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338" w:lineRule="auto" w:before="41"/>
        <w:ind w:left="153" w:right="527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组合中，采用余额百分比法计提坏账准备的其他应收款：</w:t>
      </w:r>
    </w:p>
    <w:p>
      <w:pPr>
        <w:pStyle w:val="BodyText"/>
        <w:spacing w:line="340" w:lineRule="auto" w:before="43"/>
        <w:ind w:left="153" w:right="563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spacing w:after="0" w:line="3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其他应收款按款项性质分类情况" w:id="320"/>
      <w:bookmarkEnd w:id="320"/>
      <w:r>
        <w:rPr>
          <w:b w:val="0"/>
          <w:bCs w:val="0"/>
        </w:rPr>
      </w: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备用金及职工暂借款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443,630.00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582,093.96</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278,291.00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1,112,421.00</w:t>
            </w:r>
            <w:r>
              <w:rPr>
                <w:rFonts w:ascii="Times New Roman"/>
                <w:sz w:val="18"/>
              </w:rPr>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545,550.03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328,359.75</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1,998,623.12</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7,728,301.41</w:t>
            </w:r>
            <w:r>
              <w:rPr>
                <w:rFonts w:ascii="Times New Roman"/>
                <w:sz w:val="18"/>
              </w:rPr>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1,158,343.01</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432,727.24</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4,424,437.16</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10,183,903.36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按欠款方归集的期末余额前五名的其他应收款情况" w:id="321"/>
      <w:bookmarkEnd w:id="321"/>
      <w:r>
        <w:rPr>
          <w:b w:val="0"/>
          <w:bCs w:val="0"/>
        </w:rPr>
      </w: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北京数字天堂信息科 技有限责任公司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31.64%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9"/>
              <w:jc w:val="left"/>
              <w:rPr>
                <w:rFonts w:ascii="宋体" w:hAnsi="宋体" w:cs="宋体" w:eastAsia="宋体" w:hint="default"/>
                <w:sz w:val="18"/>
                <w:szCs w:val="18"/>
              </w:rPr>
            </w:pPr>
            <w:r>
              <w:rPr>
                <w:rFonts w:ascii="宋体" w:hAnsi="宋体" w:cs="宋体" w:eastAsia="宋体" w:hint="default"/>
                <w:sz w:val="18"/>
                <w:szCs w:val="18"/>
              </w:rPr>
              <w:t>北京信息基础设施建 设股份有限公司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434,325.16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年以内</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116,080.58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246,777.58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海关总署物资装备采 购中心</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294,500.00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姚瑶</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熊晓莉</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104,300.00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2,433,125.16</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55.00%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长期股权投资" w:id="322"/>
      <w:bookmarkEnd w:id="32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524,370,000.00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524,370,000.00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473,000,000.00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473,000,000.00</w:t>
            </w:r>
            <w:r>
              <w:rPr>
                <w:rFonts w:ascii="Times New Roman"/>
                <w:sz w:val="18"/>
              </w:rPr>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279,152.22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279,152.22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317,569.96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317,569.96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524,649,152.22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524,649,152.22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473,317,569.96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473,317,569.96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323"/>
      <w:bookmarkEnd w:id="32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成都东方通科技 有限责任公司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上海东方通泰软 件科技有限公司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北京东方通宇技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北京惠捷朗科技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420,000,000.00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北京同德一心科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北京数字天堂信 息科技有限责任 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41,370,000.00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41,370,000.00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东方通科技无锡 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51,370,000.00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524,370,000.00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对联营、合营企业投资" w:id="324"/>
      <w:bookmarkEnd w:id="32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北京核高 基软件有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317,569.9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-38,417.7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279,152.2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317,569.9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279,152.2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317,569.9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-38,417.7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279,152.2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营业收入和营业成本" w:id="325"/>
      <w:bookmarkEnd w:id="32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112,407,563.34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13,796,578.14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143,707,439.87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1,945,937.66</w:t>
            </w:r>
            <w:r>
              <w:rPr>
                <w:rFonts w:ascii="Times New Roman"/>
                <w:sz w:val="18"/>
              </w:rPr>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107,547.17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118,800.00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118,800.00</w:t>
            </w:r>
            <w:r>
              <w:rPr>
                <w:rFonts w:ascii="Times New Roman"/>
                <w:sz w:val="18"/>
              </w:rPr>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112,515,110.51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13,796,578.14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143,826,239.87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2,064,737.66</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投资收益" w:id="326"/>
      <w:bookmarkEnd w:id="32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-38,417.74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9,350.64</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-38,417.74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9,350.64</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四、补充资料" w:id="327"/>
      <w:bookmarkEnd w:id="327"/>
      <w:r>
        <w:rPr>
          <w:b w:val="0"/>
          <w:bCs w:val="0"/>
        </w:rPr>
      </w:r>
      <w:r>
        <w:rPr/>
        <w:t>十四、补充资料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28"/>
      <w:bookmarkEnd w:id="32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-701,419.56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11,399,096.16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-103,146.42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1,584,972.89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9,009,557.29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净资产收益率及每股收益" w:id="329"/>
      <w:bookmarkEnd w:id="32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4D4D4"/>
          </w:tcPr>
          <w:p>
            <w:pPr/>
          </w:p>
        </w:tc>
        <w:tc>
          <w:tcPr>
            <w:tcW w:w="3082"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0.6135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0.6081</w:t>
            </w:r>
            <w:r>
              <w:rPr>
                <w:rFonts w:ascii="Times New Roman"/>
                <w:sz w:val="18"/>
              </w:rPr>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0.5353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0.5306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4" w:right="0"/>
        <w:jc w:val="left"/>
        <w:rPr>
          <w:b w:val="0"/>
          <w:bCs w:val="0"/>
        </w:rPr>
      </w:pPr>
      <w:bookmarkStart w:name="_TOC_250000" w:id="330"/>
      <w:bookmarkStart w:name="第十一节 备查文件目录" w:id="331"/>
      <w:r>
        <w:rPr>
          <w:b w:val="0"/>
          <w:bCs w:val="0"/>
        </w:rPr>
      </w:r>
      <w:r>
        <w:rPr/>
        <w:t>第十一节</w:t>
      </w:r>
      <w:r>
        <w:rPr>
          <w:spacing w:val="-5"/>
        </w:rPr>
        <w:t> </w:t>
      </w:r>
      <w:r>
        <w:rPr/>
        <w:t>备查文件目录</w:t>
      </w:r>
      <w:bookmarkEnd w:id="330"/>
      <w:r>
        <w:rPr>
          <w:b w:val="0"/>
          <w:bCs w:val="0"/>
        </w:rPr>
      </w:r>
    </w:p>
    <w:p>
      <w:pPr>
        <w:spacing w:line="240" w:lineRule="auto" w:before="9"/>
        <w:rPr>
          <w:rFonts w:ascii="宋体" w:hAnsi="宋体" w:cs="宋体" w:eastAsia="宋体" w:hint="default"/>
          <w:b/>
          <w:bCs/>
          <w:sz w:val="42"/>
          <w:szCs w:val="42"/>
        </w:rPr>
      </w:pPr>
    </w:p>
    <w:p>
      <w:pPr>
        <w:pStyle w:val="BodyText"/>
        <w:spacing w:line="316" w:lineRule="auto"/>
        <w:ind w:right="2574"/>
        <w:jc w:val="left"/>
      </w:pPr>
      <w:r>
        <w:rPr/>
        <w:t>一、载有法定代表人、财务负责人、财务报表编制人签名并盖章的会计报表。 二、载有会计师事务所盖章、注册会计师签名并盖章的审计报告原件。 三、报告期内在中国证监会指定信息披露网站上披露的所有公司文件的正本及公告的原稿。 以上备查文件的备置地点：公司董事会秘书办公室。</w:t>
      </w:r>
    </w:p>
    <w:sectPr>
      <w:pgSz w:w="11910" w:h="16840"/>
      <w:pgMar w:header="745"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10352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035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035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035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74</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10351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035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1035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035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035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132</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pt;margin-top:36.265610pt;width:204.7pt;height:11.5pt;mso-position-horizontal-relative:page;mso-position-vertical-relative:page;z-index:-1035232" type="#_x0000_t202" filled="false" stroked="false">
          <v:textbox inset="0,0,0,0">
            <w:txbxContent>
              <w:p>
                <w:pPr>
                  <w:pStyle w:val="BodyText"/>
                  <w:spacing w:line="214" w:lineRule="exact"/>
                  <w:ind w:left="20" w:right="0"/>
                  <w:jc w:val="left"/>
                </w:pPr>
                <w:r>
                  <w:rPr/>
                  <w:t>北京东方通科技股份有限公司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428"/>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outlineLvl w:val="4"/>
    </w:pPr>
    <w:rPr>
      <w:rFonts w:ascii="宋体" w:hAnsi="宋体" w:eastAsia="宋体"/>
      <w:sz w:val="20"/>
      <w:szCs w:val="20"/>
    </w:rPr>
  </w:style>
  <w:style w:styleId="Heading5" w:type="paragraph">
    <w:name w:val="Heading 5"/>
    <w:basedOn w:val="Normal"/>
    <w:uiPriority w:val="1"/>
    <w:qFormat/>
    <w:pPr>
      <w:ind w:left="51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tongtech.com/" TargetMode="External"/><Relationship Id="rId10" Type="http://schemas.openxmlformats.org/officeDocument/2006/relationships/hyperlink" Target="mailto:tongtech@tongtech.com"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footer" Target="footer3.xml"/><Relationship Id="rId32" Type="http://schemas.openxmlformats.org/officeDocument/2006/relationships/footer" Target="footer4.xml"/><Relationship Id="rId33" Type="http://schemas.openxmlformats.org/officeDocument/2006/relationships/image" Target="media/image21.jpeg"/><Relationship Id="rId34" Type="http://schemas.openxmlformats.org/officeDocument/2006/relationships/footer" Target="footer5.xml"/><Relationship Id="rId35" Type="http://schemas.openxmlformats.org/officeDocument/2006/relationships/footer" Target="footer6.xml"/><Relationship Id="rId36" Type="http://schemas.openxmlformats.org/officeDocument/2006/relationships/footer" Target="footer7.xml"/><Relationship Id="rId37" Type="http://schemas.openxmlformats.org/officeDocument/2006/relationships/footer" Target="footer8.xml"/><Relationship Id="rId38"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北京东方通科技股份有限公司</dc:creator>
  <dc:title>北京东方通科技股份有限公司2015年年度报告全文</dc:title>
  <dcterms:created xsi:type="dcterms:W3CDTF">2020-05-04T16:51:41Z</dcterms:created>
  <dcterms:modified xsi:type="dcterms:W3CDTF">2020-05-04T16:51:41Z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2016-04-25T00:00:00Z</vt:filetime>
  </property>
  <property fmtid="{D5CDD505-2E9C-101B-9397-08002B2CF9AE}" pid="3" name="Creator">
    <vt:lpwstr>Acrobat PDFMaker 10.1 Word 版</vt:lpwstr>
  </property>
  <property fmtid="{D5CDD505-2E9C-101B-9397-08002B2CF9AE}" pid="4" name="LastSaved">
    <vt:filetime>2020-05-04T00:00:00Z</vt:filetime>
  </property>
</Properties>
</file>