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57" w:lineRule="exact"/>
        <w:ind w:left="251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4361678" cy="608076"/>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361678" cy="608076"/>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3584" w:right="3584" w:firstLine="0"/>
        <w:jc w:val="center"/>
        <w:rPr>
          <w:rFonts w:ascii="宋体" w:hAnsi="宋体" w:cs="宋体" w:eastAsia="宋体" w:hint="default"/>
          <w:sz w:val="36"/>
          <w:szCs w:val="36"/>
        </w:rPr>
      </w:pPr>
      <w:r>
        <w:rPr>
          <w:rFonts w:ascii="宋体" w:hAnsi="宋体" w:cs="宋体" w:eastAsia="宋体" w:hint="default"/>
          <w:b/>
          <w:bCs/>
          <w:sz w:val="36"/>
          <w:szCs w:val="36"/>
        </w:rPr>
        <w:t>北京东方通科技股份有限公司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583" w:right="358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11"/>
        <w:rPr>
          <w:rFonts w:ascii="宋体" w:hAnsi="宋体" w:cs="宋体" w:eastAsia="宋体" w:hint="default"/>
          <w:b/>
          <w:bCs/>
          <w:sz w:val="29"/>
          <w:szCs w:val="29"/>
        </w:rPr>
      </w:pPr>
    </w:p>
    <w:p>
      <w:pPr>
        <w:spacing w:before="0"/>
        <w:ind w:left="3584" w:right="3583" w:firstLine="0"/>
        <w:jc w:val="center"/>
        <w:rPr>
          <w:rFonts w:ascii="Times New Roman" w:hAnsi="Times New Roman" w:cs="Times New Roman" w:eastAsia="Times New Roman" w:hint="default"/>
          <w:sz w:val="22"/>
          <w:szCs w:val="22"/>
        </w:rPr>
      </w:pPr>
      <w:r>
        <w:rPr>
          <w:rFonts w:ascii="宋体" w:hAnsi="宋体" w:cs="宋体" w:eastAsia="宋体" w:hint="default"/>
          <w:b/>
          <w:bCs/>
          <w:sz w:val="22"/>
          <w:szCs w:val="22"/>
        </w:rPr>
        <w:t>定</w:t>
      </w:r>
      <w:r>
        <w:rPr>
          <w:rFonts w:ascii="宋体" w:hAnsi="宋体" w:cs="宋体" w:eastAsia="宋体" w:hint="default"/>
          <w:b/>
          <w:bCs/>
          <w:spacing w:val="-60"/>
          <w:sz w:val="22"/>
          <w:szCs w:val="22"/>
        </w:rPr>
        <w:t> </w:t>
      </w:r>
      <w:r>
        <w:rPr>
          <w:rFonts w:ascii="Times New Roman" w:hAnsi="Times New Roman" w:cs="Times New Roman" w:eastAsia="Times New Roman" w:hint="default"/>
          <w:b/>
          <w:bCs/>
          <w:sz w:val="22"/>
          <w:szCs w:val="22"/>
        </w:rPr>
        <w:t>2018-002</w:t>
      </w:r>
      <w:r>
        <w:rPr>
          <w:rFonts w:ascii="Times New Roman" w:hAnsi="Times New Roman" w:cs="Times New Roman" w:eastAsia="Times New Roman" w:hint="default"/>
          <w:sz w:val="22"/>
          <w:szCs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44"/>
        <w:ind w:left="3584" w:right="35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1033"/>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公司负责人黄永军、主管会计工作负责人王会及会计机构负责人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王会声明：保证年度报告中财务报告的真实、准确、完整。</w:t>
      </w:r>
      <w:r>
        <w:rPr>
          <w:rFonts w:ascii="宋体" w:hAnsi="宋体" w:cs="宋体" w:eastAsia="宋体" w:hint="default"/>
          <w:sz w:val="28"/>
          <w:szCs w:val="28"/>
        </w:rPr>
      </w:r>
    </w:p>
    <w:p>
      <w:pPr>
        <w:spacing w:before="147"/>
        <w:ind w:left="1696" w:right="1033"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129" w:type="dxa"/>
        <w:tblLayout w:type="fixed"/>
        <w:tblCellMar>
          <w:top w:w="0" w:type="dxa"/>
          <w:left w:w="0" w:type="dxa"/>
          <w:bottom w:w="0" w:type="dxa"/>
          <w:right w:w="0" w:type="dxa"/>
        </w:tblCellMar>
        <w:tblLook w:val="01E0"/>
      </w:tblPr>
      <w:tblGrid>
        <w:gridCol w:w="2936"/>
        <w:gridCol w:w="2211"/>
        <w:gridCol w:w="2212"/>
        <w:gridCol w:w="2210"/>
      </w:tblGrid>
      <w:tr>
        <w:trPr>
          <w:trHeight w:val="401"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叶路</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身体原因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李琪</w:t>
            </w:r>
          </w:p>
        </w:tc>
      </w:tr>
    </w:tbl>
    <w:p>
      <w:pPr>
        <w:spacing w:line="240" w:lineRule="auto" w:before="2"/>
        <w:rPr>
          <w:rFonts w:ascii="宋体" w:hAnsi="宋体" w:cs="宋体" w:eastAsia="宋体" w:hint="default"/>
          <w:b/>
          <w:bCs/>
          <w:sz w:val="13"/>
          <w:szCs w:val="13"/>
        </w:rPr>
      </w:pPr>
    </w:p>
    <w:p>
      <w:pPr>
        <w:spacing w:line="408" w:lineRule="auto" w:before="13"/>
        <w:ind w:left="1133" w:right="1142" w:firstLine="702"/>
        <w:jc w:val="both"/>
        <w:rPr>
          <w:rFonts w:ascii="宋体" w:hAnsi="宋体" w:cs="宋体" w:eastAsia="宋体" w:hint="default"/>
          <w:sz w:val="28"/>
          <w:szCs w:val="28"/>
        </w:rPr>
      </w:pPr>
      <w:r>
        <w:rPr>
          <w:rFonts w:ascii="宋体" w:hAnsi="宋体" w:cs="宋体" w:eastAsia="宋体" w:hint="default"/>
          <w:b/>
          <w:bCs/>
          <w:spacing w:val="-2"/>
          <w:w w:val="95"/>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403" w:lineRule="auto" w:before="160"/>
        <w:ind w:left="1133" w:right="1000" w:firstLine="562"/>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、市场竞争风险。报告期内，中间件和信息安全业务是公司营业收入的重</w:t>
      </w:r>
      <w:r>
        <w:rPr>
          <w:rFonts w:ascii="宋体" w:hAnsi="宋体" w:cs="宋体" w:eastAsia="宋体" w:hint="default"/>
          <w:b/>
          <w:bCs/>
          <w:spacing w:val="2"/>
          <w:w w:val="99"/>
          <w:sz w:val="28"/>
          <w:szCs w:val="28"/>
        </w:rPr>
        <w:t> </w:t>
      </w:r>
      <w:r>
        <w:rPr>
          <w:rFonts w:ascii="宋体" w:hAnsi="宋体" w:cs="宋体" w:eastAsia="宋体" w:hint="default"/>
          <w:b/>
          <w:bCs/>
          <w:sz w:val="28"/>
          <w:szCs w:val="28"/>
        </w:rPr>
        <w:t>要组成部分。在国内中间件领域，</w:t>
      </w:r>
      <w:r>
        <w:rPr>
          <w:rFonts w:ascii="Times New Roman" w:hAnsi="Times New Roman" w:cs="Times New Roman" w:eastAsia="Times New Roman" w:hint="default"/>
          <w:b/>
          <w:bCs/>
          <w:sz w:val="28"/>
          <w:szCs w:val="28"/>
        </w:rPr>
        <w:t>IBM</w:t>
      </w:r>
      <w:r>
        <w:rPr>
          <w:rFonts w:ascii="宋体" w:hAnsi="宋体" w:cs="宋体" w:eastAsia="宋体" w:hint="default"/>
          <w:b/>
          <w:bCs/>
          <w:sz w:val="28"/>
          <w:szCs w:val="28"/>
        </w:rPr>
        <w:t>、</w:t>
      </w:r>
      <w:r>
        <w:rPr>
          <w:rFonts w:ascii="Times New Roman" w:hAnsi="Times New Roman" w:cs="Times New Roman" w:eastAsia="Times New Roman" w:hint="default"/>
          <w:b/>
          <w:bCs/>
          <w:sz w:val="28"/>
          <w:szCs w:val="28"/>
        </w:rPr>
        <w:t>Oracle</w:t>
      </w:r>
      <w:r>
        <w:rPr>
          <w:rFonts w:ascii="Times New Roman" w:hAnsi="Times New Roman" w:cs="Times New Roman" w:eastAsia="Times New Roman" w:hint="default"/>
          <w:b/>
          <w:bCs/>
          <w:spacing w:val="36"/>
          <w:sz w:val="28"/>
          <w:szCs w:val="28"/>
        </w:rPr>
        <w:t> </w:t>
      </w:r>
      <w:r>
        <w:rPr>
          <w:rFonts w:ascii="宋体" w:hAnsi="宋体" w:cs="宋体" w:eastAsia="宋体" w:hint="default"/>
          <w:b/>
          <w:bCs/>
          <w:sz w:val="28"/>
          <w:szCs w:val="28"/>
        </w:rPr>
        <w:t>两国外软件企业仍然所占市场</w:t>
      </w:r>
      <w:r>
        <w:rPr>
          <w:rFonts w:ascii="宋体" w:hAnsi="宋体" w:cs="宋体" w:eastAsia="宋体" w:hint="default"/>
          <w:b/>
          <w:bCs/>
          <w:w w:val="99"/>
          <w:sz w:val="28"/>
          <w:szCs w:val="28"/>
        </w:rPr>
        <w:t> </w:t>
      </w:r>
      <w:r>
        <w:rPr>
          <w:rFonts w:ascii="宋体" w:hAnsi="宋体" w:cs="宋体" w:eastAsia="宋体" w:hint="default"/>
          <w:b/>
          <w:bCs/>
          <w:spacing w:val="3"/>
          <w:sz w:val="28"/>
          <w:szCs w:val="28"/>
        </w:rPr>
        <w:t>份额最高，其市场占有率高的主要原因在于品牌影响力、技术积累及其在数据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库、服务器领域良好的配套支持。与国际知名软件厂商相比，公司在技术研发</w:t>
      </w:r>
      <w:r>
        <w:rPr>
          <w:rFonts w:ascii="宋体" w:hAnsi="宋体" w:cs="宋体" w:eastAsia="宋体" w:hint="default"/>
          <w:b/>
          <w:bCs/>
          <w:w w:val="99"/>
          <w:sz w:val="28"/>
          <w:szCs w:val="28"/>
        </w:rPr>
        <w:t> </w:t>
      </w:r>
      <w:r>
        <w:rPr>
          <w:rFonts w:ascii="宋体" w:hAnsi="宋体" w:cs="宋体" w:eastAsia="宋体" w:hint="default"/>
          <w:b/>
          <w:bCs/>
          <w:spacing w:val="3"/>
          <w:sz w:val="28"/>
          <w:szCs w:val="28"/>
        </w:rPr>
        <w:t>实力、市场培育、产品销售渠道建设等方面仍存在较大差距。随着软件国产化</w:t>
      </w:r>
      <w:r>
        <w:rPr>
          <w:rFonts w:ascii="宋体" w:hAnsi="宋体" w:cs="宋体" w:eastAsia="宋体" w:hint="default"/>
          <w:b/>
          <w:bCs/>
          <w:w w:val="99"/>
          <w:sz w:val="28"/>
          <w:szCs w:val="28"/>
        </w:rPr>
        <w:t> </w:t>
      </w:r>
      <w:r>
        <w:rPr>
          <w:rFonts w:ascii="宋体" w:hAnsi="宋体" w:cs="宋体" w:eastAsia="宋体" w:hint="default"/>
          <w:b/>
          <w:bCs/>
          <w:spacing w:val="3"/>
          <w:sz w:val="28"/>
          <w:szCs w:val="28"/>
        </w:rPr>
        <w:t>及企业信息化的不断推进，软件基础平台市场成长迅速，行业景气度的提升使</w:t>
      </w:r>
      <w:r>
        <w:rPr>
          <w:rFonts w:ascii="宋体" w:hAnsi="宋体" w:cs="宋体" w:eastAsia="宋体" w:hint="default"/>
          <w:b/>
          <w:bCs/>
          <w:w w:val="99"/>
          <w:sz w:val="28"/>
          <w:szCs w:val="28"/>
        </w:rPr>
        <w:t> </w:t>
      </w:r>
      <w:r>
        <w:rPr>
          <w:rFonts w:ascii="宋体" w:hAnsi="宋体" w:cs="宋体" w:eastAsia="宋体" w:hint="default"/>
          <w:b/>
          <w:bCs/>
          <w:spacing w:val="3"/>
          <w:sz w:val="28"/>
          <w:szCs w:val="28"/>
        </w:rPr>
        <w:t>得行业内原有竞争对手的规模和竞争力不断提高，同时市场新进入的竞争者会</w:t>
      </w:r>
      <w:r>
        <w:rPr>
          <w:rFonts w:ascii="宋体" w:hAnsi="宋体" w:cs="宋体" w:eastAsia="宋体" w:hint="default"/>
          <w:b/>
          <w:bCs/>
          <w:w w:val="99"/>
          <w:sz w:val="28"/>
          <w:szCs w:val="28"/>
        </w:rPr>
        <w:t> </w:t>
      </w:r>
      <w:r>
        <w:rPr>
          <w:rFonts w:ascii="宋体" w:hAnsi="宋体" w:cs="宋体" w:eastAsia="宋体" w:hint="default"/>
          <w:b/>
          <w:bCs/>
          <w:spacing w:val="3"/>
          <w:sz w:val="28"/>
          <w:szCs w:val="28"/>
        </w:rPr>
        <w:t>逐步增加。在信息安全领域，行业进入爆发式增长，竞争加剧。随着《国家网</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络空间安全战略》的发布，国家对于网络安全和信息安全的重视程度极大提升，</w:t>
      </w:r>
      <w:r>
        <w:rPr>
          <w:rFonts w:ascii="宋体" w:hAnsi="宋体" w:cs="宋体" w:eastAsia="宋体" w:hint="default"/>
          <w:spacing w:val="-2"/>
          <w:sz w:val="28"/>
          <w:szCs w:val="28"/>
        </w:rPr>
      </w:r>
    </w:p>
    <w:p>
      <w:pPr>
        <w:spacing w:after="0" w:line="403" w:lineRule="auto"/>
        <w:jc w:val="both"/>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133" w:right="1033" w:firstLine="0"/>
        <w:jc w:val="left"/>
        <w:rPr>
          <w:rFonts w:ascii="宋体" w:hAnsi="宋体" w:cs="宋体" w:eastAsia="宋体" w:hint="default"/>
          <w:sz w:val="28"/>
          <w:szCs w:val="28"/>
        </w:rPr>
      </w:pPr>
      <w:r>
        <w:rPr>
          <w:rFonts w:ascii="宋体" w:hAnsi="宋体" w:cs="宋体" w:eastAsia="宋体" w:hint="default"/>
          <w:b/>
          <w:bCs/>
          <w:spacing w:val="3"/>
          <w:sz w:val="28"/>
          <w:szCs w:val="28"/>
        </w:rPr>
        <w:t>安全领域成为局部热点，行业也更加细分，在细分的专业也出现了一批新型的</w:t>
      </w:r>
      <w:r>
        <w:rPr>
          <w:rFonts w:ascii="宋体" w:hAnsi="宋体" w:cs="宋体" w:eastAsia="宋体" w:hint="default"/>
          <w:b/>
          <w:bCs/>
          <w:w w:val="99"/>
          <w:sz w:val="28"/>
          <w:szCs w:val="28"/>
        </w:rPr>
        <w:t> </w:t>
      </w:r>
      <w:r>
        <w:rPr>
          <w:rFonts w:ascii="宋体" w:hAnsi="宋体" w:cs="宋体" w:eastAsia="宋体" w:hint="default"/>
          <w:b/>
          <w:bCs/>
          <w:spacing w:val="3"/>
          <w:sz w:val="28"/>
          <w:szCs w:val="28"/>
        </w:rPr>
        <w:t>安全产品和服务提供厂家，竞争将更加激烈。进入大数据时代，信息安全技术</w:t>
      </w:r>
      <w:r>
        <w:rPr>
          <w:rFonts w:ascii="宋体" w:hAnsi="宋体" w:cs="宋体" w:eastAsia="宋体" w:hint="default"/>
          <w:b/>
          <w:bCs/>
          <w:w w:val="99"/>
          <w:sz w:val="28"/>
          <w:szCs w:val="28"/>
        </w:rPr>
        <w:t> </w:t>
      </w:r>
      <w:r>
        <w:rPr>
          <w:rFonts w:ascii="宋体" w:hAnsi="宋体" w:cs="宋体" w:eastAsia="宋体" w:hint="default"/>
          <w:b/>
          <w:bCs/>
          <w:spacing w:val="3"/>
          <w:sz w:val="28"/>
          <w:szCs w:val="28"/>
        </w:rPr>
        <w:t>的滞后于网络形态和数据规模的发展速度，可能影响新技术新业务甚至一些新</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兴行业的发展。信息安全市场的多元化发展趋势渐趋明朗，为行业内厂商的差</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异化定位提供了更大的发展空间，市场将逐渐向较具实力的信息安全企业集中。</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pacing w:val="3"/>
          <w:sz w:val="28"/>
          <w:szCs w:val="28"/>
        </w:rPr>
        <w:t>行业中具有一定规模和技术积累的公司，正在努力开拓技术门槛及毛利率均较</w:t>
      </w:r>
      <w:r>
        <w:rPr>
          <w:rFonts w:ascii="宋体" w:hAnsi="宋体" w:cs="宋体" w:eastAsia="宋体" w:hint="default"/>
          <w:b/>
          <w:bCs/>
          <w:w w:val="99"/>
          <w:sz w:val="28"/>
          <w:szCs w:val="28"/>
        </w:rPr>
        <w:t> </w:t>
      </w:r>
      <w:r>
        <w:rPr>
          <w:rFonts w:ascii="宋体" w:hAnsi="宋体" w:cs="宋体" w:eastAsia="宋体" w:hint="default"/>
          <w:b/>
          <w:bCs/>
          <w:spacing w:val="3"/>
          <w:sz w:val="28"/>
          <w:szCs w:val="28"/>
        </w:rPr>
        <w:t>高的新产品或新市场，以期获得市场竞争优势，而解决技术跨越，会出现复合</w:t>
      </w:r>
      <w:r>
        <w:rPr>
          <w:rFonts w:ascii="宋体" w:hAnsi="宋体" w:cs="宋体" w:eastAsia="宋体" w:hint="default"/>
          <w:b/>
          <w:bCs/>
          <w:w w:val="99"/>
          <w:sz w:val="28"/>
          <w:szCs w:val="28"/>
        </w:rPr>
        <w:t> </w:t>
      </w:r>
      <w:r>
        <w:rPr>
          <w:rFonts w:ascii="宋体" w:hAnsi="宋体" w:cs="宋体" w:eastAsia="宋体" w:hint="default"/>
          <w:b/>
          <w:bCs/>
          <w:spacing w:val="3"/>
          <w:sz w:val="28"/>
          <w:szCs w:val="28"/>
        </w:rPr>
        <w:t>型人才、关键技术、基础设施支撑等核心资源的紧张，存在研发投入是否准确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和有效的风险。若公司不能紧跟行业发展趋势、满足客户需求的变化增强产品</w:t>
      </w:r>
      <w:r>
        <w:rPr>
          <w:rFonts w:ascii="宋体" w:hAnsi="宋体" w:cs="宋体" w:eastAsia="宋体" w:hint="default"/>
          <w:b/>
          <w:bCs/>
          <w:w w:val="99"/>
          <w:sz w:val="28"/>
          <w:szCs w:val="28"/>
        </w:rPr>
        <w:t> </w:t>
      </w:r>
      <w:r>
        <w:rPr>
          <w:rFonts w:ascii="宋体" w:hAnsi="宋体" w:cs="宋体" w:eastAsia="宋体" w:hint="default"/>
          <w:b/>
          <w:bCs/>
          <w:spacing w:val="3"/>
          <w:sz w:val="28"/>
          <w:szCs w:val="28"/>
        </w:rPr>
        <w:t>研发、技术创新和客户服务等方面的实力，或在新的大数据时代不能通过自身</w:t>
      </w:r>
      <w:r>
        <w:rPr>
          <w:rFonts w:ascii="宋体" w:hAnsi="宋体" w:cs="宋体" w:eastAsia="宋体" w:hint="default"/>
          <w:b/>
          <w:bCs/>
          <w:w w:val="99"/>
          <w:sz w:val="28"/>
          <w:szCs w:val="28"/>
        </w:rPr>
        <w:t> </w:t>
      </w:r>
      <w:r>
        <w:rPr>
          <w:rFonts w:ascii="宋体" w:hAnsi="宋体" w:cs="宋体" w:eastAsia="宋体" w:hint="default"/>
          <w:b/>
          <w:bCs/>
          <w:spacing w:val="3"/>
          <w:sz w:val="28"/>
          <w:szCs w:val="28"/>
        </w:rPr>
        <w:t>的规模和技术、市场优势，去开拓技术门槛和毛利较高的新产品和新市场，则</w:t>
      </w:r>
      <w:r>
        <w:rPr>
          <w:rFonts w:ascii="宋体" w:hAnsi="宋体" w:cs="宋体" w:eastAsia="宋体" w:hint="default"/>
          <w:b/>
          <w:bCs/>
          <w:w w:val="99"/>
          <w:sz w:val="28"/>
          <w:szCs w:val="28"/>
        </w:rPr>
        <w:t> </w:t>
      </w:r>
      <w:r>
        <w:rPr>
          <w:rFonts w:ascii="宋体" w:hAnsi="宋体" w:cs="宋体" w:eastAsia="宋体" w:hint="default"/>
          <w:b/>
          <w:bCs/>
          <w:sz w:val="28"/>
          <w:szCs w:val="28"/>
        </w:rPr>
        <w:t>未来将面临市场竞争加剧的风险</w:t>
      </w:r>
      <w:r>
        <w:rPr>
          <w:rFonts w:ascii="宋体" w:hAnsi="宋体" w:cs="宋体" w:eastAsia="宋体" w:hint="default"/>
          <w:sz w:val="28"/>
          <w:szCs w:val="28"/>
        </w:rPr>
      </w:r>
    </w:p>
    <w:p>
      <w:pPr>
        <w:spacing w:line="408" w:lineRule="auto" w:before="160"/>
        <w:ind w:left="1133" w:right="1033" w:firstLine="562"/>
        <w:jc w:val="left"/>
        <w:rPr>
          <w:rFonts w:ascii="宋体" w:hAnsi="宋体" w:cs="宋体" w:eastAsia="宋体" w:hint="default"/>
          <w:sz w:val="28"/>
          <w:szCs w:val="28"/>
        </w:rPr>
      </w:pPr>
      <w:r>
        <w:rPr>
          <w:rFonts w:ascii="宋体" w:hAnsi="宋体" w:cs="宋体" w:eastAsia="宋体" w:hint="default"/>
          <w:b/>
          <w:bCs/>
          <w:spacing w:val="-2"/>
          <w:w w:val="95"/>
          <w:sz w:val="28"/>
          <w:szCs w:val="28"/>
        </w:rPr>
        <w:t>应对措施：公司将继续顺应市场需求，加强自身技术创新与销售渠道建设，</w:t>
      </w:r>
      <w:r>
        <w:rPr>
          <w:rFonts w:ascii="宋体" w:hAnsi="宋体" w:cs="宋体" w:eastAsia="宋体" w:hint="default"/>
          <w:b/>
          <w:bCs/>
          <w:w w:val="99"/>
          <w:sz w:val="28"/>
          <w:szCs w:val="28"/>
        </w:rPr>
        <w:t> </w:t>
      </w:r>
      <w:r>
        <w:rPr>
          <w:rFonts w:ascii="宋体" w:hAnsi="宋体" w:cs="宋体" w:eastAsia="宋体" w:hint="default"/>
          <w:b/>
          <w:bCs/>
          <w:spacing w:val="3"/>
          <w:sz w:val="28"/>
          <w:szCs w:val="28"/>
        </w:rPr>
        <w:t>加大品牌宣传力度，加强营销体系建设。同时，通过差异化定位，以互补性合</w:t>
      </w:r>
      <w:r>
        <w:rPr>
          <w:rFonts w:ascii="宋体" w:hAnsi="宋体" w:cs="宋体" w:eastAsia="宋体" w:hint="default"/>
          <w:b/>
          <w:bCs/>
          <w:w w:val="99"/>
          <w:sz w:val="28"/>
          <w:szCs w:val="28"/>
        </w:rPr>
        <w:t> </w:t>
      </w:r>
      <w:r>
        <w:rPr>
          <w:rFonts w:ascii="宋体" w:hAnsi="宋体" w:cs="宋体" w:eastAsia="宋体" w:hint="default"/>
          <w:b/>
          <w:bCs/>
          <w:spacing w:val="3"/>
          <w:sz w:val="28"/>
          <w:szCs w:val="28"/>
        </w:rPr>
        <w:t>作、参股、并购等整合方式获得竞争优势，壮大公司主营业务，以应对市场竞</w:t>
      </w:r>
      <w:r>
        <w:rPr>
          <w:rFonts w:ascii="宋体" w:hAnsi="宋体" w:cs="宋体" w:eastAsia="宋体" w:hint="default"/>
          <w:b/>
          <w:bCs/>
          <w:spacing w:val="3"/>
          <w:w w:val="99"/>
          <w:sz w:val="28"/>
          <w:szCs w:val="28"/>
        </w:rPr>
        <w:t> </w:t>
      </w:r>
      <w:r>
        <w:rPr>
          <w:rFonts w:ascii="宋体" w:hAnsi="宋体" w:cs="宋体" w:eastAsia="宋体" w:hint="default"/>
          <w:b/>
          <w:bCs/>
          <w:sz w:val="28"/>
          <w:szCs w:val="28"/>
        </w:rPr>
        <w:t>争风险。</w:t>
      </w:r>
      <w:r>
        <w:rPr>
          <w:rFonts w:ascii="宋体" w:hAnsi="宋体" w:cs="宋体" w:eastAsia="宋体" w:hint="default"/>
          <w:sz w:val="28"/>
          <w:szCs w:val="28"/>
        </w:rPr>
      </w:r>
    </w:p>
    <w:p>
      <w:pPr>
        <w:spacing w:line="403" w:lineRule="auto" w:before="161"/>
        <w:ind w:left="1133" w:right="1141"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2</w:t>
      </w:r>
      <w:r>
        <w:rPr>
          <w:rFonts w:ascii="宋体" w:hAnsi="宋体" w:cs="宋体" w:eastAsia="宋体" w:hint="default"/>
          <w:b/>
          <w:bCs/>
          <w:spacing w:val="-2"/>
          <w:w w:val="95"/>
          <w:sz w:val="28"/>
          <w:szCs w:val="28"/>
        </w:rPr>
        <w:t>、核心技术人员流失风险。软件行业属于智力密集型行业，面临人员流动</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大、知识结构更新快等人力资源管理方面的问题。公司作为软件企业，产品研</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发和技术创新依赖于优秀的研发人员，如果出现核心人员流失、人才结构失衡</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的情况，这将使公司的持续创新能力和市场竞争力受到影响，公司的经营将会</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受到较大的不利影响。</w:t>
      </w:r>
      <w:r>
        <w:rPr>
          <w:rFonts w:ascii="宋体" w:hAnsi="宋体" w:cs="宋体" w:eastAsia="宋体" w:hint="default"/>
          <w:sz w:val="28"/>
          <w:szCs w:val="28"/>
        </w:rPr>
      </w:r>
    </w:p>
    <w:p>
      <w:pPr>
        <w:spacing w:before="165"/>
        <w:ind w:left="1695" w:right="1033" w:firstLine="0"/>
        <w:jc w:val="left"/>
        <w:rPr>
          <w:rFonts w:ascii="宋体" w:hAnsi="宋体" w:cs="宋体" w:eastAsia="宋体" w:hint="default"/>
          <w:sz w:val="28"/>
          <w:szCs w:val="28"/>
        </w:rPr>
      </w:pPr>
      <w:r>
        <w:rPr>
          <w:rFonts w:ascii="宋体" w:hAnsi="宋体" w:cs="宋体" w:eastAsia="宋体" w:hint="default"/>
          <w:b/>
          <w:bCs/>
          <w:spacing w:val="3"/>
          <w:sz w:val="28"/>
          <w:szCs w:val="28"/>
        </w:rPr>
        <w:t>应对措施：公司将通过建立完善有效的绩效考核机制，采用多种方式，包</w:t>
      </w:r>
      <w:r>
        <w:rPr>
          <w:rFonts w:ascii="宋体" w:hAnsi="宋体" w:cs="宋体" w:eastAsia="宋体" w:hint="default"/>
          <w:spacing w:val="3"/>
          <w:sz w:val="28"/>
          <w:szCs w:val="28"/>
        </w:rPr>
      </w:r>
    </w:p>
    <w:p>
      <w:pPr>
        <w:spacing w:after="0"/>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10" w:lineRule="auto" w:before="13"/>
        <w:ind w:left="1133" w:right="1033"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括不限于基本薪酬、绩效奖励、股权激励等手段，并加强企业文化建设，以吸</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引和留住人才。</w:t>
      </w:r>
      <w:r>
        <w:rPr>
          <w:rFonts w:ascii="宋体" w:hAnsi="宋体" w:cs="宋体" w:eastAsia="宋体" w:hint="default"/>
          <w:sz w:val="28"/>
          <w:szCs w:val="28"/>
        </w:rPr>
      </w:r>
    </w:p>
    <w:p>
      <w:pPr>
        <w:spacing w:line="405" w:lineRule="auto" w:before="157"/>
        <w:ind w:left="1133" w:right="1132"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3</w:t>
      </w:r>
      <w:r>
        <w:rPr>
          <w:rFonts w:ascii="宋体" w:hAnsi="宋体" w:cs="宋体" w:eastAsia="宋体" w:hint="default"/>
          <w:b/>
          <w:bCs/>
          <w:spacing w:val="-2"/>
          <w:sz w:val="28"/>
          <w:szCs w:val="28"/>
        </w:rPr>
        <w:t>、技术研发风险。基于软件技术的研发规律，新技术、新产品的研发在创</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新成果和开发周期上存在较大的不确定性。一方面，新技术、新产品的技术研</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发难度较大，研发周期较长，开发环节中的个别难题有可能影响最终产品的研</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发进度，使新产品的推出时间出现滞后；另一方面，即使新技术、新产品顺利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开发完成并推向市场，也有得不到市场和客户足够认可的风险，导致新技术、</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新产品推出后的经济效益与预期收益存在较大差距。如果公司在技术开发方向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决策上出现失误，未能及时跟上行业技术更新换代的速度，未能正确把握市场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动向并顺应市场需求变化，或未能及时将最新技术运用于新产品的升级和开发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等，可能导致公司丧失技术和市场的现有地位。</w:t>
      </w:r>
      <w:r>
        <w:rPr>
          <w:rFonts w:ascii="宋体" w:hAnsi="宋体" w:cs="宋体" w:eastAsia="宋体" w:hint="default"/>
          <w:sz w:val="28"/>
          <w:szCs w:val="28"/>
        </w:rPr>
      </w:r>
    </w:p>
    <w:p>
      <w:pPr>
        <w:spacing w:line="408" w:lineRule="auto" w:before="164"/>
        <w:ind w:left="1133" w:right="1003" w:firstLine="562"/>
        <w:jc w:val="both"/>
        <w:rPr>
          <w:rFonts w:ascii="宋体" w:hAnsi="宋体" w:cs="宋体" w:eastAsia="宋体" w:hint="default"/>
          <w:sz w:val="28"/>
          <w:szCs w:val="28"/>
        </w:rPr>
      </w:pPr>
      <w:r>
        <w:rPr>
          <w:rFonts w:ascii="宋体" w:hAnsi="宋体" w:cs="宋体" w:eastAsia="宋体" w:hint="default"/>
          <w:b/>
          <w:bCs/>
          <w:spacing w:val="3"/>
          <w:sz w:val="28"/>
          <w:szCs w:val="28"/>
        </w:rPr>
        <w:t>应对措施：公司以国家政策和行业客户需求为导向，深入解读国家规划布</w:t>
      </w:r>
      <w:r>
        <w:rPr>
          <w:rFonts w:ascii="宋体" w:hAnsi="宋体" w:cs="宋体" w:eastAsia="宋体" w:hint="default"/>
          <w:b/>
          <w:bCs/>
          <w:w w:val="99"/>
          <w:sz w:val="28"/>
          <w:szCs w:val="28"/>
        </w:rPr>
        <w:t> </w:t>
      </w:r>
      <w:r>
        <w:rPr>
          <w:rFonts w:ascii="宋体" w:hAnsi="宋体" w:cs="宋体" w:eastAsia="宋体" w:hint="default"/>
          <w:b/>
          <w:bCs/>
          <w:spacing w:val="3"/>
          <w:sz w:val="28"/>
          <w:szCs w:val="28"/>
        </w:rPr>
        <w:t>局的发展方向，切合实际的结合行业客户的需求，提供最优解决方案和产品，</w:t>
      </w:r>
      <w:r>
        <w:rPr>
          <w:rFonts w:ascii="宋体" w:hAnsi="宋体" w:cs="宋体" w:eastAsia="宋体" w:hint="default"/>
          <w:b/>
          <w:bCs/>
          <w:w w:val="99"/>
          <w:sz w:val="28"/>
          <w:szCs w:val="28"/>
        </w:rPr>
        <w:t> </w:t>
      </w:r>
      <w:r>
        <w:rPr>
          <w:rFonts w:ascii="宋体" w:hAnsi="宋体" w:cs="宋体" w:eastAsia="宋体" w:hint="default"/>
          <w:b/>
          <w:bCs/>
          <w:spacing w:val="3"/>
          <w:sz w:val="28"/>
          <w:szCs w:val="28"/>
        </w:rPr>
        <w:t>走在市场的前端，同时完善市场调研、研发项目立项、核心技术研究、产品发</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布、市场推广、客户营销、售后服务等环节的闭环管理，以降低技术研发风险。</w:t>
      </w:r>
      <w:r>
        <w:rPr>
          <w:rFonts w:ascii="宋体" w:hAnsi="宋体" w:cs="宋体" w:eastAsia="宋体" w:hint="default"/>
          <w:spacing w:val="-2"/>
          <w:sz w:val="28"/>
          <w:szCs w:val="28"/>
        </w:rPr>
      </w:r>
    </w:p>
    <w:p>
      <w:pPr>
        <w:spacing w:line="405" w:lineRule="auto" w:before="160"/>
        <w:ind w:left="1133" w:right="1033" w:firstLine="562"/>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、重组整合风险。公司和重组、并购的子公司处于软件和信息技术服务业</w:t>
      </w:r>
      <w:r>
        <w:rPr>
          <w:rFonts w:ascii="宋体" w:hAnsi="宋体" w:cs="宋体" w:eastAsia="宋体" w:hint="default"/>
          <w:b/>
          <w:bCs/>
          <w:w w:val="99"/>
          <w:sz w:val="28"/>
          <w:szCs w:val="28"/>
        </w:rPr>
        <w:t> </w:t>
      </w:r>
      <w:r>
        <w:rPr>
          <w:rFonts w:ascii="宋体" w:hAnsi="宋体" w:cs="宋体" w:eastAsia="宋体" w:hint="default"/>
          <w:b/>
          <w:bCs/>
          <w:spacing w:val="3"/>
          <w:sz w:val="28"/>
          <w:szCs w:val="28"/>
        </w:rPr>
        <w:t>内不同的细分行业，业务模式存在一定程度的差异。重组、并购完成后公司间</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需要在业务体系、组织机构、管理制度、企业文化等方面进行整合，而在研发、</w:t>
      </w:r>
      <w:r>
        <w:rPr>
          <w:rFonts w:ascii="宋体" w:hAnsi="宋体" w:cs="宋体" w:eastAsia="宋体" w:hint="default"/>
          <w:b/>
          <w:bCs/>
          <w:spacing w:val="63"/>
          <w:w w:val="95"/>
          <w:sz w:val="28"/>
          <w:szCs w:val="28"/>
        </w:rPr>
        <w:t> </w:t>
      </w:r>
      <w:r>
        <w:rPr>
          <w:rFonts w:ascii="宋体" w:hAnsi="宋体" w:cs="宋体" w:eastAsia="宋体" w:hint="default"/>
          <w:b/>
          <w:bCs/>
          <w:spacing w:val="63"/>
          <w:w w:val="95"/>
          <w:sz w:val="28"/>
          <w:szCs w:val="28"/>
        </w:rPr>
      </w:r>
      <w:r>
        <w:rPr>
          <w:rFonts w:ascii="宋体" w:hAnsi="宋体" w:cs="宋体" w:eastAsia="宋体" w:hint="default"/>
          <w:b/>
          <w:bCs/>
          <w:spacing w:val="3"/>
          <w:sz w:val="28"/>
          <w:szCs w:val="28"/>
        </w:rPr>
        <w:t>采购、销售和管理等方面的整合到位需要一定时间，因此，东方通与重组并购</w:t>
      </w:r>
      <w:r>
        <w:rPr>
          <w:rFonts w:ascii="宋体" w:hAnsi="宋体" w:cs="宋体" w:eastAsia="宋体" w:hint="default"/>
          <w:b/>
          <w:bCs/>
          <w:w w:val="99"/>
          <w:sz w:val="28"/>
          <w:szCs w:val="28"/>
        </w:rPr>
        <w:t> </w:t>
      </w:r>
      <w:r>
        <w:rPr>
          <w:rFonts w:ascii="宋体" w:hAnsi="宋体" w:cs="宋体" w:eastAsia="宋体" w:hint="default"/>
          <w:b/>
          <w:bCs/>
          <w:spacing w:val="3"/>
          <w:sz w:val="28"/>
          <w:szCs w:val="28"/>
        </w:rPr>
        <w:t>企业之间能否顺利实现整合具有不确定性，整合过程中可能会对各公司的正常</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业务发展造成一定影响。另外，也存在并购后的子公司业绩达不到预期的风险。</w:t>
      </w:r>
      <w:r>
        <w:rPr>
          <w:rFonts w:ascii="宋体" w:hAnsi="宋体" w:cs="宋体" w:eastAsia="宋体" w:hint="default"/>
          <w:spacing w:val="-2"/>
          <w:sz w:val="28"/>
          <w:szCs w:val="28"/>
        </w:rPr>
      </w:r>
    </w:p>
    <w:p>
      <w:pPr>
        <w:spacing w:after="0" w:line="405" w:lineRule="auto"/>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3"/>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应对措施：公司对各子公司加强在业务经营、财务运作、综合运营等方面</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的控制和管理，建立了有效的治理机制。公司将各子公司的财务管理和综合运</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营管理纳入到上市公司统一的管理系统中，并加强审计和监督，保证对各子公</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司重大事项的决策权，提高公司整体抗风险能力。公司将整合营销服务体系，</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通过发挥协同效应，实现业务结构的优势互补和管理模式的优化升级。</w:t>
      </w:r>
      <w:r>
        <w:rPr>
          <w:rFonts w:ascii="宋体" w:hAnsi="宋体" w:cs="宋体" w:eastAsia="宋体" w:hint="default"/>
          <w:sz w:val="28"/>
          <w:szCs w:val="28"/>
        </w:rPr>
      </w:r>
    </w:p>
    <w:p>
      <w:pPr>
        <w:spacing w:line="405" w:lineRule="auto" w:before="160"/>
        <w:ind w:left="1133" w:right="1033" w:firstLine="562"/>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、业务规模迅速扩大导致的管理风险。随着并购重组的不断深入，加之非</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公开发行股票募集资金的到位和募集资金投资项目的实施，公司的资产、业务、</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pacing w:val="3"/>
          <w:sz w:val="28"/>
          <w:szCs w:val="28"/>
        </w:rPr>
        <w:t>机构和人员等将进一步扩张，公司目前拥有微智信业、东方通泰、东方通宇、</w:t>
      </w:r>
      <w:r>
        <w:rPr>
          <w:rFonts w:ascii="宋体" w:hAnsi="宋体" w:cs="宋体" w:eastAsia="宋体" w:hint="default"/>
          <w:b/>
          <w:bCs/>
          <w:w w:val="99"/>
          <w:sz w:val="28"/>
          <w:szCs w:val="28"/>
        </w:rPr>
        <w:t> </w:t>
      </w:r>
      <w:r>
        <w:rPr>
          <w:rFonts w:ascii="宋体" w:hAnsi="宋体" w:cs="宋体" w:eastAsia="宋体" w:hint="default"/>
          <w:b/>
          <w:bCs/>
          <w:spacing w:val="3"/>
          <w:sz w:val="28"/>
          <w:szCs w:val="28"/>
        </w:rPr>
        <w:t>成都东方通、惠捷朗、数字天堂六家全资子公司，业务涉及基础软件、大数据</w:t>
      </w:r>
      <w:r>
        <w:rPr>
          <w:rFonts w:ascii="宋体" w:hAnsi="宋体" w:cs="宋体" w:eastAsia="宋体" w:hint="default"/>
          <w:b/>
          <w:bCs/>
          <w:w w:val="99"/>
          <w:sz w:val="28"/>
          <w:szCs w:val="28"/>
        </w:rPr>
        <w:t> </w:t>
      </w:r>
      <w:r>
        <w:rPr>
          <w:rFonts w:ascii="宋体" w:hAnsi="宋体" w:cs="宋体" w:eastAsia="宋体" w:hint="default"/>
          <w:b/>
          <w:bCs/>
          <w:spacing w:val="3"/>
          <w:sz w:val="28"/>
          <w:szCs w:val="28"/>
        </w:rPr>
        <w:t>信息安全、政务大数据、军工信息化业务、移动信息化解决方案、网络优化软</w:t>
      </w:r>
      <w:r>
        <w:rPr>
          <w:rFonts w:ascii="宋体" w:hAnsi="宋体" w:cs="宋体" w:eastAsia="宋体" w:hint="default"/>
          <w:b/>
          <w:bCs/>
          <w:w w:val="99"/>
          <w:sz w:val="28"/>
          <w:szCs w:val="28"/>
        </w:rPr>
        <w:t> </w:t>
      </w:r>
      <w:r>
        <w:rPr>
          <w:rFonts w:ascii="宋体" w:hAnsi="宋体" w:cs="宋体" w:eastAsia="宋体" w:hint="default"/>
          <w:b/>
          <w:bCs/>
          <w:spacing w:val="3"/>
          <w:sz w:val="28"/>
          <w:szCs w:val="28"/>
        </w:rPr>
        <w:t>件及服务，集团化发展趋势已经显现。公司将在制度建设、组织设置、运营管</w:t>
      </w:r>
      <w:r>
        <w:rPr>
          <w:rFonts w:ascii="宋体" w:hAnsi="宋体" w:cs="宋体" w:eastAsia="宋体" w:hint="default"/>
          <w:b/>
          <w:bCs/>
          <w:w w:val="99"/>
          <w:sz w:val="28"/>
          <w:szCs w:val="28"/>
        </w:rPr>
        <w:t> </w:t>
      </w:r>
      <w:r>
        <w:rPr>
          <w:rFonts w:ascii="宋体" w:hAnsi="宋体" w:cs="宋体" w:eastAsia="宋体" w:hint="default"/>
          <w:b/>
          <w:bCs/>
          <w:spacing w:val="3"/>
          <w:sz w:val="28"/>
          <w:szCs w:val="28"/>
        </w:rPr>
        <w:t>理、资金管理和内部控制等方面面临更大的挑战，公司能否在短期内建立和完</w:t>
      </w:r>
      <w:r>
        <w:rPr>
          <w:rFonts w:ascii="宋体" w:hAnsi="宋体" w:cs="宋体" w:eastAsia="宋体" w:hint="default"/>
          <w:b/>
          <w:bCs/>
          <w:w w:val="99"/>
          <w:sz w:val="28"/>
          <w:szCs w:val="28"/>
        </w:rPr>
        <w:t> </w:t>
      </w:r>
      <w:r>
        <w:rPr>
          <w:rFonts w:ascii="宋体" w:hAnsi="宋体" w:cs="宋体" w:eastAsia="宋体" w:hint="default"/>
          <w:b/>
          <w:bCs/>
          <w:sz w:val="28"/>
          <w:szCs w:val="28"/>
        </w:rPr>
        <w:t>善适应企业发展需要的管理体系、制度及约束机制存在风险。</w:t>
      </w:r>
      <w:r>
        <w:rPr>
          <w:rFonts w:ascii="宋体" w:hAnsi="宋体" w:cs="宋体" w:eastAsia="宋体" w:hint="default"/>
          <w:sz w:val="28"/>
          <w:szCs w:val="28"/>
        </w:rPr>
      </w:r>
    </w:p>
    <w:p>
      <w:pPr>
        <w:spacing w:line="408" w:lineRule="auto" w:before="164"/>
        <w:ind w:left="113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应对措施：公司通过整体战略规划，合并同类业务领域，建立共享营销业</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务平台、共享研发平台、共享运营管理平台，以最大化利用当前公司已有的经</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营基础，整合已有人才资源，并积极引进先进人才。同时通过加强各环节制度</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管理、企业信息化建设等措施完善内部控制，降低内控风险。以增强集中及共</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享管理模式，加快实行集团化统一管理。</w:t>
      </w:r>
      <w:r>
        <w:rPr>
          <w:rFonts w:ascii="宋体" w:hAnsi="宋体" w:cs="宋体" w:eastAsia="宋体" w:hint="default"/>
          <w:sz w:val="28"/>
          <w:szCs w:val="28"/>
        </w:rPr>
      </w:r>
    </w:p>
    <w:p>
      <w:pPr>
        <w:spacing w:line="400" w:lineRule="auto" w:before="160"/>
        <w:ind w:left="1133" w:right="1139"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6</w:t>
      </w:r>
      <w:r>
        <w:rPr>
          <w:rFonts w:ascii="宋体" w:hAnsi="宋体" w:cs="宋体" w:eastAsia="宋体" w:hint="default"/>
          <w:b/>
          <w:bCs/>
          <w:spacing w:val="-2"/>
          <w:w w:val="95"/>
          <w:sz w:val="28"/>
          <w:szCs w:val="28"/>
        </w:rPr>
        <w:t>、业务转型升级导致的经营风险。国内信息安全领域目前处于快速发展的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阶段中，微智信业的信息安全业务保持持续发展势头。本部中间件业务向新一</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代软件基础设施与创新应用解决方案转型，紧跟国家政策导向，根据市场需求</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pacing w:val="3"/>
          <w:w w:val="95"/>
          <w:sz w:val="28"/>
          <w:szCs w:val="28"/>
        </w:rPr>
        <w:t>制定发展战略，在内生和外延的两个方面积极布局。但业务转型是个渐进的过</w:t>
      </w:r>
      <w:r>
        <w:rPr>
          <w:rFonts w:ascii="宋体" w:hAnsi="宋体" w:cs="宋体" w:eastAsia="宋体" w:hint="default"/>
          <w:spacing w:val="3"/>
          <w:sz w:val="28"/>
          <w:szCs w:val="28"/>
        </w:rPr>
      </w:r>
    </w:p>
    <w:p>
      <w:pPr>
        <w:spacing w:after="0" w:line="400" w:lineRule="auto"/>
        <w:jc w:val="both"/>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472" w:lineRule="auto" w:before="13"/>
        <w:ind w:left="1695" w:right="1033" w:hanging="562"/>
        <w:jc w:val="left"/>
        <w:rPr>
          <w:rFonts w:ascii="宋体" w:hAnsi="宋体" w:cs="宋体" w:eastAsia="宋体" w:hint="default"/>
          <w:sz w:val="28"/>
          <w:szCs w:val="28"/>
        </w:rPr>
      </w:pPr>
      <w:r>
        <w:rPr>
          <w:rFonts w:ascii="宋体" w:hAnsi="宋体" w:cs="宋体" w:eastAsia="宋体" w:hint="default"/>
          <w:b/>
          <w:bCs/>
          <w:sz w:val="28"/>
          <w:szCs w:val="28"/>
        </w:rPr>
        <w:t>程，若未把握住发展机会，可能导致出现一定的经营风险。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应对措施：公司经营层将紧跟国家政策导向以及行业客户实际需求，不断</w:t>
      </w:r>
      <w:r>
        <w:rPr>
          <w:rFonts w:ascii="宋体" w:hAnsi="宋体" w:cs="宋体" w:eastAsia="宋体" w:hint="default"/>
          <w:spacing w:val="3"/>
          <w:sz w:val="28"/>
          <w:szCs w:val="28"/>
        </w:rPr>
      </w:r>
    </w:p>
    <w:p>
      <w:pPr>
        <w:spacing w:line="408" w:lineRule="auto" w:before="0"/>
        <w:ind w:left="1133" w:right="1033" w:firstLine="0"/>
        <w:jc w:val="left"/>
        <w:rPr>
          <w:rFonts w:ascii="宋体" w:hAnsi="宋体" w:cs="宋体" w:eastAsia="宋体" w:hint="default"/>
          <w:sz w:val="28"/>
          <w:szCs w:val="28"/>
        </w:rPr>
      </w:pPr>
      <w:r>
        <w:rPr>
          <w:rFonts w:ascii="宋体" w:hAnsi="宋体" w:cs="宋体" w:eastAsia="宋体" w:hint="default"/>
          <w:b/>
          <w:bCs/>
          <w:spacing w:val="-2"/>
          <w:w w:val="95"/>
          <w:sz w:val="28"/>
          <w:szCs w:val="28"/>
        </w:rPr>
        <w:t>修订和完善公司未来战略发展规划，对应落实到各业务板块，并贯宣到全集团。</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pacing w:val="3"/>
          <w:sz w:val="28"/>
          <w:szCs w:val="28"/>
        </w:rPr>
        <w:t>同时，加强各级关键岗位人员能力的提升、加大基础人才的培养、加快新领域</w:t>
      </w:r>
      <w:r>
        <w:rPr>
          <w:rFonts w:ascii="宋体" w:hAnsi="宋体" w:cs="宋体" w:eastAsia="宋体" w:hint="default"/>
          <w:b/>
          <w:bCs/>
          <w:w w:val="99"/>
          <w:sz w:val="28"/>
          <w:szCs w:val="28"/>
        </w:rPr>
        <w:t> </w:t>
      </w:r>
      <w:r>
        <w:rPr>
          <w:rFonts w:ascii="宋体" w:hAnsi="宋体" w:cs="宋体" w:eastAsia="宋体" w:hint="default"/>
          <w:b/>
          <w:bCs/>
          <w:sz w:val="28"/>
          <w:szCs w:val="28"/>
        </w:rPr>
        <w:t>人才的引进和储备。</w:t>
      </w:r>
      <w:r>
        <w:rPr>
          <w:rFonts w:ascii="宋体" w:hAnsi="宋体" w:cs="宋体" w:eastAsia="宋体" w:hint="default"/>
          <w:sz w:val="28"/>
          <w:szCs w:val="28"/>
        </w:rPr>
      </w:r>
    </w:p>
    <w:p>
      <w:pPr>
        <w:spacing w:line="405" w:lineRule="auto" w:before="161"/>
        <w:ind w:left="1133" w:right="1085" w:firstLine="562"/>
        <w:jc w:val="both"/>
        <w:rPr>
          <w:rFonts w:ascii="宋体" w:hAnsi="宋体" w:cs="宋体" w:eastAsia="宋体" w:hint="default"/>
          <w:sz w:val="28"/>
          <w:szCs w:val="28"/>
        </w:rPr>
      </w:pPr>
      <w:r>
        <w:rPr>
          <w:rFonts w:ascii="Times New Roman" w:hAnsi="Times New Roman" w:cs="Times New Roman" w:eastAsia="Times New Roman" w:hint="default"/>
          <w:b/>
          <w:bCs/>
          <w:w w:val="95"/>
          <w:sz w:val="28"/>
          <w:szCs w:val="28"/>
        </w:rPr>
        <w:t>7</w:t>
      </w:r>
      <w:r>
        <w:rPr>
          <w:rFonts w:ascii="宋体" w:hAnsi="宋体" w:cs="宋体" w:eastAsia="宋体" w:hint="default"/>
          <w:b/>
          <w:bCs/>
          <w:w w:val="95"/>
          <w:sz w:val="28"/>
          <w:szCs w:val="28"/>
        </w:rPr>
        <w:t>、业绩季节性波动风险。因公司及子公司客户群体以政府、电信运营商、</w:t>
      </w:r>
      <w:r>
        <w:rPr>
          <w:rFonts w:ascii="宋体" w:hAnsi="宋体" w:cs="宋体" w:eastAsia="宋体" w:hint="default"/>
          <w:b/>
          <w:bCs/>
          <w:w w:val="99"/>
          <w:sz w:val="28"/>
          <w:szCs w:val="28"/>
        </w:rPr>
        <w:t> </w:t>
      </w:r>
      <w:r>
        <w:rPr>
          <w:rFonts w:ascii="宋体" w:hAnsi="宋体" w:cs="宋体" w:eastAsia="宋体" w:hint="default"/>
          <w:b/>
          <w:bCs/>
          <w:spacing w:val="3"/>
          <w:sz w:val="28"/>
          <w:szCs w:val="28"/>
        </w:rPr>
        <w:t>金融等领域客户为主，受其采用的预算管理制度和集中采购制度等影响，通常</w:t>
      </w:r>
      <w:r>
        <w:rPr>
          <w:rFonts w:ascii="宋体" w:hAnsi="宋体" w:cs="宋体" w:eastAsia="宋体" w:hint="default"/>
          <w:b/>
          <w:bCs/>
          <w:w w:val="99"/>
          <w:sz w:val="28"/>
          <w:szCs w:val="28"/>
        </w:rPr>
        <w:t> </w:t>
      </w:r>
      <w:r>
        <w:rPr>
          <w:rFonts w:ascii="宋体" w:hAnsi="宋体" w:cs="宋体" w:eastAsia="宋体" w:hint="default"/>
          <w:b/>
          <w:bCs/>
          <w:spacing w:val="3"/>
          <w:sz w:val="28"/>
          <w:szCs w:val="28"/>
        </w:rPr>
        <w:t>在一季度制定本年度全年的信息技术采购计划和指标；在第二季度及第三季度</w:t>
      </w:r>
      <w:r>
        <w:rPr>
          <w:rFonts w:ascii="宋体" w:hAnsi="宋体" w:cs="宋体" w:eastAsia="宋体" w:hint="default"/>
          <w:b/>
          <w:bCs/>
          <w:w w:val="99"/>
          <w:sz w:val="28"/>
          <w:szCs w:val="28"/>
        </w:rPr>
        <w:t> </w:t>
      </w:r>
      <w:r>
        <w:rPr>
          <w:rFonts w:ascii="宋体" w:hAnsi="宋体" w:cs="宋体" w:eastAsia="宋体" w:hint="default"/>
          <w:b/>
          <w:bCs/>
          <w:spacing w:val="3"/>
          <w:sz w:val="28"/>
          <w:szCs w:val="28"/>
        </w:rPr>
        <w:t>上半段进行相关产品现场调研、邀请相关厂商进行产品测试以及对入围厂商进</w:t>
      </w:r>
      <w:r>
        <w:rPr>
          <w:rFonts w:ascii="宋体" w:hAnsi="宋体" w:cs="宋体" w:eastAsia="宋体" w:hint="default"/>
          <w:b/>
          <w:bCs/>
          <w:w w:val="99"/>
          <w:sz w:val="28"/>
          <w:szCs w:val="28"/>
        </w:rPr>
        <w:t> </w:t>
      </w:r>
      <w:r>
        <w:rPr>
          <w:rFonts w:ascii="宋体" w:hAnsi="宋体" w:cs="宋体" w:eastAsia="宋体" w:hint="default"/>
          <w:b/>
          <w:bCs/>
          <w:spacing w:val="3"/>
          <w:sz w:val="28"/>
          <w:szCs w:val="28"/>
        </w:rPr>
        <w:t>行招标、投标、评标和定标；第三季度下半段及第四季度才正式确定所需采购</w:t>
      </w:r>
      <w:r>
        <w:rPr>
          <w:rFonts w:ascii="宋体" w:hAnsi="宋体" w:cs="宋体" w:eastAsia="宋体" w:hint="default"/>
          <w:b/>
          <w:bCs/>
          <w:w w:val="99"/>
          <w:sz w:val="28"/>
          <w:szCs w:val="28"/>
        </w:rPr>
        <w:t> </w:t>
      </w:r>
      <w:r>
        <w:rPr>
          <w:rFonts w:ascii="宋体" w:hAnsi="宋体" w:cs="宋体" w:eastAsia="宋体" w:hint="default"/>
          <w:b/>
          <w:bCs/>
          <w:spacing w:val="3"/>
          <w:sz w:val="28"/>
          <w:szCs w:val="28"/>
        </w:rPr>
        <w:t>产品并与中标厂商签订采购合同。因此，公司存在明显的季节性销售特征。随</w:t>
      </w:r>
      <w:r>
        <w:rPr>
          <w:rFonts w:ascii="宋体" w:hAnsi="宋体" w:cs="宋体" w:eastAsia="宋体" w:hint="default"/>
          <w:b/>
          <w:bCs/>
          <w:w w:val="99"/>
          <w:sz w:val="28"/>
          <w:szCs w:val="28"/>
        </w:rPr>
        <w:t> </w:t>
      </w:r>
      <w:r>
        <w:rPr>
          <w:rFonts w:ascii="宋体" w:hAnsi="宋体" w:cs="宋体" w:eastAsia="宋体" w:hint="default"/>
          <w:b/>
          <w:bCs/>
          <w:spacing w:val="3"/>
          <w:sz w:val="28"/>
          <w:szCs w:val="28"/>
        </w:rPr>
        <w:t>着新产品、新业务的开拓，以及并购整合效应的逐渐显现，预期公司销售和业</w:t>
      </w:r>
      <w:r>
        <w:rPr>
          <w:rFonts w:ascii="宋体" w:hAnsi="宋体" w:cs="宋体" w:eastAsia="宋体" w:hint="default"/>
          <w:b/>
          <w:bCs/>
          <w:w w:val="99"/>
          <w:sz w:val="28"/>
          <w:szCs w:val="28"/>
        </w:rPr>
        <w:t> </w:t>
      </w:r>
      <w:r>
        <w:rPr>
          <w:rFonts w:ascii="宋体" w:hAnsi="宋体" w:cs="宋体" w:eastAsia="宋体" w:hint="default"/>
          <w:b/>
          <w:bCs/>
          <w:sz w:val="28"/>
          <w:szCs w:val="28"/>
        </w:rPr>
        <w:t>绩的季节性特征会有所改善，但总体趋势不会有大的变化。</w:t>
      </w:r>
      <w:r>
        <w:rPr>
          <w:rFonts w:ascii="宋体" w:hAnsi="宋体" w:cs="宋体" w:eastAsia="宋体" w:hint="default"/>
          <w:sz w:val="28"/>
          <w:szCs w:val="28"/>
        </w:rPr>
      </w:r>
    </w:p>
    <w:p>
      <w:pPr>
        <w:spacing w:line="410" w:lineRule="auto" w:before="162"/>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应对措施：公司将不断加强营销管理、项目过程管控、财务管理，强化公</w:t>
      </w:r>
      <w:r>
        <w:rPr>
          <w:rFonts w:ascii="宋体" w:hAnsi="宋体" w:cs="宋体" w:eastAsia="宋体" w:hint="default"/>
          <w:b/>
          <w:bCs/>
          <w:w w:val="99"/>
          <w:sz w:val="28"/>
          <w:szCs w:val="28"/>
        </w:rPr>
        <w:t> </w:t>
      </w:r>
      <w:r>
        <w:rPr>
          <w:rFonts w:ascii="宋体" w:hAnsi="宋体" w:cs="宋体" w:eastAsia="宋体" w:hint="default"/>
          <w:b/>
          <w:bCs/>
          <w:sz w:val="28"/>
          <w:szCs w:val="28"/>
        </w:rPr>
        <w:t>司整体预算的科学化、精细化，严格督导实际经营情况。</w:t>
      </w:r>
      <w:r>
        <w:rPr>
          <w:rFonts w:ascii="宋体" w:hAnsi="宋体" w:cs="宋体" w:eastAsia="宋体" w:hint="default"/>
          <w:sz w:val="28"/>
          <w:szCs w:val="28"/>
        </w:rPr>
      </w:r>
    </w:p>
    <w:p>
      <w:pPr>
        <w:spacing w:line="403" w:lineRule="auto" w:before="157"/>
        <w:ind w:left="1133" w:right="1140"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w w:val="95"/>
          <w:sz w:val="28"/>
          <w:szCs w:val="28"/>
        </w:rPr>
        <w:t>8</w:t>
      </w:r>
      <w:r>
        <w:rPr>
          <w:rFonts w:ascii="宋体" w:hAnsi="宋体" w:cs="宋体" w:eastAsia="宋体" w:hint="default"/>
          <w:b/>
          <w:bCs/>
          <w:spacing w:val="-2"/>
          <w:w w:val="95"/>
          <w:sz w:val="28"/>
          <w:szCs w:val="28"/>
        </w:rPr>
        <w:t>、商誉减值风险。公司近两年进行了两次重大资产重组，以发行股份及支</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付现金的方式收购了惠捷朗和微智信业。并以支付现金方式收购了同德一心和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数字天堂，在扩大整个公司资产规模，提升盈利能力的同时也产生了较大金额</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的商誉，虽然公司已与交易对方约定了业绩承诺标准及补偿措施，可在较大程</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度上抵补可能发生的商誉减值损失，但如果相关子公司未来的经营状况恶化，</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根据《企业会计准则》的规定，需要对商誉计提减值，将对公司未来的经营业</w:t>
      </w:r>
      <w:r>
        <w:rPr>
          <w:rFonts w:ascii="宋体" w:hAnsi="宋体" w:cs="宋体" w:eastAsia="宋体" w:hint="default"/>
          <w:spacing w:val="3"/>
          <w:sz w:val="28"/>
          <w:szCs w:val="28"/>
        </w:rPr>
      </w:r>
    </w:p>
    <w:p>
      <w:pPr>
        <w:spacing w:after="0" w:line="403" w:lineRule="auto"/>
        <w:jc w:val="both"/>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472" w:lineRule="auto" w:before="13"/>
        <w:ind w:left="1695" w:right="1033" w:hanging="562"/>
        <w:jc w:val="left"/>
        <w:rPr>
          <w:rFonts w:ascii="宋体" w:hAnsi="宋体" w:cs="宋体" w:eastAsia="宋体" w:hint="default"/>
          <w:sz w:val="28"/>
          <w:szCs w:val="28"/>
        </w:rPr>
      </w:pPr>
      <w:r>
        <w:rPr>
          <w:rFonts w:ascii="宋体" w:hAnsi="宋体" w:cs="宋体" w:eastAsia="宋体" w:hint="default"/>
          <w:b/>
          <w:bCs/>
          <w:sz w:val="28"/>
          <w:szCs w:val="28"/>
        </w:rPr>
        <w:t>绩造成不利影响。</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应对措施：公司将在业务、销售渠道、管理及技术等方面进行资源整合，</w:t>
      </w:r>
      <w:r>
        <w:rPr>
          <w:rFonts w:ascii="宋体" w:hAnsi="宋体" w:cs="宋体" w:eastAsia="宋体" w:hint="default"/>
          <w:spacing w:val="3"/>
          <w:sz w:val="28"/>
          <w:szCs w:val="28"/>
        </w:rPr>
      </w:r>
    </w:p>
    <w:p>
      <w:pPr>
        <w:spacing w:line="408" w:lineRule="auto" w:before="0"/>
        <w:ind w:left="1133" w:right="113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积极发挥各业务板块的优势，增强各业务板块的持续盈利能力，并严格执行业</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pacing w:val="3"/>
          <w:w w:val="95"/>
          <w:sz w:val="28"/>
          <w:szCs w:val="28"/>
        </w:rPr>
        <w:t>绩补偿措施，将并购交易形成的商誉对上市公司未来业绩的不利影响降到最低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程度。</w:t>
      </w:r>
      <w:r>
        <w:rPr>
          <w:rFonts w:ascii="宋体" w:hAnsi="宋体" w:cs="宋体" w:eastAsia="宋体" w:hint="default"/>
          <w:sz w:val="28"/>
          <w:szCs w:val="28"/>
        </w:rPr>
      </w:r>
    </w:p>
    <w:p>
      <w:pPr>
        <w:spacing w:before="162"/>
        <w:ind w:left="1695" w:right="1033"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3584" w:right="358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102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103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176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3584" w:right="358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公司、东方通、本公司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保荐人、保荐机构、主承销商、独立财务顾 问、国信证券</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立信会计师、会计师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东方通泰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上海东方通泰软件科技有限公司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成都东方通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成都东方通科技有限责任公司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东方通宇</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北京东方通宇技术有限公司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惠捷朗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数字天堂</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北京数字天堂信息科技有限责任公司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微智信业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北京微智信业科技有限公司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无锡东方通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东方通科技无锡有限公司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东华软件股份公司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北京核高基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北京核高基软件有限公司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电信运营商</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left"/>
              <w:rPr>
                <w:rFonts w:ascii="宋体" w:hAnsi="宋体" w:cs="宋体" w:eastAsia="宋体" w:hint="default"/>
                <w:sz w:val="18"/>
                <w:szCs w:val="18"/>
              </w:rPr>
            </w:pPr>
            <w:r>
              <w:rPr>
                <w:rFonts w:ascii="宋体" w:hAnsi="宋体" w:cs="宋体" w:eastAsia="宋体" w:hint="default"/>
                <w:spacing w:val="-2"/>
                <w:sz w:val="18"/>
                <w:szCs w:val="18"/>
              </w:rPr>
              <w:t>提供固定电话、移动电话和互联网接入的通信服务公司，中国三大电</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信运营商分别是中国移动、中国联通和中国电信</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62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基础软件</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9"/>
              <w:jc w:val="both"/>
              <w:rPr>
                <w:rFonts w:ascii="宋体" w:hAnsi="宋体" w:cs="宋体" w:eastAsia="宋体" w:hint="default"/>
                <w:sz w:val="18"/>
                <w:szCs w:val="18"/>
              </w:rPr>
            </w:pPr>
            <w:r>
              <w:rPr>
                <w:rFonts w:ascii="宋体" w:hAnsi="宋体" w:cs="宋体" w:eastAsia="宋体" w:hint="default"/>
                <w:sz w:val="18"/>
                <w:szCs w:val="18"/>
              </w:rPr>
              <w:t>计算机系统中最底层、与具体业务逻辑无关的一类软件，其主要作用 是为应用软件对系统资源、数据和网络资源的访问和管理提供支撑， 为应用软件的开发、部署和运行提供平台。计算机软件可以分为基础 软件和应用软件两大类。基础软件包括操作系统、数据库系统、中间 件与虚拟化软件等。</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629"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5pt;height:692.0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软件基础设施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中间件、虚拟化软件、云管理平台产品及相关服务</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创新应用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网优测试软件、大数据信息安全、政务大数据、企业移动互联网</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中间件、中间件软件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一种应用于分布式系统的基础软件，位于应用与操作系统、数据库之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间，主要用于解决分布式环境下数据传输、数据访问、应用调度、系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统构建和系统集成、流程管理等问题，是分布式环境下支撑应用开发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运行和集成的平台。</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集成类中间件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主要用于异构系统（如不同的数据库系统、业务应用系统等）之间进</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行资源整合，以实现互连互通、数据共享、业务流程协调统一等功能</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并构建灵活可扩展的分布式企业应用。</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核高基、核高基项目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国家对核心电子器件、高端通用芯片及基础软件的简称，是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6"/>
                            <w:sz w:val="18"/>
                            <w:szCs w:val="18"/>
                          </w:rPr>
                          <w:t>国务院发布的《国家中长期科学和技术发展规划纲要（</w:t>
                        </w:r>
                        <w:r>
                          <w:rPr>
                            <w:rFonts w:ascii="Times New Roman" w:hAnsi="Times New Roman" w:cs="Times New Roman" w:eastAsia="Times New Roman" w:hint="default"/>
                            <w:spacing w:val="-6"/>
                            <w:sz w:val="18"/>
                            <w:szCs w:val="18"/>
                          </w:rPr>
                          <w:t>2006-2020</w:t>
                        </w:r>
                        <w:r>
                          <w:rPr>
                            <w:rFonts w:ascii="宋体" w:hAnsi="宋体" w:cs="宋体" w:eastAsia="宋体" w:hint="default"/>
                            <w:spacing w:val="-6"/>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中所列的重大科技专项之一。</w:t>
                        </w:r>
                      </w:p>
                    </w:tc>
                  </w:tr>
                  <w:tr>
                    <w:trPr>
                      <w:trHeight w:val="196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SOA</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Service-Oriented Architecture </w:t>
                        </w:r>
                        <w:r>
                          <w:rPr>
                            <w:rFonts w:ascii="宋体" w:hAnsi="宋体" w:cs="宋体" w:eastAsia="宋体" w:hint="default"/>
                            <w:sz w:val="18"/>
                            <w:szCs w:val="18"/>
                          </w:rPr>
                          <w:t>的简称，即面向服务的架构，是一种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策略，它将企业应用中的各种功能重新整理为具有互操作性的标准服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务，可以迅速组合和重用这些服务，以满足业务需要。</w:t>
                        </w:r>
                        <w:r>
                          <w:rPr>
                            <w:rFonts w:ascii="Times New Roman" w:hAnsi="Times New Roman" w:cs="Times New Roman" w:eastAsia="Times New Roman" w:hint="default"/>
                            <w:spacing w:val="-3"/>
                            <w:sz w:val="18"/>
                            <w:szCs w:val="18"/>
                          </w:rPr>
                          <w:t>SOA</w:t>
                        </w:r>
                        <w:r>
                          <w:rPr>
                            <w:rFonts w:ascii="Times New Roman" w:hAnsi="Times New Roman" w:cs="Times New Roman" w:eastAsia="Times New Roman" w:hint="default"/>
                            <w:sz w:val="18"/>
                            <w:szCs w:val="18"/>
                          </w:rPr>
                          <w:t> </w:t>
                        </w:r>
                        <w:r>
                          <w:rPr>
                            <w:rFonts w:ascii="宋体" w:hAnsi="宋体" w:cs="宋体" w:eastAsia="宋体" w:hint="default"/>
                            <w:sz w:val="18"/>
                            <w:szCs w:val="18"/>
                          </w:rPr>
                          <w:t>提供了一 </w:t>
                        </w:r>
                        <w:r>
                          <w:rPr>
                            <w:rFonts w:ascii="宋体" w:hAnsi="宋体" w:cs="宋体" w:eastAsia="宋体" w:hint="default"/>
                            <w:spacing w:val="-2"/>
                            <w:sz w:val="18"/>
                            <w:szCs w:val="18"/>
                          </w:rPr>
                          <w:t>种构建信息系统的标准和方法，并通过建立起合并、可重用的服务体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系来减少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业务冗余并加快项目开发的进程，使得开发部门效率更 高效。</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将大量用网络连接的计算资源统一管理和调度，构成一个计算资源池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向用户按需服务。提供资源的网络被称为</w:t>
                        </w:r>
                        <w:r>
                          <w:rPr>
                            <w:rFonts w:ascii="Times New Roman" w:hAnsi="Times New Roman" w:cs="Times New Roman" w:eastAsia="Times New Roman" w:hint="default"/>
                            <w:sz w:val="18"/>
                            <w:szCs w:val="18"/>
                          </w:rPr>
                          <w:t>"</w:t>
                        </w:r>
                        <w:r>
                          <w:rPr>
                            <w:rFonts w:ascii="宋体" w:hAnsi="宋体" w:cs="宋体" w:eastAsia="宋体" w:hint="default"/>
                            <w:sz w:val="18"/>
                            <w:szCs w:val="18"/>
                          </w:rPr>
                          <w:t>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PaaS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PaaS</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Platform </w:t>
                        </w:r>
                        <w:r>
                          <w:rPr>
                            <w:rFonts w:ascii="Times New Roman" w:hAnsi="Times New Roman" w:cs="Times New Roman" w:eastAsia="Times New Roman" w:hint="default"/>
                            <w:w w:val="99"/>
                            <w:sz w:val="18"/>
                            <w:szCs w:val="18"/>
                          </w:rPr>
                          <w:t>as </w:t>
                        </w:r>
                        <w:r>
                          <w:rPr>
                            <w:rFonts w:ascii="Times New Roman" w:hAnsi="Times New Roman" w:cs="Times New Roman" w:eastAsia="Times New Roman" w:hint="default"/>
                            <w:sz w:val="18"/>
                            <w:szCs w:val="18"/>
                          </w:rPr>
                          <w:t>a </w:t>
                        </w:r>
                        <w:r>
                          <w:rPr>
                            <w:rFonts w:ascii="Times New Roman" w:hAnsi="Times New Roman" w:cs="Times New Roman" w:eastAsia="Times New Roman" w:hint="default"/>
                            <w:spacing w:val="-6"/>
                            <w:w w:val="99"/>
                            <w:sz w:val="18"/>
                            <w:szCs w:val="18"/>
                          </w:rPr>
                          <w:t>Service</w:t>
                        </w:r>
                        <w:r>
                          <w:rPr>
                            <w:rFonts w:ascii="宋体" w:hAnsi="宋体" w:cs="宋体" w:eastAsia="宋体" w:hint="default"/>
                            <w:spacing w:val="-6"/>
                            <w:w w:val="99"/>
                            <w:sz w:val="18"/>
                            <w:szCs w:val="18"/>
                          </w:rPr>
                          <w:t>），意思是平台即服务。</w:t>
                        </w:r>
                        <w:r>
                          <w:rPr>
                            <w:rFonts w:ascii="宋体" w:hAnsi="宋体" w:cs="宋体" w:eastAsia="宋体" w:hint="default"/>
                            <w:spacing w:val="11"/>
                            <w:w w:val="99"/>
                            <w:sz w:val="18"/>
                            <w:szCs w:val="18"/>
                          </w:rPr>
                          <w:t> </w:t>
                        </w:r>
                        <w:r>
                          <w:rPr>
                            <w:rFonts w:ascii="宋体" w:hAnsi="宋体" w:cs="宋体" w:eastAsia="宋体" w:hint="default"/>
                            <w:w w:val="99"/>
                            <w:sz w:val="18"/>
                            <w:szCs w:val="18"/>
                          </w:rPr>
                          <w:t>是在云计算中将</w:t>
                        </w:r>
                        <w:r>
                          <w:rPr>
                            <w:rFonts w:ascii="宋体" w:hAnsi="宋体" w:cs="宋体" w:eastAsia="宋体" w:hint="default"/>
                            <w:w w:val="99"/>
                            <w:sz w:val="18"/>
                            <w:szCs w:val="18"/>
                          </w:rPr>
                          <w:t> </w:t>
                        </w:r>
                        <w:r>
                          <w:rPr>
                            <w:rFonts w:ascii="宋体" w:hAnsi="宋体" w:cs="宋体" w:eastAsia="宋体" w:hint="default"/>
                            <w:sz w:val="18"/>
                            <w:szCs w:val="18"/>
                          </w:rPr>
                          <w:t>包括中间件在内的运行和开发环境作为一种服务提供的商业模式。</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SaaS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 as a Service </w:t>
                        </w:r>
                        <w:r>
                          <w:rPr>
                            <w:rFonts w:ascii="宋体" w:hAnsi="宋体" w:cs="宋体" w:eastAsia="宋体" w:hint="default"/>
                            <w:spacing w:val="-5"/>
                            <w:sz w:val="18"/>
                            <w:szCs w:val="18"/>
                          </w:rPr>
                          <w:t>的缩写，意思是软件即服务。是一种通过</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提供软件的模式，用户不用再购买软件，而改用向提供商租用基于</w:t>
                        </w:r>
                        <w:r>
                          <w:rPr>
                            <w:rFonts w:ascii="宋体" w:hAnsi="宋体" w:cs="宋体" w:eastAsia="宋体" w:hint="default"/>
                            <w:w w:val="99"/>
                            <w:sz w:val="18"/>
                            <w:szCs w:val="18"/>
                          </w:rPr>
                          <w:t> </w:t>
                        </w: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的软件，来管理企业经营活动，且无需对软件进行维护</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虚拟化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pacing w:val="-5"/>
                            <w:sz w:val="18"/>
                            <w:szCs w:val="18"/>
                          </w:rPr>
                          <w:t>是一种资源管理技术，是将计算机的各种实体资源，如服务器、网络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内存及存储等，予以抽象、转换后呈现出来，打破实体结构间的不可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切割的障碍，使用户可以比原本的配置更好的方式来应用这些资源。 </w:t>
                        </w:r>
                        <w:r>
                          <w:rPr>
                            <w:rFonts w:ascii="宋体" w:hAnsi="宋体" w:cs="宋体" w:eastAsia="宋体" w:hint="default"/>
                            <w:spacing w:val="-2"/>
                            <w:sz w:val="18"/>
                            <w:szCs w:val="18"/>
                          </w:rPr>
                          <w:t>这些资源的新虚拟部份是不受现有资源的架设方式，地域或物理配置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所限制。</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3rdGeneration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缩写，第三代数字通信技术</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4G</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4rdGeneration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缩写，第四代移动通信技术</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6"/>
                            <w:sz w:val="18"/>
                          </w:rPr>
                          <w:t>LTE</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Long</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4"/>
                            <w:sz w:val="18"/>
                            <w:szCs w:val="18"/>
                          </w:rPr>
                          <w:t>Term</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3"/>
                            <w:sz w:val="18"/>
                            <w:szCs w:val="18"/>
                          </w:rPr>
                          <w:t>Evolution</w:t>
                        </w:r>
                        <w:r>
                          <w:rPr>
                            <w:rFonts w:ascii="宋体" w:hAnsi="宋体" w:cs="宋体" w:eastAsia="宋体" w:hint="default"/>
                            <w:spacing w:val="-3"/>
                            <w:sz w:val="18"/>
                            <w:szCs w:val="18"/>
                          </w:rPr>
                          <w:t>（长期演进）的英文缩写，是处于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之间 的一个过渡技术</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网优</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即网络优化，是通过对现有已运行的网络进行话务数据分析、现场测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试数据采集、参数分析、硬件检查等手段，找出影响网络质量的原因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并且通过参数的修改、网络结构的调整、设备配置的调整和采取某些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技术手段（采用</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MRP </w:t>
                        </w:r>
                        <w:r>
                          <w:rPr>
                            <w:rFonts w:ascii="宋体" w:hAnsi="宋体" w:cs="宋体" w:eastAsia="宋体" w:hint="default"/>
                            <w:spacing w:val="-6"/>
                            <w:sz w:val="18"/>
                            <w:szCs w:val="18"/>
                          </w:rPr>
                          <w:t>的规划办法等），确保系统高质量的运行，使现</w:t>
                        </w:r>
                        <w:r>
                          <w:rPr>
                            <w:rFonts w:ascii="宋体" w:hAnsi="宋体" w:cs="宋体" w:eastAsia="宋体" w:hint="default"/>
                            <w:sz w:val="18"/>
                            <w:szCs w:val="18"/>
                          </w:rPr>
                          <w:t> 有网络资源获得最佳效益</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路测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又称</w:t>
                        </w:r>
                        <w:r>
                          <w:rPr>
                            <w:rFonts w:ascii="宋体" w:hAnsi="宋体" w:cs="宋体" w:eastAsia="宋体" w:hint="default"/>
                            <w:spacing w:val="-46"/>
                            <w:sz w:val="18"/>
                            <w:szCs w:val="18"/>
                          </w:rPr>
                          <w:t> </w:t>
                        </w:r>
                        <w:r>
                          <w:rPr>
                            <w:rFonts w:ascii="Times New Roman" w:hAnsi="Times New Roman" w:cs="Times New Roman" w:eastAsia="Times New Roman" w:hint="default"/>
                            <w:spacing w:val="-1"/>
                            <w:w w:val="99"/>
                            <w:sz w:val="18"/>
                            <w:szCs w:val="18"/>
                          </w:rPr>
                          <w:t>D</w:t>
                        </w:r>
                        <w:r>
                          <w:rPr>
                            <w:rFonts w:ascii="Times New Roman" w:hAnsi="Times New Roman" w:cs="Times New Roman" w:eastAsia="Times New Roman" w:hint="default"/>
                            <w:w w:val="99"/>
                            <w:sz w:val="18"/>
                            <w:szCs w:val="18"/>
                          </w:rPr>
                          <w:t>T</w:t>
                        </w:r>
                        <w:r>
                          <w:rPr>
                            <w:rFonts w:ascii="宋体" w:hAnsi="宋体" w:cs="宋体" w:eastAsia="宋体" w:hint="default"/>
                            <w:sz w:val="18"/>
                            <w:szCs w:val="18"/>
                          </w:rPr>
                          <w:t>（</w:t>
                        </w:r>
                        <w:r>
                          <w:rPr>
                            <w:rFonts w:ascii="Times New Roman" w:hAnsi="Times New Roman" w:cs="Times New Roman" w:eastAsia="Times New Roman" w:hint="default"/>
                            <w:sz w:val="18"/>
                            <w:szCs w:val="18"/>
                          </w:rPr>
                          <w:t>Drive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13"/>
                            <w:sz w:val="18"/>
                            <w:szCs w:val="18"/>
                          </w:rPr>
                          <w:t>T</w:t>
                        </w:r>
                        <w:r>
                          <w:rPr>
                            <w:rFonts w:ascii="Times New Roman" w:hAnsi="Times New Roman" w:cs="Times New Roman" w:eastAsia="Times New Roman" w:hint="default"/>
                            <w:w w:val="99"/>
                            <w:sz w:val="18"/>
                            <w:szCs w:val="18"/>
                          </w:rPr>
                          <w:t>est</w:t>
                        </w: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D</w:t>
                        </w:r>
                        <w:r>
                          <w:rPr>
                            <w:rFonts w:ascii="Times New Roman" w:hAnsi="Times New Roman" w:cs="Times New Roman" w:eastAsia="Times New Roman" w:hint="default"/>
                            <w:w w:val="99"/>
                            <w:sz w:val="18"/>
                            <w:szCs w:val="18"/>
                          </w:rPr>
                          <w:t>T</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是无线网络优化的重要组成部分，是对</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1923"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1"/>
              <w:jc w:val="both"/>
              <w:rPr>
                <w:rFonts w:ascii="宋体" w:hAnsi="宋体" w:cs="宋体" w:eastAsia="宋体" w:hint="default"/>
                <w:sz w:val="18"/>
                <w:szCs w:val="18"/>
              </w:rPr>
            </w:pPr>
            <w:r>
              <w:rPr>
                <w:rFonts w:ascii="宋体" w:hAnsi="宋体" w:cs="宋体" w:eastAsia="宋体" w:hint="default"/>
                <w:spacing w:val="-2"/>
                <w:sz w:val="18"/>
                <w:szCs w:val="18"/>
              </w:rPr>
              <w:t>无线网络的下行信号进行测试，主要用于获得以下数据：服务小区信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号强度、话音质量、相邻小区的信号强度指示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以及信号质量指示 </w:t>
            </w:r>
            <w:r>
              <w:rPr>
                <w:rFonts w:ascii="Times New Roman" w:hAnsi="Times New Roman" w:cs="Times New Roman" w:eastAsia="Times New Roman" w:hint="default"/>
                <w:spacing w:val="-2"/>
                <w:sz w:val="18"/>
                <w:szCs w:val="18"/>
              </w:rPr>
              <w:t>Ec/Io</w:t>
            </w:r>
            <w:r>
              <w:rPr>
                <w:rFonts w:ascii="宋体" w:hAnsi="宋体" w:cs="宋体" w:eastAsia="宋体" w:hint="default"/>
                <w:spacing w:val="-2"/>
                <w:sz w:val="18"/>
                <w:szCs w:val="18"/>
              </w:rPr>
              <w:t>、切换及接入的信令过程、小区识码、区域识别码、业务建立成</w:t>
            </w:r>
            <w:r>
              <w:rPr>
                <w:rFonts w:ascii="宋体" w:hAnsi="宋体" w:cs="宋体" w:eastAsia="宋体" w:hint="default"/>
                <w:sz w:val="18"/>
                <w:szCs w:val="18"/>
              </w:rPr>
              <w:t> </w:t>
            </w:r>
            <w:r>
              <w:rPr>
                <w:rFonts w:ascii="宋体" w:hAnsi="宋体" w:cs="宋体" w:eastAsia="宋体" w:hint="default"/>
                <w:spacing w:val="-2"/>
                <w:sz w:val="18"/>
                <w:szCs w:val="18"/>
              </w:rPr>
              <w:t>功率、切换比例、上下行平均吞吐率、手机所处的地理位置信、呼叫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管理、移动管理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业务建立时延等值。其作用主要在于网络质量的评估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和无线网络的优化</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信令</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在通信网络中控制协调实际应用信息传输的信号</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基站</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在无线电覆盖区内，通过移动通信交换中心，与移动电话终端之间进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行信息传递的无线电收发信电台</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DPI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具备业务数据流识别、业务数据流控制能力，工作在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OSI</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模型传输层</w:t>
            </w:r>
            <w:r>
              <w:rPr>
                <w:rFonts w:ascii="宋体" w:hAnsi="宋体" w:cs="宋体" w:eastAsia="宋体" w:hint="default"/>
                <w:spacing w:val="-88"/>
                <w:sz w:val="18"/>
                <w:szCs w:val="18"/>
              </w:rPr>
              <w:t> </w:t>
            </w:r>
            <w:r>
              <w:rPr>
                <w:rFonts w:ascii="宋体" w:hAnsi="宋体" w:cs="宋体" w:eastAsia="宋体" w:hint="default"/>
                <w:spacing w:val="-2"/>
                <w:sz w:val="18"/>
                <w:szCs w:val="18"/>
              </w:rPr>
              <w:t>到应用层，具有高数据处理能力，能够对网络所承载的业务进行识别</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和流量管理，可部署在网络骨干层、城域网和企业内部的网络设备</w:t>
            </w:r>
          </w:p>
        </w:tc>
      </w:tr>
    </w:tbl>
    <w:p>
      <w:pPr>
        <w:spacing w:after="0" w:line="30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1033"/>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3"/>
        <w:jc w:val="left"/>
        <w:rPr>
          <w:b w:val="0"/>
          <w:bCs w:val="0"/>
        </w:rPr>
      </w:pPr>
      <w:r>
        <w:rPr/>
        <w:pict>
          <v:group style="position:absolute;margin-left:172.339996pt;margin-top:114.735596pt;width:361.5pt;height:19.6pt;mso-position-horizontal-relative:page;mso-position-vertical-relative:paragraph;z-index:-1032016"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东方通</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300379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北京东方通科技股份有限公司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东方通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Beijing Tongtech Co.,</w:t>
            </w:r>
            <w:r>
              <w:rPr>
                <w:rFonts w:ascii="Times New Roman"/>
                <w:spacing w:val="-23"/>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Tongtech</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黄永军</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北京市丰台区丰台路口</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号主楼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311</w:t>
            </w:r>
            <w:r>
              <w:rPr>
                <w:rFonts w:ascii="宋体" w:hAnsi="宋体" w:cs="宋体" w:eastAsia="宋体" w:hint="default"/>
                <w:sz w:val="18"/>
                <w:szCs w:val="18"/>
              </w:rPr>
              <w:t>（园区）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100071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北京市海淀区彩和坊路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100080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www.tongtech.com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tongtech@tongtech.com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33"/>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387"/>
        <w:gridCol w:w="3698"/>
        <w:gridCol w:w="3473"/>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韩静</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北京市海淀区彩和坊路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北京市海淀区彩和坊路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010-82652668</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010-82652668</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010-82652226</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010-82652226</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tongtech@tongtech.com</w:t>
              </w:r>
            </w:hyperlink>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tongtech@tongtech.com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33"/>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公司董秘办公室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33"/>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刘文豪、徐银行</w:t>
            </w:r>
          </w:p>
        </w:tc>
      </w:tr>
    </w:tbl>
    <w:p>
      <w:pPr>
        <w:pStyle w:val="BodyText"/>
        <w:spacing w:line="240" w:lineRule="auto" w:before="51"/>
        <w:ind w:left="1134" w:right="1033"/>
        <w:jc w:val="left"/>
      </w:pPr>
      <w:r>
        <w:rPr/>
        <w:t>公司聘请的报告期内履行持续督导职责的保荐机构</w:t>
      </w:r>
    </w:p>
    <w:p>
      <w:pPr>
        <w:pStyle w:val="BodyText"/>
        <w:spacing w:line="240" w:lineRule="auto" w:before="117"/>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985"/>
        <w:gridCol w:w="2800"/>
        <w:gridCol w:w="1595"/>
        <w:gridCol w:w="3189"/>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6"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2"/>
              <w:jc w:val="center"/>
              <w:rPr>
                <w:rFonts w:ascii="宋体" w:hAnsi="宋体" w:cs="宋体" w:eastAsia="宋体" w:hint="default"/>
                <w:sz w:val="18"/>
                <w:szCs w:val="18"/>
              </w:rPr>
            </w:pPr>
            <w:r>
              <w:rPr>
                <w:rFonts w:ascii="宋体" w:hAnsi="宋体" w:cs="宋体" w:eastAsia="宋体" w:hint="default"/>
                <w:sz w:val="18"/>
                <w:szCs w:val="18"/>
              </w:rPr>
              <w:t>北京市西城区金融街国信证券大厦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周志林、胡小娥</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1033"/>
        <w:jc w:val="left"/>
      </w:pPr>
      <w:r>
        <w:rPr/>
        <w:t>公司聘请的报告期内履行持续督导职责的财务顾问</w:t>
      </w:r>
    </w:p>
    <w:p>
      <w:pPr>
        <w:pStyle w:val="BodyText"/>
        <w:spacing w:line="240" w:lineRule="auto" w:before="116"/>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85"/>
        <w:gridCol w:w="2800"/>
        <w:gridCol w:w="1736"/>
        <w:gridCol w:w="3047"/>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财务顾问办公地址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3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2"/>
              <w:jc w:val="center"/>
              <w:rPr>
                <w:rFonts w:ascii="宋体" w:hAnsi="宋体" w:cs="宋体" w:eastAsia="宋体" w:hint="default"/>
                <w:sz w:val="18"/>
                <w:szCs w:val="18"/>
              </w:rPr>
            </w:pPr>
            <w:r>
              <w:rPr>
                <w:rFonts w:ascii="宋体" w:hAnsi="宋体" w:cs="宋体" w:eastAsia="宋体" w:hint="default"/>
                <w:sz w:val="18"/>
                <w:szCs w:val="18"/>
              </w:rPr>
              <w:t>北京市西城区金融街国信证券大厦</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李广辉、谭杰伦</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3"/>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公司是否需追溯调整或重述以前年度会计数据</w:t>
      </w:r>
    </w:p>
    <w:p>
      <w:pPr>
        <w:pStyle w:val="BodyText"/>
        <w:spacing w:line="240" w:lineRule="auto" w:before="116"/>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292,786,400.27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325,397,640.15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237,277,215.38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-307,286,709.04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111,363,644.76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-375.93%</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70,686,419.86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-322,944,790.02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102,387,427.84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-415.41%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61,676,862.57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109,168,538.93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147,391,257.57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65,575,087.94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-352.55%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0.3068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-353.41%</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1,562,325,014.23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1,964,232,909.12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922,888,931.47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1,447,441,843.54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1,774,382,011.24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840,977,975.50</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3"/>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71" w:right="0"/>
              <w:jc w:val="left"/>
              <w:rPr>
                <w:rFonts w:ascii="Times New Roman" w:hAnsi="Times New Roman" w:cs="Times New Roman" w:eastAsia="Times New Roman" w:hint="default"/>
                <w:sz w:val="18"/>
                <w:szCs w:val="18"/>
              </w:rPr>
            </w:pPr>
            <w:r>
              <w:rPr>
                <w:rFonts w:ascii="Times New Roman"/>
                <w:sz w:val="18"/>
              </w:rPr>
              <w:t>52,575,613.25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0" w:right="0"/>
              <w:jc w:val="left"/>
              <w:rPr>
                <w:rFonts w:ascii="Times New Roman" w:hAnsi="Times New Roman" w:cs="Times New Roman" w:eastAsia="Times New Roman" w:hint="default"/>
                <w:sz w:val="18"/>
                <w:szCs w:val="18"/>
              </w:rPr>
            </w:pPr>
            <w:r>
              <w:rPr>
                <w:rFonts w:ascii="Times New Roman"/>
                <w:sz w:val="18"/>
              </w:rPr>
              <w:t>47,980,076.51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1" w:right="0"/>
              <w:jc w:val="left"/>
              <w:rPr>
                <w:rFonts w:ascii="Times New Roman" w:hAnsi="Times New Roman" w:cs="Times New Roman" w:eastAsia="Times New Roman" w:hint="default"/>
                <w:sz w:val="18"/>
                <w:szCs w:val="18"/>
              </w:rPr>
            </w:pPr>
            <w:r>
              <w:rPr>
                <w:rFonts w:ascii="Times New Roman"/>
                <w:sz w:val="18"/>
              </w:rPr>
              <w:t>89,645,842.85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2" w:right="0"/>
              <w:jc w:val="left"/>
              <w:rPr>
                <w:rFonts w:ascii="Times New Roman" w:hAnsi="Times New Roman" w:cs="Times New Roman" w:eastAsia="Times New Roman" w:hint="default"/>
                <w:sz w:val="18"/>
                <w:szCs w:val="18"/>
              </w:rPr>
            </w:pPr>
            <w:r>
              <w:rPr>
                <w:rFonts w:ascii="Times New Roman"/>
                <w:sz w:val="18"/>
              </w:rPr>
              <w:t>102,584,867.66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3,114,364.01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4,350,497.94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30,568,625.36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-345,320,196.35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2,914,095.19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3,941,526.94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29,039,985.88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-358,840,398.03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-21,757,520.79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28,776,069.50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30,147,935.92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72,002,054.30</w:t>
            </w:r>
          </w:p>
        </w:tc>
      </w:tr>
    </w:tbl>
    <w:p>
      <w:pPr>
        <w:pStyle w:val="BodyText"/>
        <w:spacing w:line="240" w:lineRule="auto" w:before="51"/>
        <w:ind w:left="1134" w:right="1033"/>
        <w:jc w:val="left"/>
      </w:pPr>
      <w:r>
        <w:rPr/>
        <w:t>上述财务指标或其加总数是否与公司已披露季度报告、半年度报告相关财务指标存在重大差异</w:t>
      </w:r>
    </w:p>
    <w:p>
      <w:pPr>
        <w:pStyle w:val="BodyText"/>
        <w:spacing w:line="240" w:lineRule="auto" w:before="117"/>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3"/>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1033"/>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033"/>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-183,484.06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-1,290,046.63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-701,419.56</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4,619,644.00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8,916,931.02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11,399,096.16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13,984,240.88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2,924,470.82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-103,146.42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2,762,319.84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1,575,138.29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1,584,972.89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15,658,080.98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8,976,216.92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9,009,557.29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584"/>
        <w:jc w:val="center"/>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3"/>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12" w:lineRule="auto" w:before="25"/>
        <w:ind w:right="1033" w:firstLine="360"/>
        <w:jc w:val="left"/>
      </w:pPr>
      <w:r>
        <w:rPr/>
        <w:t>本公司创始业务是为企业级用户提供基础软件中的中间件产品及相关技术服务，于</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月在深圳证券交易所创业 </w:t>
      </w:r>
      <w:r>
        <w:rPr>
          <w:spacing w:val="-2"/>
        </w:rPr>
        <w:t>板上市。公司上市以来，一方面继续在传统中间件产品领域深挖市场需求，改善产品性能，增强用户体验，巩固国产中间件</w:t>
      </w:r>
      <w:r>
        <w:rPr>
          <w:spacing w:val="-66"/>
        </w:rPr>
        <w:t> </w:t>
      </w:r>
      <w:r>
        <w:rPr>
          <w:spacing w:val="-66"/>
        </w:rPr>
      </w:r>
      <w:r>
        <w:rPr>
          <w:spacing w:val="-2"/>
        </w:rPr>
        <w:t>行业领先地位；另一方面，通过新设投资、收购等资本市场手段，拓展新业务，完善在网络信息安全、云计算、大数据、等</w:t>
      </w:r>
      <w:r>
        <w:rPr>
          <w:spacing w:val="-68"/>
        </w:rPr>
        <w:t> </w:t>
      </w:r>
      <w:r>
        <w:rPr>
          <w:spacing w:val="-68"/>
        </w:rPr>
      </w:r>
      <w:r>
        <w:rPr>
          <w:spacing w:val="-2"/>
        </w:rPr>
        <w:t>新技术、新业态、新模式的布局，坚持</w:t>
      </w:r>
      <w:r>
        <w:rPr>
          <w:rFonts w:ascii="Times New Roman" w:hAnsi="Times New Roman" w:cs="Times New Roman" w:eastAsia="Times New Roman" w:hint="default"/>
          <w:spacing w:val="-2"/>
        </w:rPr>
        <w:t>“</w:t>
      </w:r>
      <w:r>
        <w:rPr>
          <w:spacing w:val="-2"/>
        </w:rPr>
        <w:t>自主、可控、安全</w:t>
      </w:r>
      <w:r>
        <w:rPr>
          <w:rFonts w:ascii="Times New Roman" w:hAnsi="Times New Roman" w:cs="Times New Roman" w:eastAsia="Times New Roman" w:hint="default"/>
          <w:spacing w:val="-2"/>
        </w:rPr>
        <w:t>”</w:t>
      </w:r>
      <w:r>
        <w:rPr>
          <w:spacing w:val="-2"/>
        </w:rPr>
        <w:t>的核心发展理念，加快推进公司由中间件产品厂商转型升级为互</w:t>
      </w:r>
      <w:r>
        <w:rPr>
          <w:spacing w:val="-45"/>
        </w:rPr>
        <w:t> </w:t>
      </w:r>
      <w:r>
        <w:rPr>
          <w:spacing w:val="-45"/>
        </w:rPr>
      </w:r>
      <w:r>
        <w:rPr/>
        <w:t>联网网络安全综合解决方案专家，以及依托基础软件拓展行业内及行业间综合应用的整体解决方案提供商。至本报告期末， 公司已经开展的主要业务包括基础软件综合应用、网络信息安全、电子政务大数据应用、军工信息化等。</w:t>
      </w:r>
    </w:p>
    <w:p>
      <w:pPr>
        <w:pStyle w:val="BodyText"/>
        <w:spacing w:line="307" w:lineRule="auto" w:before="61"/>
        <w:ind w:right="1033" w:firstLine="361"/>
        <w:jc w:val="left"/>
      </w:pPr>
      <w:r>
        <w:rPr>
          <w:rFonts w:ascii="宋体" w:hAnsi="宋体" w:cs="宋体" w:eastAsia="宋体" w:hint="default"/>
          <w:b/>
          <w:bCs/>
        </w:rPr>
        <w:t>母公司</w:t>
      </w:r>
      <w:r>
        <w:rPr/>
        <w:t>报告期内仍专注于基础软件</w:t>
      </w:r>
      <w:r>
        <w:rPr>
          <w:spacing w:val="-47"/>
        </w:rPr>
        <w:t> </w:t>
      </w:r>
      <w:r>
        <w:rPr>
          <w:rFonts w:ascii="Times New Roman" w:hAnsi="Times New Roman" w:cs="Times New Roman" w:eastAsia="Times New Roman" w:hint="default"/>
          <w:spacing w:val="-3"/>
        </w:rPr>
        <w:t>Tong</w:t>
      </w:r>
      <w:r>
        <w:rPr>
          <w:rFonts w:ascii="Times New Roman" w:hAnsi="Times New Roman" w:cs="Times New Roman" w:eastAsia="Times New Roman" w:hint="default"/>
          <w:spacing w:val="-2"/>
        </w:rPr>
        <w:t> </w:t>
      </w:r>
      <w:r>
        <w:rPr/>
        <w:t>系列中间件的研发、销售与相关服务。公司是中国中间件的开拓者和领导者， 凭借 </w:t>
      </w:r>
      <w:r>
        <w:rPr>
          <w:rFonts w:ascii="Times New Roman" w:hAnsi="Times New Roman" w:cs="Times New Roman" w:eastAsia="Times New Roman" w:hint="default"/>
        </w:rPr>
        <w:t>20</w:t>
      </w:r>
      <w:r>
        <w:rPr>
          <w:rFonts w:ascii="Times New Roman" w:hAnsi="Times New Roman" w:cs="Times New Roman" w:eastAsia="Times New Roman" w:hint="default"/>
          <w:spacing w:val="-10"/>
        </w:rPr>
        <w:t> </w:t>
      </w:r>
      <w:r>
        <w:rPr/>
        <w:t>余年的技术与市场积累，多年来保持中间件市场占有率国内厂商第一，在国内市场继续保持领导者象限，且是领导 </w:t>
      </w:r>
      <w:r>
        <w:rPr>
          <w:spacing w:val="-4"/>
        </w:rPr>
        <w:t>者象限唯一国产厂商。公司采取最终用户直销与渠道销售模式相结合的经营模式。产品广泛应用于政府、交通、金融、电信、</w:t>
      </w:r>
      <w:r>
        <w:rPr>
          <w:spacing w:val="-44"/>
        </w:rPr>
        <w:t> </w:t>
      </w:r>
      <w:r>
        <w:rPr>
          <w:spacing w:val="-44"/>
        </w:rPr>
      </w:r>
      <w:r>
        <w:rPr/>
        <w:t>军工等众多行业领域。</w:t>
      </w:r>
    </w:p>
    <w:p>
      <w:pPr>
        <w:pStyle w:val="BodyText"/>
        <w:spacing w:line="300" w:lineRule="auto" w:before="65"/>
        <w:ind w:right="1168" w:firstLine="360"/>
        <w:jc w:val="left"/>
      </w:pPr>
      <w:r>
        <w:rPr/>
        <w:t>公司 </w:t>
      </w:r>
      <w:r>
        <w:rPr>
          <w:rFonts w:ascii="Times New Roman" w:hAnsi="Times New Roman" w:cs="Times New Roman" w:eastAsia="Times New Roman" w:hint="default"/>
        </w:rPr>
        <w:t>TONG </w:t>
      </w:r>
      <w:r>
        <w:rPr/>
        <w:t>系列中间件产品线丰富，标准产品线涵盖主流基础中间件，如应用服务器 </w:t>
      </w:r>
      <w:r>
        <w:rPr>
          <w:rFonts w:ascii="Times New Roman" w:hAnsi="Times New Roman" w:cs="Times New Roman" w:eastAsia="Times New Roman" w:hint="default"/>
          <w:spacing w:val="-3"/>
        </w:rPr>
        <w:t>TongWeb</w:t>
      </w:r>
      <w:r>
        <w:rPr>
          <w:spacing w:val="-3"/>
        </w:rPr>
        <w:t>、消息中间件</w:t>
      </w:r>
      <w:r>
        <w:rPr/>
        <w:t> </w:t>
      </w:r>
      <w:r>
        <w:rPr>
          <w:rFonts w:ascii="Times New Roman" w:hAnsi="Times New Roman" w:cs="Times New Roman" w:eastAsia="Times New Roman" w:hint="default"/>
        </w:rPr>
        <w:t>TongLINK/Q</w:t>
      </w:r>
      <w:r>
        <w:rPr/>
        <w:t>、交易中间件 </w:t>
      </w:r>
      <w:r>
        <w:rPr>
          <w:rFonts w:ascii="Times New Roman" w:hAnsi="Times New Roman" w:cs="Times New Roman" w:eastAsia="Times New Roman" w:hint="default"/>
        </w:rPr>
        <w:t>TongEASY</w:t>
      </w:r>
      <w:r>
        <w:rPr/>
        <w:t>、企业服务总线 </w:t>
      </w:r>
      <w:r>
        <w:rPr>
          <w:rFonts w:ascii="Times New Roman" w:hAnsi="Times New Roman" w:cs="Times New Roman" w:eastAsia="Times New Roman" w:hint="default"/>
        </w:rPr>
        <w:t>TongESB</w:t>
      </w:r>
      <w:r>
        <w:rPr/>
        <w:t>、负载均衡软件 </w:t>
      </w:r>
      <w:r>
        <w:rPr>
          <w:rFonts w:ascii="Times New Roman" w:hAnsi="Times New Roman" w:cs="Times New Roman" w:eastAsia="Times New Roman" w:hint="default"/>
        </w:rPr>
        <w:t>TongLB</w:t>
      </w:r>
      <w:r>
        <w:rPr>
          <w:rFonts w:ascii="Times New Roman" w:hAnsi="Times New Roman" w:cs="Times New Roman" w:eastAsia="Times New Roman" w:hint="default"/>
          <w:spacing w:val="-10"/>
        </w:rPr>
        <w:t> </w:t>
      </w:r>
      <w:r>
        <w:rPr/>
        <w:t>等；平台类产品线包括数据交换 平台 </w:t>
      </w:r>
      <w:r>
        <w:rPr>
          <w:rFonts w:ascii="Times New Roman" w:hAnsi="Times New Roman" w:cs="Times New Roman" w:eastAsia="Times New Roman" w:hint="default"/>
        </w:rPr>
        <w:t>TongDXP</w:t>
      </w:r>
      <w:r>
        <w:rPr/>
        <w:t>、数据传输平台 </w:t>
      </w:r>
      <w:r>
        <w:rPr>
          <w:rFonts w:ascii="Times New Roman" w:hAnsi="Times New Roman" w:cs="Times New Roman" w:eastAsia="Times New Roman" w:hint="default"/>
        </w:rPr>
        <w:t>TongGTP/WTP</w:t>
      </w:r>
      <w:r>
        <w:rPr/>
        <w:t>、数据集成软件 </w:t>
      </w:r>
      <w:r>
        <w:rPr>
          <w:rFonts w:ascii="Times New Roman" w:hAnsi="Times New Roman" w:cs="Times New Roman" w:eastAsia="Times New Roman" w:hint="default"/>
        </w:rPr>
        <w:t>TongETL</w:t>
      </w:r>
      <w:r>
        <w:rPr/>
        <w:t>、应用数据化平台</w:t>
      </w:r>
      <w:r>
        <w:rPr>
          <w:spacing w:val="-52"/>
        </w:rPr>
        <w:t> </w:t>
      </w:r>
      <w:r>
        <w:rPr>
          <w:rFonts w:ascii="Times New Roman" w:hAnsi="Times New Roman" w:cs="Times New Roman" w:eastAsia="Times New Roman" w:hint="default"/>
        </w:rPr>
        <w:t>TongA2D</w:t>
      </w:r>
      <w:r>
        <w:rPr/>
        <w:t>、变化数据捕获工具 </w:t>
      </w:r>
      <w:r>
        <w:rPr>
          <w:rFonts w:ascii="Times New Roman" w:hAnsi="Times New Roman" w:cs="Times New Roman" w:eastAsia="Times New Roman" w:hint="default"/>
        </w:rPr>
        <w:t>TongCDC</w:t>
      </w:r>
      <w:r>
        <w:rPr/>
        <w:t>、大数据分析处理平台</w:t>
      </w:r>
      <w:r>
        <w:rPr>
          <w:spacing w:val="-59"/>
        </w:rPr>
        <w:t> </w:t>
      </w:r>
      <w:r>
        <w:rPr>
          <w:rFonts w:ascii="Times New Roman" w:hAnsi="Times New Roman" w:cs="Times New Roman" w:eastAsia="Times New Roman" w:hint="default"/>
        </w:rPr>
        <w:t>TongBETL</w:t>
      </w:r>
      <w:r>
        <w:rPr>
          <w:rFonts w:ascii="Times New Roman" w:hAnsi="Times New Roman" w:cs="Times New Roman" w:eastAsia="Times New Roman" w:hint="default"/>
          <w:spacing w:val="-14"/>
        </w:rPr>
        <w:t> </w:t>
      </w:r>
      <w:r>
        <w:rPr/>
        <w:t>等。</w:t>
      </w:r>
    </w:p>
    <w:p>
      <w:pPr>
        <w:pStyle w:val="BodyText"/>
        <w:spacing w:line="319" w:lineRule="auto" w:before="51"/>
        <w:ind w:right="1131" w:firstLine="361"/>
        <w:jc w:val="both"/>
      </w:pPr>
      <w:r>
        <w:rPr>
          <w:rFonts w:ascii="宋体" w:hAnsi="宋体" w:cs="宋体" w:eastAsia="宋体" w:hint="default"/>
          <w:b/>
          <w:bCs/>
          <w:spacing w:val="-2"/>
        </w:rPr>
        <w:t>全资子公司微智信业</w:t>
      </w:r>
      <w:r>
        <w:rPr>
          <w:spacing w:val="-2"/>
        </w:rPr>
        <w:t>国家高新技术企业和国家规划布局信息安全领域内重点软件企业，专注于网络安全、信息安全和通</w:t>
      </w:r>
      <w:r>
        <w:rPr/>
        <w:t> </w:t>
      </w:r>
      <w:r>
        <w:rPr>
          <w:spacing w:val="-2"/>
        </w:rPr>
        <w:t>信业务安全领域的研究和应用。与传统网络安全产品厂家不同，微智信业从基础网络和信息管道着手，深入研究各类安全问</w:t>
      </w:r>
      <w:r>
        <w:rPr>
          <w:spacing w:val="-65"/>
        </w:rPr>
        <w:t> </w:t>
      </w:r>
      <w:r>
        <w:rPr>
          <w:spacing w:val="-65"/>
        </w:rPr>
      </w:r>
      <w:r>
        <w:rPr>
          <w:spacing w:val="-2"/>
        </w:rPr>
        <w:t>题在网络空间中的特征和传播形态，在安全分析、安全预警、和安全问题处置等专业有着独特的技术积累，并形成了全面的</w:t>
      </w:r>
      <w:r>
        <w:rPr>
          <w:spacing w:val="-66"/>
        </w:rPr>
        <w:t> </w:t>
      </w:r>
      <w:r>
        <w:rPr>
          <w:spacing w:val="-66"/>
        </w:rPr>
      </w:r>
      <w:r>
        <w:rPr/>
        <w:t>解决方案。</w:t>
      </w:r>
    </w:p>
    <w:p>
      <w:pPr>
        <w:pStyle w:val="BodyText"/>
        <w:spacing w:line="309" w:lineRule="auto" w:before="55"/>
        <w:ind w:right="1033" w:firstLine="360"/>
        <w:jc w:val="left"/>
      </w:pPr>
      <w:r>
        <w:rPr/>
        <w:t>网络安全方面，目前提供的方案覆盖电信运营商的</w:t>
      </w:r>
      <w:r>
        <w:rPr>
          <w:spacing w:val="-45"/>
        </w:rPr>
        <w:t> </w:t>
      </w:r>
      <w:r>
        <w:rPr>
          <w:rFonts w:ascii="Times New Roman" w:hAnsi="Times New Roman" w:cs="Times New Roman" w:eastAsia="Times New Roman" w:hint="default"/>
        </w:rPr>
        <w:t>IDC </w:t>
      </w:r>
      <w:r>
        <w:rPr/>
        <w:t>机房、城域网、骨干网的网络攻击检测和防护、移动网手机恶 意软件的检测和治理、互联网僵木蠕病毒的检测和阻断，并应用大数据检测网络日志，高效、快速识别网络病毒发作症状。 应用于政府网络安全管理部门、电信运营商及互联网服务提供商等。</w:t>
      </w:r>
    </w:p>
    <w:p>
      <w:pPr>
        <w:pStyle w:val="BodyText"/>
        <w:spacing w:line="309" w:lineRule="auto" w:before="64"/>
        <w:ind w:right="1129" w:firstLine="360"/>
        <w:jc w:val="both"/>
      </w:pPr>
      <w:r>
        <w:rPr>
          <w:spacing w:val="-2"/>
        </w:rPr>
        <w:t>信息安全方面，目前提供的方案有网络内容审计产品，包括黄色、暴恐、违法、违规等的网络信息的监测和治理，通过</w:t>
      </w:r>
      <w:r>
        <w:rPr/>
        <w:t> </w:t>
      </w:r>
      <w:r>
        <w:rPr>
          <w:spacing w:val="-2"/>
        </w:rPr>
        <w:t>大数据分析发现钓鱼网站、诈骗网站，</w:t>
      </w:r>
      <w:r>
        <w:rPr>
          <w:rFonts w:ascii="Times New Roman" w:hAnsi="Times New Roman" w:cs="Times New Roman" w:eastAsia="Times New Roman" w:hint="default"/>
          <w:spacing w:val="-2"/>
        </w:rPr>
        <w:t>IDC</w:t>
      </w:r>
      <w:r>
        <w:rPr>
          <w:rFonts w:ascii="Times New Roman" w:hAnsi="Times New Roman" w:cs="Times New Roman" w:eastAsia="Times New Roman" w:hint="default"/>
          <w:spacing w:val="24"/>
        </w:rPr>
        <w:t> </w:t>
      </w:r>
      <w:r>
        <w:rPr>
          <w:spacing w:val="-2"/>
        </w:rPr>
        <w:t>机房的互联网信息安全管理及阻断，应用于政府网络安全管理部门、电信运营商</w:t>
      </w:r>
      <w:r>
        <w:rPr>
          <w:spacing w:val="-84"/>
        </w:rPr>
        <w:t> </w:t>
      </w:r>
      <w:r>
        <w:rPr>
          <w:spacing w:val="-84"/>
        </w:rPr>
      </w:r>
      <w:r>
        <w:rPr/>
        <w:t>及互联网服务提供商等。</w:t>
      </w:r>
    </w:p>
    <w:p>
      <w:pPr>
        <w:pStyle w:val="BodyText"/>
        <w:spacing w:line="319" w:lineRule="auto" w:before="62"/>
        <w:ind w:right="1033" w:firstLine="360"/>
        <w:jc w:val="left"/>
      </w:pPr>
      <w:r>
        <w:rPr>
          <w:spacing w:val="-2"/>
        </w:rPr>
        <w:t>通信业务安全方面，目前提供电信运营商专线语音管控解决方案、骚扰电话综合治理解决方案以及传统通信业务安全应</w:t>
      </w:r>
      <w:r>
        <w:rPr/>
        <w:t> 用解决方案等，主要应用于电信运营商和相关政府监管部门。</w:t>
      </w:r>
    </w:p>
    <w:p>
      <w:pPr>
        <w:pStyle w:val="BodyText"/>
        <w:spacing w:line="316" w:lineRule="auto" w:before="55"/>
        <w:ind w:right="1033" w:firstLine="360"/>
        <w:jc w:val="left"/>
      </w:pPr>
      <w:r>
        <w:rPr>
          <w:spacing w:val="-2"/>
        </w:rPr>
        <w:t>以上方面的积累和应用，高度符合国家近期提出的对于网络空间安全战略的布局和研究，以保障国家政治安全（信息窃</w:t>
      </w:r>
      <w:r>
        <w:rPr/>
        <w:t> </w:t>
      </w:r>
      <w:r>
        <w:rPr>
          <w:spacing w:val="-7"/>
        </w:rPr>
        <w:t>取防范）、经济安全（网络攻击和诈骗防范）、文化安全（不良信息监测和治理）以及社会安全（涉恐涉暴等内容检测和治理）</w:t>
      </w:r>
      <w:r>
        <w:rPr>
          <w:spacing w:val="-52"/>
        </w:rPr>
        <w:t> </w:t>
      </w:r>
      <w:r>
        <w:rPr>
          <w:spacing w:val="-52"/>
        </w:rPr>
      </w:r>
      <w:r>
        <w:rPr>
          <w:spacing w:val="-2"/>
        </w:rPr>
        <w:t>为企业社会责任。报告期内，主营业务在国内主要电信运营商中国移动、中国电信、中国联通实现稳定增长，营业收入主要</w:t>
      </w:r>
      <w:r>
        <w:rPr>
          <w:spacing w:val="-65"/>
        </w:rPr>
        <w:t> </w:t>
      </w:r>
      <w:r>
        <w:rPr>
          <w:spacing w:val="-65"/>
        </w:rPr>
      </w:r>
      <w:r>
        <w:rPr/>
        <w:t>来自信息安全和通信业务安全产品线，涉及的产品有</w:t>
      </w:r>
      <w:r>
        <w:rPr>
          <w:spacing w:val="-45"/>
        </w:rPr>
        <w:t> </w:t>
      </w:r>
      <w:r>
        <w:rPr>
          <w:rFonts w:ascii="Times New Roman" w:hAnsi="Times New Roman" w:cs="Times New Roman" w:eastAsia="Times New Roman" w:hint="default"/>
        </w:rPr>
        <w:t>IDC</w:t>
      </w:r>
      <w:r>
        <w:rPr>
          <w:rFonts w:ascii="Times New Roman" w:hAnsi="Times New Roman" w:cs="Times New Roman" w:eastAsia="Times New Roman" w:hint="default"/>
          <w:spacing w:val="-1"/>
        </w:rPr>
        <w:t> </w:t>
      </w:r>
      <w:r>
        <w:rPr/>
        <w:t>信息安全管理系统、互联网安全管理系统、不良信息管控系统、 </w:t>
      </w:r>
      <w:r>
        <w:rPr>
          <w:spacing w:val="-2"/>
        </w:rPr>
        <w:t>手机恶意软件监测系统、通信业务云化安全应用等。创新业务方面，大数据骚扰电话综合治理解决方案在国家相关管理单位</w:t>
      </w:r>
      <w:r>
        <w:rPr>
          <w:spacing w:val="-66"/>
        </w:rPr>
        <w:t> </w:t>
      </w:r>
      <w:r>
        <w:rPr>
          <w:spacing w:val="-66"/>
        </w:rPr>
      </w:r>
      <w:r>
        <w:rPr>
          <w:spacing w:val="-2"/>
        </w:rPr>
        <w:t>完成阶段性的成果，并在电信运营商部署实施，取得良好效果，同时在网络特性和协议研究、业务特征和安全问题的类比取</w:t>
      </w:r>
      <w:r>
        <w:rPr>
          <w:spacing w:val="-66"/>
        </w:rPr>
        <w:t> </w:t>
      </w:r>
      <w:r>
        <w:rPr>
          <w:spacing w:val="-66"/>
        </w:rPr>
      </w:r>
      <w:r>
        <w:rPr>
          <w:spacing w:val="-2"/>
        </w:rPr>
        <w:t>得相关研究成果，孵化出物联网安全解决方案方向的产品。市场前沿技术领域，积极探索工业互联网和工控安全领域发展阶</w:t>
      </w:r>
      <w:r>
        <w:rPr>
          <w:spacing w:val="-65"/>
        </w:rPr>
        <w:t> </w:t>
      </w:r>
      <w:r>
        <w:rPr>
          <w:spacing w:val="-65"/>
        </w:rPr>
      </w:r>
      <w:r>
        <w:rPr/>
        <w:t>段、面临的问题、未来市场空间等，以寻求合适的时机以自研或联合研发成果进入该领域。</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before="44"/>
        <w:ind w:right="1125" w:firstLine="361"/>
        <w:jc w:val="left"/>
      </w:pPr>
      <w:r>
        <w:rPr>
          <w:rFonts w:ascii="宋体" w:hAnsi="宋体" w:cs="宋体" w:eastAsia="宋体" w:hint="default"/>
          <w:b/>
          <w:bCs/>
          <w:spacing w:val="-2"/>
        </w:rPr>
        <w:t>全资子公司东方通宇</w:t>
      </w:r>
      <w:r>
        <w:rPr>
          <w:spacing w:val="-2"/>
        </w:rPr>
        <w:t>立足于军队、国防工业信息化领域，贯彻国家</w:t>
      </w:r>
      <w:r>
        <w:rPr>
          <w:rFonts w:ascii="Times New Roman" w:hAnsi="Times New Roman" w:cs="Times New Roman" w:eastAsia="Times New Roman" w:hint="default"/>
          <w:spacing w:val="-2"/>
        </w:rPr>
        <w:t>“</w:t>
      </w:r>
      <w:r>
        <w:rPr>
          <w:spacing w:val="-2"/>
        </w:rPr>
        <w:t>军民融合</w:t>
      </w:r>
      <w:r>
        <w:rPr>
          <w:rFonts w:ascii="Times New Roman" w:hAnsi="Times New Roman" w:cs="Times New Roman" w:eastAsia="Times New Roman" w:hint="default"/>
          <w:spacing w:val="-2"/>
        </w:rPr>
        <w:t>”</w:t>
      </w:r>
      <w:r>
        <w:rPr>
          <w:spacing w:val="-2"/>
        </w:rPr>
        <w:t>战略，顺应国防科技工业体制改革，以推</w:t>
      </w:r>
      <w:r>
        <w:rPr/>
        <w:t> </w:t>
      </w:r>
      <w:r>
        <w:rPr>
          <w:spacing w:val="-2"/>
        </w:rPr>
        <w:t>动和加快军民融合大环境下提供全自主可控配套解决方案为己任，为军队、国防军工企业市场提供一流的基础软件、信息安</w:t>
      </w:r>
      <w:r>
        <w:rPr>
          <w:spacing w:val="-66"/>
        </w:rPr>
        <w:t> </w:t>
      </w:r>
      <w:r>
        <w:rPr>
          <w:spacing w:val="-66"/>
        </w:rPr>
      </w:r>
      <w:r>
        <w:rPr/>
        <w:t>全、移动互联网等产品及解决方案。随着</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年以来国家军改稳步推进，军品软件市场需求稳步提升。军民融合扶持力度 </w:t>
      </w:r>
      <w:r>
        <w:rPr>
          <w:spacing w:val="-2"/>
        </w:rPr>
        <w:t>逐渐加大，民参军企业重点受益。在此大环境下，东方通宇已形成完备的自主可控中间件技术体系，先后在指挥决策、政工</w:t>
      </w:r>
      <w:r>
        <w:rPr>
          <w:spacing w:val="-66"/>
        </w:rPr>
        <w:t> </w:t>
      </w:r>
      <w:r>
        <w:rPr>
          <w:spacing w:val="-66"/>
        </w:rPr>
      </w:r>
      <w:r>
        <w:rPr>
          <w:spacing w:val="-2"/>
        </w:rPr>
        <w:t>管理、装备管理、后勤保障、装备智能制造等领域取得突破性进展，在国产化生态圈占据引领地位，为推动国产基础软件在</w:t>
      </w:r>
      <w:r>
        <w:rPr>
          <w:spacing w:val="-66"/>
        </w:rPr>
        <w:t> </w:t>
      </w:r>
      <w:r>
        <w:rPr>
          <w:spacing w:val="-66"/>
        </w:rPr>
      </w:r>
      <w:r>
        <w:rPr>
          <w:spacing w:val="-2"/>
        </w:rPr>
        <w:t>军工领域的应用做出应有的贡献。报告期主营业务为向军工领域客户提供中间件产品及相关技术服务。采取最终用户直销与</w:t>
      </w:r>
      <w:r>
        <w:rPr>
          <w:spacing w:val="-64"/>
        </w:rPr>
        <w:t> </w:t>
      </w:r>
      <w:r>
        <w:rPr>
          <w:spacing w:val="-64"/>
        </w:rPr>
      </w:r>
      <w:r>
        <w:rPr>
          <w:spacing w:val="-2"/>
        </w:rPr>
        <w:t>渠道销售模式相结合的经营模式，以客户需求为导向，与军工领域主流系统集成商，如北京京航计算通讯研究所、中电科第</w:t>
      </w:r>
      <w:r>
        <w:rPr>
          <w:spacing w:val="-66"/>
        </w:rPr>
        <w:t> </w:t>
      </w:r>
      <w:r>
        <w:rPr>
          <w:spacing w:val="-66"/>
        </w:rPr>
      </w:r>
      <w:r>
        <w:rPr/>
        <w:t>十五研究所等合作伙伴深入合作。报告期营业收入主要来自标准产品</w:t>
      </w:r>
      <w:r>
        <w:rPr>
          <w:spacing w:val="-55"/>
        </w:rPr>
        <w:t> </w:t>
      </w:r>
      <w:r>
        <w:rPr>
          <w:rFonts w:ascii="Times New Roman" w:hAnsi="Times New Roman" w:cs="Times New Roman" w:eastAsia="Times New Roman" w:hint="default"/>
        </w:rPr>
        <w:t>TongWeb</w:t>
      </w:r>
      <w:r>
        <w:rPr/>
        <w:t>、</w:t>
      </w:r>
      <w:r>
        <w:rPr>
          <w:rFonts w:ascii="Times New Roman" w:hAnsi="Times New Roman" w:cs="Times New Roman" w:eastAsia="Times New Roman" w:hint="default"/>
        </w:rPr>
        <w:t>TongLINK/Q</w:t>
      </w:r>
      <w:r>
        <w:rPr/>
        <w:t>，以及平台产品</w:t>
      </w:r>
      <w:r>
        <w:rPr>
          <w:spacing w:val="-56"/>
        </w:rPr>
        <w:t> </w:t>
      </w:r>
      <w:r>
        <w:rPr>
          <w:rFonts w:ascii="Times New Roman" w:hAnsi="Times New Roman" w:cs="Times New Roman" w:eastAsia="Times New Roman" w:hint="default"/>
        </w:rPr>
        <w:t>TongETL</w:t>
      </w:r>
      <w:r>
        <w:rPr/>
        <w:t>、 </w:t>
      </w:r>
      <w:r>
        <w:rPr>
          <w:rFonts w:ascii="Times New Roman" w:hAnsi="Times New Roman" w:cs="Times New Roman" w:eastAsia="Times New Roman" w:hint="default"/>
        </w:rPr>
        <w:t>TongESB </w:t>
      </w:r>
      <w:r>
        <w:rPr/>
        <w:t>等中间件产品销售及相关服务， 经营业绩同比增长</w:t>
      </w:r>
      <w:r>
        <w:rPr>
          <w:spacing w:val="-59"/>
        </w:rPr>
        <w:t> </w:t>
      </w:r>
      <w:r>
        <w:rPr>
          <w:rFonts w:ascii="Times New Roman" w:hAnsi="Times New Roman" w:cs="Times New Roman" w:eastAsia="Times New Roman" w:hint="default"/>
        </w:rPr>
        <w:t>50%</w:t>
      </w:r>
      <w:r>
        <w:rPr/>
        <w:t>以上。</w:t>
      </w:r>
    </w:p>
    <w:p>
      <w:pPr>
        <w:pStyle w:val="BodyText"/>
        <w:spacing w:line="312" w:lineRule="auto" w:before="41"/>
        <w:ind w:left="1134" w:right="1131" w:firstLine="361"/>
        <w:jc w:val="both"/>
      </w:pPr>
      <w:r>
        <w:rPr>
          <w:rFonts w:ascii="宋体" w:hAnsi="宋体" w:cs="宋体" w:eastAsia="宋体" w:hint="default"/>
          <w:b/>
          <w:bCs/>
          <w:spacing w:val="-2"/>
        </w:rPr>
        <w:t>全资子公司东方通泰</w:t>
      </w:r>
      <w:r>
        <w:rPr>
          <w:spacing w:val="-2"/>
        </w:rPr>
        <w:t>（包括其子公司无锡东方通）是公司重点培育的新兴业务，致力于大数据电子政务方向的创新应用</w:t>
      </w:r>
      <w:r>
        <w:rPr/>
        <w:t> 分析与运营业务。以</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为基本目标，并引入社会化服务资源，为企业和居民提供互联网增值服务，现已推 </w:t>
      </w:r>
      <w:r>
        <w:rPr>
          <w:spacing w:val="-2"/>
        </w:rPr>
        <w:t>出经济运行和数字空间解决方案。报告期内政务大数据重点围绕省、市经济运行综合信息服务大数据专题应用，通过数据融</w:t>
      </w:r>
      <w:r>
        <w:rPr>
          <w:spacing w:val="-66"/>
        </w:rPr>
        <w:t> </w:t>
      </w:r>
      <w:r>
        <w:rPr>
          <w:spacing w:val="-66"/>
        </w:rPr>
      </w:r>
      <w:r>
        <w:rPr>
          <w:spacing w:val="-2"/>
        </w:rPr>
        <w:t>合在供给侧改革</w:t>
      </w:r>
      <w:r>
        <w:rPr>
          <w:rFonts w:ascii="Times New Roman" w:hAnsi="Times New Roman" w:cs="Times New Roman" w:eastAsia="Times New Roman" w:hint="default"/>
          <w:spacing w:val="-2"/>
        </w:rPr>
        <w:t>“</w:t>
      </w:r>
      <w:r>
        <w:rPr>
          <w:spacing w:val="-2"/>
        </w:rPr>
        <w:t>三去一降一补</w:t>
      </w:r>
      <w:r>
        <w:rPr>
          <w:rFonts w:ascii="Times New Roman" w:hAnsi="Times New Roman" w:cs="Times New Roman" w:eastAsia="Times New Roman" w:hint="default"/>
          <w:spacing w:val="-2"/>
        </w:rPr>
        <w:t>”</w:t>
      </w:r>
      <w:r>
        <w:rPr>
          <w:spacing w:val="-2"/>
        </w:rPr>
        <w:t>大数据分析决策应用，持续增强的政府经济数据、市场主体社会数据的一体化经济运行数据</w:t>
      </w:r>
      <w:r>
        <w:rPr>
          <w:spacing w:val="-44"/>
        </w:rPr>
        <w:t> </w:t>
      </w:r>
      <w:r>
        <w:rPr>
          <w:spacing w:val="-44"/>
        </w:rPr>
      </w:r>
      <w:r>
        <w:rPr>
          <w:spacing w:val="-2"/>
        </w:rPr>
        <w:t>采集归集清单、数据融合治理、数据分析报告、数据服务等产品化服务能力。报告期完成江西省宏观经济预测预警平台、石</w:t>
      </w:r>
      <w:r>
        <w:rPr>
          <w:spacing w:val="-66"/>
        </w:rPr>
        <w:t> </w:t>
      </w:r>
      <w:r>
        <w:rPr>
          <w:spacing w:val="-66"/>
        </w:rPr>
      </w:r>
      <w:r>
        <w:rPr>
          <w:spacing w:val="-2"/>
        </w:rPr>
        <w:t>家庄市供给侧大数据分析决策平台、浙江省经济运行监测平台、无锡市经济运行综合信息服务平台项目中的政务大数据应用</w:t>
      </w:r>
      <w:r>
        <w:rPr>
          <w:spacing w:val="-64"/>
        </w:rPr>
        <w:t> </w:t>
      </w:r>
      <w:r>
        <w:rPr>
          <w:spacing w:val="-64"/>
        </w:rPr>
      </w:r>
      <w:r>
        <w:rPr>
          <w:spacing w:val="-2"/>
        </w:rPr>
        <w:t>验证，完成项目终验收，并持续在国内各级省市政府的政务大数据应用中推广经济运行及数字空间解决方案。推进与业内多</w:t>
      </w:r>
      <w:r>
        <w:rPr>
          <w:spacing w:val="-66"/>
        </w:rPr>
        <w:t> </w:t>
      </w:r>
      <w:r>
        <w:rPr>
          <w:spacing w:val="-66"/>
        </w:rPr>
      </w:r>
      <w:r>
        <w:rPr/>
        <w:t>家企业建立长期稳定、优势互补的战略合作伙伴关系。</w:t>
      </w:r>
    </w:p>
    <w:p>
      <w:pPr>
        <w:pStyle w:val="BodyText"/>
        <w:spacing w:line="314" w:lineRule="auto" w:before="62"/>
        <w:ind w:left="1134" w:right="1131" w:firstLine="361"/>
        <w:jc w:val="both"/>
      </w:pPr>
      <w:r>
        <w:rPr>
          <w:rFonts w:ascii="宋体" w:hAnsi="宋体" w:cs="宋体" w:eastAsia="宋体" w:hint="default"/>
          <w:b/>
          <w:bCs/>
          <w:spacing w:val="-2"/>
          <w:w w:val="99"/>
        </w:rPr>
        <w:t>全资子公司惠捷朗</w:t>
      </w:r>
      <w:r>
        <w:rPr>
          <w:spacing w:val="-2"/>
          <w:w w:val="99"/>
        </w:rPr>
        <w:t>主要专注于无线网络测试与优化并提供移动通信网络优化综合解决方案，客户包括三大移动通信运营</w:t>
      </w:r>
      <w:r>
        <w:rPr/>
        <w:t> </w:t>
      </w:r>
      <w:r>
        <w:rPr>
          <w:spacing w:val="-2"/>
        </w:rPr>
        <w:t>商、移动网络设备供应商、芯片合作商以及提供网络优化和路测服务的工程公司。报告期内，由于行业市场周期的影响，规</w:t>
      </w:r>
      <w:r>
        <w:rPr>
          <w:spacing w:val="-66"/>
        </w:rPr>
        <w:t> </w:t>
      </w:r>
      <w:r>
        <w:rPr>
          <w:spacing w:val="-66"/>
        </w:rPr>
      </w:r>
      <w:r>
        <w:rPr/>
        <w:t>模化的 </w:t>
      </w:r>
      <w:r>
        <w:rPr>
          <w:rFonts w:ascii="Times New Roman" w:hAnsi="Times New Roman" w:cs="Times New Roman" w:eastAsia="Times New Roman" w:hint="default"/>
        </w:rPr>
        <w:t>4G</w:t>
      </w:r>
      <w:r>
        <w:rPr>
          <w:rFonts w:ascii="Times New Roman" w:hAnsi="Times New Roman" w:cs="Times New Roman" w:eastAsia="Times New Roman" w:hint="default"/>
          <w:spacing w:val="44"/>
        </w:rPr>
        <w:t> </w:t>
      </w:r>
      <w:r>
        <w:rPr/>
        <w:t>网络建设基本结束，加之并购后整合不力、核心业务和技术人员流失等因素，惠捷朗的营业收入和净利润规模 </w:t>
      </w:r>
      <w:r>
        <w:rPr>
          <w:spacing w:val="-2"/>
        </w:rPr>
        <w:t>均出现大幅下滑，经公司审慎论证和测试，依据企业会计准则，对因并购惠捷朗产生的商誉计提了大额商誉减值准备，直接</w:t>
      </w:r>
      <w:r>
        <w:rPr>
          <w:spacing w:val="-66"/>
        </w:rPr>
        <w:t> </w:t>
      </w:r>
      <w:r>
        <w:rPr>
          <w:spacing w:val="-66"/>
        </w:rPr>
      </w:r>
      <w:r>
        <w:rPr/>
        <w:t>导致公司合并财务报表出现上市以来首次年度亏损。</w:t>
      </w:r>
    </w:p>
    <w:p>
      <w:pPr>
        <w:pStyle w:val="BodyText"/>
        <w:spacing w:line="309" w:lineRule="auto" w:before="59"/>
        <w:ind w:right="1033" w:firstLine="361"/>
        <w:jc w:val="left"/>
      </w:pPr>
      <w:r>
        <w:rPr>
          <w:rFonts w:ascii="宋体" w:hAnsi="宋体" w:cs="宋体" w:eastAsia="宋体" w:hint="default"/>
          <w:b/>
          <w:bCs/>
        </w:rPr>
        <w:t>全资子公司数字天堂</w:t>
      </w:r>
      <w:r>
        <w:rPr/>
        <w:t>主营业务是移动中间件，其核心产品</w:t>
      </w:r>
      <w:r>
        <w:rPr>
          <w:spacing w:val="-52"/>
        </w:rPr>
        <w:t> </w:t>
      </w:r>
      <w:r>
        <w:rPr>
          <w:rFonts w:ascii="Times New Roman" w:hAnsi="Times New Roman" w:cs="Times New Roman" w:eastAsia="Times New Roman" w:hint="default"/>
        </w:rPr>
        <w:t>MKey</w:t>
      </w:r>
      <w:r>
        <w:rPr>
          <w:rFonts w:ascii="Times New Roman" w:hAnsi="Times New Roman" w:cs="Times New Roman" w:eastAsia="Times New Roman" w:hint="default"/>
          <w:spacing w:val="-4"/>
        </w:rPr>
        <w:t> </w:t>
      </w:r>
      <w:r>
        <w:rPr>
          <w:spacing w:val="-5"/>
        </w:rPr>
        <w:t>移动中间件。随着</w:t>
      </w:r>
      <w:r>
        <w:rPr>
          <w:spacing w:val="-52"/>
        </w:rPr>
        <w:t> </w:t>
      </w:r>
      <w:r>
        <w:rPr>
          <w:rFonts w:ascii="Times New Roman" w:hAnsi="Times New Roman" w:cs="Times New Roman" w:eastAsia="Times New Roman" w:hint="default"/>
        </w:rPr>
        <w:t>HTML5</w:t>
      </w:r>
      <w:r>
        <w:rPr>
          <w:rFonts w:ascii="Times New Roman" w:hAnsi="Times New Roman" w:cs="Times New Roman" w:eastAsia="Times New Roman" w:hint="default"/>
          <w:spacing w:val="-6"/>
        </w:rPr>
        <w:t> </w:t>
      </w:r>
      <w:r>
        <w:rPr/>
        <w:t>技术的成熟及应用范围的扩</w:t>
      </w:r>
      <w:r>
        <w:rPr>
          <w:w w:val="99"/>
        </w:rPr>
        <w:t> </w:t>
      </w:r>
      <w:r>
        <w:rPr/>
        <w:t>大，</w:t>
      </w:r>
      <w:r>
        <w:rPr>
          <w:rFonts w:ascii="Times New Roman" w:hAnsi="Times New Roman" w:cs="Times New Roman" w:eastAsia="Times New Roman" w:hint="default"/>
        </w:rPr>
        <w:t>HTML5</w:t>
      </w:r>
      <w:r>
        <w:rPr>
          <w:rFonts w:ascii="Times New Roman" w:hAnsi="Times New Roman" w:cs="Times New Roman" w:eastAsia="Times New Roman" w:hint="default"/>
          <w:spacing w:val="-6"/>
        </w:rPr>
        <w:t> </w:t>
      </w:r>
      <w:r>
        <w:rPr/>
        <w:t>成为通用技术标准，受其挤压，数字天堂</w:t>
      </w:r>
      <w:r>
        <w:rPr>
          <w:spacing w:val="-51"/>
        </w:rPr>
        <w:t> </w:t>
      </w:r>
      <w:r>
        <w:rPr>
          <w:rFonts w:ascii="Times New Roman" w:hAnsi="Times New Roman" w:cs="Times New Roman" w:eastAsia="Times New Roman" w:hint="default"/>
        </w:rPr>
        <w:t>MKey</w:t>
      </w:r>
      <w:r>
        <w:rPr>
          <w:rFonts w:ascii="Times New Roman" w:hAnsi="Times New Roman" w:cs="Times New Roman" w:eastAsia="Times New Roman" w:hint="default"/>
          <w:spacing w:val="-4"/>
        </w:rPr>
        <w:t> </w:t>
      </w:r>
      <w:r>
        <w:rPr/>
        <w:t>产品销售下滑。报告期公司放弃</w:t>
      </w:r>
      <w:r>
        <w:rPr>
          <w:spacing w:val="-51"/>
        </w:rPr>
        <w:t> </w:t>
      </w:r>
      <w:r>
        <w:rPr>
          <w:rFonts w:ascii="Times New Roman" w:hAnsi="Times New Roman" w:cs="Times New Roman" w:eastAsia="Times New Roman" w:hint="default"/>
        </w:rPr>
        <w:t>MKey</w:t>
      </w:r>
      <w:r>
        <w:rPr>
          <w:rFonts w:ascii="Times New Roman" w:hAnsi="Times New Roman" w:cs="Times New Roman" w:eastAsia="Times New Roman" w:hint="default"/>
          <w:spacing w:val="-5"/>
        </w:rPr>
        <w:t> </w:t>
      </w:r>
      <w:r>
        <w:rPr/>
        <w:t>产品的升级，业务重心 </w:t>
      </w:r>
      <w:r>
        <w:rPr>
          <w:spacing w:val="-4"/>
        </w:rPr>
        <w:t>转向电信运营商、金融、能源行业的移动业务解决方案定制开发。由于转型存在较大的不确定因素，项目多亏损或仅有微利，</w:t>
      </w:r>
      <w:r>
        <w:rPr>
          <w:spacing w:val="-46"/>
        </w:rPr>
        <w:t> </w:t>
      </w:r>
      <w:r>
        <w:rPr>
          <w:spacing w:val="-46"/>
        </w:rPr>
      </w:r>
      <w:r>
        <w:rPr>
          <w:spacing w:val="-2"/>
        </w:rPr>
        <w:t>造成连续两年亏损，净资产为负数，显现商誉减值迹象。经公司审慎论证和测试，依据企业会计准则，对因并购数字天堂产</w:t>
      </w:r>
      <w:r>
        <w:rPr>
          <w:spacing w:val="-66"/>
        </w:rPr>
        <w:t> </w:t>
      </w:r>
      <w:r>
        <w:rPr>
          <w:spacing w:val="-66"/>
        </w:rPr>
      </w:r>
      <w:r>
        <w:rPr/>
        <w:t>生的商誉计提了商誉减值准备。</w:t>
      </w:r>
    </w:p>
    <w:p>
      <w:pPr>
        <w:spacing w:line="240" w:lineRule="auto" w:before="13"/>
        <w:rPr>
          <w:rFonts w:ascii="宋体" w:hAnsi="宋体" w:cs="宋体" w:eastAsia="宋体" w:hint="default"/>
          <w:sz w:val="20"/>
          <w:szCs w:val="20"/>
        </w:rPr>
      </w:pPr>
    </w:p>
    <w:p>
      <w:pPr>
        <w:pStyle w:val="Heading2"/>
        <w:spacing w:line="240" w:lineRule="auto"/>
        <w:ind w:right="1033"/>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3"/>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128"/>
        <w:gridCol w:w="7441"/>
      </w:tblGrid>
      <w:tr>
        <w:trPr>
          <w:trHeight w:val="76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报告期比期初减少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57.89%</w:t>
            </w:r>
            <w:r>
              <w:rPr>
                <w:rFonts w:ascii="宋体" w:hAnsi="宋体" w:cs="宋体" w:eastAsia="宋体" w:hint="default"/>
                <w:sz w:val="18"/>
                <w:szCs w:val="18"/>
              </w:rPr>
              <w:t>，报告期内应收票据到期承兑</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报告期比期初增加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106.78%</w:t>
            </w:r>
            <w:r>
              <w:rPr>
                <w:rFonts w:ascii="宋体" w:hAnsi="宋体" w:cs="宋体" w:eastAsia="宋体" w:hint="default"/>
                <w:sz w:val="18"/>
                <w:szCs w:val="18"/>
              </w:rPr>
              <w:t>，报告期内信息安全业务增长导致备货增加</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报告期比期初增加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21,298.90%</w:t>
            </w:r>
            <w:r>
              <w:rPr>
                <w:rFonts w:ascii="宋体" w:hAnsi="宋体" w:cs="宋体" w:eastAsia="宋体" w:hint="default"/>
                <w:sz w:val="18"/>
                <w:szCs w:val="18"/>
              </w:rPr>
              <w:t>，报告期内投资设立杭州清响投资管理合伙企业（有限合伙）</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报告期比期初减少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42.43%</w:t>
            </w:r>
            <w:r>
              <w:rPr>
                <w:rFonts w:ascii="宋体" w:hAnsi="宋体" w:cs="宋体" w:eastAsia="宋体" w:hint="default"/>
                <w:sz w:val="18"/>
                <w:szCs w:val="18"/>
              </w:rPr>
              <w:t>，报告期内计提商誉减值准备</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1033"/>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1033"/>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00" w:lineRule="auto" w:before="28"/>
        <w:ind w:right="1130" w:firstLine="360"/>
        <w:jc w:val="both"/>
      </w:pPr>
      <w:r>
        <w:rPr>
          <w:spacing w:val="-2"/>
        </w:rPr>
        <w:t>公司是国家高新技术企业、国家规划布局内重点软件企业、</w:t>
      </w:r>
      <w:r>
        <w:rPr>
          <w:rFonts w:ascii="Times New Roman" w:hAnsi="Times New Roman" w:cs="Times New Roman" w:eastAsia="Times New Roman" w:hint="default"/>
          <w:spacing w:val="-2"/>
        </w:rPr>
        <w:t>“</w:t>
      </w:r>
      <w:r>
        <w:rPr>
          <w:spacing w:val="-2"/>
        </w:rPr>
        <w:t>核高基</w:t>
      </w:r>
      <w:r>
        <w:rPr>
          <w:rFonts w:ascii="Times New Roman" w:hAnsi="Times New Roman" w:cs="Times New Roman" w:eastAsia="Times New Roman" w:hint="default"/>
          <w:spacing w:val="-2"/>
        </w:rPr>
        <w:t>”</w:t>
      </w:r>
      <w:r>
        <w:rPr>
          <w:spacing w:val="-2"/>
        </w:rPr>
        <w:t>等多项国家重大科技计划项目的承担单位、国务院</w:t>
      </w:r>
      <w:r>
        <w:rPr/>
        <w:t> </w:t>
      </w:r>
      <w:r>
        <w:rPr>
          <w:spacing w:val="-2"/>
        </w:rPr>
        <w:t>颁发的</w:t>
      </w:r>
      <w:r>
        <w:rPr>
          <w:rFonts w:ascii="Times New Roman" w:hAnsi="Times New Roman" w:cs="Times New Roman" w:eastAsia="Times New Roman" w:hint="default"/>
          <w:spacing w:val="-2"/>
        </w:rPr>
        <w:t>“</w:t>
      </w:r>
      <w:r>
        <w:rPr>
          <w:spacing w:val="-2"/>
        </w:rPr>
        <w:t>国家科技进步二等奖</w:t>
      </w:r>
      <w:r>
        <w:rPr>
          <w:rFonts w:ascii="Times New Roman" w:hAnsi="Times New Roman" w:cs="Times New Roman" w:eastAsia="Times New Roman" w:hint="default"/>
          <w:spacing w:val="-2"/>
        </w:rPr>
        <w:t>”</w:t>
      </w:r>
      <w:r>
        <w:rPr>
          <w:spacing w:val="-2"/>
        </w:rPr>
        <w:t>获得者。子公司微智信业、东方通泰、惠捷朗、数字天堂均为国家高新技术企业，享受国家相</w:t>
      </w:r>
      <w:r>
        <w:rPr>
          <w:spacing w:val="-47"/>
        </w:rPr>
        <w:t> </w:t>
      </w:r>
      <w:r>
        <w:rPr>
          <w:spacing w:val="-47"/>
        </w:rPr>
      </w:r>
      <w:r>
        <w:rPr/>
        <w:t>关优惠政策。</w:t>
      </w:r>
    </w:p>
    <w:p>
      <w:pPr>
        <w:pStyle w:val="BodyText"/>
        <w:spacing w:line="300" w:lineRule="auto" w:before="70"/>
        <w:ind w:left="1134" w:right="1178" w:firstLine="360"/>
        <w:jc w:val="both"/>
      </w:pPr>
      <w:r>
        <w:rPr/>
        <w:t>子公司微智信业除取得多个</w:t>
      </w:r>
      <w:r>
        <w:rPr>
          <w:spacing w:val="-46"/>
        </w:rPr>
        <w:t> </w:t>
      </w:r>
      <w:r>
        <w:rPr>
          <w:rFonts w:ascii="Times New Roman" w:hAnsi="Times New Roman" w:cs="Times New Roman" w:eastAsia="Times New Roman" w:hint="default"/>
        </w:rPr>
        <w:t>ISO</w:t>
      </w:r>
      <w:r>
        <w:rPr>
          <w:rFonts w:ascii="Times New Roman" w:hAnsi="Times New Roman" w:cs="Times New Roman" w:eastAsia="Times New Roman" w:hint="default"/>
          <w:spacing w:val="-2"/>
        </w:rPr>
        <w:t> </w:t>
      </w:r>
      <w:r>
        <w:rPr/>
        <w:t>管理体系认证资质和行业认证外，还取得中国电子信息行业联合会颁发的《信息系统 </w:t>
      </w:r>
      <w:r>
        <w:rPr>
          <w:spacing w:val="-5"/>
        </w:rPr>
        <w:t>集成及服务资质二级》、中国信息安全认证中心颁发的《信息系统安全集成服务资质》、软件开发</w:t>
      </w:r>
      <w:r>
        <w:rPr>
          <w:spacing w:val="-29"/>
        </w:rPr>
        <w:t> </w:t>
      </w:r>
      <w:r>
        <w:rPr>
          <w:rFonts w:ascii="Times New Roman" w:hAnsi="Times New Roman" w:cs="Times New Roman" w:eastAsia="Times New Roman" w:hint="default"/>
          <w:w w:val="99"/>
        </w:rPr>
        <w:t>CMMI</w:t>
      </w:r>
      <w:r>
        <w:rPr>
          <w:rFonts w:ascii="Times New Roman" w:hAnsi="Times New Roman" w:cs="Times New Roman" w:eastAsia="Times New Roman" w:hint="default"/>
          <w:spacing w:val="15"/>
          <w:w w:val="99"/>
        </w:rPr>
        <w:t> </w:t>
      </w:r>
      <w:r>
        <w:rPr/>
        <w:t>能力成熟度模型集</w:t>
      </w:r>
      <w:r>
        <w:rPr>
          <w:spacing w:val="-88"/>
        </w:rPr>
        <w:t> </w:t>
      </w:r>
      <w:r>
        <w:rPr>
          <w:spacing w:val="-88"/>
        </w:rPr>
      </w:r>
      <w:r>
        <w:rPr/>
        <w:t>成三级。本年度拟启动软件开发</w:t>
      </w:r>
      <w:r>
        <w:rPr>
          <w:spacing w:val="-46"/>
        </w:rPr>
        <w:t> </w:t>
      </w:r>
      <w:r>
        <w:rPr>
          <w:rFonts w:ascii="Times New Roman" w:hAnsi="Times New Roman" w:cs="Times New Roman" w:eastAsia="Times New Roman" w:hint="default"/>
        </w:rPr>
        <w:t>CMMI</w:t>
      </w:r>
      <w:r>
        <w:rPr>
          <w:rFonts w:ascii="Times New Roman" w:hAnsi="Times New Roman" w:cs="Times New Roman" w:eastAsia="Times New Roman" w:hint="default"/>
          <w:spacing w:val="-1"/>
        </w:rPr>
        <w:t> </w:t>
      </w:r>
      <w:r>
        <w:rPr/>
        <w:t>能力成熟度模型集成五级、涉密信息系统集成等资质，全面完善企业综合管理能力 和市场竞争力。</w:t>
      </w:r>
    </w:p>
    <w:p>
      <w:pPr>
        <w:pStyle w:val="BodyText"/>
        <w:spacing w:line="319" w:lineRule="auto" w:before="70"/>
        <w:ind w:left="1134" w:right="1131" w:firstLine="360"/>
        <w:jc w:val="both"/>
      </w:pPr>
      <w:r>
        <w:rPr>
          <w:spacing w:val="-2"/>
        </w:rPr>
        <w:t>子公司东方通宇已取得国防武器装备科研生产单位保密资格审查认证委员会颁发的《二级保密资格单位证书》，目前正</w:t>
      </w:r>
      <w:r>
        <w:rPr/>
        <w:t> </w:t>
      </w:r>
      <w:r>
        <w:rPr>
          <w:spacing w:val="-2"/>
        </w:rPr>
        <w:t>在申请国军标质量管理体系认证、装备承制单位资格证书等相关资质。本年度拟启动信息系统集成及服务资质，全面提升企</w:t>
      </w:r>
      <w:r>
        <w:rPr>
          <w:spacing w:val="-65"/>
        </w:rPr>
        <w:t> </w:t>
      </w:r>
      <w:r>
        <w:rPr>
          <w:spacing w:val="-65"/>
        </w:rPr>
      </w:r>
      <w:r>
        <w:rPr/>
        <w:t>业竞争力。</w:t>
      </w:r>
    </w:p>
    <w:p>
      <w:pPr>
        <w:pStyle w:val="BodyText"/>
        <w:spacing w:line="319" w:lineRule="auto" w:before="56"/>
        <w:ind w:left="1134" w:right="1133" w:firstLine="360"/>
        <w:jc w:val="both"/>
      </w:pPr>
      <w:r>
        <w:rPr>
          <w:spacing w:val="-2"/>
        </w:rPr>
        <w:t>创新是东方通的发展源泉，也是公司的核心竞争力。公司除了通过整合业务板块、优化管理结构、加强内控管理、提高</w:t>
      </w:r>
      <w:r>
        <w:rPr/>
        <w:t> </w:t>
      </w:r>
      <w:r>
        <w:rPr>
          <w:spacing w:val="-2"/>
        </w:rPr>
        <w:t>品牌建设、拓宽营销产品线等举措提升公司竞争力以外，主要通过持续的商业模式及管理模式的创新不断发展前进，立志成</w:t>
      </w:r>
      <w:r>
        <w:rPr>
          <w:spacing w:val="-66"/>
        </w:rPr>
        <w:t> </w:t>
      </w:r>
      <w:r>
        <w:rPr>
          <w:spacing w:val="-66"/>
        </w:rPr>
      </w:r>
      <w:r>
        <w:rPr/>
        <w:t>为一家伟大的</w:t>
      </w:r>
      <w:r>
        <w:rPr>
          <w:rFonts w:ascii="Times New Roman" w:hAnsi="Times New Roman" w:cs="Times New Roman" w:eastAsia="Times New Roman" w:hint="default"/>
        </w:rPr>
        <w:t>“</w:t>
      </w:r>
      <w:r>
        <w:rPr/>
        <w:t>自主、可控、安全</w:t>
      </w:r>
      <w:r>
        <w:rPr>
          <w:rFonts w:ascii="Times New Roman" w:hAnsi="Times New Roman" w:cs="Times New Roman" w:eastAsia="Times New Roman" w:hint="default"/>
        </w:rPr>
        <w:t>”</w:t>
      </w:r>
      <w:r>
        <w:rPr/>
        <w:t>创新型企业。</w:t>
      </w:r>
    </w:p>
    <w:p>
      <w:pPr>
        <w:spacing w:line="441" w:lineRule="auto" w:before="116"/>
        <w:ind w:left="1493" w:right="3553" w:firstLine="1"/>
        <w:jc w:val="left"/>
        <w:rPr>
          <w:rFonts w:ascii="宋体" w:hAnsi="宋体" w:cs="宋体" w:eastAsia="宋体" w:hint="default"/>
          <w:sz w:val="18"/>
          <w:szCs w:val="18"/>
        </w:rPr>
      </w:pPr>
      <w:r>
        <w:rPr>
          <w:rFonts w:ascii="宋体" w:hAnsi="宋体" w:cs="宋体" w:eastAsia="宋体" w:hint="default"/>
          <w:b/>
          <w:bCs/>
          <w:sz w:val="18"/>
          <w:szCs w:val="18"/>
        </w:rPr>
        <w:t>（一）技术创新优势</w:t>
      </w:r>
      <w:r>
        <w:rPr>
          <w:rFonts w:ascii="宋体" w:hAnsi="宋体" w:cs="宋体" w:eastAsia="宋体" w:hint="default"/>
          <w:b/>
          <w:bCs/>
          <w:w w:val="99"/>
          <w:sz w:val="18"/>
          <w:szCs w:val="18"/>
        </w:rPr>
        <w:t> </w:t>
      </w:r>
      <w:r>
        <w:rPr>
          <w:rFonts w:ascii="宋体" w:hAnsi="宋体" w:cs="宋体" w:eastAsia="宋体" w:hint="default"/>
          <w:sz w:val="18"/>
          <w:szCs w:val="18"/>
        </w:rPr>
        <w:t>公司一直高度重视产品研发和技术进步，并致力于不断的技术创新提升公司的竞争力。</w:t>
      </w:r>
    </w:p>
    <w:p>
      <w:pPr>
        <w:pStyle w:val="BodyText"/>
        <w:spacing w:line="214" w:lineRule="exact"/>
        <w:ind w:left="1493" w:right="1033"/>
        <w:jc w:val="left"/>
      </w:pPr>
      <w:r>
        <w:rPr>
          <w:rFonts w:ascii="Times New Roman" w:hAnsi="Times New Roman" w:cs="Times New Roman" w:eastAsia="Times New Roman" w:hint="default"/>
        </w:rPr>
        <w:t>1</w:t>
      </w:r>
      <w:r>
        <w:rPr/>
        <w:t>、核心技术自主研发能力强，产品转化率高</w:t>
      </w:r>
    </w:p>
    <w:p>
      <w:pPr>
        <w:pStyle w:val="BodyText"/>
        <w:spacing w:line="309" w:lineRule="auto" w:before="101"/>
        <w:ind w:left="1134" w:right="1033" w:firstLine="360"/>
        <w:jc w:val="left"/>
      </w:pPr>
      <w:r>
        <w:rPr/>
        <w:t>公司拥有一支优秀的核心技术研究与软件开发团队，人员本科及以上学历占比</w:t>
      </w:r>
      <w:r>
        <w:rPr>
          <w:spacing w:val="-45"/>
        </w:rPr>
        <w:t> </w:t>
      </w:r>
      <w:r>
        <w:rPr>
          <w:rFonts w:ascii="Times New Roman" w:hAnsi="Times New Roman" w:cs="Times New Roman" w:eastAsia="Times New Roman" w:hint="default"/>
        </w:rPr>
        <w:t>90%</w:t>
      </w:r>
      <w:r>
        <w:rPr/>
        <w:t>以上，除北京总部外，在成都、武 </w:t>
      </w:r>
      <w:r>
        <w:rPr>
          <w:spacing w:val="-2"/>
        </w:rPr>
        <w:t>汉、郑州分别建有研发基地。公司拥有自主研发的多项软件著作权及产品证书，并取得多件国家专利授权证书，多次获得国</w:t>
      </w:r>
      <w:r>
        <w:rPr>
          <w:spacing w:val="-66"/>
        </w:rPr>
        <w:t> </w:t>
      </w:r>
      <w:r>
        <w:rPr>
          <w:spacing w:val="-66"/>
        </w:rPr>
      </w:r>
      <w:r>
        <w:rPr/>
        <w:t>家、北京市的成果转化、创新基金等方面的资金支持。</w:t>
      </w:r>
    </w:p>
    <w:p>
      <w:pPr>
        <w:pStyle w:val="BodyText"/>
        <w:spacing w:line="316" w:lineRule="auto" w:before="64"/>
        <w:ind w:left="1134" w:right="1131" w:firstLine="360"/>
        <w:jc w:val="both"/>
      </w:pPr>
      <w:r>
        <w:rPr>
          <w:spacing w:val="-2"/>
        </w:rPr>
        <w:t>中间件方面，持续多年的积累与努力，使公司在中间件核心技术上积累丰厚，技术和产品创新不断。公司主导或参与制</w:t>
      </w:r>
      <w:r>
        <w:rPr/>
        <w:t> 定了中间件、</w:t>
      </w:r>
      <w:r>
        <w:rPr>
          <w:rFonts w:ascii="Times New Roman" w:hAnsi="Times New Roman" w:cs="Times New Roman" w:eastAsia="Times New Roman" w:hint="default"/>
        </w:rPr>
        <w:t>SOA</w:t>
      </w:r>
      <w:r>
        <w:rPr/>
        <w:t>、云计算与智慧城市相关国家和行业标准</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余项，承担多项</w:t>
      </w:r>
      <w:r>
        <w:rPr>
          <w:rFonts w:ascii="Times New Roman" w:hAnsi="Times New Roman" w:cs="Times New Roman" w:eastAsia="Times New Roman" w:hint="default"/>
        </w:rPr>
        <w:t>“</w:t>
      </w:r>
      <w:r>
        <w:rPr/>
        <w:t>核高基</w:t>
      </w:r>
      <w:r>
        <w:rPr>
          <w:rFonts w:ascii="Times New Roman" w:hAnsi="Times New Roman" w:cs="Times New Roman" w:eastAsia="Times New Roman" w:hint="default"/>
        </w:rPr>
        <w:t>”</w:t>
      </w:r>
      <w:r>
        <w:rPr/>
        <w:t>国家重大科技专项课题任务；在基</w:t>
      </w:r>
    </w:p>
    <w:p>
      <w:pPr>
        <w:pStyle w:val="BodyText"/>
        <w:spacing w:line="312" w:lineRule="auto"/>
        <w:ind w:left="1134" w:right="1132"/>
        <w:jc w:val="both"/>
      </w:pPr>
      <w:r>
        <w:rPr/>
        <w:t>础中间件、数据与服务中间件，以及行业领域平台等方面发布</w:t>
      </w:r>
      <w:r>
        <w:rPr>
          <w:spacing w:val="-45"/>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余款新产品，并不断叠加升级软件版本，产品具有较强的 </w:t>
      </w:r>
      <w:r>
        <w:rPr>
          <w:spacing w:val="-2"/>
        </w:rPr>
        <w:t>竞争优势；与优秀行业客户和上下游优势厂商深度技术合作，与华夏银行建立了中间件联合实验室，与神州数码等厂商建立</w:t>
      </w:r>
      <w:r>
        <w:rPr>
          <w:spacing w:val="-66"/>
        </w:rPr>
        <w:t> </w:t>
      </w:r>
      <w:r>
        <w:rPr>
          <w:spacing w:val="-66"/>
        </w:rPr>
      </w:r>
      <w:r>
        <w:rPr>
          <w:spacing w:val="-2"/>
        </w:rPr>
        <w:t>了安全可靠联合实验室，针对中间件技术、云计算，与国产技术环境的适配进行自主研发，完善与孵化产品。公司技术中心</w:t>
      </w:r>
      <w:r>
        <w:rPr>
          <w:spacing w:val="-66"/>
        </w:rPr>
        <w:t> </w:t>
      </w:r>
      <w:r>
        <w:rPr>
          <w:spacing w:val="-66"/>
        </w:rPr>
      </w:r>
      <w:r>
        <w:rPr/>
        <w:t>是北京市认定的企业技术中心，与</w:t>
      </w:r>
      <w:r>
        <w:rPr>
          <w:rFonts w:ascii="Times New Roman" w:hAnsi="Times New Roman" w:cs="Times New Roman" w:eastAsia="Times New Roman" w:hint="default"/>
        </w:rPr>
        <w:t>“</w:t>
      </w:r>
      <w:r>
        <w:rPr/>
        <w:t>安全可靠技术和产业联盟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龙安联盟</w:t>
      </w:r>
      <w:r>
        <w:rPr>
          <w:rFonts w:ascii="Times New Roman" w:hAnsi="Times New Roman" w:cs="Times New Roman" w:eastAsia="Times New Roman" w:hint="default"/>
        </w:rPr>
        <w:t>”</w:t>
      </w:r>
      <w:r>
        <w:rPr/>
        <w:t>等自主可控体系内共同推进国产化进程。</w:t>
      </w:r>
    </w:p>
    <w:p>
      <w:pPr>
        <w:pStyle w:val="BodyText"/>
        <w:spacing w:line="319" w:lineRule="auto" w:before="41"/>
        <w:ind w:right="1033" w:firstLine="540"/>
        <w:jc w:val="left"/>
      </w:pPr>
      <w:r>
        <w:rPr>
          <w:spacing w:val="-4"/>
        </w:rPr>
        <w:t>信息安全方面，公司以自主研发为核心，打造了高性能数据采集及处理技术、基于网络及信息安全的大数据异构算法、</w:t>
      </w:r>
      <w:r>
        <w:rPr/>
        <w:t> 文字图片及视频识别深度学习技术、网络病毒检测等多种核心技术，技术储备业内领先。</w:t>
      </w:r>
    </w:p>
    <w:p>
      <w:pPr>
        <w:pStyle w:val="BodyText"/>
        <w:spacing w:line="338" w:lineRule="auto" w:before="56"/>
        <w:ind w:left="1493" w:right="1033"/>
        <w:jc w:val="left"/>
      </w:pPr>
      <w:r>
        <w:rPr>
          <w:rFonts w:ascii="Times New Roman" w:hAnsi="Times New Roman" w:cs="Times New Roman" w:eastAsia="Times New Roman" w:hint="default"/>
        </w:rPr>
        <w:t>2</w:t>
      </w:r>
      <w:r>
        <w:rPr/>
        <w:t>、与国内知名研究机构开展深度合作，推进产学研和人才培养机制 </w:t>
      </w:r>
      <w:r>
        <w:rPr>
          <w:spacing w:val="-2"/>
        </w:rPr>
        <w:t>围绕公司技术发展方向及产品研发需要，公司与四川大学、清华大学共同开展软件代码分析与监测技术的研发，并申请</w:t>
      </w:r>
    </w:p>
    <w:p>
      <w:pPr>
        <w:pStyle w:val="BodyText"/>
        <w:spacing w:line="319" w:lineRule="auto" w:before="2"/>
        <w:ind w:right="1050"/>
        <w:jc w:val="both"/>
      </w:pPr>
      <w:r>
        <w:rPr/>
        <w:t>相关知识产权。针对中间件相关技术研究与产品研发，与中国科学院软件所等科研机构在集群、内存计算等方面进行合作， 为后续产品完善升级提供技术准备。</w:t>
      </w:r>
    </w:p>
    <w:p>
      <w:pPr>
        <w:pStyle w:val="BodyText"/>
        <w:spacing w:line="309" w:lineRule="auto" w:before="55"/>
        <w:ind w:right="1132" w:firstLine="360"/>
        <w:jc w:val="both"/>
      </w:pPr>
      <w:r>
        <w:rPr>
          <w:spacing w:val="-2"/>
        </w:rPr>
        <w:t>公司与北京邮电大学共建联合实验室，以信息安全领域的相关研究作为重点。主要研究领域包括基于人工智能的文本分</w:t>
      </w:r>
      <w:r>
        <w:rPr/>
        <w:t> 析与语义挖掘，图像处理、分析与识别，以及信息内容安全技术等。在</w:t>
      </w:r>
      <w:r>
        <w:rPr>
          <w:rFonts w:ascii="Times New Roman" w:hAnsi="Times New Roman" w:cs="Times New Roman" w:eastAsia="Times New Roman" w:hint="default"/>
        </w:rPr>
        <w:t>“</w:t>
      </w:r>
      <w:r>
        <w:rPr/>
        <w:t>寻找算法界最强大脑</w:t>
      </w:r>
      <w:r>
        <w:rPr>
          <w:rFonts w:ascii="Times New Roman" w:hAnsi="Times New Roman" w:cs="Times New Roman" w:eastAsia="Times New Roman" w:hint="default"/>
        </w:rPr>
        <w:t>—</w:t>
      </w:r>
      <w:r>
        <w:rPr>
          <w:rFonts w:ascii="Times New Roman" w:hAnsi="Times New Roman" w:cs="Times New Roman" w:eastAsia="Times New Roman" w:hint="default"/>
        </w:rPr>
        <w:t>2017</w:t>
      </w:r>
      <w:r>
        <w:rPr>
          <w:rFonts w:ascii="Times New Roman" w:hAnsi="Times New Roman" w:cs="Times New Roman" w:eastAsia="Times New Roman" w:hint="default"/>
          <w:spacing w:val="-25"/>
        </w:rPr>
        <w:t> </w:t>
      </w:r>
      <w:r>
        <w:rPr/>
        <w:t>知乎看山杯机器学习挑 战赛</w:t>
      </w:r>
      <w:r>
        <w:rPr>
          <w:rFonts w:ascii="Times New Roman" w:hAnsi="Times New Roman" w:cs="Times New Roman" w:eastAsia="Times New Roman" w:hint="default"/>
        </w:rPr>
        <w:t>”</w:t>
      </w:r>
      <w:r>
        <w:rPr/>
        <w:t>中，联合实验室派出的两支队伍分别夺取第一名和第二名的成绩。</w:t>
      </w:r>
    </w:p>
    <w:p>
      <w:pPr>
        <w:pStyle w:val="BodyText"/>
        <w:spacing w:line="302" w:lineRule="auto" w:before="44"/>
        <w:ind w:right="1132" w:firstLine="360"/>
        <w:jc w:val="both"/>
        <w:rPr>
          <w:rFonts w:ascii="Times New Roman" w:hAnsi="Times New Roman" w:cs="Times New Roman" w:eastAsia="Times New Roman" w:hint="default"/>
        </w:rPr>
      </w:pPr>
      <w:r>
        <w:rPr/>
        <w:t>报告期内，公司及全资子公司新增软件著作权</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spacing w:val="-7"/>
        </w:rPr>
        <w:t>项。截止</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日，公司及全资子公司拥有软件著作权情况 如下表</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3"/>
          <w:szCs w:val="3"/>
        </w:rPr>
      </w:pPr>
    </w:p>
    <w:tbl>
      <w:tblPr>
        <w:tblW w:w="0" w:type="auto"/>
        <w:jc w:val="left"/>
        <w:tblInd w:w="1119" w:type="dxa"/>
        <w:tblLayout w:type="fixed"/>
        <w:tblCellMar>
          <w:top w:w="0" w:type="dxa"/>
          <w:left w:w="0" w:type="dxa"/>
          <w:bottom w:w="0" w:type="dxa"/>
          <w:right w:w="0" w:type="dxa"/>
        </w:tblCellMar>
        <w:tblLook w:val="01E0"/>
      </w:tblPr>
      <w:tblGrid>
        <w:gridCol w:w="734"/>
        <w:gridCol w:w="1209"/>
        <w:gridCol w:w="1637"/>
        <w:gridCol w:w="2060"/>
        <w:gridCol w:w="1383"/>
        <w:gridCol w:w="1046"/>
        <w:gridCol w:w="758"/>
        <w:gridCol w:w="832"/>
      </w:tblGrid>
      <w:tr>
        <w:trPr>
          <w:trHeight w:val="341" w:hRule="exact"/>
        </w:trPr>
        <w:tc>
          <w:tcPr>
            <w:tcW w:w="73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3"/>
              <w:ind w:left="96" w:right="0"/>
              <w:jc w:val="left"/>
              <w:rPr>
                <w:rFonts w:ascii="宋体" w:hAnsi="宋体" w:cs="宋体" w:eastAsia="宋体" w:hint="default"/>
                <w:sz w:val="15"/>
                <w:szCs w:val="15"/>
              </w:rPr>
            </w:pPr>
            <w:r>
              <w:rPr>
                <w:rFonts w:ascii="宋体" w:hAnsi="宋体" w:cs="宋体" w:eastAsia="宋体" w:hint="default"/>
                <w:b/>
                <w:bCs/>
                <w:sz w:val="15"/>
                <w:szCs w:val="15"/>
              </w:rPr>
              <w:t>序号</w:t>
            </w:r>
            <w:r>
              <w:rPr>
                <w:rFonts w:ascii="宋体" w:hAnsi="宋体" w:cs="宋体" w:eastAsia="宋体" w:hint="default"/>
                <w:sz w:val="15"/>
                <w:szCs w:val="15"/>
              </w:rPr>
            </w:r>
          </w:p>
        </w:tc>
        <w:tc>
          <w:tcPr>
            <w:tcW w:w="1209"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3"/>
              <w:ind w:left="335" w:right="0"/>
              <w:jc w:val="left"/>
              <w:rPr>
                <w:rFonts w:ascii="宋体" w:hAnsi="宋体" w:cs="宋体" w:eastAsia="宋体" w:hint="default"/>
                <w:sz w:val="15"/>
                <w:szCs w:val="15"/>
              </w:rPr>
            </w:pPr>
            <w:r>
              <w:rPr>
                <w:rFonts w:ascii="宋体" w:hAnsi="宋体" w:cs="宋体" w:eastAsia="宋体" w:hint="default"/>
                <w:b/>
                <w:bCs/>
                <w:sz w:val="15"/>
                <w:szCs w:val="15"/>
              </w:rPr>
              <w:t>证书号</w:t>
            </w:r>
            <w:r>
              <w:rPr>
                <w:rFonts w:ascii="宋体" w:hAnsi="宋体" w:cs="宋体" w:eastAsia="宋体" w:hint="default"/>
                <w:sz w:val="15"/>
                <w:szCs w:val="15"/>
              </w:rPr>
            </w:r>
          </w:p>
        </w:tc>
        <w:tc>
          <w:tcPr>
            <w:tcW w:w="1637"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3"/>
              <w:ind w:left="422" w:right="0"/>
              <w:jc w:val="left"/>
              <w:rPr>
                <w:rFonts w:ascii="宋体" w:hAnsi="宋体" w:cs="宋体" w:eastAsia="宋体" w:hint="default"/>
                <w:sz w:val="15"/>
                <w:szCs w:val="15"/>
              </w:rPr>
            </w:pPr>
            <w:r>
              <w:rPr>
                <w:rFonts w:ascii="宋体" w:hAnsi="宋体" w:cs="宋体" w:eastAsia="宋体" w:hint="default"/>
                <w:b/>
                <w:bCs/>
                <w:sz w:val="15"/>
                <w:szCs w:val="15"/>
              </w:rPr>
              <w:t>登记号</w:t>
            </w:r>
            <w:r>
              <w:rPr>
                <w:rFonts w:ascii="宋体" w:hAnsi="宋体" w:cs="宋体" w:eastAsia="宋体" w:hint="default"/>
                <w:sz w:val="15"/>
                <w:szCs w:val="15"/>
              </w:rPr>
            </w:r>
          </w:p>
        </w:tc>
        <w:tc>
          <w:tcPr>
            <w:tcW w:w="206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3"/>
              <w:ind w:left="69" w:right="0"/>
              <w:jc w:val="center"/>
              <w:rPr>
                <w:rFonts w:ascii="宋体" w:hAnsi="宋体" w:cs="宋体" w:eastAsia="宋体" w:hint="default"/>
                <w:sz w:val="15"/>
                <w:szCs w:val="15"/>
              </w:rPr>
            </w:pPr>
            <w:r>
              <w:rPr>
                <w:rFonts w:ascii="宋体" w:hAnsi="宋体" w:cs="宋体" w:eastAsia="宋体" w:hint="default"/>
                <w:b/>
                <w:bCs/>
                <w:sz w:val="15"/>
                <w:szCs w:val="15"/>
              </w:rPr>
              <w:t>软件名称</w:t>
            </w:r>
            <w:r>
              <w:rPr>
                <w:rFonts w:ascii="宋体" w:hAnsi="宋体" w:cs="宋体" w:eastAsia="宋体" w:hint="default"/>
                <w:sz w:val="15"/>
                <w:szCs w:val="15"/>
              </w:rPr>
            </w:r>
          </w:p>
        </w:tc>
        <w:tc>
          <w:tcPr>
            <w:tcW w:w="1383"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3"/>
              <w:ind w:left="694" w:right="0"/>
              <w:jc w:val="left"/>
              <w:rPr>
                <w:rFonts w:ascii="宋体" w:hAnsi="宋体" w:cs="宋体" w:eastAsia="宋体" w:hint="default"/>
                <w:sz w:val="15"/>
                <w:szCs w:val="15"/>
              </w:rPr>
            </w:pPr>
            <w:r>
              <w:rPr>
                <w:rFonts w:ascii="宋体" w:hAnsi="宋体" w:cs="宋体" w:eastAsia="宋体" w:hint="default"/>
                <w:b/>
                <w:bCs/>
                <w:sz w:val="15"/>
                <w:szCs w:val="15"/>
              </w:rPr>
              <w:t>著作权人</w:t>
            </w:r>
            <w:r>
              <w:rPr>
                <w:rFonts w:ascii="宋体" w:hAnsi="宋体" w:cs="宋体" w:eastAsia="宋体" w:hint="default"/>
                <w:sz w:val="15"/>
                <w:szCs w:val="15"/>
              </w:rPr>
            </w:r>
          </w:p>
        </w:tc>
        <w:tc>
          <w:tcPr>
            <w:tcW w:w="104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3"/>
              <w:ind w:left="86" w:right="0"/>
              <w:jc w:val="left"/>
              <w:rPr>
                <w:rFonts w:ascii="宋体" w:hAnsi="宋体" w:cs="宋体" w:eastAsia="宋体" w:hint="default"/>
                <w:sz w:val="15"/>
                <w:szCs w:val="15"/>
              </w:rPr>
            </w:pPr>
            <w:r>
              <w:rPr>
                <w:rFonts w:ascii="宋体" w:hAnsi="宋体" w:cs="宋体" w:eastAsia="宋体" w:hint="default"/>
                <w:b/>
                <w:bCs/>
                <w:sz w:val="15"/>
                <w:szCs w:val="15"/>
              </w:rPr>
              <w:t>权利取得方式</w:t>
            </w:r>
            <w:r>
              <w:rPr>
                <w:rFonts w:ascii="宋体" w:hAnsi="宋体" w:cs="宋体" w:eastAsia="宋体" w:hint="default"/>
                <w:sz w:val="15"/>
                <w:szCs w:val="15"/>
              </w:rPr>
            </w:r>
          </w:p>
        </w:tc>
        <w:tc>
          <w:tcPr>
            <w:tcW w:w="75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3"/>
              <w:ind w:left="56" w:right="0"/>
              <w:jc w:val="left"/>
              <w:rPr>
                <w:rFonts w:ascii="宋体" w:hAnsi="宋体" w:cs="宋体" w:eastAsia="宋体" w:hint="default"/>
                <w:sz w:val="15"/>
                <w:szCs w:val="15"/>
              </w:rPr>
            </w:pPr>
            <w:r>
              <w:rPr>
                <w:rFonts w:ascii="宋体" w:hAnsi="宋体" w:cs="宋体" w:eastAsia="宋体" w:hint="default"/>
                <w:b/>
                <w:bCs/>
                <w:sz w:val="15"/>
                <w:szCs w:val="15"/>
              </w:rPr>
              <w:t>权利范围</w:t>
            </w:r>
            <w:r>
              <w:rPr>
                <w:rFonts w:ascii="宋体" w:hAnsi="宋体" w:cs="宋体" w:eastAsia="宋体" w:hint="default"/>
                <w:sz w:val="15"/>
                <w:szCs w:val="15"/>
              </w:rPr>
            </w:r>
          </w:p>
        </w:tc>
        <w:tc>
          <w:tcPr>
            <w:tcW w:w="832"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3"/>
              <w:ind w:left="99" w:right="0"/>
              <w:jc w:val="left"/>
              <w:rPr>
                <w:rFonts w:ascii="宋体" w:hAnsi="宋体" w:cs="宋体" w:eastAsia="宋体" w:hint="default"/>
                <w:sz w:val="15"/>
                <w:szCs w:val="15"/>
              </w:rPr>
            </w:pPr>
            <w:r>
              <w:rPr>
                <w:rFonts w:ascii="宋体" w:hAnsi="宋体" w:cs="宋体" w:eastAsia="宋体" w:hint="default"/>
                <w:b/>
                <w:bCs/>
                <w:sz w:val="15"/>
                <w:szCs w:val="15"/>
              </w:rPr>
              <w:t>首发日期</w:t>
            </w:r>
            <w:r>
              <w:rPr>
                <w:rFonts w:ascii="宋体" w:hAnsi="宋体" w:cs="宋体" w:eastAsia="宋体" w:hint="default"/>
                <w:sz w:val="15"/>
                <w:szCs w:val="15"/>
              </w:rPr>
            </w:r>
          </w:p>
        </w:tc>
      </w:tr>
    </w:tbl>
    <w:p>
      <w:pPr>
        <w:spacing w:after="0" w:line="240" w:lineRule="auto"/>
        <w:jc w:val="left"/>
        <w:rPr>
          <w:rFonts w:ascii="宋体" w:hAnsi="宋体" w:cs="宋体" w:eastAsia="宋体" w:hint="default"/>
          <w:sz w:val="15"/>
          <w:szCs w:val="15"/>
        </w:rPr>
        <w:sectPr>
          <w:pgSz w:w="11910" w:h="16840"/>
          <w:pgMar w:header="747" w:footer="979" w:top="1060" w:bottom="1160" w:left="0" w:right="0"/>
        </w:sectPr>
      </w:pPr>
    </w:p>
    <w:p>
      <w:pPr>
        <w:spacing w:line="240" w:lineRule="auto" w:before="6"/>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103199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10" w:type="dxa"/>
        <w:tblLayout w:type="fixed"/>
        <w:tblCellMar>
          <w:top w:w="0" w:type="dxa"/>
          <w:left w:w="0" w:type="dxa"/>
          <w:bottom w:w="0" w:type="dxa"/>
          <w:right w:w="0" w:type="dxa"/>
        </w:tblCellMar>
        <w:tblLook w:val="01E0"/>
      </w:tblPr>
      <w:tblGrid>
        <w:gridCol w:w="428"/>
        <w:gridCol w:w="1609"/>
        <w:gridCol w:w="1049"/>
        <w:gridCol w:w="2985"/>
        <w:gridCol w:w="964"/>
        <w:gridCol w:w="850"/>
        <w:gridCol w:w="866"/>
        <w:gridCol w:w="922"/>
      </w:tblGrid>
      <w:tr>
        <w:trPr>
          <w:trHeight w:val="986"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26"/>
              <w:jc w:val="right"/>
              <w:rPr>
                <w:rFonts w:ascii="Times New Roman" w:hAnsi="Times New Roman" w:cs="Times New Roman" w:eastAsia="Times New Roman" w:hint="default"/>
                <w:sz w:val="15"/>
                <w:szCs w:val="15"/>
              </w:rPr>
            </w:pPr>
            <w:r>
              <w:rPr>
                <w:rFonts w:ascii="Times New Roman"/>
                <w:sz w:val="15"/>
              </w:rPr>
              <w:t>1</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0157675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2009SR030676</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1318"/>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TongSEC</w:t>
            </w:r>
            <w:r>
              <w:rPr>
                <w:rFonts w:ascii="宋体" w:hAnsi="宋体" w:cs="宋体" w:eastAsia="宋体" w:hint="default"/>
                <w:sz w:val="15"/>
                <w:szCs w:val="15"/>
              </w:rPr>
              <w:t>安全中间件软件 </w:t>
            </w: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:TongSEC]</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V2.3</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成都东方通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受让</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2001/4/1</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26"/>
              <w:jc w:val="right"/>
              <w:rPr>
                <w:rFonts w:ascii="Times New Roman" w:hAnsi="Times New Roman" w:cs="Times New Roman" w:eastAsia="Times New Roman" w:hint="default"/>
                <w:sz w:val="15"/>
                <w:szCs w:val="15"/>
              </w:rPr>
            </w:pPr>
            <w:r>
              <w:rPr>
                <w:rFonts w:ascii="Times New Roman"/>
                <w:sz w:val="15"/>
              </w:rPr>
              <w:t>2</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0157674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2009SR030675</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东方通短信银行平台软件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:Tong_SMS Banking Platform]</w:t>
            </w:r>
            <w:r>
              <w:rPr>
                <w:rFonts w:ascii="Times New Roman" w:hAnsi="Times New Roman" w:cs="Times New Roman" w:eastAsia="Times New Roman" w:hint="default"/>
                <w:spacing w:val="-11"/>
                <w:sz w:val="15"/>
                <w:szCs w:val="15"/>
              </w:rPr>
              <w:t> </w:t>
            </w:r>
            <w:r>
              <w:rPr>
                <w:rFonts w:ascii="Times New Roman" w:hAnsi="Times New Roman" w:cs="Times New Roman" w:eastAsia="Times New Roman" w:hint="default"/>
                <w:sz w:val="15"/>
                <w:szCs w:val="15"/>
              </w:rPr>
              <w:t>V1.0</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成都东方通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受让</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2003/3/28</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26"/>
              <w:jc w:val="right"/>
              <w:rPr>
                <w:rFonts w:ascii="Times New Roman" w:hAnsi="Times New Roman" w:cs="Times New Roman" w:eastAsia="Times New Roman" w:hint="default"/>
                <w:sz w:val="15"/>
                <w:szCs w:val="15"/>
              </w:rPr>
            </w:pPr>
            <w:r>
              <w:rPr>
                <w:rFonts w:ascii="Times New Roman"/>
                <w:sz w:val="15"/>
              </w:rPr>
              <w:t>3</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0156158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2009SR029159</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22" w:right="0"/>
              <w:jc w:val="left"/>
              <w:rPr>
                <w:rFonts w:ascii="宋体" w:hAnsi="宋体" w:cs="宋体" w:eastAsia="宋体" w:hint="default"/>
                <w:sz w:val="15"/>
                <w:szCs w:val="15"/>
              </w:rPr>
            </w:pPr>
            <w:r>
              <w:rPr>
                <w:rFonts w:ascii="宋体" w:hAnsi="宋体" w:cs="宋体" w:eastAsia="宋体" w:hint="default"/>
                <w:sz w:val="15"/>
                <w:szCs w:val="15"/>
              </w:rPr>
              <w:t>东方通通用文件传输平台软件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:TongGTP]</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V5.0</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成都东方通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2008/10/18</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26"/>
              <w:jc w:val="right"/>
              <w:rPr>
                <w:rFonts w:ascii="Times New Roman" w:hAnsi="Times New Roman" w:cs="Times New Roman" w:eastAsia="Times New Roman" w:hint="default"/>
                <w:sz w:val="15"/>
                <w:szCs w:val="15"/>
              </w:rPr>
            </w:pPr>
            <w:r>
              <w:rPr>
                <w:rFonts w:ascii="Times New Roman"/>
                <w:sz w:val="15"/>
              </w:rPr>
              <w:t>4</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0147135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2009SR020136</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东方通住房公积金综合业务管理系统</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:TongPHAF]1.0</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成都东方通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2009/2/8</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26"/>
              <w:jc w:val="right"/>
              <w:rPr>
                <w:rFonts w:ascii="Times New Roman" w:hAnsi="Times New Roman" w:cs="Times New Roman" w:eastAsia="Times New Roman" w:hint="default"/>
                <w:sz w:val="15"/>
                <w:szCs w:val="15"/>
              </w:rPr>
            </w:pPr>
            <w:r>
              <w:rPr>
                <w:rFonts w:ascii="Times New Roman"/>
                <w:sz w:val="15"/>
              </w:rPr>
              <w:t>5</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0168144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2009SR041145</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东方通应用集成中间件软件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:TI2.5]</w:t>
            </w:r>
            <w:r>
              <w:rPr>
                <w:rFonts w:ascii="Times New Roman" w:hAnsi="Times New Roman" w:cs="Times New Roman" w:eastAsia="Times New Roman" w:hint="default"/>
                <w:spacing w:val="-3"/>
                <w:sz w:val="15"/>
                <w:szCs w:val="15"/>
              </w:rPr>
              <w:t> </w:t>
            </w:r>
            <w:r>
              <w:rPr>
                <w:rFonts w:ascii="Times New Roman" w:hAnsi="Times New Roman" w:cs="Times New Roman" w:eastAsia="Times New Roman" w:hint="default"/>
                <w:sz w:val="15"/>
                <w:szCs w:val="15"/>
              </w:rPr>
              <w:t>V2.5</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成都东方通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2009/2/20</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26"/>
              <w:jc w:val="right"/>
              <w:rPr>
                <w:rFonts w:ascii="Times New Roman" w:hAnsi="Times New Roman" w:cs="Times New Roman" w:eastAsia="Times New Roman" w:hint="default"/>
                <w:sz w:val="15"/>
                <w:szCs w:val="15"/>
              </w:rPr>
            </w:pPr>
            <w:r>
              <w:rPr>
                <w:rFonts w:ascii="Times New Roman"/>
                <w:sz w:val="15"/>
              </w:rPr>
              <w:t>6</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0324412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2011SR060738</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东方通通用文件传输平台软件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:TongGTP]</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V5.2.2</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成都东方通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2010/12/2</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26"/>
              <w:jc w:val="right"/>
              <w:rPr>
                <w:rFonts w:ascii="Times New Roman" w:hAnsi="Times New Roman" w:cs="Times New Roman" w:eastAsia="Times New Roman" w:hint="default"/>
                <w:sz w:val="15"/>
                <w:szCs w:val="15"/>
              </w:rPr>
            </w:pPr>
            <w:r>
              <w:rPr>
                <w:rFonts w:ascii="Times New Roman"/>
                <w:sz w:val="15"/>
              </w:rPr>
              <w:t>7</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0311192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2011SR047518</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东方通消息中间件软件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:TongLINK/Q]</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V6.3.2</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成都东方通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2011/1/1</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26"/>
              <w:jc w:val="right"/>
              <w:rPr>
                <w:rFonts w:ascii="Times New Roman" w:hAnsi="Times New Roman" w:cs="Times New Roman" w:eastAsia="Times New Roman" w:hint="default"/>
                <w:sz w:val="15"/>
                <w:szCs w:val="15"/>
              </w:rPr>
            </w:pPr>
            <w:r>
              <w:rPr>
                <w:rFonts w:ascii="Times New Roman"/>
                <w:sz w:val="15"/>
              </w:rPr>
              <w:t>8</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0324274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2011SR060600</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东方通应用集成中间件软件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:TongIntegrator]</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V4.0.2</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成都东方通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2011/1/1</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26"/>
              <w:jc w:val="right"/>
              <w:rPr>
                <w:rFonts w:ascii="Times New Roman" w:hAnsi="Times New Roman" w:cs="Times New Roman" w:eastAsia="Times New Roman" w:hint="default"/>
                <w:sz w:val="15"/>
                <w:szCs w:val="15"/>
              </w:rPr>
            </w:pPr>
            <w:r>
              <w:rPr>
                <w:rFonts w:ascii="Times New Roman"/>
                <w:sz w:val="15"/>
              </w:rPr>
              <w:t>9</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0324411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2011SR060737</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东方通消息中间件软件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:TongLINK/Q]</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V7.2.2</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成都东方通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2011/1/1</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10</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0300172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2011SR036498</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东方通应用服务器软件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:TongWeb]</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V5.0.2</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成都东方通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2011/1/5</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11</w:t>
            </w:r>
          </w:p>
        </w:tc>
        <w:tc>
          <w:tcPr>
            <w:tcW w:w="1609" w:type="dxa"/>
            <w:tcBorders>
              <w:top w:val="single" w:sz="4" w:space="0" w:color="000000"/>
              <w:left w:val="nil" w:sz="6" w:space="0" w:color="auto"/>
              <w:bottom w:val="single" w:sz="4" w:space="0" w:color="000000"/>
              <w:right w:val="nil" w:sz="6" w:space="0" w:color="auto"/>
            </w:tcBorders>
          </w:tcPr>
          <w:p>
            <w:pP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2015SR051232</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东方通虚拟化平台</w:t>
            </w:r>
          </w:p>
          <w:p>
            <w:pPr>
              <w:pStyle w:val="TableParagraph"/>
              <w:spacing w:line="240" w:lineRule="auto" w:before="116"/>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:TongOCloud]</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成都东方通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2014/12/25</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12</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75"/>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004207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2002SR4207</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1176"/>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TongBroker</w:t>
            </w:r>
            <w:r>
              <w:rPr>
                <w:rFonts w:ascii="宋体" w:hAnsi="宋体" w:cs="宋体" w:eastAsia="宋体" w:hint="default"/>
                <w:sz w:val="15"/>
                <w:szCs w:val="15"/>
              </w:rPr>
              <w:t>对象中间件软件 </w:t>
            </w: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:TongBroker]</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V1.0</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2001/10/2</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13</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75"/>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004206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2002SR4206</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131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TongWeb</w:t>
            </w:r>
            <w:r>
              <w:rPr>
                <w:rFonts w:ascii="宋体" w:hAnsi="宋体" w:cs="宋体" w:eastAsia="宋体" w:hint="default"/>
                <w:sz w:val="15"/>
                <w:szCs w:val="15"/>
              </w:rPr>
              <w:t>应用服务器软件 </w:t>
            </w: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:TongWeb]</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V3.3</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2002/4/11</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14</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75"/>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004208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2002SR4208</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120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TongEASY</w:t>
            </w:r>
            <w:r>
              <w:rPr>
                <w:rFonts w:ascii="宋体" w:hAnsi="宋体" w:cs="宋体" w:eastAsia="宋体" w:hint="default"/>
                <w:sz w:val="15"/>
                <w:szCs w:val="15"/>
              </w:rPr>
              <w:t>交易中间件软件 </w:t>
            </w: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:TongEASY]</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V5.1</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2002/6/18</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15</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75"/>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004209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2002SR4209</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1085"/>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TongLINK/Q</w:t>
            </w:r>
            <w:r>
              <w:rPr>
                <w:rFonts w:ascii="宋体" w:hAnsi="宋体" w:cs="宋体" w:eastAsia="宋体" w:hint="default"/>
                <w:sz w:val="15"/>
                <w:szCs w:val="15"/>
              </w:rPr>
              <w:t>消息中间件软件 </w:t>
            </w: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:TongLINK/Q]</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V5.0</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2002/7/20</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16</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75"/>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013060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2003SR7969</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东方通应用集成中间件软件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:TongIntegrator]</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V1.0</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2003/5/8</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17</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7"/>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BJ1066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2004SRBJ0720</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714"/>
              <w:jc w:val="left"/>
              <w:rPr>
                <w:rFonts w:ascii="Times New Roman" w:hAnsi="Times New Roman" w:cs="Times New Roman" w:eastAsia="Times New Roman" w:hint="default"/>
                <w:sz w:val="15"/>
                <w:szCs w:val="15"/>
              </w:rPr>
            </w:pPr>
            <w:r>
              <w:rPr>
                <w:rFonts w:ascii="宋体" w:hAnsi="宋体" w:cs="宋体" w:eastAsia="宋体" w:hint="default"/>
                <w:sz w:val="15"/>
                <w:szCs w:val="15"/>
              </w:rPr>
              <w:t>东方通通用数据传输平台软件</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GTP]</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2004/6/15</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18</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7"/>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BJ9434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2007SRBJ2462</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264"/>
              <w:jc w:val="left"/>
              <w:rPr>
                <w:rFonts w:ascii="Times New Roman" w:hAnsi="Times New Roman" w:cs="Times New Roman" w:eastAsia="Times New Roman" w:hint="default"/>
                <w:sz w:val="15"/>
                <w:szCs w:val="15"/>
              </w:rPr>
            </w:pPr>
            <w:r>
              <w:rPr>
                <w:rFonts w:ascii="宋体" w:hAnsi="宋体" w:cs="宋体" w:eastAsia="宋体" w:hint="default"/>
                <w:sz w:val="15"/>
                <w:szCs w:val="15"/>
              </w:rPr>
              <w:t>东方通业务流程管理套件中间件软件</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:TongBPM]</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2004/12/25</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19</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7"/>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BJ2037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2005SRBJ0340</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564"/>
              <w:jc w:val="left"/>
              <w:rPr>
                <w:rFonts w:ascii="Times New Roman" w:hAnsi="Times New Roman" w:cs="Times New Roman" w:eastAsia="Times New Roman" w:hint="default"/>
                <w:sz w:val="15"/>
                <w:szCs w:val="15"/>
              </w:rPr>
            </w:pPr>
            <w:r>
              <w:rPr>
                <w:rFonts w:ascii="宋体" w:hAnsi="宋体" w:cs="宋体" w:eastAsia="宋体" w:hint="default"/>
                <w:sz w:val="15"/>
                <w:szCs w:val="15"/>
              </w:rPr>
              <w:t>东方通</w:t>
            </w:r>
            <w:r>
              <w:rPr>
                <w:rFonts w:ascii="Times New Roman" w:hAnsi="Times New Roman" w:cs="Times New Roman" w:eastAsia="Times New Roman" w:hint="default"/>
                <w:sz w:val="15"/>
                <w:szCs w:val="15"/>
              </w:rPr>
              <w:t>TongWeb</w:t>
            </w:r>
            <w:r>
              <w:rPr>
                <w:rFonts w:ascii="宋体" w:hAnsi="宋体" w:cs="宋体" w:eastAsia="宋体" w:hint="default"/>
                <w:sz w:val="15"/>
                <w:szCs w:val="15"/>
              </w:rPr>
              <w:t>应用服务器软件</w:t>
            </w:r>
            <w:r>
              <w:rPr>
                <w:rFonts w:ascii="Times New Roman" w:hAnsi="Times New Roman" w:cs="Times New Roman" w:eastAsia="Times New Roman" w:hint="default"/>
                <w:sz w:val="15"/>
                <w:szCs w:val="15"/>
              </w:rPr>
              <w:t>V4.0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:TongWeb]</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2005/1/4</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20</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BJ23427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2009SRBJ6421</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22" w:right="0"/>
              <w:jc w:val="left"/>
              <w:rPr>
                <w:rFonts w:ascii="宋体" w:hAnsi="宋体" w:cs="宋体" w:eastAsia="宋体" w:hint="default"/>
                <w:sz w:val="15"/>
                <w:szCs w:val="15"/>
              </w:rPr>
            </w:pPr>
            <w:r>
              <w:rPr>
                <w:rFonts w:ascii="宋体" w:hAnsi="宋体" w:cs="宋体" w:eastAsia="宋体" w:hint="default"/>
                <w:sz w:val="15"/>
                <w:szCs w:val="15"/>
              </w:rPr>
              <w:t>东方通消息中间件软件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TongLINK/Q]</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V6.3</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2005/4/1</w:t>
            </w:r>
          </w:p>
        </w:tc>
      </w:tr>
      <w:tr>
        <w:trPr>
          <w:trHeight w:val="654" w:hRule="exact"/>
        </w:trPr>
        <w:tc>
          <w:tcPr>
            <w:tcW w:w="42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21</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7"/>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BJ3150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z w:val="15"/>
              </w:rPr>
              <w:t>2005SRBJ1452</w:t>
            </w:r>
          </w:p>
        </w:tc>
        <w:tc>
          <w:tcPr>
            <w:tcW w:w="2985"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156"/>
              <w:jc w:val="left"/>
              <w:rPr>
                <w:rFonts w:ascii="Times New Roman" w:hAnsi="Times New Roman" w:cs="Times New Roman" w:eastAsia="Times New Roman" w:hint="default"/>
                <w:sz w:val="15"/>
                <w:szCs w:val="15"/>
              </w:rPr>
            </w:pPr>
            <w:r>
              <w:rPr>
                <w:rFonts w:ascii="宋体" w:hAnsi="宋体" w:cs="宋体" w:eastAsia="宋体" w:hint="default"/>
                <w:sz w:val="15"/>
                <w:szCs w:val="15"/>
              </w:rPr>
              <w:t>东方通</w:t>
            </w:r>
            <w:r>
              <w:rPr>
                <w:rFonts w:ascii="Times New Roman" w:hAnsi="Times New Roman" w:cs="Times New Roman" w:eastAsia="Times New Roman" w:hint="default"/>
                <w:sz w:val="15"/>
                <w:szCs w:val="15"/>
              </w:rPr>
              <w:t>TongIntegrator</w:t>
            </w:r>
            <w:r>
              <w:rPr>
                <w:rFonts w:ascii="宋体" w:hAnsi="宋体" w:cs="宋体" w:eastAsia="宋体" w:hint="default"/>
                <w:sz w:val="15"/>
                <w:szCs w:val="15"/>
              </w:rPr>
              <w:t>集成组件</w:t>
            </w:r>
            <w:r>
              <w:rPr>
                <w:rFonts w:ascii="Times New Roman" w:hAnsi="Times New Roman" w:cs="Times New Roman" w:eastAsia="Times New Roman" w:hint="default"/>
                <w:sz w:val="15"/>
                <w:szCs w:val="15"/>
              </w:rPr>
              <w:t>(</w:t>
            </w:r>
            <w:r>
              <w:rPr>
                <w:rFonts w:ascii="宋体" w:hAnsi="宋体" w:cs="宋体" w:eastAsia="宋体" w:hint="default"/>
                <w:sz w:val="15"/>
                <w:szCs w:val="15"/>
              </w:rPr>
              <w:t>库</w:t>
            </w:r>
            <w:r>
              <w:rPr>
                <w:rFonts w:ascii="Times New Roman" w:hAnsi="Times New Roman" w:cs="Times New Roman" w:eastAsia="Times New Roman" w:hint="default"/>
                <w:sz w:val="15"/>
                <w:szCs w:val="15"/>
              </w:rPr>
              <w:t>)</w:t>
            </w:r>
            <w:r>
              <w:rPr>
                <w:rFonts w:ascii="宋体" w:hAnsi="宋体" w:cs="宋体" w:eastAsia="宋体" w:hint="default"/>
                <w:sz w:val="15"/>
                <w:szCs w:val="15"/>
              </w:rPr>
              <w:t>软件</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:TongIntegrator</w:t>
            </w:r>
            <w:r>
              <w:rPr>
                <w:rFonts w:ascii="宋体" w:hAnsi="宋体" w:cs="宋体" w:eastAsia="宋体" w:hint="default"/>
                <w:sz w:val="15"/>
                <w:szCs w:val="15"/>
              </w:rPr>
              <w:t>集成组件</w:t>
            </w:r>
            <w:r>
              <w:rPr>
                <w:rFonts w:ascii="Times New Roman" w:hAnsi="Times New Roman" w:cs="Times New Roman" w:eastAsia="Times New Roman" w:hint="default"/>
                <w:sz w:val="15"/>
                <w:szCs w:val="15"/>
              </w:rPr>
              <w:t>(</w:t>
            </w:r>
            <w:r>
              <w:rPr>
                <w:rFonts w:ascii="宋体" w:hAnsi="宋体" w:cs="宋体" w:eastAsia="宋体" w:hint="default"/>
                <w:sz w:val="15"/>
                <w:szCs w:val="15"/>
              </w:rPr>
              <w:t>库</w:t>
            </w:r>
            <w:r>
              <w:rPr>
                <w:rFonts w:ascii="Times New Roman" w:hAnsi="Times New Roman" w:cs="Times New Roman" w:eastAsia="Times New Roman" w:hint="default"/>
                <w:sz w:val="15"/>
                <w:szCs w:val="15"/>
              </w:rPr>
              <w:t>)</w:t>
            </w:r>
            <w:r>
              <w:rPr>
                <w:rFonts w:ascii="宋体" w:hAnsi="宋体" w:cs="宋体" w:eastAsia="宋体" w:hint="default"/>
                <w:sz w:val="15"/>
                <w:szCs w:val="15"/>
              </w:rPr>
              <w:t>软件</w:t>
            </w:r>
            <w:r>
              <w:rPr>
                <w:rFonts w:ascii="Times New Roman" w:hAnsi="Times New Roman" w:cs="Times New Roman" w:eastAsia="Times New Roman" w:hint="default"/>
                <w:sz w:val="15"/>
                <w:szCs w:val="15"/>
              </w:rPr>
              <w:t>]</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2005/7/15</w:t>
            </w:r>
          </w:p>
        </w:tc>
      </w:tr>
    </w:tbl>
    <w:p>
      <w:pPr>
        <w:spacing w:after="0" w:line="240" w:lineRule="auto"/>
        <w:jc w:val="left"/>
        <w:rPr>
          <w:rFonts w:ascii="Times New Roman" w:hAnsi="Times New Roman" w:cs="Times New Roman" w:eastAsia="Times New Roman" w:hint="default"/>
          <w:sz w:val="15"/>
          <w:szCs w:val="15"/>
        </w:rPr>
        <w:sectPr>
          <w:pgSz w:w="11910" w:h="16840"/>
          <w:pgMar w:header="747" w:footer="979" w:top="1060" w:bottom="1160" w:left="0" w:right="0"/>
        </w:sectPr>
      </w:pPr>
    </w:p>
    <w:p>
      <w:pPr>
        <w:spacing w:line="240" w:lineRule="auto" w:before="6"/>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1031968"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24" w:type="dxa"/>
        <w:tblLayout w:type="fixed"/>
        <w:tblCellMar>
          <w:top w:w="0" w:type="dxa"/>
          <w:left w:w="0" w:type="dxa"/>
          <w:bottom w:w="0" w:type="dxa"/>
          <w:right w:w="0" w:type="dxa"/>
        </w:tblCellMar>
        <w:tblLook w:val="01E0"/>
      </w:tblPr>
      <w:tblGrid>
        <w:gridCol w:w="414"/>
        <w:gridCol w:w="1609"/>
        <w:gridCol w:w="1062"/>
        <w:gridCol w:w="2846"/>
        <w:gridCol w:w="941"/>
        <w:gridCol w:w="1000"/>
        <w:gridCol w:w="866"/>
        <w:gridCol w:w="922"/>
      </w:tblGrid>
      <w:tr>
        <w:trPr>
          <w:trHeight w:val="986"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22</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7"/>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BJ4168</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2006SRBJ0360</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10" w:right="437"/>
              <w:jc w:val="left"/>
              <w:rPr>
                <w:rFonts w:ascii="Times New Roman" w:hAnsi="Times New Roman" w:cs="Times New Roman" w:eastAsia="Times New Roman" w:hint="default"/>
                <w:sz w:val="15"/>
                <w:szCs w:val="15"/>
              </w:rPr>
            </w:pPr>
            <w:r>
              <w:rPr>
                <w:rFonts w:ascii="宋体" w:hAnsi="宋体" w:cs="宋体" w:eastAsia="宋体" w:hint="default"/>
                <w:sz w:val="15"/>
                <w:szCs w:val="15"/>
              </w:rPr>
              <w:t>东方通</w:t>
            </w:r>
            <w:r>
              <w:rPr>
                <w:rFonts w:ascii="Times New Roman" w:hAnsi="Times New Roman" w:cs="Times New Roman" w:eastAsia="Times New Roman" w:hint="default"/>
                <w:sz w:val="15"/>
                <w:szCs w:val="15"/>
              </w:rPr>
              <w:t>TongWeb</w:t>
            </w:r>
            <w:r>
              <w:rPr>
                <w:rFonts w:ascii="宋体" w:hAnsi="宋体" w:cs="宋体" w:eastAsia="宋体" w:hint="default"/>
                <w:sz w:val="15"/>
                <w:szCs w:val="15"/>
              </w:rPr>
              <w:t>应用服务器软件</w:t>
            </w:r>
            <w:r>
              <w:rPr>
                <w:rFonts w:ascii="Times New Roman" w:hAnsi="Times New Roman" w:cs="Times New Roman" w:eastAsia="Times New Roman" w:hint="default"/>
                <w:sz w:val="15"/>
                <w:szCs w:val="15"/>
              </w:rPr>
              <w:t>V4.6 [</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:TongWeb]</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2006/1/26</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23</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75"/>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051498</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32"/>
              <w:jc w:val="center"/>
              <w:rPr>
                <w:rFonts w:ascii="Times New Roman" w:hAnsi="Times New Roman" w:cs="Times New Roman" w:eastAsia="Times New Roman" w:hint="default"/>
                <w:sz w:val="15"/>
                <w:szCs w:val="15"/>
              </w:rPr>
            </w:pPr>
            <w:r>
              <w:rPr>
                <w:rFonts w:ascii="Times New Roman"/>
                <w:sz w:val="15"/>
              </w:rPr>
              <w:t>2006SR03832</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5"/>
                <w:szCs w:val="15"/>
              </w:rPr>
            </w:pPr>
            <w:r>
              <w:rPr>
                <w:rFonts w:ascii="宋体" w:hAnsi="宋体" w:cs="宋体" w:eastAsia="宋体" w:hint="default"/>
                <w:sz w:val="15"/>
                <w:szCs w:val="15"/>
              </w:rPr>
              <w:t>东方通应用集成中间件软件</w:t>
            </w:r>
          </w:p>
          <w:p>
            <w:pPr>
              <w:pStyle w:val="TableParagraph"/>
              <w:spacing w:line="240" w:lineRule="auto" w:before="115"/>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:TongIntegrator]</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V3.0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2006/3/5</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24</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0293608</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0" w:right="0"/>
              <w:jc w:val="center"/>
              <w:rPr>
                <w:rFonts w:ascii="Times New Roman" w:hAnsi="Times New Roman" w:cs="Times New Roman" w:eastAsia="Times New Roman" w:hint="default"/>
                <w:sz w:val="15"/>
                <w:szCs w:val="15"/>
              </w:rPr>
            </w:pPr>
            <w:r>
              <w:rPr>
                <w:rFonts w:ascii="Times New Roman"/>
                <w:sz w:val="15"/>
              </w:rPr>
              <w:t>2011SR029934</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360" w:lineRule="auto" w:before="45"/>
              <w:ind w:left="10" w:right="958"/>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TongLINK/Q</w:t>
            </w:r>
            <w:r>
              <w:rPr>
                <w:rFonts w:ascii="宋体" w:hAnsi="宋体" w:cs="宋体" w:eastAsia="宋体" w:hint="default"/>
                <w:sz w:val="15"/>
                <w:szCs w:val="15"/>
              </w:rPr>
              <w:t>消息中间件软件 </w:t>
            </w: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TongLINK/Q]</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V7.0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受让</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2006/5/19</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25</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7"/>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BJ6958</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2006SRBJ3152</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10" w:right="737"/>
              <w:jc w:val="left"/>
              <w:rPr>
                <w:rFonts w:ascii="Times New Roman" w:hAnsi="Times New Roman" w:cs="Times New Roman" w:eastAsia="Times New Roman" w:hint="default"/>
                <w:sz w:val="15"/>
                <w:szCs w:val="15"/>
              </w:rPr>
            </w:pPr>
            <w:r>
              <w:rPr>
                <w:rFonts w:ascii="宋体" w:hAnsi="宋体" w:cs="宋体" w:eastAsia="宋体" w:hint="default"/>
                <w:sz w:val="15"/>
                <w:szCs w:val="15"/>
              </w:rPr>
              <w:t>电子政务统一应用平台软件</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w:t>
            </w:r>
            <w:r>
              <w:rPr>
                <w:rFonts w:ascii="宋体" w:hAnsi="宋体" w:cs="宋体" w:eastAsia="宋体" w:hint="default"/>
                <w:sz w:val="15"/>
                <w:szCs w:val="15"/>
              </w:rPr>
              <w:t>电子政务统一应用平台</w:t>
            </w:r>
            <w:r>
              <w:rPr>
                <w:rFonts w:ascii="Times New Roman" w:hAnsi="Times New Roman" w:cs="Times New Roman" w:eastAsia="Times New Roman" w:hint="default"/>
                <w:sz w:val="15"/>
                <w:szCs w:val="15"/>
              </w:rPr>
              <w:t>]</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2006/9/28</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26</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7"/>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BJ9923</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2007SRBJ2951</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10" w:right="737"/>
              <w:jc w:val="left"/>
              <w:rPr>
                <w:rFonts w:ascii="Times New Roman" w:hAnsi="Times New Roman" w:cs="Times New Roman" w:eastAsia="Times New Roman" w:hint="default"/>
                <w:sz w:val="15"/>
                <w:szCs w:val="15"/>
              </w:rPr>
            </w:pPr>
            <w:r>
              <w:rPr>
                <w:rFonts w:ascii="宋体" w:hAnsi="宋体" w:cs="宋体" w:eastAsia="宋体" w:hint="default"/>
                <w:sz w:val="15"/>
                <w:szCs w:val="15"/>
              </w:rPr>
              <w:t>东方通应用集成中间件软件</w:t>
            </w:r>
            <w:r>
              <w:rPr>
                <w:rFonts w:ascii="Times New Roman" w:hAnsi="Times New Roman" w:cs="Times New Roman" w:eastAsia="Times New Roman" w:hint="default"/>
                <w:sz w:val="15"/>
                <w:szCs w:val="15"/>
              </w:rPr>
              <w:t>V3.5 [</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:TongIntegrator]</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2007/6/1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27</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BJ24222</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2009SRBJ7216</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5"/>
                <w:szCs w:val="15"/>
              </w:rPr>
            </w:pPr>
            <w:r>
              <w:rPr>
                <w:rFonts w:ascii="宋体" w:hAnsi="宋体" w:cs="宋体" w:eastAsia="宋体" w:hint="default"/>
                <w:sz w:val="15"/>
                <w:szCs w:val="15"/>
              </w:rPr>
              <w:t>东方通应用集成中间件软件</w:t>
            </w:r>
          </w:p>
          <w:p>
            <w:pPr>
              <w:pStyle w:val="TableParagraph"/>
              <w:spacing w:line="240" w:lineRule="auto" w:before="115"/>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:TongIntegrator]</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V3.6</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2009/4/30</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28</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BJ24085</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2009SRBJ7079</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5"/>
                <w:szCs w:val="15"/>
              </w:rPr>
            </w:pPr>
            <w:r>
              <w:rPr>
                <w:rFonts w:ascii="宋体" w:hAnsi="宋体" w:cs="宋体" w:eastAsia="宋体" w:hint="default"/>
                <w:sz w:val="15"/>
                <w:szCs w:val="15"/>
              </w:rPr>
              <w:t>东方通消息中间件软件</w:t>
            </w:r>
          </w:p>
          <w:p>
            <w:pPr>
              <w:pStyle w:val="TableParagraph"/>
              <w:spacing w:line="240" w:lineRule="auto" w:before="115"/>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:TongLINK/Q]</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V7.1</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2009/9/30</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29</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BJ25184</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2009SRBJ8178</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5"/>
                <w:szCs w:val="15"/>
              </w:rPr>
            </w:pPr>
            <w:r>
              <w:rPr>
                <w:rFonts w:ascii="宋体" w:hAnsi="宋体" w:cs="宋体" w:eastAsia="宋体" w:hint="default"/>
                <w:sz w:val="15"/>
                <w:szCs w:val="15"/>
              </w:rPr>
              <w:t>东方通应用服务器软件</w:t>
            </w:r>
          </w:p>
          <w:p>
            <w:pPr>
              <w:pStyle w:val="TableParagraph"/>
              <w:spacing w:line="240" w:lineRule="auto" w:before="115"/>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TongWeb]</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V5.0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2009/11/30</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30</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0198655</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0" w:right="0"/>
              <w:jc w:val="center"/>
              <w:rPr>
                <w:rFonts w:ascii="Times New Roman" w:hAnsi="Times New Roman" w:cs="Times New Roman" w:eastAsia="Times New Roman" w:hint="default"/>
                <w:sz w:val="15"/>
                <w:szCs w:val="15"/>
              </w:rPr>
            </w:pPr>
            <w:r>
              <w:rPr>
                <w:rFonts w:ascii="Times New Roman"/>
                <w:sz w:val="15"/>
              </w:rPr>
              <w:t>2010SR010382</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5"/>
                <w:szCs w:val="15"/>
              </w:rPr>
            </w:pPr>
            <w:r>
              <w:rPr>
                <w:rFonts w:ascii="宋体" w:hAnsi="宋体" w:cs="宋体" w:eastAsia="宋体" w:hint="default"/>
                <w:sz w:val="15"/>
                <w:szCs w:val="15"/>
              </w:rPr>
              <w:t>村镇中小企业科技服务平台信息系统</w:t>
            </w:r>
          </w:p>
          <w:p>
            <w:pPr>
              <w:pStyle w:val="TableParagraph"/>
              <w:spacing w:line="240" w:lineRule="auto" w:before="115"/>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简称：中小企业科技服务平台</w:t>
            </w:r>
            <w:r>
              <w:rPr>
                <w:rFonts w:ascii="Times New Roman" w:hAnsi="Times New Roman" w:cs="Times New Roman" w:eastAsia="Times New Roman" w:hint="default"/>
                <w:sz w:val="15"/>
                <w:szCs w:val="15"/>
              </w:rPr>
              <w:t>]</w:t>
            </w:r>
            <w:r>
              <w:rPr>
                <w:rFonts w:ascii="Times New Roman" w:hAnsi="Times New Roman" w:cs="Times New Roman" w:eastAsia="Times New Roman" w:hint="default"/>
                <w:spacing w:val="-3"/>
                <w:sz w:val="15"/>
                <w:szCs w:val="15"/>
              </w:rPr>
              <w:t> </w:t>
            </w:r>
            <w:r>
              <w:rPr>
                <w:rFonts w:ascii="Times New Roman" w:hAnsi="Times New Roman" w:cs="Times New Roman" w:eastAsia="Times New Roman" w:hint="default"/>
                <w:sz w:val="15"/>
                <w:szCs w:val="15"/>
              </w:rPr>
              <w:t>V1.0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2010/1/19</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31</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BJ27009</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2010SRBJ1626</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5"/>
                <w:szCs w:val="15"/>
              </w:rPr>
            </w:pPr>
            <w:r>
              <w:rPr>
                <w:rFonts w:ascii="宋体" w:hAnsi="宋体" w:cs="宋体" w:eastAsia="宋体" w:hint="default"/>
                <w:sz w:val="15"/>
                <w:szCs w:val="15"/>
              </w:rPr>
              <w:t>东方通外网文件传输平台中间件软件</w:t>
            </w:r>
          </w:p>
          <w:p>
            <w:pPr>
              <w:pStyle w:val="TableParagraph"/>
              <w:spacing w:line="240" w:lineRule="auto" w:before="115"/>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TongWTP]</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V3.0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2010/2/5</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32</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BJ27344</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2010SRBJ1961</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5"/>
                <w:szCs w:val="15"/>
              </w:rPr>
            </w:pPr>
            <w:r>
              <w:rPr>
                <w:rFonts w:ascii="宋体" w:hAnsi="宋体" w:cs="宋体" w:eastAsia="宋体" w:hint="default"/>
                <w:sz w:val="15"/>
                <w:szCs w:val="15"/>
              </w:rPr>
              <w:t>东方通通用文件传输平台软件</w:t>
            </w:r>
          </w:p>
          <w:p>
            <w:pPr>
              <w:pStyle w:val="TableParagraph"/>
              <w:spacing w:line="240" w:lineRule="auto" w:before="116"/>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TongGTP]</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V5.1</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2010/3/18</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33</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BJ28327</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2010SRBJ2944</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5"/>
                <w:szCs w:val="15"/>
              </w:rPr>
            </w:pPr>
            <w:r>
              <w:rPr>
                <w:rFonts w:ascii="宋体" w:hAnsi="宋体" w:cs="宋体" w:eastAsia="宋体" w:hint="default"/>
                <w:sz w:val="15"/>
                <w:szCs w:val="15"/>
              </w:rPr>
              <w:t>东方通消息中间件软件</w:t>
            </w:r>
          </w:p>
          <w:p>
            <w:pPr>
              <w:pStyle w:val="TableParagraph"/>
              <w:spacing w:line="240" w:lineRule="auto" w:before="115"/>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:TongLINK/Q]</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V7.2</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2010/5/14</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34</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BJ30221</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2010SRBJ4838</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5"/>
                <w:szCs w:val="15"/>
              </w:rPr>
            </w:pPr>
            <w:r>
              <w:rPr>
                <w:rFonts w:ascii="宋体" w:hAnsi="宋体" w:cs="宋体" w:eastAsia="宋体" w:hint="default"/>
                <w:sz w:val="15"/>
                <w:szCs w:val="15"/>
              </w:rPr>
              <w:t>东方通通用文件传输平台软件</w:t>
            </w:r>
          </w:p>
          <w:p>
            <w:pPr>
              <w:pStyle w:val="TableParagraph"/>
              <w:spacing w:line="240" w:lineRule="auto" w:before="115"/>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TongGTP]</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V5.2</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2010/8/2</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35</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BJ32013</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2010SRBJ6630</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5"/>
                <w:szCs w:val="15"/>
              </w:rPr>
            </w:pPr>
            <w:r>
              <w:rPr>
                <w:rFonts w:ascii="宋体" w:hAnsi="宋体" w:cs="宋体" w:eastAsia="宋体" w:hint="default"/>
                <w:sz w:val="15"/>
                <w:szCs w:val="15"/>
              </w:rPr>
              <w:t>东方通统一中间件管理平台软件</w:t>
            </w:r>
          </w:p>
          <w:p>
            <w:pPr>
              <w:pStyle w:val="TableParagraph"/>
              <w:spacing w:line="240" w:lineRule="auto" w:before="115"/>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TongIMP]</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V1.0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2010/8/3</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36</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BJ31187</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2010SRBJ5804</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5"/>
                <w:szCs w:val="15"/>
              </w:rPr>
            </w:pPr>
            <w:r>
              <w:rPr>
                <w:rFonts w:ascii="宋体" w:hAnsi="宋体" w:cs="宋体" w:eastAsia="宋体" w:hint="default"/>
                <w:sz w:val="15"/>
                <w:szCs w:val="15"/>
              </w:rPr>
              <w:t>东方通应用集成中间件软件</w:t>
            </w:r>
          </w:p>
          <w:p>
            <w:pPr>
              <w:pStyle w:val="TableParagraph"/>
              <w:spacing w:line="240" w:lineRule="auto" w:before="115"/>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:TongIntegrator]</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V4.0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2010/9/21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37</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BJ32012</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2010SRBJ6629</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5"/>
                <w:szCs w:val="15"/>
              </w:rPr>
            </w:pPr>
            <w:r>
              <w:rPr>
                <w:rFonts w:ascii="宋体" w:hAnsi="宋体" w:cs="宋体" w:eastAsia="宋体" w:hint="default"/>
                <w:sz w:val="15"/>
                <w:szCs w:val="15"/>
              </w:rPr>
              <w:t>东方通交易中间件软件</w:t>
            </w:r>
          </w:p>
          <w:p>
            <w:pPr>
              <w:pStyle w:val="TableParagraph"/>
              <w:spacing w:line="240" w:lineRule="auto" w:before="115"/>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:TongEASY]</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V5.3</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2010/10/28</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38</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BJ33224</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2011SRBJ1103</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5"/>
                <w:szCs w:val="15"/>
              </w:rPr>
            </w:pPr>
            <w:r>
              <w:rPr>
                <w:rFonts w:ascii="宋体" w:hAnsi="宋体" w:cs="宋体" w:eastAsia="宋体" w:hint="default"/>
                <w:sz w:val="15"/>
                <w:szCs w:val="15"/>
              </w:rPr>
              <w:t>东方通集成开发工具软件</w:t>
            </w:r>
          </w:p>
          <w:p>
            <w:pPr>
              <w:pStyle w:val="TableParagraph"/>
              <w:spacing w:line="240" w:lineRule="auto" w:before="115"/>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TongIntegratedStudio]</w:t>
            </w:r>
            <w:r>
              <w:rPr>
                <w:rFonts w:ascii="Times New Roman" w:hAnsi="Times New Roman" w:cs="Times New Roman" w:eastAsia="Times New Roman" w:hint="default"/>
                <w:spacing w:val="-8"/>
                <w:sz w:val="15"/>
                <w:szCs w:val="15"/>
              </w:rPr>
              <w:t> </w:t>
            </w:r>
            <w:r>
              <w:rPr>
                <w:rFonts w:ascii="Times New Roman" w:hAnsi="Times New Roman" w:cs="Times New Roman" w:eastAsia="Times New Roman" w:hint="default"/>
                <w:sz w:val="15"/>
                <w:szCs w:val="15"/>
              </w:rPr>
              <w:t>V1.0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2010/10/31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39</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BJ33912</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2011SRBJ1791</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5"/>
                <w:szCs w:val="15"/>
              </w:rPr>
            </w:pPr>
            <w:r>
              <w:rPr>
                <w:rFonts w:ascii="宋体" w:hAnsi="宋体" w:cs="宋体" w:eastAsia="宋体" w:hint="default"/>
                <w:sz w:val="15"/>
                <w:szCs w:val="15"/>
              </w:rPr>
              <w:t>东方通通用文件传输平台软件</w:t>
            </w:r>
          </w:p>
          <w:p>
            <w:pPr>
              <w:pStyle w:val="TableParagraph"/>
              <w:spacing w:line="240" w:lineRule="auto" w:before="115"/>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TongGTP] </w:t>
            </w:r>
            <w:r>
              <w:rPr>
                <w:rFonts w:ascii="Times New Roman" w:hAnsi="Times New Roman" w:cs="Times New Roman" w:eastAsia="Times New Roman" w:hint="default"/>
                <w:spacing w:val="18"/>
                <w:sz w:val="15"/>
                <w:szCs w:val="15"/>
              </w:rPr>
              <w:t> </w:t>
            </w:r>
            <w:r>
              <w:rPr>
                <w:rFonts w:ascii="Times New Roman" w:hAnsi="Times New Roman" w:cs="Times New Roman" w:eastAsia="Times New Roman" w:hint="default"/>
                <w:sz w:val="15"/>
                <w:szCs w:val="15"/>
              </w:rPr>
              <w:t>V6.0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2011/3/24</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40</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BJ33911</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2011SRBJ1790</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5"/>
                <w:szCs w:val="15"/>
              </w:rPr>
            </w:pPr>
            <w:r>
              <w:rPr>
                <w:rFonts w:ascii="宋体" w:hAnsi="宋体" w:cs="宋体" w:eastAsia="宋体" w:hint="default"/>
                <w:sz w:val="15"/>
                <w:szCs w:val="15"/>
              </w:rPr>
              <w:t>东方通消息中间件软件</w:t>
            </w:r>
          </w:p>
          <w:p>
            <w:pPr>
              <w:pStyle w:val="TableParagraph"/>
              <w:spacing w:line="240" w:lineRule="auto" w:before="115"/>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TongLINK/Q]</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V8.0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2011/3/28</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41</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0538478</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4" w:right="0"/>
              <w:jc w:val="center"/>
              <w:rPr>
                <w:rFonts w:ascii="Times New Roman" w:hAnsi="Times New Roman" w:cs="Times New Roman" w:eastAsia="Times New Roman" w:hint="default"/>
                <w:sz w:val="15"/>
                <w:szCs w:val="15"/>
              </w:rPr>
            </w:pPr>
            <w:r>
              <w:rPr>
                <w:rFonts w:ascii="Times New Roman"/>
                <w:sz w:val="15"/>
              </w:rPr>
              <w:t>2013SRO32716</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10" w:right="0"/>
              <w:jc w:val="left"/>
              <w:rPr>
                <w:rFonts w:ascii="宋体" w:hAnsi="宋体" w:cs="宋体" w:eastAsia="宋体" w:hint="default"/>
                <w:sz w:val="15"/>
                <w:szCs w:val="15"/>
              </w:rPr>
            </w:pPr>
            <w:r>
              <w:rPr>
                <w:rFonts w:ascii="宋体" w:hAnsi="宋体" w:cs="宋体" w:eastAsia="宋体" w:hint="default"/>
                <w:sz w:val="15"/>
                <w:szCs w:val="15"/>
              </w:rPr>
              <w:t>东方通应用集成</w:t>
            </w:r>
            <w:r>
              <w:rPr>
                <w:rFonts w:ascii="Times New Roman" w:hAnsi="Times New Roman" w:cs="Times New Roman" w:eastAsia="Times New Roman" w:hint="default"/>
                <w:sz w:val="15"/>
                <w:szCs w:val="15"/>
              </w:rPr>
              <w:t>SOA</w:t>
            </w:r>
            <w:r>
              <w:rPr>
                <w:rFonts w:ascii="宋体" w:hAnsi="宋体" w:cs="宋体" w:eastAsia="宋体" w:hint="default"/>
                <w:sz w:val="15"/>
                <w:szCs w:val="15"/>
              </w:rPr>
              <w:t>装配组建软件</w:t>
            </w:r>
          </w:p>
          <w:p>
            <w:pPr>
              <w:pStyle w:val="TableParagraph"/>
              <w:spacing w:line="240" w:lineRule="auto" w:before="104"/>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TI-SOAAC]V5.0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2012/1/31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42</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1973634</w:t>
            </w:r>
            <w:r>
              <w:rPr>
                <w:rFonts w:ascii="宋体" w:hAnsi="宋体" w:cs="宋体" w:eastAsia="宋体" w:hint="default"/>
                <w:sz w:val="15"/>
                <w:szCs w:val="15"/>
              </w:rPr>
              <w:t>号</w:t>
            </w:r>
          </w:p>
        </w:tc>
        <w:tc>
          <w:tcPr>
            <w:tcW w:w="106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0" w:right="0"/>
              <w:jc w:val="center"/>
              <w:rPr>
                <w:rFonts w:ascii="Times New Roman" w:hAnsi="Times New Roman" w:cs="Times New Roman" w:eastAsia="Times New Roman" w:hint="default"/>
                <w:sz w:val="15"/>
                <w:szCs w:val="15"/>
              </w:rPr>
            </w:pPr>
            <w:r>
              <w:rPr>
                <w:rFonts w:ascii="Times New Roman"/>
                <w:sz w:val="15"/>
              </w:rPr>
              <w:t>2017SR388350</w:t>
            </w:r>
          </w:p>
        </w:tc>
        <w:tc>
          <w:tcPr>
            <w:tcW w:w="28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0" w:right="0"/>
              <w:jc w:val="left"/>
              <w:rPr>
                <w:rFonts w:ascii="宋体" w:hAnsi="宋体" w:cs="宋体" w:eastAsia="宋体" w:hint="default"/>
                <w:sz w:val="15"/>
                <w:szCs w:val="15"/>
              </w:rPr>
            </w:pPr>
            <w:r>
              <w:rPr>
                <w:rFonts w:ascii="宋体" w:hAnsi="宋体" w:cs="宋体" w:eastAsia="宋体" w:hint="default"/>
                <w:sz w:val="15"/>
                <w:szCs w:val="15"/>
              </w:rPr>
              <w:t>东方通通用文件传输平台管理中心软件</w:t>
            </w:r>
          </w:p>
          <w:p>
            <w:pPr>
              <w:pStyle w:val="TableParagraph"/>
              <w:spacing w:line="240" w:lineRule="auto" w:before="115"/>
              <w:ind w:left="10"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TongGTP</w:t>
            </w:r>
            <w:r>
              <w:rPr>
                <w:rFonts w:ascii="Times New Roman" w:hAnsi="Times New Roman" w:cs="Times New Roman" w:eastAsia="Times New Roman" w:hint="default"/>
                <w:spacing w:val="-7"/>
                <w:sz w:val="15"/>
                <w:szCs w:val="15"/>
              </w:rPr>
              <w:t> </w:t>
            </w:r>
            <w:r>
              <w:rPr>
                <w:rFonts w:ascii="Times New Roman" w:hAnsi="Times New Roman" w:cs="Times New Roman" w:eastAsia="Times New Roman" w:hint="default"/>
                <w:sz w:val="15"/>
                <w:szCs w:val="15"/>
              </w:rPr>
              <w:t>MC]V6.1</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5"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2012/4/9</w:t>
            </w:r>
          </w:p>
        </w:tc>
      </w:tr>
    </w:tbl>
    <w:p>
      <w:pPr>
        <w:spacing w:after="0" w:line="240" w:lineRule="auto"/>
        <w:jc w:val="left"/>
        <w:rPr>
          <w:rFonts w:ascii="Times New Roman" w:hAnsi="Times New Roman" w:cs="Times New Roman" w:eastAsia="Times New Roman" w:hint="default"/>
          <w:sz w:val="15"/>
          <w:szCs w:val="15"/>
        </w:rPr>
        <w:sectPr>
          <w:pgSz w:w="11910" w:h="16840"/>
          <w:pgMar w:header="747" w:footer="979" w:top="1060" w:bottom="1160" w:left="0" w:right="0"/>
        </w:sectPr>
      </w:pPr>
    </w:p>
    <w:p>
      <w:pPr>
        <w:spacing w:line="240" w:lineRule="auto" w:before="6"/>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1031944"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24" w:type="dxa"/>
        <w:tblLayout w:type="fixed"/>
        <w:tblCellMar>
          <w:top w:w="0" w:type="dxa"/>
          <w:left w:w="0" w:type="dxa"/>
          <w:bottom w:w="0" w:type="dxa"/>
          <w:right w:w="0" w:type="dxa"/>
        </w:tblCellMar>
        <w:tblLook w:val="01E0"/>
      </w:tblPr>
      <w:tblGrid>
        <w:gridCol w:w="414"/>
        <w:gridCol w:w="1609"/>
        <w:gridCol w:w="1049"/>
        <w:gridCol w:w="2858"/>
        <w:gridCol w:w="941"/>
        <w:gridCol w:w="1000"/>
        <w:gridCol w:w="866"/>
        <w:gridCol w:w="922"/>
      </w:tblGrid>
      <w:tr>
        <w:trPr>
          <w:trHeight w:val="986"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43</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1980664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2017SR395380</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东方通通用文件传输平台运行节点软件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TongGTP</w:t>
            </w:r>
            <w:r>
              <w:rPr>
                <w:rFonts w:ascii="Times New Roman" w:hAnsi="Times New Roman" w:cs="Times New Roman" w:eastAsia="Times New Roman" w:hint="default"/>
                <w:spacing w:val="-7"/>
                <w:sz w:val="15"/>
                <w:szCs w:val="15"/>
              </w:rPr>
              <w:t> </w:t>
            </w:r>
            <w:r>
              <w:rPr>
                <w:rFonts w:ascii="Times New Roman" w:hAnsi="Times New Roman" w:cs="Times New Roman" w:eastAsia="Times New Roman" w:hint="default"/>
                <w:sz w:val="15"/>
                <w:szCs w:val="15"/>
              </w:rPr>
              <w:t>Node]V6.1</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2012/4/9</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44</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BJ38389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2012SRBJ1238</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东方通实时传输中间件软件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TongLINK Real-Time]</w:t>
            </w:r>
            <w:r>
              <w:rPr>
                <w:rFonts w:ascii="Times New Roman" w:hAnsi="Times New Roman" w:cs="Times New Roman" w:eastAsia="Times New Roman" w:hint="default"/>
                <w:spacing w:val="-9"/>
                <w:sz w:val="15"/>
                <w:szCs w:val="15"/>
              </w:rPr>
              <w:t> </w:t>
            </w:r>
            <w:r>
              <w:rPr>
                <w:rFonts w:ascii="Times New Roman" w:hAnsi="Times New Roman" w:cs="Times New Roman" w:eastAsia="Times New Roman" w:hint="default"/>
                <w:sz w:val="15"/>
                <w:szCs w:val="15"/>
              </w:rPr>
              <w:t>V8.0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2012/6/1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45</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BJ38680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2013SRBJ0027</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22"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Times New Roman" w:hAnsi="Times New Roman" w:cs="Times New Roman" w:eastAsia="Times New Roman" w:hint="default"/>
                <w:sz w:val="15"/>
                <w:szCs w:val="15"/>
              </w:rPr>
              <w:t>ETL</w:t>
            </w:r>
            <w:r>
              <w:rPr>
                <w:rFonts w:ascii="宋体" w:hAnsi="宋体" w:cs="宋体" w:eastAsia="宋体" w:hint="default"/>
                <w:sz w:val="15"/>
                <w:szCs w:val="15"/>
              </w:rPr>
              <w:t>工具软件</w:t>
            </w:r>
          </w:p>
          <w:p>
            <w:pPr>
              <w:pStyle w:val="TableParagraph"/>
              <w:spacing w:line="240" w:lineRule="auto" w:before="10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TI-ETL]</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V1.0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2012/9/3</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46</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BJ38688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2013SRBJ0004</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东方通数据交换工具软件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TI-DX]</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V2.0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2012/9/7</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47</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BJ38689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2013SRBJ0026</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东方通数据交换平台软件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TI-DXP]</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V2.0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2012/9/7</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48</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BJ38726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2013SRBJ0010</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东方通外网文件传输平台中间件软件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TongWTP]</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V4.0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2012/10/1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49</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BJ39943</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2014SRBJ0386</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东方通交易中间件软件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TongEASY]</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V6.0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2012/12/14</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50</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BJ38974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2013SRBJ0297</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东方通企业服务总线软件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TI-ESB]</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V5.0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2013/1/7</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51</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BJ39746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2014SRBJ0189</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Times New Roman" w:hAnsi="Times New Roman" w:cs="Times New Roman" w:eastAsia="Times New Roman" w:hint="default"/>
                <w:sz w:val="15"/>
                <w:szCs w:val="15"/>
              </w:rPr>
              <w:t>ETL</w:t>
            </w:r>
            <w:r>
              <w:rPr>
                <w:rFonts w:ascii="宋体" w:hAnsi="宋体" w:cs="宋体" w:eastAsia="宋体" w:hint="default"/>
                <w:sz w:val="15"/>
                <w:szCs w:val="15"/>
              </w:rPr>
              <w:t>工具软件</w:t>
            </w:r>
          </w:p>
          <w:p>
            <w:pPr>
              <w:pStyle w:val="TableParagraph"/>
              <w:spacing w:line="240" w:lineRule="auto" w:before="10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TI-ETL]</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V2.0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2013/12/1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52</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0922572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2015SR035494</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Times New Roman" w:hAnsi="Times New Roman" w:cs="Times New Roman" w:eastAsia="Times New Roman" w:hint="default"/>
                <w:sz w:val="15"/>
                <w:szCs w:val="15"/>
              </w:rPr>
              <w:t>TongLINK/Q</w:t>
            </w:r>
            <w:r>
              <w:rPr>
                <w:rFonts w:ascii="宋体" w:hAnsi="宋体" w:cs="宋体" w:eastAsia="宋体" w:hint="default"/>
                <w:sz w:val="15"/>
                <w:szCs w:val="15"/>
              </w:rPr>
              <w:t>软件</w:t>
            </w:r>
          </w:p>
          <w:p>
            <w:pPr>
              <w:pStyle w:val="TableParagraph"/>
              <w:spacing w:line="240" w:lineRule="auto" w:before="10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TLQ]</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V8.5</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2013/12/6</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53</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1394951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2016SR216334</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东方通消息中间件软件</w:t>
            </w:r>
          </w:p>
          <w:p>
            <w:pPr>
              <w:pStyle w:val="TableParagraph"/>
              <w:spacing w:line="240" w:lineRule="auto" w:before="116"/>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:TongLINK/Q]</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V8.1</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2013/12/6</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54</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BJ39756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2014SRBJ0199</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东方通应用服务器软件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Tongweb]</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V6.0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2013/12/20</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55</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90" w:right="83"/>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BJ0784862 </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2014SR115618</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东方通数据交换平台软件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TI-DXP]</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V2.5</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2014/1/1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56</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BJ39931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2014SRBJ0374</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Times New Roman" w:hAnsi="Times New Roman" w:cs="Times New Roman" w:eastAsia="Times New Roman" w:hint="default"/>
                <w:sz w:val="15"/>
                <w:szCs w:val="15"/>
              </w:rPr>
              <w:t>JMS</w:t>
            </w:r>
            <w:r>
              <w:rPr>
                <w:rFonts w:ascii="宋体" w:hAnsi="宋体" w:cs="宋体" w:eastAsia="宋体" w:hint="default"/>
                <w:sz w:val="15"/>
                <w:szCs w:val="15"/>
              </w:rPr>
              <w:t>消息传输中间件软件</w:t>
            </w:r>
          </w:p>
          <w:p>
            <w:pPr>
              <w:pStyle w:val="TableParagraph"/>
              <w:spacing w:line="240" w:lineRule="auto" w:before="10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TL-JMS]</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V1.0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2014/3/14</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57</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BJ39933</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2014SRBJ0376</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东方通统一中间件管理平台软件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TongIMP]</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V2.0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2014/3/31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58</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0819267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2014SR150028</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东方通云管理平台</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TongApplaud]</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V2.0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2014/6/30</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59</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90" w:right="83"/>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BJ0784873 </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2014SR115629</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东方通数据库管理系统</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TongDB]</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V5.0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2014/7/8</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60</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0791278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2014SR122035</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东方通应用服务器软件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TongWeb]</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V5.5</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2014/7/16</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61</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0791412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2014SR122169</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东方通应用服务器软件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TongWeb]</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V5.6</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2014/7/16</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62</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0813164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2014SR143924</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22" w:right="0"/>
              <w:jc w:val="left"/>
              <w:rPr>
                <w:rFonts w:ascii="宋体" w:hAnsi="宋体" w:cs="宋体" w:eastAsia="宋体" w:hint="default"/>
                <w:sz w:val="15"/>
                <w:szCs w:val="15"/>
              </w:rPr>
            </w:pPr>
            <w:r>
              <w:rPr>
                <w:rFonts w:ascii="宋体" w:hAnsi="宋体" w:cs="宋体" w:eastAsia="宋体" w:hint="default"/>
                <w:sz w:val="15"/>
                <w:szCs w:val="15"/>
              </w:rPr>
              <w:t>东方通虚拟化平台</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 OCloud]</w:t>
            </w:r>
            <w:r>
              <w:rPr>
                <w:rFonts w:ascii="Times New Roman" w:hAnsi="Times New Roman" w:cs="Times New Roman" w:eastAsia="Times New Roman" w:hint="default"/>
                <w:spacing w:val="-7"/>
                <w:sz w:val="15"/>
                <w:szCs w:val="15"/>
              </w:rPr>
              <w:t> </w:t>
            </w:r>
            <w:r>
              <w:rPr>
                <w:rFonts w:ascii="Times New Roman" w:hAnsi="Times New Roman" w:cs="Times New Roman" w:eastAsia="Times New Roman" w:hint="default"/>
                <w:sz w:val="15"/>
                <w:szCs w:val="15"/>
              </w:rPr>
              <w:t>V4.5</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2014/8/15</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63</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0813166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2014SR143926</w:t>
            </w:r>
          </w:p>
        </w:tc>
        <w:tc>
          <w:tcPr>
            <w:tcW w:w="285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东方通负载均衡软件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TongLB]</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V2.0</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2014/9/1</w:t>
            </w:r>
          </w:p>
        </w:tc>
      </w:tr>
    </w:tbl>
    <w:p>
      <w:pPr>
        <w:spacing w:after="0" w:line="240" w:lineRule="auto"/>
        <w:jc w:val="left"/>
        <w:rPr>
          <w:rFonts w:ascii="Times New Roman" w:hAnsi="Times New Roman" w:cs="Times New Roman" w:eastAsia="Times New Roman" w:hint="default"/>
          <w:sz w:val="15"/>
          <w:szCs w:val="15"/>
        </w:rPr>
        <w:sectPr>
          <w:pgSz w:w="11910" w:h="16840"/>
          <w:pgMar w:header="747" w:footer="979" w:top="1060" w:bottom="1160" w:left="0" w:right="0"/>
        </w:sectPr>
      </w:pPr>
    </w:p>
    <w:p>
      <w:pPr>
        <w:spacing w:line="240" w:lineRule="auto" w:before="6"/>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103192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24" w:type="dxa"/>
        <w:tblLayout w:type="fixed"/>
        <w:tblCellMar>
          <w:top w:w="0" w:type="dxa"/>
          <w:left w:w="0" w:type="dxa"/>
          <w:bottom w:w="0" w:type="dxa"/>
          <w:right w:w="0" w:type="dxa"/>
        </w:tblCellMar>
        <w:tblLook w:val="01E0"/>
      </w:tblPr>
      <w:tblGrid>
        <w:gridCol w:w="414"/>
        <w:gridCol w:w="1609"/>
        <w:gridCol w:w="1049"/>
        <w:gridCol w:w="2708"/>
        <w:gridCol w:w="1091"/>
        <w:gridCol w:w="1000"/>
        <w:gridCol w:w="866"/>
        <w:gridCol w:w="922"/>
      </w:tblGrid>
      <w:tr>
        <w:trPr>
          <w:trHeight w:val="986"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64</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0875310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2014SR206078</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东方通云管理平台</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TongApplaud]</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V2.5</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2014/11/28</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65</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BJ41066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2015SRBJ0508</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东方通数据交换适配器工具软件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TI-DX Adapter]</w:t>
            </w:r>
            <w:r>
              <w:rPr>
                <w:rFonts w:ascii="Times New Roman" w:hAnsi="Times New Roman" w:cs="Times New Roman" w:eastAsia="Times New Roman" w:hint="default"/>
                <w:spacing w:val="-7"/>
                <w:sz w:val="15"/>
                <w:szCs w:val="15"/>
              </w:rPr>
              <w:t> </w:t>
            </w:r>
            <w:r>
              <w:rPr>
                <w:rFonts w:ascii="Times New Roman" w:hAnsi="Times New Roman" w:cs="Times New Roman" w:eastAsia="Times New Roman" w:hint="default"/>
                <w:sz w:val="15"/>
                <w:szCs w:val="15"/>
              </w:rPr>
              <w:t>V2.0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2015/1/1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66</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Times New Roman" w:hAnsi="Times New Roman" w:cs="Times New Roman" w:eastAsia="Times New Roman" w:hint="default"/>
                <w:sz w:val="15"/>
                <w:szCs w:val="15"/>
              </w:rPr>
              <w:t>1047683</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2015SR160597</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22"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Times New Roman" w:hAnsi="Times New Roman" w:cs="Times New Roman" w:eastAsia="Times New Roman" w:hint="default"/>
                <w:sz w:val="15"/>
                <w:szCs w:val="15"/>
              </w:rPr>
              <w:t>ETL</w:t>
            </w:r>
            <w:r>
              <w:rPr>
                <w:rFonts w:ascii="宋体" w:hAnsi="宋体" w:cs="宋体" w:eastAsia="宋体" w:hint="default"/>
                <w:sz w:val="15"/>
                <w:szCs w:val="15"/>
              </w:rPr>
              <w:t>适配器工具软件</w:t>
            </w:r>
          </w:p>
          <w:p>
            <w:pPr>
              <w:pStyle w:val="TableParagraph"/>
              <w:spacing w:line="240" w:lineRule="auto" w:before="10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:TI-ETL Adapter]</w:t>
            </w:r>
            <w:r>
              <w:rPr>
                <w:rFonts w:ascii="Times New Roman" w:hAnsi="Times New Roman" w:cs="Times New Roman" w:eastAsia="Times New Roman" w:hint="default"/>
                <w:spacing w:val="-8"/>
                <w:sz w:val="15"/>
                <w:szCs w:val="15"/>
              </w:rPr>
              <w:t> </w:t>
            </w:r>
            <w:r>
              <w:rPr>
                <w:rFonts w:ascii="Times New Roman" w:hAnsi="Times New Roman" w:cs="Times New Roman" w:eastAsia="Times New Roman" w:hint="default"/>
                <w:sz w:val="15"/>
                <w:szCs w:val="15"/>
              </w:rPr>
              <w:t>V2.0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2015/5/25</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67</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Times New Roman" w:hAnsi="Times New Roman" w:cs="Times New Roman" w:eastAsia="Times New Roman" w:hint="default"/>
                <w:sz w:val="15"/>
                <w:szCs w:val="15"/>
              </w:rPr>
              <w:t>BJ41114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2015SRBJ0556</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东方通变化数据捕获工具软件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:TongCDC]</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V2.0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2015/5/25</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68</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Times New Roman" w:hAnsi="Times New Roman" w:cs="Times New Roman" w:eastAsia="Times New Roman" w:hint="default"/>
                <w:sz w:val="15"/>
                <w:szCs w:val="15"/>
              </w:rPr>
              <w:t>BJ41115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5"/>
                <w:szCs w:val="15"/>
              </w:rPr>
            </w:pPr>
            <w:r>
              <w:rPr>
                <w:rFonts w:ascii="Times New Roman"/>
                <w:spacing w:val="-1"/>
                <w:sz w:val="15"/>
              </w:rPr>
              <w:t>2015SRBJ0557</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东方通分布式内存网格软件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:TongCache]</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V1.0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2015/5/30</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69</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Times New Roman" w:hAnsi="Times New Roman" w:cs="Times New Roman" w:eastAsia="Times New Roman" w:hint="default"/>
                <w:sz w:val="15"/>
                <w:szCs w:val="15"/>
              </w:rPr>
              <w:t>1098102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2015SR211016</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东方通数据同步平台</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:TongDSP]</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V2.0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2015/9/15</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70</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Times New Roman" w:hAnsi="Times New Roman" w:cs="Times New Roman" w:eastAsia="Times New Roman" w:hint="default"/>
                <w:sz w:val="15"/>
                <w:szCs w:val="15"/>
              </w:rPr>
              <w:t>1079832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2015SR192746</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东方通数据交换运行节点软件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:TongDXP_Node]</w:t>
            </w:r>
            <w:r>
              <w:rPr>
                <w:rFonts w:ascii="Times New Roman" w:hAnsi="Times New Roman" w:cs="Times New Roman" w:eastAsia="Times New Roman" w:hint="default"/>
                <w:spacing w:val="-8"/>
                <w:sz w:val="15"/>
                <w:szCs w:val="15"/>
              </w:rPr>
              <w:t> </w:t>
            </w:r>
            <w:r>
              <w:rPr>
                <w:rFonts w:ascii="Times New Roman" w:hAnsi="Times New Roman" w:cs="Times New Roman" w:eastAsia="Times New Roman" w:hint="default"/>
                <w:sz w:val="15"/>
                <w:szCs w:val="15"/>
              </w:rPr>
              <w:t>V3.0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2015/9/20</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71</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Times New Roman" w:hAnsi="Times New Roman" w:cs="Times New Roman" w:eastAsia="Times New Roman" w:hint="default"/>
                <w:sz w:val="15"/>
                <w:szCs w:val="15"/>
              </w:rPr>
              <w:t>1080165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2015SR193079</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东方通数据交换管理平台软件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:TongDXP]</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V3.0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2015/9/20</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72</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Times New Roman" w:hAnsi="Times New Roman" w:cs="Times New Roman" w:eastAsia="Times New Roman" w:hint="default"/>
                <w:sz w:val="15"/>
                <w:szCs w:val="15"/>
              </w:rPr>
              <w:t>1157391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2015SR270305</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东方通云数据总线软件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:TongCDB]</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V2.0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2015/11/15</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73</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1433460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2016SR254843</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东方通数据融合平台</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:TongDF]</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V1.0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2016/4/11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74</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1527510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2016SR348894</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东方通消息中间件主动防御软件</w:t>
            </w:r>
          </w:p>
          <w:p>
            <w:pPr>
              <w:pStyle w:val="TableParagraph"/>
              <w:spacing w:line="240" w:lineRule="auto" w:before="116"/>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:TongLINK-Protect]V8.0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2016/5/31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75</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1628849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2017SR043565</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东方通应用服务器软件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:Tongweb]</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V6.1</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2016/10/20</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76</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1813957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2017SR228673</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Times New Roman" w:hAnsi="Times New Roman" w:cs="Times New Roman" w:eastAsia="Times New Roman" w:hint="default"/>
                <w:sz w:val="15"/>
                <w:szCs w:val="15"/>
              </w:rPr>
              <w:t>ETL</w:t>
            </w:r>
            <w:r>
              <w:rPr>
                <w:rFonts w:ascii="宋体" w:hAnsi="宋体" w:cs="宋体" w:eastAsia="宋体" w:hint="default"/>
                <w:sz w:val="15"/>
                <w:szCs w:val="15"/>
              </w:rPr>
              <w:t>工具软件</w:t>
            </w:r>
          </w:p>
          <w:p>
            <w:pPr>
              <w:pStyle w:val="TableParagraph"/>
              <w:spacing w:line="240" w:lineRule="auto" w:before="10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:TongETL]V2.2</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2016/11/15</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77</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1967594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2017SR382310</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开发行为数据捕获工具软件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TongSDBC]V1.0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2016/12/1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78</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1967599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2017SR382315</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统一开发资源库管理软件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TongSDRM]V1.0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2016/12/1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79</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1968102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2017SR382818</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软件开发行为分析工具软件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TongSDBA]V1.0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2016/12/1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80</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1810068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2017SR224784</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东方通企业服务总线软件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:TongESB]</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V5.2</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2017/1/5</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81</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1827136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2017SR241852</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东方通大数据分析处理平台软件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:TongBETL]V2.3</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2017/4/21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82</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1981066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2017SR395782</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东方通大数据平台管理中心软件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TongDP</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MC]V2.3</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2017/4/21</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83</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1973558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2017SR388274</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22" w:right="0"/>
              <w:jc w:val="left"/>
              <w:rPr>
                <w:rFonts w:ascii="宋体" w:hAnsi="宋体" w:cs="宋体" w:eastAsia="宋体" w:hint="default"/>
                <w:sz w:val="15"/>
                <w:szCs w:val="15"/>
              </w:rPr>
            </w:pPr>
            <w:r>
              <w:rPr>
                <w:rFonts w:ascii="宋体" w:hAnsi="宋体" w:cs="宋体" w:eastAsia="宋体" w:hint="default"/>
                <w:sz w:val="15"/>
                <w:szCs w:val="15"/>
              </w:rPr>
              <w:t>东方通数据交换平台管理中心软件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TongDXP</w:t>
            </w:r>
            <w:r>
              <w:rPr>
                <w:rFonts w:ascii="Times New Roman" w:hAnsi="Times New Roman" w:cs="Times New Roman" w:eastAsia="Times New Roman" w:hint="default"/>
                <w:spacing w:val="-7"/>
                <w:sz w:val="15"/>
                <w:szCs w:val="15"/>
              </w:rPr>
              <w:t> </w:t>
            </w:r>
            <w:r>
              <w:rPr>
                <w:rFonts w:ascii="Times New Roman" w:hAnsi="Times New Roman" w:cs="Times New Roman" w:eastAsia="Times New Roman" w:hint="default"/>
                <w:sz w:val="15"/>
                <w:szCs w:val="15"/>
              </w:rPr>
              <w:t>MC]V3.1</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2017/5/2</w:t>
            </w:r>
          </w:p>
        </w:tc>
      </w:tr>
      <w:tr>
        <w:trPr>
          <w:trHeight w:val="654" w:hRule="exact"/>
        </w:trPr>
        <w:tc>
          <w:tcPr>
            <w:tcW w:w="41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88"/>
              <w:jc w:val="right"/>
              <w:rPr>
                <w:rFonts w:ascii="Times New Roman" w:hAnsi="Times New Roman" w:cs="Times New Roman" w:eastAsia="Times New Roman" w:hint="default"/>
                <w:sz w:val="15"/>
                <w:szCs w:val="15"/>
              </w:rPr>
            </w:pPr>
            <w:r>
              <w:rPr>
                <w:rFonts w:ascii="Times New Roman"/>
                <w:sz w:val="15"/>
              </w:rPr>
              <w:t>84</w:t>
            </w: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0"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2000344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2017SR415060</w:t>
            </w:r>
          </w:p>
        </w:tc>
        <w:tc>
          <w:tcPr>
            <w:tcW w:w="2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东方通数据交换运行节点软件</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TongDXP_Node]</w:t>
            </w:r>
            <w:r>
              <w:rPr>
                <w:rFonts w:ascii="Times New Roman" w:hAnsi="Times New Roman" w:cs="Times New Roman" w:eastAsia="Times New Roman" w:hint="default"/>
                <w:spacing w:val="-8"/>
                <w:sz w:val="15"/>
                <w:szCs w:val="15"/>
              </w:rPr>
              <w:t> </w:t>
            </w:r>
            <w:r>
              <w:rPr>
                <w:rFonts w:ascii="Times New Roman" w:hAnsi="Times New Roman" w:cs="Times New Roman" w:eastAsia="Times New Roman" w:hint="default"/>
                <w:sz w:val="15"/>
                <w:szCs w:val="15"/>
              </w:rPr>
              <w:t>V3.1</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3"/>
              <w:jc w:val="right"/>
              <w:rPr>
                <w:rFonts w:ascii="宋体" w:hAnsi="宋体" w:cs="宋体" w:eastAsia="宋体" w:hint="default"/>
                <w:sz w:val="15"/>
                <w:szCs w:val="15"/>
              </w:rPr>
            </w:pPr>
            <w:r>
              <w:rPr>
                <w:rFonts w:ascii="宋体" w:hAnsi="宋体" w:cs="宋体" w:eastAsia="宋体" w:hint="default"/>
                <w:sz w:val="15"/>
                <w:szCs w:val="15"/>
              </w:rPr>
              <w:t>东方通</w:t>
            </w:r>
          </w:p>
        </w:tc>
        <w:tc>
          <w:tcPr>
            <w:tcW w:w="10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2"/>
              <w:jc w:val="righ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2017/5/2</w:t>
            </w:r>
          </w:p>
        </w:tc>
      </w:tr>
    </w:tbl>
    <w:p>
      <w:pPr>
        <w:spacing w:after="0" w:line="240" w:lineRule="auto"/>
        <w:jc w:val="left"/>
        <w:rPr>
          <w:rFonts w:ascii="Times New Roman" w:hAnsi="Times New Roman" w:cs="Times New Roman" w:eastAsia="Times New Roman" w:hint="default"/>
          <w:sz w:val="15"/>
          <w:szCs w:val="15"/>
        </w:rPr>
        <w:sectPr>
          <w:pgSz w:w="11910" w:h="16840"/>
          <w:pgMar w:header="747" w:footer="979" w:top="1060" w:bottom="1160" w:left="0" w:right="0"/>
        </w:sectPr>
      </w:pPr>
    </w:p>
    <w:p>
      <w:pPr>
        <w:spacing w:line="240" w:lineRule="auto" w:before="6"/>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103189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24" w:type="dxa"/>
        <w:tblLayout w:type="fixed"/>
        <w:tblCellMar>
          <w:top w:w="0" w:type="dxa"/>
          <w:left w:w="0" w:type="dxa"/>
          <w:bottom w:w="0" w:type="dxa"/>
          <w:right w:w="0" w:type="dxa"/>
        </w:tblCellMar>
        <w:tblLook w:val="01E0"/>
      </w:tblPr>
      <w:tblGrid>
        <w:gridCol w:w="432"/>
        <w:gridCol w:w="1587"/>
        <w:gridCol w:w="1049"/>
        <w:gridCol w:w="2787"/>
        <w:gridCol w:w="1091"/>
        <w:gridCol w:w="925"/>
        <w:gridCol w:w="866"/>
        <w:gridCol w:w="922"/>
      </w:tblGrid>
      <w:tr>
        <w:trPr>
          <w:trHeight w:val="986"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85</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1973674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2017SR388390</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东方通大数据平台运行节点软件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TongDP</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Node]V2.3</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2017/5/8</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86</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Times New Roman" w:hAnsi="Times New Roman" w:cs="Times New Roman" w:eastAsia="Times New Roman" w:hint="default"/>
                <w:sz w:val="15"/>
                <w:szCs w:val="15"/>
              </w:rPr>
              <w:t>1041569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2015SR154483</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东方通云管理平台</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:TongoCloud Platform]</w:t>
            </w:r>
            <w:r>
              <w:rPr>
                <w:rFonts w:ascii="Times New Roman" w:hAnsi="Times New Roman" w:cs="Times New Roman" w:eastAsia="Times New Roman" w:hint="default"/>
                <w:spacing w:val="-9"/>
                <w:sz w:val="15"/>
                <w:szCs w:val="15"/>
              </w:rPr>
              <w:t> </w:t>
            </w:r>
            <w:r>
              <w:rPr>
                <w:rFonts w:ascii="Times New Roman" w:hAnsi="Times New Roman" w:cs="Times New Roman" w:eastAsia="Times New Roman" w:hint="default"/>
                <w:sz w:val="15"/>
                <w:szCs w:val="15"/>
              </w:rPr>
              <w:t>V5.0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87</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w:t>
            </w:r>
            <w:r>
              <w:rPr>
                <w:rFonts w:ascii="Times New Roman" w:hAnsi="Times New Roman" w:cs="Times New Roman" w:eastAsia="Times New Roman" w:hint="default"/>
                <w:sz w:val="15"/>
                <w:szCs w:val="15"/>
              </w:rPr>
              <w:t>1041574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2015SR154488</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27" w:right="0"/>
              <w:jc w:val="left"/>
              <w:rPr>
                <w:rFonts w:ascii="宋体" w:hAnsi="宋体" w:cs="宋体" w:eastAsia="宋体" w:hint="default"/>
                <w:sz w:val="15"/>
                <w:szCs w:val="15"/>
              </w:rPr>
            </w:pPr>
            <w:r>
              <w:rPr>
                <w:rFonts w:ascii="宋体" w:hAnsi="宋体" w:cs="宋体" w:eastAsia="宋体" w:hint="default"/>
                <w:sz w:val="15"/>
                <w:szCs w:val="15"/>
              </w:rPr>
              <w:t>东方通虚拟化平台</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:TongoCloud]</w:t>
            </w:r>
            <w:r>
              <w:rPr>
                <w:rFonts w:ascii="Times New Roman" w:hAnsi="Times New Roman" w:cs="Times New Roman" w:eastAsia="Times New Roman" w:hint="default"/>
                <w:spacing w:val="-7"/>
                <w:sz w:val="15"/>
                <w:szCs w:val="15"/>
              </w:rPr>
              <w:t> </w:t>
            </w:r>
            <w:r>
              <w:rPr>
                <w:rFonts w:ascii="Times New Roman" w:hAnsi="Times New Roman" w:cs="Times New Roman" w:eastAsia="Times New Roman" w:hint="default"/>
                <w:sz w:val="15"/>
                <w:szCs w:val="15"/>
              </w:rPr>
              <w:t>V5.0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88</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0223687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2010SR035414</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7" w:right="883"/>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TongLINK/Q</w:t>
            </w:r>
            <w:r>
              <w:rPr>
                <w:rFonts w:ascii="宋体" w:hAnsi="宋体" w:cs="宋体" w:eastAsia="宋体" w:hint="default"/>
                <w:sz w:val="15"/>
                <w:szCs w:val="15"/>
              </w:rPr>
              <w:t>消息中间件软件 </w:t>
            </w: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:TongLINK/Q]</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7.0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受让</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2006/5/19</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89</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0236369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2010SR048096</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东方通交易中间件软件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:TongEASY]</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V5.2</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受让</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2006/12/18</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90</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0223695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2010SR035422</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东方通通用数据传输平台中间件软件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:GTP]</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V4.5</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受让</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2007/1/15</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91</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0223689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2010SR035416</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东方通应用服务器软件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:TongWeb]</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V4.8</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受让</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2009/4/8</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92</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0253292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2010SR065019</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东方通应用集成中间件软件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:TongIntergrator]</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V3.7</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2010/8/9</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93</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0301563</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2011SR037889</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东方通应用服务器软件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:TongWeb]</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V5.0.1</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2010/12/20</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94</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0298652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2011SR034978</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东方通云应用服务器软件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:TongAPPLaud AppServer]</w:t>
            </w:r>
            <w:r>
              <w:rPr>
                <w:rFonts w:ascii="Times New Roman" w:hAnsi="Times New Roman" w:cs="Times New Roman" w:eastAsia="Times New Roman" w:hint="default"/>
                <w:spacing w:val="-10"/>
                <w:sz w:val="15"/>
                <w:szCs w:val="15"/>
              </w:rPr>
              <w:t> </w:t>
            </w:r>
            <w:r>
              <w:rPr>
                <w:rFonts w:ascii="Times New Roman" w:hAnsi="Times New Roman" w:cs="Times New Roman" w:eastAsia="Times New Roman" w:hint="default"/>
                <w:sz w:val="15"/>
                <w:szCs w:val="15"/>
              </w:rPr>
              <w:t>V1.0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2011/3/10</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95</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0312626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2011SR048952</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东方通应用集成中间件软件</w:t>
            </w:r>
          </w:p>
          <w:p>
            <w:pPr>
              <w:pStyle w:val="TableParagraph"/>
              <w:spacing w:line="240" w:lineRule="auto" w:before="116"/>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:TongIntegrator]</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V4.0.1</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2011/3/10</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96</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0315543</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2011SR051869</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东方通消息中间件软件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:TongLINK/Q]</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V7.2.1</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2011/4/29</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97</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0318390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2011SR054716</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东方通应用集成中间件适配器软件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:TongIntergrator Adapter]</w:t>
            </w:r>
            <w:r>
              <w:rPr>
                <w:rFonts w:ascii="Times New Roman" w:hAnsi="Times New Roman" w:cs="Times New Roman" w:eastAsia="Times New Roman" w:hint="default"/>
                <w:spacing w:val="-7"/>
                <w:sz w:val="15"/>
                <w:szCs w:val="15"/>
              </w:rPr>
              <w:t> </w:t>
            </w:r>
            <w:r>
              <w:rPr>
                <w:rFonts w:ascii="Times New Roman" w:hAnsi="Times New Roman" w:cs="Times New Roman" w:eastAsia="Times New Roman" w:hint="default"/>
                <w:sz w:val="15"/>
                <w:szCs w:val="15"/>
              </w:rPr>
              <w:t>V4.0.1</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2011/4/29</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98</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0325850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2011SR062176</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东方通通用文件传输平台</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:TongGTP]</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V5.2.1</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2011/5/10</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z w:val="15"/>
              </w:rPr>
              <w:t>99</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0366004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2011SR102330</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东方通通用文件传出平台软件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:TongGTP]</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V6.0.1</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2011/9/1</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100</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0375046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2012SR007010</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东方通消息中间件软件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:TongLINK/Q]</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V8.0.1</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2011/9/1</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101</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0545389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2013SR039627</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东方通云应用服务器软件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:TongApplaud</w:t>
            </w:r>
            <w:r>
              <w:rPr>
                <w:rFonts w:ascii="Times New Roman" w:hAnsi="Times New Roman" w:cs="Times New Roman" w:eastAsia="Times New Roman" w:hint="default"/>
                <w:spacing w:val="-7"/>
                <w:sz w:val="15"/>
                <w:szCs w:val="15"/>
              </w:rPr>
              <w:t> </w:t>
            </w:r>
            <w:r>
              <w:rPr>
                <w:rFonts w:ascii="Times New Roman" w:hAnsi="Times New Roman" w:cs="Times New Roman" w:eastAsia="Times New Roman" w:hint="default"/>
                <w:sz w:val="15"/>
                <w:szCs w:val="15"/>
              </w:rPr>
              <w:t>AppServer]V2.0</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2012/11/23</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102</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0637336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2013SR131574</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东方通传输管理中心软件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:TongWTP</w:t>
            </w:r>
            <w:r>
              <w:rPr>
                <w:rFonts w:ascii="Times New Roman" w:hAnsi="Times New Roman" w:cs="Times New Roman" w:eastAsia="Times New Roman" w:hint="default"/>
                <w:spacing w:val="-10"/>
                <w:sz w:val="15"/>
                <w:szCs w:val="15"/>
              </w:rPr>
              <w:t> </w:t>
            </w:r>
            <w:r>
              <w:rPr>
                <w:rFonts w:ascii="Times New Roman" w:hAnsi="Times New Roman" w:cs="Times New Roman" w:eastAsia="Times New Roman" w:hint="default"/>
                <w:sz w:val="15"/>
                <w:szCs w:val="15"/>
              </w:rPr>
              <w:t>TransManager]V4.0.1</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2013/3/8</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103</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0637367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2013SR131605</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东方通接入服务器软件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:TongWTP</w:t>
            </w:r>
            <w:r>
              <w:rPr>
                <w:rFonts w:ascii="Times New Roman" w:hAnsi="Times New Roman" w:cs="Times New Roman" w:eastAsia="Times New Roman" w:hint="default"/>
                <w:spacing w:val="-8"/>
                <w:sz w:val="15"/>
                <w:szCs w:val="15"/>
              </w:rPr>
              <w:t> </w:t>
            </w:r>
            <w:r>
              <w:rPr>
                <w:rFonts w:ascii="Times New Roman" w:hAnsi="Times New Roman" w:cs="Times New Roman" w:eastAsia="Times New Roman" w:hint="default"/>
                <w:sz w:val="15"/>
                <w:szCs w:val="15"/>
              </w:rPr>
              <w:t>ConnServer]V4.0.1</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2013/3/8</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104</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0637829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2013SR132067</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27" w:right="0"/>
              <w:jc w:val="left"/>
              <w:rPr>
                <w:rFonts w:ascii="宋体" w:hAnsi="宋体" w:cs="宋体" w:eastAsia="宋体" w:hint="default"/>
                <w:sz w:val="15"/>
                <w:szCs w:val="15"/>
              </w:rPr>
            </w:pPr>
            <w:r>
              <w:rPr>
                <w:rFonts w:ascii="宋体" w:hAnsi="宋体" w:cs="宋体" w:eastAsia="宋体" w:hint="default"/>
                <w:sz w:val="15"/>
                <w:szCs w:val="15"/>
              </w:rPr>
              <w:t>东方通文件服务器软件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:TongWTP</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FileServer]V4.0.1</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2013/3/8</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105</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0666763</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2013SR161001</w:t>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Times New Roman" w:hAnsi="Times New Roman" w:cs="Times New Roman" w:eastAsia="Times New Roman" w:hint="default"/>
                <w:sz w:val="15"/>
                <w:szCs w:val="15"/>
              </w:rPr>
              <w:t>ETL</w:t>
            </w:r>
            <w:r>
              <w:rPr>
                <w:rFonts w:ascii="宋体" w:hAnsi="宋体" w:cs="宋体" w:eastAsia="宋体" w:hint="default"/>
                <w:sz w:val="15"/>
                <w:szCs w:val="15"/>
              </w:rPr>
              <w:t>工具软件</w:t>
            </w:r>
          </w:p>
          <w:p>
            <w:pPr>
              <w:pStyle w:val="TableParagraph"/>
              <w:spacing w:line="240" w:lineRule="auto" w:before="10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:TI-ETL]</w:t>
            </w:r>
            <w:r>
              <w:rPr>
                <w:rFonts w:ascii="Times New Roman" w:hAnsi="Times New Roman" w:cs="Times New Roman" w:eastAsia="Times New Roman" w:hint="default"/>
                <w:spacing w:val="-6"/>
                <w:sz w:val="15"/>
                <w:szCs w:val="15"/>
              </w:rPr>
              <w:t> </w:t>
            </w:r>
            <w:r>
              <w:rPr>
                <w:rFonts w:ascii="Times New Roman" w:hAnsi="Times New Roman" w:cs="Times New Roman" w:eastAsia="Times New Roman" w:hint="default"/>
                <w:sz w:val="15"/>
                <w:szCs w:val="15"/>
              </w:rPr>
              <w:t>V1.0.1</w:t>
            </w:r>
          </w:p>
        </w:tc>
        <w:tc>
          <w:tcPr>
            <w:tcW w:w="10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2013/8/5</w:t>
            </w:r>
          </w:p>
        </w:tc>
      </w:tr>
    </w:tbl>
    <w:p>
      <w:pPr>
        <w:spacing w:after="0" w:line="240" w:lineRule="auto"/>
        <w:jc w:val="left"/>
        <w:rPr>
          <w:rFonts w:ascii="Times New Roman" w:hAnsi="Times New Roman" w:cs="Times New Roman" w:eastAsia="Times New Roman" w:hint="default"/>
          <w:sz w:val="15"/>
          <w:szCs w:val="15"/>
        </w:rPr>
        <w:sectPr>
          <w:pgSz w:w="11910" w:h="16840"/>
          <w:pgMar w:header="747" w:footer="979" w:top="1060" w:bottom="1160" w:left="0" w:right="0"/>
        </w:sectPr>
      </w:pPr>
    </w:p>
    <w:p>
      <w:pPr>
        <w:spacing w:line="240" w:lineRule="auto" w:before="6"/>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103187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24" w:type="dxa"/>
        <w:tblLayout w:type="fixed"/>
        <w:tblCellMar>
          <w:top w:w="0" w:type="dxa"/>
          <w:left w:w="0" w:type="dxa"/>
          <w:bottom w:w="0" w:type="dxa"/>
          <w:right w:w="0" w:type="dxa"/>
        </w:tblCellMar>
        <w:tblLook w:val="01E0"/>
      </w:tblPr>
      <w:tblGrid>
        <w:gridCol w:w="432"/>
        <w:gridCol w:w="1587"/>
        <w:gridCol w:w="1049"/>
        <w:gridCol w:w="2877"/>
        <w:gridCol w:w="1001"/>
        <w:gridCol w:w="925"/>
        <w:gridCol w:w="866"/>
        <w:gridCol w:w="922"/>
      </w:tblGrid>
      <w:tr>
        <w:trPr>
          <w:trHeight w:val="986"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106</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0762623</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Times New Roman" w:hAnsi="Times New Roman" w:cs="Times New Roman" w:eastAsia="Times New Roman" w:hint="default"/>
                <w:sz w:val="15"/>
                <w:szCs w:val="15"/>
              </w:rPr>
            </w:pPr>
            <w:r>
              <w:rPr>
                <w:rFonts w:ascii="Times New Roman"/>
                <w:sz w:val="15"/>
              </w:rPr>
              <w:t>2014SR093379</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东方通企业服务总线软件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:TI-ESB]</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V5.0.1</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7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2014/2/24</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107</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0795030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Times New Roman" w:hAnsi="Times New Roman" w:cs="Times New Roman" w:eastAsia="Times New Roman" w:hint="default"/>
                <w:sz w:val="15"/>
                <w:szCs w:val="15"/>
              </w:rPr>
            </w:pPr>
            <w:r>
              <w:rPr>
                <w:rFonts w:ascii="Times New Roman"/>
                <w:sz w:val="15"/>
              </w:rPr>
              <w:t>2014SR125787</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东方通数据交换工具软件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:TI-DX]V2.0.1</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7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2014/2/28</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108</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0804144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Times New Roman" w:hAnsi="Times New Roman" w:cs="Times New Roman" w:eastAsia="Times New Roman" w:hint="default"/>
                <w:sz w:val="15"/>
                <w:szCs w:val="15"/>
              </w:rPr>
            </w:pPr>
            <w:r>
              <w:rPr>
                <w:rFonts w:ascii="Times New Roman"/>
                <w:sz w:val="15"/>
              </w:rPr>
              <w:t>2014SR134903</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27" w:right="0"/>
              <w:jc w:val="left"/>
              <w:rPr>
                <w:rFonts w:ascii="宋体" w:hAnsi="宋体" w:cs="宋体" w:eastAsia="宋体" w:hint="default"/>
                <w:sz w:val="15"/>
                <w:szCs w:val="15"/>
              </w:rPr>
            </w:pPr>
            <w:r>
              <w:rPr>
                <w:rFonts w:ascii="宋体" w:hAnsi="宋体" w:cs="宋体" w:eastAsia="宋体" w:hint="default"/>
                <w:sz w:val="15"/>
                <w:szCs w:val="15"/>
              </w:rPr>
              <w:t>东方通数据交换平台软件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:TI-DXP]V2.0.1</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7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2014/2/28</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109</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1176110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Times New Roman" w:hAnsi="Times New Roman" w:cs="Times New Roman" w:eastAsia="Times New Roman" w:hint="default"/>
                <w:sz w:val="15"/>
                <w:szCs w:val="15"/>
              </w:rPr>
            </w:pPr>
            <w:r>
              <w:rPr>
                <w:rFonts w:ascii="Times New Roman"/>
                <w:sz w:val="15"/>
              </w:rPr>
              <w:t>2015SR289024</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东方通云管理平台</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:TongApplaud]V2.5.1</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7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继承</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2015/3/2</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110</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1177158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Times New Roman" w:hAnsi="Times New Roman" w:cs="Times New Roman" w:eastAsia="Times New Roman" w:hint="default"/>
                <w:sz w:val="15"/>
                <w:szCs w:val="15"/>
              </w:rPr>
            </w:pPr>
            <w:r>
              <w:rPr>
                <w:rFonts w:ascii="Times New Roman"/>
                <w:sz w:val="15"/>
              </w:rPr>
              <w:t>2015SR290072</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东方通数据交换运行节点软件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:TongDXP_Node]V3.0.1</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7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继承</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2015/10/15</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111</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1177895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Times New Roman" w:hAnsi="Times New Roman" w:cs="Times New Roman" w:eastAsia="Times New Roman" w:hint="default"/>
                <w:sz w:val="15"/>
                <w:szCs w:val="15"/>
              </w:rPr>
            </w:pPr>
            <w:r>
              <w:rPr>
                <w:rFonts w:ascii="Times New Roman"/>
                <w:sz w:val="15"/>
              </w:rPr>
              <w:t>2015SR290809</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东方通数据交换管理平台软件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:TongDXP]V3.0.1</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7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受让</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2015/10/15</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112</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1091592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Times New Roman" w:hAnsi="Times New Roman" w:cs="Times New Roman" w:eastAsia="Times New Roman" w:hint="default"/>
                <w:sz w:val="15"/>
                <w:szCs w:val="15"/>
              </w:rPr>
            </w:pPr>
            <w:r>
              <w:rPr>
                <w:rFonts w:ascii="Times New Roman"/>
                <w:sz w:val="15"/>
              </w:rPr>
              <w:t>2015SR204506</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东方通应用服务器软件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:TongWeb]V6.0.1</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7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113</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1104402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Times New Roman" w:hAnsi="Times New Roman" w:cs="Times New Roman" w:eastAsia="Times New Roman" w:hint="default"/>
                <w:sz w:val="15"/>
                <w:szCs w:val="15"/>
              </w:rPr>
            </w:pPr>
            <w:r>
              <w:rPr>
                <w:rFonts w:ascii="Times New Roman"/>
                <w:sz w:val="15"/>
              </w:rPr>
              <w:t>2015SR217316</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东方通统一中间件管理平台软件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:TongIMP]V2.0.1</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7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114</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1106139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Times New Roman" w:hAnsi="Times New Roman" w:cs="Times New Roman" w:eastAsia="Times New Roman" w:hint="default"/>
                <w:sz w:val="15"/>
                <w:szCs w:val="15"/>
              </w:rPr>
            </w:pPr>
            <w:r>
              <w:rPr>
                <w:rFonts w:ascii="Times New Roman"/>
                <w:sz w:val="15"/>
              </w:rPr>
              <w:t>2015SR219053</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w:t>
            </w:r>
            <w:r>
              <w:rPr>
                <w:rFonts w:ascii="Times New Roman" w:hAnsi="Times New Roman" w:cs="Times New Roman" w:eastAsia="Times New Roman" w:hint="default"/>
                <w:sz w:val="15"/>
                <w:szCs w:val="15"/>
              </w:rPr>
              <w:t>ETL</w:t>
            </w:r>
            <w:r>
              <w:rPr>
                <w:rFonts w:ascii="宋体" w:hAnsi="宋体" w:cs="宋体" w:eastAsia="宋体" w:hint="default"/>
                <w:sz w:val="15"/>
                <w:szCs w:val="15"/>
              </w:rPr>
              <w:t>工具软件</w:t>
            </w:r>
          </w:p>
          <w:p>
            <w:pPr>
              <w:pStyle w:val="TableParagraph"/>
              <w:spacing w:line="240" w:lineRule="auto" w:before="10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:TI-ETL]V2.0.1</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7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115</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1195673</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Times New Roman" w:hAnsi="Times New Roman" w:cs="Times New Roman" w:eastAsia="Times New Roman" w:hint="default"/>
                <w:sz w:val="15"/>
                <w:szCs w:val="15"/>
              </w:rPr>
            </w:pPr>
            <w:r>
              <w:rPr>
                <w:rFonts w:ascii="Times New Roman"/>
                <w:sz w:val="15"/>
              </w:rPr>
              <w:t>2016SR017056</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东方通云管理平台</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:TongoCloud</w:t>
            </w:r>
            <w:r>
              <w:rPr>
                <w:rFonts w:ascii="Times New Roman" w:hAnsi="Times New Roman" w:cs="Times New Roman" w:eastAsia="Times New Roman" w:hint="default"/>
                <w:spacing w:val="-10"/>
                <w:sz w:val="15"/>
                <w:szCs w:val="15"/>
              </w:rPr>
              <w:t> </w:t>
            </w:r>
            <w:r>
              <w:rPr>
                <w:rFonts w:ascii="Times New Roman" w:hAnsi="Times New Roman" w:cs="Times New Roman" w:eastAsia="Times New Roman" w:hint="default"/>
                <w:sz w:val="15"/>
                <w:szCs w:val="15"/>
              </w:rPr>
              <w:t>Platform]V5.0.1</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7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116</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1597016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Times New Roman" w:hAnsi="Times New Roman" w:cs="Times New Roman" w:eastAsia="Times New Roman" w:hint="default"/>
                <w:sz w:val="15"/>
                <w:szCs w:val="15"/>
              </w:rPr>
            </w:pPr>
            <w:r>
              <w:rPr>
                <w:rFonts w:ascii="Times New Roman"/>
                <w:sz w:val="15"/>
              </w:rPr>
              <w:t>2017SR011732</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东方通虚拟化平台软件</w:t>
            </w:r>
          </w:p>
          <w:p>
            <w:pPr>
              <w:pStyle w:val="TableParagraph"/>
              <w:spacing w:line="240" w:lineRule="auto" w:before="116"/>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:TongoCloud]V5.0.1</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7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117</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1597017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88" w:right="0"/>
              <w:jc w:val="left"/>
              <w:rPr>
                <w:rFonts w:ascii="Times New Roman" w:hAnsi="Times New Roman" w:cs="Times New Roman" w:eastAsia="Times New Roman" w:hint="default"/>
                <w:sz w:val="15"/>
                <w:szCs w:val="15"/>
              </w:rPr>
            </w:pPr>
            <w:r>
              <w:rPr>
                <w:rFonts w:ascii="Times New Roman"/>
                <w:sz w:val="15"/>
              </w:rPr>
              <w:t>2017SR011733</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东方通负载均衡软件</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:TongLB]V2.0.1</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70" w:right="0"/>
              <w:jc w:val="left"/>
              <w:rPr>
                <w:rFonts w:ascii="宋体" w:hAnsi="宋体" w:cs="宋体" w:eastAsia="宋体" w:hint="default"/>
                <w:sz w:val="15"/>
                <w:szCs w:val="15"/>
              </w:rPr>
            </w:pPr>
            <w:r>
              <w:rPr>
                <w:rFonts w:ascii="宋体" w:hAnsi="宋体" w:cs="宋体" w:eastAsia="宋体" w:hint="default"/>
                <w:sz w:val="15"/>
                <w:szCs w:val="15"/>
              </w:rPr>
              <w:t>东方通泰</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118</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9"/>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019290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2004SR00889</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 GPRS</w:t>
            </w:r>
            <w:r>
              <w:rPr>
                <w:rFonts w:ascii="Times New Roman" w:hAnsi="Times New Roman" w:cs="Times New Roman" w:eastAsia="Times New Roman" w:hint="default"/>
                <w:spacing w:val="-3"/>
                <w:sz w:val="15"/>
                <w:szCs w:val="15"/>
              </w:rPr>
              <w:t> </w:t>
            </w:r>
            <w:r>
              <w:rPr>
                <w:rFonts w:ascii="Times New Roman" w:hAnsi="Times New Roman" w:cs="Times New Roman" w:eastAsia="Times New Roman" w:hint="default"/>
                <w:sz w:val="15"/>
                <w:szCs w:val="15"/>
              </w:rPr>
              <w:t>eXpert</w:t>
            </w:r>
            <w:r>
              <w:rPr>
                <w:rFonts w:ascii="宋体" w:hAnsi="宋体" w:cs="宋体" w:eastAsia="宋体" w:hint="default"/>
                <w:sz w:val="15"/>
                <w:szCs w:val="15"/>
              </w:rPr>
              <w:t>网优路测软件</w:t>
            </w:r>
            <w:r>
              <w:rPr>
                <w:rFonts w:ascii="Times New Roman" w:hAnsi="Times New Roman" w:cs="Times New Roman" w:eastAsia="Times New Roman" w:hint="default"/>
                <w:sz w:val="15"/>
                <w:szCs w:val="15"/>
              </w:rPr>
              <w:t>V1.0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2003/12/1</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119</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9"/>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052614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2006SR04948</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 GPRS</w:t>
            </w:r>
            <w:r>
              <w:rPr>
                <w:rFonts w:ascii="Times New Roman" w:hAnsi="Times New Roman" w:cs="Times New Roman" w:eastAsia="Times New Roman" w:hint="default"/>
                <w:spacing w:val="-3"/>
                <w:sz w:val="15"/>
                <w:szCs w:val="15"/>
              </w:rPr>
              <w:t> </w:t>
            </w:r>
            <w:r>
              <w:rPr>
                <w:rFonts w:ascii="Times New Roman" w:hAnsi="Times New Roman" w:cs="Times New Roman" w:eastAsia="Times New Roman" w:hint="default"/>
                <w:sz w:val="15"/>
                <w:szCs w:val="15"/>
              </w:rPr>
              <w:t>eXpert</w:t>
            </w:r>
            <w:r>
              <w:rPr>
                <w:rFonts w:ascii="宋体" w:hAnsi="宋体" w:cs="宋体" w:eastAsia="宋体" w:hint="default"/>
                <w:sz w:val="15"/>
                <w:szCs w:val="15"/>
              </w:rPr>
              <w:t>网优路测软件</w:t>
            </w:r>
            <w:r>
              <w:rPr>
                <w:rFonts w:ascii="Times New Roman" w:hAnsi="Times New Roman" w:cs="Times New Roman" w:eastAsia="Times New Roman" w:hint="default"/>
                <w:sz w:val="15"/>
                <w:szCs w:val="15"/>
              </w:rPr>
              <w:t>V3.0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2005/4/5</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120</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9"/>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055825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2006SR08159</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数据业务自动拨测及分析系统软件</w:t>
            </w:r>
            <w:r>
              <w:rPr>
                <w:rFonts w:ascii="Times New Roman" w:hAnsi="Times New Roman" w:cs="Times New Roman" w:eastAsia="Times New Roman" w:hint="default"/>
                <w:sz w:val="15"/>
                <w:szCs w:val="15"/>
              </w:rPr>
              <w:t>V1.0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2006/3/20</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121</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9"/>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056462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2006SR08796</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数据业务自动拨测及分析系统软件</w:t>
            </w:r>
            <w:r>
              <w:rPr>
                <w:rFonts w:ascii="Times New Roman" w:hAnsi="Times New Roman" w:cs="Times New Roman" w:eastAsia="Times New Roman" w:hint="default"/>
                <w:sz w:val="15"/>
                <w:szCs w:val="15"/>
              </w:rPr>
              <w:t>V2.0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2006/5/10</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122</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9"/>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061875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2006SR14209</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w:t>
            </w:r>
            <w:r>
              <w:rPr>
                <w:rFonts w:ascii="宋体" w:hAnsi="宋体" w:cs="宋体" w:eastAsia="宋体" w:hint="default"/>
                <w:sz w:val="15"/>
                <w:szCs w:val="15"/>
              </w:rPr>
              <w:t>网优路测系统</w:t>
            </w:r>
            <w:r>
              <w:rPr>
                <w:rFonts w:ascii="Times New Roman" w:hAnsi="Times New Roman" w:cs="Times New Roman" w:eastAsia="Times New Roman" w:hint="default"/>
                <w:sz w:val="15"/>
                <w:szCs w:val="15"/>
              </w:rPr>
              <w:t>V4.0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2006/9/8</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123</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9"/>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097218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2008SR10039</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w:t>
            </w:r>
            <w:r>
              <w:rPr>
                <w:rFonts w:ascii="宋体" w:hAnsi="宋体" w:cs="宋体" w:eastAsia="宋体" w:hint="default"/>
                <w:sz w:val="15"/>
                <w:szCs w:val="15"/>
              </w:rPr>
              <w:t>网优路测系统</w:t>
            </w:r>
            <w:r>
              <w:rPr>
                <w:rFonts w:ascii="Times New Roman" w:hAnsi="Times New Roman" w:cs="Times New Roman" w:eastAsia="Times New Roman" w:hint="default"/>
                <w:sz w:val="15"/>
                <w:szCs w:val="15"/>
              </w:rPr>
              <w:t>V5.0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2008/3/19</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124</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9"/>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105416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2008SR18237</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Gb Gn</w:t>
            </w:r>
            <w:r>
              <w:rPr>
                <w:rFonts w:ascii="Times New Roman" w:hAnsi="Times New Roman" w:cs="Times New Roman" w:eastAsia="Times New Roman" w:hint="default"/>
                <w:spacing w:val="-1"/>
                <w:sz w:val="15"/>
                <w:szCs w:val="15"/>
              </w:rPr>
              <w:t> </w:t>
            </w:r>
            <w:r>
              <w:rPr>
                <w:rFonts w:ascii="Times New Roman" w:hAnsi="Times New Roman" w:cs="Times New Roman" w:eastAsia="Times New Roman" w:hint="default"/>
                <w:sz w:val="15"/>
                <w:szCs w:val="15"/>
              </w:rPr>
              <w:t>Gi</w:t>
            </w:r>
            <w:r>
              <w:rPr>
                <w:rFonts w:ascii="宋体" w:hAnsi="宋体" w:cs="宋体" w:eastAsia="宋体" w:hint="default"/>
                <w:sz w:val="15"/>
                <w:szCs w:val="15"/>
              </w:rPr>
              <w:t>分析系统</w:t>
            </w:r>
            <w:r>
              <w:rPr>
                <w:rFonts w:ascii="Times New Roman" w:hAnsi="Times New Roman" w:cs="Times New Roman" w:eastAsia="Times New Roman" w:hint="default"/>
                <w:sz w:val="15"/>
                <w:szCs w:val="15"/>
              </w:rPr>
              <w:t>V1.0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2008/6/1</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125</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9"/>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105415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2008SR18236</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飞信业务测试系统</w:t>
            </w:r>
            <w:r>
              <w:rPr>
                <w:rFonts w:ascii="Times New Roman" w:hAnsi="Times New Roman" w:cs="Times New Roman" w:eastAsia="Times New Roman" w:hint="default"/>
                <w:sz w:val="15"/>
                <w:szCs w:val="15"/>
              </w:rPr>
              <w:t>V1.0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2008/6/9</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126</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9"/>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110823</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2008SR23644</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MOS</w:t>
            </w:r>
            <w:r>
              <w:rPr>
                <w:rFonts w:ascii="宋体" w:hAnsi="宋体" w:cs="宋体" w:eastAsia="宋体" w:hint="default"/>
                <w:sz w:val="15"/>
                <w:szCs w:val="15"/>
              </w:rPr>
              <w:t>测试系统</w:t>
            </w:r>
            <w:r>
              <w:rPr>
                <w:rFonts w:ascii="Times New Roman" w:hAnsi="Times New Roman" w:cs="Times New Roman" w:eastAsia="Times New Roman" w:hint="default"/>
                <w:sz w:val="15"/>
                <w:szCs w:val="15"/>
              </w:rPr>
              <w:t>V1.0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2008/6/20</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127</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9"/>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110764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2008SR23585</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自动路测系统</w:t>
            </w:r>
            <w:r>
              <w:rPr>
                <w:rFonts w:ascii="Times New Roman" w:hAnsi="Times New Roman" w:cs="Times New Roman" w:eastAsia="Times New Roman" w:hint="default"/>
                <w:sz w:val="15"/>
                <w:szCs w:val="15"/>
              </w:rPr>
              <w:t>V1.0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2008/7/3</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128</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0155501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2009SR028502</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w:t>
            </w:r>
            <w:r>
              <w:rPr>
                <w:rFonts w:ascii="宋体" w:hAnsi="宋体" w:cs="宋体" w:eastAsia="宋体" w:hint="default"/>
                <w:sz w:val="15"/>
                <w:szCs w:val="15"/>
              </w:rPr>
              <w:t>网优路测系统</w:t>
            </w:r>
            <w:r>
              <w:rPr>
                <w:rFonts w:ascii="Times New Roman" w:hAnsi="Times New Roman" w:cs="Times New Roman" w:eastAsia="Times New Roman" w:hint="default"/>
                <w:sz w:val="15"/>
                <w:szCs w:val="15"/>
              </w:rPr>
              <w:t>V6.0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129</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0163668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2009SR036669</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WSA</w:t>
            </w:r>
            <w:r>
              <w:rPr>
                <w:rFonts w:ascii="宋体" w:hAnsi="宋体" w:cs="宋体" w:eastAsia="宋体" w:hint="default"/>
                <w:sz w:val="15"/>
                <w:szCs w:val="15"/>
              </w:rPr>
              <w:t>无线网优系统</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130</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0167061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2009SR040062</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CDT</w:t>
            </w:r>
            <w:r>
              <w:rPr>
                <w:rFonts w:ascii="宋体" w:hAnsi="宋体" w:cs="宋体" w:eastAsia="宋体" w:hint="default"/>
                <w:sz w:val="15"/>
                <w:szCs w:val="15"/>
              </w:rPr>
              <w:t>路测软件</w:t>
            </w:r>
            <w:r>
              <w:rPr>
                <w:rFonts w:ascii="Times New Roman" w:hAnsi="Times New Roman" w:cs="Times New Roman" w:eastAsia="Times New Roman" w:hint="default"/>
                <w:sz w:val="15"/>
                <w:szCs w:val="15"/>
              </w:rPr>
              <w:t>V1.0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131</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0214643</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2010SR026370</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CDS/WLAN</w:t>
            </w:r>
            <w:r>
              <w:rPr>
                <w:rFonts w:ascii="宋体" w:hAnsi="宋体" w:cs="宋体" w:eastAsia="宋体" w:hint="default"/>
                <w:sz w:val="15"/>
                <w:szCs w:val="15"/>
              </w:rPr>
              <w:t>网络评估优化测试软件</w:t>
            </w:r>
            <w:r>
              <w:rPr>
                <w:rFonts w:ascii="Times New Roman" w:hAnsi="Times New Roman" w:cs="Times New Roman" w:eastAsia="Times New Roman" w:hint="default"/>
                <w:sz w:val="15"/>
                <w:szCs w:val="15"/>
              </w:rPr>
              <w:t>V1.0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132</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0324634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2011SR060960</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w:t>
            </w:r>
            <w:r>
              <w:rPr>
                <w:rFonts w:ascii="宋体" w:hAnsi="宋体" w:cs="宋体" w:eastAsia="宋体" w:hint="default"/>
                <w:sz w:val="15"/>
                <w:szCs w:val="15"/>
              </w:rPr>
              <w:t>网优路测系统</w:t>
            </w:r>
            <w:r>
              <w:rPr>
                <w:rFonts w:ascii="Times New Roman" w:hAnsi="Times New Roman" w:cs="Times New Roman" w:eastAsia="Times New Roman" w:hint="default"/>
                <w:sz w:val="15"/>
                <w:szCs w:val="15"/>
              </w:rPr>
              <w:t>V7.0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133</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0427970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2012SR059934</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LTE</w:t>
            </w:r>
            <w:r>
              <w:rPr>
                <w:rFonts w:ascii="宋体" w:hAnsi="宋体" w:cs="宋体" w:eastAsia="宋体" w:hint="default"/>
                <w:sz w:val="15"/>
                <w:szCs w:val="15"/>
              </w:rPr>
              <w:t>测试系统</w:t>
            </w:r>
            <w:r>
              <w:rPr>
                <w:rFonts w:ascii="Times New Roman" w:hAnsi="Times New Roman" w:cs="Times New Roman" w:eastAsia="Times New Roman" w:hint="default"/>
                <w:sz w:val="15"/>
                <w:szCs w:val="15"/>
              </w:rPr>
              <w:t>V1.0</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134</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0718233</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88" w:right="0"/>
              <w:jc w:val="left"/>
              <w:rPr>
                <w:rFonts w:ascii="Times New Roman" w:hAnsi="Times New Roman" w:cs="Times New Roman" w:eastAsia="Times New Roman" w:hint="default"/>
                <w:sz w:val="15"/>
                <w:szCs w:val="15"/>
              </w:rPr>
            </w:pPr>
            <w:r>
              <w:rPr>
                <w:rFonts w:ascii="Times New Roman"/>
                <w:sz w:val="15"/>
              </w:rPr>
              <w:t>2014SR048989</w:t>
            </w:r>
          </w:p>
        </w:tc>
        <w:tc>
          <w:tcPr>
            <w:tcW w:w="2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CDS/WLAN</w:t>
            </w:r>
            <w:r>
              <w:rPr>
                <w:rFonts w:ascii="宋体" w:hAnsi="宋体" w:cs="宋体" w:eastAsia="宋体" w:hint="default"/>
                <w:sz w:val="15"/>
                <w:szCs w:val="15"/>
              </w:rPr>
              <w:t>网络评估优化测试软件</w:t>
            </w:r>
            <w:r>
              <w:rPr>
                <w:rFonts w:ascii="Times New Roman" w:hAnsi="Times New Roman" w:cs="Times New Roman" w:eastAsia="Times New Roman" w:hint="default"/>
                <w:sz w:val="15"/>
                <w:szCs w:val="15"/>
              </w:rPr>
              <w:t>V1.1</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0"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0" w:right="0"/>
              <w:jc w:val="left"/>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bl>
    <w:p>
      <w:pPr>
        <w:spacing w:after="0" w:line="240" w:lineRule="auto"/>
        <w:jc w:val="left"/>
        <w:rPr>
          <w:rFonts w:ascii="宋体" w:hAnsi="宋体" w:cs="宋体" w:eastAsia="宋体" w:hint="default"/>
          <w:sz w:val="15"/>
          <w:szCs w:val="15"/>
        </w:rPr>
        <w:sectPr>
          <w:pgSz w:w="11910" w:h="16840"/>
          <w:pgMar w:header="747" w:footer="979" w:top="1060" w:bottom="1160" w:left="0" w:right="0"/>
        </w:sectPr>
      </w:pPr>
    </w:p>
    <w:p>
      <w:pPr>
        <w:spacing w:line="240" w:lineRule="auto" w:before="6"/>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1031848"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24" w:type="dxa"/>
        <w:tblLayout w:type="fixed"/>
        <w:tblCellMar>
          <w:top w:w="0" w:type="dxa"/>
          <w:left w:w="0" w:type="dxa"/>
          <w:bottom w:w="0" w:type="dxa"/>
          <w:right w:w="0" w:type="dxa"/>
        </w:tblCellMar>
        <w:tblLook w:val="01E0"/>
      </w:tblPr>
      <w:tblGrid>
        <w:gridCol w:w="432"/>
        <w:gridCol w:w="1587"/>
        <w:gridCol w:w="1049"/>
        <w:gridCol w:w="2880"/>
        <w:gridCol w:w="998"/>
        <w:gridCol w:w="925"/>
        <w:gridCol w:w="866"/>
        <w:gridCol w:w="922"/>
      </w:tblGrid>
      <w:tr>
        <w:trPr>
          <w:trHeight w:val="67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135</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0718294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2014SR049050</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w:t>
            </w:r>
            <w:r>
              <w:rPr>
                <w:rFonts w:ascii="宋体" w:hAnsi="宋体" w:cs="宋体" w:eastAsia="宋体" w:hint="default"/>
                <w:sz w:val="15"/>
                <w:szCs w:val="15"/>
              </w:rPr>
              <w:t>网优路测系统</w:t>
            </w:r>
            <w:r>
              <w:rPr>
                <w:rFonts w:ascii="Times New Roman" w:hAnsi="Times New Roman" w:cs="Times New Roman" w:eastAsia="Times New Roman" w:hint="default"/>
                <w:sz w:val="15"/>
                <w:szCs w:val="15"/>
              </w:rPr>
              <w:t>V7.1</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136</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0718297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2014SR049053</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LTE</w:t>
            </w:r>
            <w:r>
              <w:rPr>
                <w:rFonts w:ascii="宋体" w:hAnsi="宋体" w:cs="宋体" w:eastAsia="宋体" w:hint="default"/>
                <w:sz w:val="15"/>
                <w:szCs w:val="15"/>
              </w:rPr>
              <w:t>测试系统</w:t>
            </w:r>
            <w:r>
              <w:rPr>
                <w:rFonts w:ascii="Times New Roman" w:hAnsi="Times New Roman" w:cs="Times New Roman" w:eastAsia="Times New Roman" w:hint="default"/>
                <w:sz w:val="15"/>
                <w:szCs w:val="15"/>
              </w:rPr>
              <w:t>V1.1</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137</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0718301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2014SR049057</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CDT</w:t>
            </w:r>
            <w:r>
              <w:rPr>
                <w:rFonts w:ascii="宋体" w:hAnsi="宋体" w:cs="宋体" w:eastAsia="宋体" w:hint="default"/>
                <w:sz w:val="15"/>
                <w:szCs w:val="15"/>
              </w:rPr>
              <w:t>路测软件</w:t>
            </w:r>
            <w:r>
              <w:rPr>
                <w:rFonts w:ascii="Times New Roman" w:hAnsi="Times New Roman" w:cs="Times New Roman" w:eastAsia="Times New Roman" w:hint="default"/>
                <w:sz w:val="15"/>
                <w:szCs w:val="15"/>
              </w:rPr>
              <w:t>V1.1</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138</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0833658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2014SR164421</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Android</w:t>
            </w:r>
            <w:r>
              <w:rPr>
                <w:rFonts w:ascii="宋体" w:hAnsi="宋体" w:cs="宋体" w:eastAsia="宋体" w:hint="default"/>
                <w:sz w:val="15"/>
                <w:szCs w:val="15"/>
              </w:rPr>
              <w:t>手持式测试软件</w:t>
            </w:r>
            <w:r>
              <w:rPr>
                <w:rFonts w:ascii="Times New Roman" w:hAnsi="Times New Roman" w:cs="Times New Roman" w:eastAsia="Times New Roman" w:hint="default"/>
                <w:sz w:val="15"/>
                <w:szCs w:val="15"/>
              </w:rPr>
              <w:t>V1.0</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139</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0833697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2014SR164460</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w:t>
            </w:r>
            <w:r>
              <w:rPr>
                <w:rFonts w:ascii="Times New Roman" w:hAnsi="Times New Roman" w:cs="Times New Roman" w:eastAsia="Times New Roman" w:hint="default"/>
                <w:spacing w:val="-2"/>
                <w:sz w:val="15"/>
                <w:szCs w:val="15"/>
              </w:rPr>
              <w:t> </w:t>
            </w:r>
            <w:r>
              <w:rPr>
                <w:rFonts w:ascii="Times New Roman" w:hAnsi="Times New Roman" w:cs="Times New Roman" w:eastAsia="Times New Roman" w:hint="default"/>
                <w:sz w:val="15"/>
                <w:szCs w:val="15"/>
              </w:rPr>
              <w:t>IOS</w:t>
            </w:r>
            <w:r>
              <w:rPr>
                <w:rFonts w:ascii="宋体" w:hAnsi="宋体" w:cs="宋体" w:eastAsia="宋体" w:hint="default"/>
                <w:sz w:val="15"/>
                <w:szCs w:val="15"/>
              </w:rPr>
              <w:t>手持式测试软件</w:t>
            </w:r>
            <w:r>
              <w:rPr>
                <w:rFonts w:ascii="Times New Roman" w:hAnsi="Times New Roman" w:cs="Times New Roman" w:eastAsia="Times New Roman" w:hint="default"/>
                <w:sz w:val="15"/>
                <w:szCs w:val="15"/>
              </w:rPr>
              <w:t>V1.0</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140</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0833700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2014SR164463</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w:t>
            </w:r>
            <w:r>
              <w:rPr>
                <w:rFonts w:ascii="宋体" w:hAnsi="宋体" w:cs="宋体" w:eastAsia="宋体" w:hint="default"/>
                <w:sz w:val="15"/>
                <w:szCs w:val="15"/>
              </w:rPr>
              <w:t>网优路测系统</w:t>
            </w:r>
            <w:r>
              <w:rPr>
                <w:rFonts w:ascii="Times New Roman" w:hAnsi="Times New Roman" w:cs="Times New Roman" w:eastAsia="Times New Roman" w:hint="default"/>
                <w:sz w:val="15"/>
                <w:szCs w:val="15"/>
              </w:rPr>
              <w:t>V8.0</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141</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0877276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2014SR208045</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 Plus Android</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测试软件</w:t>
            </w:r>
            <w:r>
              <w:rPr>
                <w:rFonts w:ascii="Times New Roman" w:hAnsi="Times New Roman" w:cs="Times New Roman" w:eastAsia="Times New Roman" w:hint="default"/>
                <w:sz w:val="15"/>
                <w:szCs w:val="15"/>
              </w:rPr>
              <w:t>V1.0</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142</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0877280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2014SR208049</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w:t>
            </w:r>
            <w:r>
              <w:rPr>
                <w:rFonts w:ascii="宋体" w:hAnsi="宋体" w:cs="宋体" w:eastAsia="宋体" w:hint="default"/>
                <w:sz w:val="15"/>
                <w:szCs w:val="15"/>
              </w:rPr>
              <w:t>网优路测系统</w:t>
            </w:r>
            <w:r>
              <w:rPr>
                <w:rFonts w:ascii="Times New Roman" w:hAnsi="Times New Roman" w:cs="Times New Roman" w:eastAsia="Times New Roman" w:hint="default"/>
                <w:sz w:val="15"/>
                <w:szCs w:val="15"/>
              </w:rPr>
              <w:t>V7.1.1</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143</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0878778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2014SR209546</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 Plus IOS</w:t>
            </w:r>
            <w:r>
              <w:rPr>
                <w:rFonts w:ascii="Times New Roman" w:hAnsi="Times New Roman" w:cs="Times New Roman" w:eastAsia="Times New Roman" w:hint="default"/>
                <w:spacing w:val="20"/>
                <w:sz w:val="15"/>
                <w:szCs w:val="15"/>
              </w:rPr>
              <w:t> </w:t>
            </w:r>
            <w:r>
              <w:rPr>
                <w:rFonts w:ascii="宋体" w:hAnsi="宋体" w:cs="宋体" w:eastAsia="宋体" w:hint="default"/>
                <w:sz w:val="15"/>
                <w:szCs w:val="15"/>
              </w:rPr>
              <w:t>测试软件</w:t>
            </w:r>
            <w:r>
              <w:rPr>
                <w:rFonts w:ascii="Times New Roman" w:hAnsi="Times New Roman" w:cs="Times New Roman" w:eastAsia="Times New Roman" w:hint="default"/>
                <w:sz w:val="15"/>
                <w:szCs w:val="15"/>
              </w:rPr>
              <w:t>V1.0</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144</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0886806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2014SR217577</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CDS</w:t>
            </w:r>
            <w:r>
              <w:rPr>
                <w:rFonts w:ascii="宋体" w:hAnsi="宋体" w:cs="宋体" w:eastAsia="宋体" w:hint="default"/>
                <w:sz w:val="15"/>
                <w:szCs w:val="15"/>
              </w:rPr>
              <w:t>网优路测系统</w:t>
            </w:r>
            <w:r>
              <w:rPr>
                <w:rFonts w:ascii="Times New Roman" w:hAnsi="Times New Roman" w:cs="Times New Roman" w:eastAsia="Times New Roman" w:hint="default"/>
                <w:sz w:val="15"/>
                <w:szCs w:val="15"/>
              </w:rPr>
              <w:t>V7.1.2</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145</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1056094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2015SR169008</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扫频仪数据分析软件</w:t>
            </w:r>
            <w:r>
              <w:rPr>
                <w:rFonts w:ascii="Times New Roman" w:hAnsi="Times New Roman" w:cs="Times New Roman" w:eastAsia="Times New Roman" w:hint="default"/>
                <w:sz w:val="15"/>
                <w:szCs w:val="15"/>
              </w:rPr>
              <w:t>V1.0</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146</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1103080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2015SR215994</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Volte</w:t>
            </w:r>
            <w:r>
              <w:rPr>
                <w:rFonts w:ascii="宋体" w:hAnsi="宋体" w:cs="宋体" w:eastAsia="宋体" w:hint="default"/>
                <w:sz w:val="15"/>
                <w:szCs w:val="15"/>
              </w:rPr>
              <w:t>测试软件</w:t>
            </w:r>
            <w:r>
              <w:rPr>
                <w:rFonts w:ascii="Times New Roman" w:hAnsi="Times New Roman" w:cs="Times New Roman" w:eastAsia="Times New Roman" w:hint="default"/>
                <w:sz w:val="15"/>
                <w:szCs w:val="15"/>
              </w:rPr>
              <w:t>V1.0</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147</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1104236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2015SR217150</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TD-LTE</w:t>
            </w:r>
            <w:r>
              <w:rPr>
                <w:rFonts w:ascii="宋体" w:hAnsi="宋体" w:cs="宋体" w:eastAsia="宋体" w:hint="default"/>
                <w:sz w:val="15"/>
                <w:szCs w:val="15"/>
              </w:rPr>
              <w:t>终端自动化路测系统</w:t>
            </w:r>
            <w:r>
              <w:rPr>
                <w:rFonts w:ascii="Times New Roman" w:hAnsi="Times New Roman" w:cs="Times New Roman" w:eastAsia="Times New Roman" w:hint="default"/>
                <w:sz w:val="15"/>
                <w:szCs w:val="15"/>
              </w:rPr>
              <w:t>V1.0</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148</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1104651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2015SR217565</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CA</w:t>
            </w:r>
            <w:r>
              <w:rPr>
                <w:rFonts w:ascii="宋体" w:hAnsi="宋体" w:cs="宋体" w:eastAsia="宋体" w:hint="default"/>
                <w:sz w:val="15"/>
                <w:szCs w:val="15"/>
              </w:rPr>
              <w:t>测试软件</w:t>
            </w:r>
            <w:r>
              <w:rPr>
                <w:rFonts w:ascii="Times New Roman" w:hAnsi="Times New Roman" w:cs="Times New Roman" w:eastAsia="Times New Roman" w:hint="default"/>
                <w:sz w:val="15"/>
                <w:szCs w:val="15"/>
              </w:rPr>
              <w:t>V1.0</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149</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1133772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2015SR246686</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LTE</w:t>
            </w:r>
            <w:r>
              <w:rPr>
                <w:rFonts w:ascii="宋体" w:hAnsi="宋体" w:cs="宋体" w:eastAsia="宋体" w:hint="default"/>
                <w:sz w:val="15"/>
                <w:szCs w:val="15"/>
              </w:rPr>
              <w:t>基站自动单验系统</w:t>
            </w:r>
            <w:r>
              <w:rPr>
                <w:rFonts w:ascii="Times New Roman" w:hAnsi="Times New Roman" w:cs="Times New Roman" w:eastAsia="Times New Roman" w:hint="default"/>
                <w:sz w:val="15"/>
                <w:szCs w:val="15"/>
              </w:rPr>
              <w:t>(IOS</w:t>
            </w:r>
            <w:r>
              <w:rPr>
                <w:rFonts w:ascii="宋体" w:hAnsi="宋体" w:cs="宋体" w:eastAsia="宋体" w:hint="default"/>
                <w:sz w:val="15"/>
                <w:szCs w:val="15"/>
              </w:rPr>
              <w:t>版</w:t>
            </w:r>
            <w:r>
              <w:rPr>
                <w:rFonts w:ascii="Times New Roman" w:hAnsi="Times New Roman" w:cs="Times New Roman" w:eastAsia="Times New Roman" w:hint="default"/>
                <w:sz w:val="15"/>
                <w:szCs w:val="15"/>
              </w:rPr>
              <w:t>)V1.0</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150</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1139222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2015SR252136</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LTE</w:t>
            </w:r>
            <w:r>
              <w:rPr>
                <w:rFonts w:ascii="宋体" w:hAnsi="宋体" w:cs="宋体" w:eastAsia="宋体" w:hint="default"/>
                <w:sz w:val="15"/>
                <w:szCs w:val="15"/>
              </w:rPr>
              <w:t>基站自动单验系统</w:t>
            </w:r>
            <w:r>
              <w:rPr>
                <w:rFonts w:ascii="Times New Roman" w:hAnsi="Times New Roman" w:cs="Times New Roman" w:eastAsia="Times New Roman" w:hint="default"/>
                <w:sz w:val="15"/>
                <w:szCs w:val="15"/>
              </w:rPr>
              <w:t>(Android</w:t>
            </w:r>
            <w:r>
              <w:rPr>
                <w:rFonts w:ascii="宋体" w:hAnsi="宋体" w:cs="宋体" w:eastAsia="宋体" w:hint="default"/>
                <w:sz w:val="15"/>
                <w:szCs w:val="15"/>
              </w:rPr>
              <w:t>版</w:t>
            </w:r>
            <w:r>
              <w:rPr>
                <w:rFonts w:ascii="Times New Roman" w:hAnsi="Times New Roman" w:cs="Times New Roman" w:eastAsia="Times New Roman" w:hint="default"/>
                <w:sz w:val="15"/>
                <w:szCs w:val="15"/>
              </w:rPr>
              <w:t>)V10</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2"/>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151</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1309051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2016SR130434</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智能优化云测试系统</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152</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1316150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2016SR137533</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LTE</w:t>
            </w:r>
            <w:r>
              <w:rPr>
                <w:rFonts w:ascii="Times New Roman" w:hAnsi="Times New Roman" w:cs="Times New Roman" w:eastAsia="Times New Roman" w:hint="default"/>
                <w:spacing w:val="20"/>
                <w:sz w:val="15"/>
                <w:szCs w:val="15"/>
              </w:rPr>
              <w:t> </w:t>
            </w:r>
            <w:r>
              <w:rPr>
                <w:rFonts w:ascii="宋体" w:hAnsi="宋体" w:cs="宋体" w:eastAsia="宋体" w:hint="default"/>
                <w:sz w:val="15"/>
                <w:szCs w:val="15"/>
              </w:rPr>
              <w:t>安装、验收、维护、优化测试系统</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153</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1316218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2016SR137601</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多网络综合测试分析系统</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154</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1317258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2016SR138641</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移动网络大数据分析系统</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惠捷朗</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2"/>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1" w:right="0"/>
              <w:jc w:val="left"/>
              <w:rPr>
                <w:rFonts w:ascii="宋体" w:hAnsi="宋体" w:cs="宋体" w:eastAsia="宋体" w:hint="default"/>
                <w:sz w:val="15"/>
                <w:szCs w:val="15"/>
              </w:rPr>
            </w:pPr>
            <w:r>
              <w:rPr>
                <w:rFonts w:ascii="宋体" w:hAnsi="宋体" w:cs="宋体" w:eastAsia="宋体" w:hint="default"/>
                <w:sz w:val="15"/>
                <w:szCs w:val="15"/>
              </w:rPr>
              <w:t>未发表</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155</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0266131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2011SR002457</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360" w:lineRule="auto" w:before="45"/>
              <w:ind w:left="27" w:right="30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数字天堂无线网关定位计次版软件</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:WG-LBS0]</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2010/5/14</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156</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0266160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2011SR002486</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7" w:right="30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数字天堂无线网关短信计次版软件</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:WG-SMS]</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2010/5/14</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157</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0266236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2011SR002562</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7" w:right="75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数字天堂企业无线网关软件</w:t>
            </w:r>
            <w:r>
              <w:rPr>
                <w:rFonts w:ascii="Times New Roman" w:hAnsi="Times New Roman" w:cs="Times New Roman" w:eastAsia="Times New Roman" w:hint="default"/>
                <w:sz w:val="15"/>
                <w:szCs w:val="15"/>
              </w:rPr>
              <w:t>V2.0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:WG]</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2010/5/14</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158</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0266237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2011SR002563</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7" w:right="401"/>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数字天堂无线网关云平台系统</w:t>
            </w:r>
            <w:r>
              <w:rPr>
                <w:rFonts w:ascii="Times New Roman" w:hAnsi="Times New Roman" w:cs="Times New Roman" w:eastAsia="Times New Roman" w:hint="default"/>
                <w:sz w:val="15"/>
                <w:szCs w:val="15"/>
              </w:rPr>
              <w:t>V1.0 </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简称</w:t>
            </w:r>
            <w:r>
              <w:rPr>
                <w:rFonts w:ascii="Times New Roman" w:hAnsi="Times New Roman" w:cs="Times New Roman" w:eastAsia="Times New Roman" w:hint="default"/>
                <w:spacing w:val="-1"/>
                <w:sz w:val="15"/>
                <w:szCs w:val="15"/>
              </w:rPr>
              <w:t>:CLOUDWIRELESSGATEWAY]</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2010/5/14</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159</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0266352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2011SR002678</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7" w:right="30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数字天堂无线网关彩信计次版软件</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:WG-MMS]</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2010/5/14</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160</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0256363</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2010SR068090</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7" w:right="45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数字天堂无线中间件云平台系统</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:MCLOUD]</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2010/5/19</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161</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0266533</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2011SR002859</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7" w:right="60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数字天堂手机邮箱云平台系统</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:CLOUDPE]</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2010/5/20</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162</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0266518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2011SR002844</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7" w:right="30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数字天堂无线中间件孵化平台软件</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w:t>
            </w:r>
            <w:r>
              <w:rPr>
                <w:rFonts w:ascii="宋体" w:hAnsi="宋体" w:cs="宋体" w:eastAsia="宋体" w:hint="default"/>
                <w:sz w:val="15"/>
                <w:szCs w:val="15"/>
              </w:rPr>
              <w:t>孵化平台</w:t>
            </w:r>
            <w:r>
              <w:rPr>
                <w:rFonts w:ascii="Times New Roman" w:hAnsi="Times New Roman" w:cs="Times New Roman" w:eastAsia="Times New Roman" w:hint="default"/>
                <w:sz w:val="15"/>
                <w:szCs w:val="15"/>
              </w:rPr>
              <w:t>]</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2010/6/28</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163</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0266205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2011SR002531</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7" w:right="105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数字天堂应用商店软件</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:CLOUDSTORE]</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2010/7/12</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164</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0266109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2011SR002435</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7" w:right="45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数字天堂无线中间件云平台系统</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w:t>
            </w:r>
            <w:r>
              <w:rPr>
                <w:rFonts w:ascii="宋体" w:hAnsi="宋体" w:cs="宋体" w:eastAsia="宋体" w:hint="default"/>
                <w:sz w:val="15"/>
                <w:szCs w:val="15"/>
              </w:rPr>
              <w:t>管理平台</w:t>
            </w:r>
            <w:r>
              <w:rPr>
                <w:rFonts w:ascii="Times New Roman" w:hAnsi="Times New Roman" w:cs="Times New Roman" w:eastAsia="Times New Roman" w:hint="default"/>
                <w:sz w:val="15"/>
                <w:szCs w:val="15"/>
              </w:rPr>
              <w:t>]</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2010/7/22</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165</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0363949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2011SR100275</w:t>
            </w:r>
          </w:p>
        </w:tc>
        <w:tc>
          <w:tcPr>
            <w:tcW w:w="288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数字天堂无线中间件集成开发环境软件</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6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2011/4/20</w:t>
            </w:r>
          </w:p>
        </w:tc>
      </w:tr>
    </w:tbl>
    <w:p>
      <w:pPr>
        <w:spacing w:after="0" w:line="240" w:lineRule="auto"/>
        <w:jc w:val="left"/>
        <w:rPr>
          <w:rFonts w:ascii="Times New Roman" w:hAnsi="Times New Roman" w:cs="Times New Roman" w:eastAsia="Times New Roman" w:hint="default"/>
          <w:sz w:val="15"/>
          <w:szCs w:val="15"/>
        </w:rPr>
        <w:sectPr>
          <w:pgSz w:w="11910" w:h="16840"/>
          <w:pgMar w:header="747" w:footer="979" w:top="1060" w:bottom="1160" w:left="0" w:right="0"/>
        </w:sectPr>
      </w:pPr>
    </w:p>
    <w:p>
      <w:pPr>
        <w:spacing w:line="240" w:lineRule="auto" w:before="6"/>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1031824"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10" w:type="dxa"/>
        <w:tblLayout w:type="fixed"/>
        <w:tblCellMar>
          <w:top w:w="0" w:type="dxa"/>
          <w:left w:w="0" w:type="dxa"/>
          <w:bottom w:w="0" w:type="dxa"/>
          <w:right w:w="0" w:type="dxa"/>
        </w:tblCellMar>
        <w:tblLook w:val="01E0"/>
      </w:tblPr>
      <w:tblGrid>
        <w:gridCol w:w="446"/>
        <w:gridCol w:w="1591"/>
        <w:gridCol w:w="1049"/>
        <w:gridCol w:w="3046"/>
        <w:gridCol w:w="828"/>
        <w:gridCol w:w="925"/>
        <w:gridCol w:w="866"/>
        <w:gridCol w:w="922"/>
      </w:tblGrid>
      <w:tr>
        <w:trPr>
          <w:trHeight w:val="674" w:hRule="exact"/>
        </w:trPr>
        <w:tc>
          <w:tcPr>
            <w:tcW w:w="446" w:type="dxa"/>
            <w:tcBorders>
              <w:top w:val="single" w:sz="4" w:space="0" w:color="000000"/>
              <w:left w:val="nil" w:sz="6" w:space="0" w:color="auto"/>
              <w:bottom w:val="single" w:sz="4" w:space="0" w:color="000000"/>
              <w:right w:val="nil" w:sz="6" w:space="0" w:color="auto"/>
            </w:tcBorders>
          </w:tcPr>
          <w:p>
            <w:pPr/>
          </w:p>
        </w:tc>
        <w:tc>
          <w:tcPr>
            <w:tcW w:w="1591" w:type="dxa"/>
            <w:tcBorders>
              <w:top w:val="single" w:sz="4" w:space="0" w:color="000000"/>
              <w:left w:val="nil" w:sz="6" w:space="0" w:color="auto"/>
              <w:bottom w:val="single" w:sz="4" w:space="0" w:color="000000"/>
              <w:right w:val="nil" w:sz="6" w:space="0" w:color="auto"/>
            </w:tcBorders>
          </w:tcPr>
          <w:p>
            <w:pPr/>
          </w:p>
        </w:tc>
        <w:tc>
          <w:tcPr>
            <w:tcW w:w="1049" w:type="dxa"/>
            <w:tcBorders>
              <w:top w:val="single" w:sz="4" w:space="0" w:color="000000"/>
              <w:left w:val="nil" w:sz="6" w:space="0" w:color="auto"/>
              <w:bottom w:val="single" w:sz="4" w:space="0" w:color="000000"/>
              <w:right w:val="nil" w:sz="6" w:space="0" w:color="auto"/>
            </w:tcBorders>
          </w:tcPr>
          <w:p>
            <w:pP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:Mkey</w:t>
            </w:r>
            <w:r>
              <w:rPr>
                <w:rFonts w:ascii="Times New Roman" w:hAnsi="Times New Roman" w:cs="Times New Roman" w:eastAsia="Times New Roman" w:hint="default"/>
                <w:spacing w:val="-4"/>
                <w:sz w:val="15"/>
                <w:szCs w:val="15"/>
              </w:rPr>
              <w:t> </w:t>
            </w:r>
            <w:r>
              <w:rPr>
                <w:rFonts w:ascii="Times New Roman" w:hAnsi="Times New Roman" w:cs="Times New Roman" w:eastAsia="Times New Roman" w:hint="default"/>
                <w:sz w:val="15"/>
                <w:szCs w:val="15"/>
              </w:rPr>
              <w:t>Studio]</w:t>
            </w:r>
          </w:p>
        </w:tc>
        <w:tc>
          <w:tcPr>
            <w:tcW w:w="828" w:type="dxa"/>
            <w:tcBorders>
              <w:top w:val="single" w:sz="4" w:space="0" w:color="000000"/>
              <w:left w:val="nil" w:sz="6" w:space="0" w:color="auto"/>
              <w:bottom w:val="single" w:sz="4" w:space="0" w:color="000000"/>
              <w:right w:val="nil" w:sz="6" w:space="0" w:color="auto"/>
            </w:tcBorders>
          </w:tcPr>
          <w:p>
            <w:pPr/>
          </w:p>
        </w:tc>
        <w:tc>
          <w:tcPr>
            <w:tcW w:w="925" w:type="dxa"/>
            <w:tcBorders>
              <w:top w:val="single" w:sz="4" w:space="0" w:color="000000"/>
              <w:left w:val="nil" w:sz="6" w:space="0" w:color="auto"/>
              <w:bottom w:val="single" w:sz="4" w:space="0" w:color="000000"/>
              <w:right w:val="nil" w:sz="6" w:space="0" w:color="auto"/>
            </w:tcBorders>
          </w:tcPr>
          <w:p>
            <w:pPr/>
          </w:p>
        </w:tc>
        <w:tc>
          <w:tcPr>
            <w:tcW w:w="866" w:type="dxa"/>
            <w:tcBorders>
              <w:top w:val="single" w:sz="4" w:space="0" w:color="000000"/>
              <w:left w:val="nil" w:sz="6" w:space="0" w:color="auto"/>
              <w:bottom w:val="single" w:sz="4" w:space="0" w:color="000000"/>
              <w:right w:val="nil" w:sz="6" w:space="0" w:color="auto"/>
            </w:tcBorders>
          </w:tcPr>
          <w:p>
            <w:pPr/>
          </w:p>
        </w:tc>
        <w:tc>
          <w:tcPr>
            <w:tcW w:w="922" w:type="dxa"/>
            <w:tcBorders>
              <w:top w:val="single" w:sz="4" w:space="0" w:color="000000"/>
              <w:left w:val="nil" w:sz="6" w:space="0" w:color="auto"/>
              <w:bottom w:val="single" w:sz="4" w:space="0" w:color="000000"/>
              <w:right w:val="nil" w:sz="6" w:space="0" w:color="auto"/>
            </w:tcBorders>
          </w:tcPr>
          <w:p>
            <w:pPr/>
          </w:p>
        </w:tc>
      </w:tr>
      <w:tr>
        <w:trPr>
          <w:trHeight w:val="654"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166</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0363930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2011SR100256</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107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数字天堂云平台升级系统</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:SUSC]</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2011/11/5</w:t>
            </w:r>
          </w:p>
        </w:tc>
      </w:tr>
      <w:tr>
        <w:trPr>
          <w:trHeight w:val="654"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167</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0448036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2012SR080000</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92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数字天堂移动办公系统软件</w:t>
            </w:r>
            <w:r>
              <w:rPr>
                <w:rFonts w:ascii="Times New Roman" w:hAnsi="Times New Roman" w:cs="Times New Roman" w:eastAsia="Times New Roman" w:hint="default"/>
                <w:sz w:val="15"/>
                <w:szCs w:val="15"/>
              </w:rPr>
              <w:t>V6.0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:MIP]</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2012/6/15</w:t>
            </w:r>
          </w:p>
        </w:tc>
      </w:tr>
      <w:tr>
        <w:trPr>
          <w:trHeight w:val="654"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168</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0565254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2013SR059492</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47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数字天堂移动信息化接入平台软件</w:t>
            </w:r>
            <w:r>
              <w:rPr>
                <w:rFonts w:ascii="Times New Roman" w:hAnsi="Times New Roman" w:cs="Times New Roman" w:eastAsia="Times New Roman" w:hint="default"/>
                <w:sz w:val="15"/>
                <w:szCs w:val="15"/>
              </w:rPr>
              <w:t>V1.1 [</w:t>
            </w:r>
            <w:r>
              <w:rPr>
                <w:rFonts w:ascii="宋体" w:hAnsi="宋体" w:cs="宋体" w:eastAsia="宋体" w:hint="default"/>
                <w:sz w:val="15"/>
                <w:szCs w:val="15"/>
              </w:rPr>
              <w:t>简称</w:t>
            </w:r>
            <w:r>
              <w:rPr>
                <w:rFonts w:ascii="Times New Roman" w:hAnsi="Times New Roman" w:cs="Times New Roman" w:eastAsia="Times New Roman" w:hint="default"/>
                <w:sz w:val="15"/>
                <w:szCs w:val="15"/>
              </w:rPr>
              <w:t>:</w:t>
            </w:r>
            <w:r>
              <w:rPr>
                <w:rFonts w:ascii="宋体" w:hAnsi="宋体" w:cs="宋体" w:eastAsia="宋体" w:hint="default"/>
                <w:sz w:val="15"/>
                <w:szCs w:val="15"/>
              </w:rPr>
              <w:t>接入平台</w:t>
            </w:r>
            <w:r>
              <w:rPr>
                <w:rFonts w:ascii="Times New Roman" w:hAnsi="Times New Roman" w:cs="Times New Roman" w:eastAsia="Times New Roman" w:hint="default"/>
                <w:sz w:val="15"/>
                <w:szCs w:val="15"/>
              </w:rPr>
              <w:t>]</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2012/6/26</w:t>
            </w:r>
          </w:p>
        </w:tc>
      </w:tr>
      <w:tr>
        <w:trPr>
          <w:trHeight w:val="654"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169</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0501838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2012SR133802</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783"/>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数字天堂无线城市</w:t>
            </w:r>
            <w:r>
              <w:rPr>
                <w:rFonts w:ascii="Times New Roman" w:hAnsi="Times New Roman" w:cs="Times New Roman" w:eastAsia="Times New Roman" w:hint="default"/>
                <w:sz w:val="15"/>
                <w:szCs w:val="15"/>
              </w:rPr>
              <w:t>Widget</w:t>
            </w:r>
            <w:r>
              <w:rPr>
                <w:rFonts w:ascii="宋体" w:hAnsi="宋体" w:cs="宋体" w:eastAsia="宋体" w:hint="default"/>
                <w:sz w:val="15"/>
                <w:szCs w:val="15"/>
              </w:rPr>
              <w:t>软件</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:WidgetApps]</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2012/10/1</w:t>
            </w:r>
          </w:p>
        </w:tc>
      </w:tr>
      <w:tr>
        <w:trPr>
          <w:trHeight w:val="654"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170</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0501222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2012SR133186</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137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数字天堂旅游易软件</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:DHEAVENTRIP]</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2012/11/12</w:t>
            </w:r>
          </w:p>
        </w:tc>
      </w:tr>
      <w:tr>
        <w:trPr>
          <w:trHeight w:val="654"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171</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0501315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2012SR133279</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258"/>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w:t>
            </w:r>
            <w:r>
              <w:rPr>
                <w:rFonts w:ascii="Times New Roman" w:hAnsi="Times New Roman" w:cs="Times New Roman" w:eastAsia="Times New Roman" w:hint="default"/>
                <w:sz w:val="15"/>
                <w:szCs w:val="15"/>
              </w:rPr>
              <w:t>WAP\WIDGET</w:t>
            </w:r>
            <w:r>
              <w:rPr>
                <w:rFonts w:ascii="宋体" w:hAnsi="宋体" w:cs="宋体" w:eastAsia="宋体" w:hint="default"/>
                <w:sz w:val="15"/>
                <w:szCs w:val="15"/>
              </w:rPr>
              <w:t>转换平台软件</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:Wap2Widget]</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2012/11/20</w:t>
            </w:r>
          </w:p>
        </w:tc>
      </w:tr>
      <w:tr>
        <w:trPr>
          <w:trHeight w:val="342"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172</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0565260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9"/>
              <w:jc w:val="right"/>
              <w:rPr>
                <w:rFonts w:ascii="Times New Roman" w:hAnsi="Times New Roman" w:cs="Times New Roman" w:eastAsia="Times New Roman" w:hint="default"/>
                <w:sz w:val="15"/>
                <w:szCs w:val="15"/>
              </w:rPr>
            </w:pPr>
            <w:r>
              <w:rPr>
                <w:rFonts w:ascii="Times New Roman"/>
                <w:spacing w:val="-1"/>
                <w:sz w:val="15"/>
              </w:rPr>
              <w:t>2013SR059498</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数字天堂移动智能客户端软件</w:t>
            </w:r>
            <w:r>
              <w:rPr>
                <w:rFonts w:ascii="Times New Roman" w:hAnsi="Times New Roman" w:cs="Times New Roman" w:eastAsia="Times New Roman" w:hint="default"/>
                <w:sz w:val="15"/>
                <w:szCs w:val="15"/>
              </w:rPr>
              <w:t>V3.5</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2012/12/2</w:t>
            </w:r>
          </w:p>
        </w:tc>
      </w:tr>
      <w:tr>
        <w:trPr>
          <w:trHeight w:val="654"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173</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0565548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2013SR059786</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840"/>
              <w:jc w:val="left"/>
              <w:rPr>
                <w:rFonts w:ascii="Times New Roman" w:hAnsi="Times New Roman" w:cs="Times New Roman" w:eastAsia="Times New Roman" w:hint="default"/>
                <w:sz w:val="15"/>
                <w:szCs w:val="15"/>
              </w:rPr>
            </w:pPr>
            <w:r>
              <w:rPr>
                <w:rFonts w:ascii="宋体" w:hAnsi="宋体" w:cs="宋体" w:eastAsia="宋体" w:hint="default"/>
                <w:sz w:val="15"/>
                <w:szCs w:val="15"/>
              </w:rPr>
              <w:t>基于</w:t>
            </w:r>
            <w:r>
              <w:rPr>
                <w:rFonts w:ascii="Times New Roman" w:hAnsi="Times New Roman" w:cs="Times New Roman" w:eastAsia="Times New Roman" w:hint="default"/>
                <w:sz w:val="15"/>
                <w:szCs w:val="15"/>
              </w:rPr>
              <w:t>SAAS</w:t>
            </w:r>
            <w:r>
              <w:rPr>
                <w:rFonts w:ascii="宋体" w:hAnsi="宋体" w:cs="宋体" w:eastAsia="宋体" w:hint="default"/>
                <w:sz w:val="15"/>
                <w:szCs w:val="15"/>
              </w:rPr>
              <w:t>模式的无线云平台</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:XCloud]</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2013/2/20</w:t>
            </w:r>
          </w:p>
        </w:tc>
      </w:tr>
      <w:tr>
        <w:trPr>
          <w:trHeight w:val="654"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174</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0778671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2014SR109427</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92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数字天堂掌上客服系统软件</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:M-CSP]</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2014/7/31</w:t>
            </w:r>
          </w:p>
        </w:tc>
      </w:tr>
      <w:tr>
        <w:trPr>
          <w:trHeight w:val="654"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175</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0778967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2014SR109723</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62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数字天堂无线城市后台系统软件</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w:t>
            </w:r>
            <w:r>
              <w:rPr>
                <w:rFonts w:ascii="宋体" w:hAnsi="宋体" w:cs="宋体" w:eastAsia="宋体" w:hint="default"/>
                <w:sz w:val="15"/>
                <w:szCs w:val="15"/>
              </w:rPr>
              <w:t>无线城市后台</w:t>
            </w:r>
            <w:r>
              <w:rPr>
                <w:rFonts w:ascii="Times New Roman" w:hAnsi="Times New Roman" w:cs="Times New Roman" w:eastAsia="Times New Roman" w:hint="default"/>
                <w:sz w:val="15"/>
                <w:szCs w:val="15"/>
              </w:rPr>
              <w:t>]</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2014/7/31</w:t>
            </w:r>
          </w:p>
        </w:tc>
      </w:tr>
      <w:tr>
        <w:trPr>
          <w:trHeight w:val="654"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176</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0778972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2014SR109728</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77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数字天堂无线城市客户端软件</w:t>
            </w:r>
            <w:r>
              <w:rPr>
                <w:rFonts w:ascii="Times New Roman" w:hAnsi="Times New Roman" w:cs="Times New Roman" w:eastAsia="Times New Roman" w:hint="default"/>
                <w:sz w:val="15"/>
                <w:szCs w:val="15"/>
              </w:rPr>
              <w:t>V1.0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w:t>
            </w:r>
            <w:r>
              <w:rPr>
                <w:rFonts w:ascii="宋体" w:hAnsi="宋体" w:cs="宋体" w:eastAsia="宋体" w:hint="default"/>
                <w:sz w:val="15"/>
                <w:szCs w:val="15"/>
              </w:rPr>
              <w:t>无线城市客户端</w:t>
            </w:r>
            <w:r>
              <w:rPr>
                <w:rFonts w:ascii="Times New Roman" w:hAnsi="Times New Roman" w:cs="Times New Roman" w:eastAsia="Times New Roman" w:hint="default"/>
                <w:sz w:val="15"/>
                <w:szCs w:val="15"/>
              </w:rPr>
              <w:t>]</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2014/7/31</w:t>
            </w:r>
          </w:p>
        </w:tc>
      </w:tr>
      <w:tr>
        <w:trPr>
          <w:trHeight w:val="654"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177</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0779198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2014SR109954</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874"/>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数字天堂无线中间件</w:t>
            </w:r>
            <w:r>
              <w:rPr>
                <w:rFonts w:ascii="Times New Roman" w:hAnsi="Times New Roman" w:cs="Times New Roman" w:eastAsia="Times New Roman" w:hint="default"/>
                <w:sz w:val="15"/>
                <w:szCs w:val="15"/>
              </w:rPr>
              <w:t>MKey</w:t>
            </w:r>
            <w:r>
              <w:rPr>
                <w:rFonts w:ascii="Times New Roman" w:hAnsi="Times New Roman" w:cs="Times New Roman" w:eastAsia="Times New Roman" w:hint="default"/>
                <w:spacing w:val="-2"/>
                <w:sz w:val="15"/>
                <w:szCs w:val="15"/>
              </w:rPr>
              <w:t> </w:t>
            </w:r>
            <w:r>
              <w:rPr>
                <w:rFonts w:ascii="Times New Roman" w:hAnsi="Times New Roman" w:cs="Times New Roman" w:eastAsia="Times New Roman" w:hint="default"/>
                <w:sz w:val="15"/>
                <w:szCs w:val="15"/>
              </w:rPr>
              <w:t>5</w:t>
            </w:r>
            <w:r>
              <w:rPr>
                <w:rFonts w:ascii="宋体" w:hAnsi="宋体" w:cs="宋体" w:eastAsia="宋体" w:hint="default"/>
                <w:sz w:val="15"/>
                <w:szCs w:val="15"/>
              </w:rPr>
              <w:t>系统 </w:t>
            </w: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:MKey</w:t>
            </w:r>
            <w:r>
              <w:rPr>
                <w:rFonts w:ascii="Times New Roman" w:hAnsi="Times New Roman" w:cs="Times New Roman" w:eastAsia="Times New Roman" w:hint="default"/>
                <w:spacing w:val="-3"/>
                <w:sz w:val="15"/>
                <w:szCs w:val="15"/>
              </w:rPr>
              <w:t> </w:t>
            </w:r>
            <w:r>
              <w:rPr>
                <w:rFonts w:ascii="Times New Roman" w:hAnsi="Times New Roman" w:cs="Times New Roman" w:eastAsia="Times New Roman" w:hint="default"/>
                <w:sz w:val="15"/>
                <w:szCs w:val="15"/>
              </w:rPr>
              <w:t>5]</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2014/7/31</w:t>
            </w:r>
          </w:p>
        </w:tc>
      </w:tr>
      <w:tr>
        <w:trPr>
          <w:trHeight w:val="654"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178</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软件登字第</w:t>
            </w:r>
            <w:r>
              <w:rPr>
                <w:rFonts w:ascii="Times New Roman" w:hAnsi="Times New Roman" w:cs="Times New Roman" w:eastAsia="Times New Roman" w:hint="default"/>
                <w:sz w:val="15"/>
                <w:szCs w:val="15"/>
              </w:rPr>
              <w:t>1064737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2015SR177651</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2" w:right="95"/>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数字天堂无限中间件</w:t>
            </w:r>
            <w:r>
              <w:rPr>
                <w:rFonts w:ascii="Times New Roman" w:hAnsi="Times New Roman" w:cs="Times New Roman" w:eastAsia="Times New Roman" w:hint="default"/>
                <w:sz w:val="15"/>
                <w:szCs w:val="15"/>
              </w:rPr>
              <w:t>MKey5G</w:t>
            </w:r>
            <w:r>
              <w:rPr>
                <w:rFonts w:ascii="宋体" w:hAnsi="宋体" w:cs="宋体" w:eastAsia="宋体" w:hint="default"/>
                <w:sz w:val="15"/>
                <w:szCs w:val="15"/>
              </w:rPr>
              <w:t>系统软件</w:t>
            </w:r>
            <w:r>
              <w:rPr>
                <w:rFonts w:ascii="Times New Roman" w:hAnsi="Times New Roman" w:cs="Times New Roman" w:eastAsia="Times New Roman" w:hint="default"/>
                <w:sz w:val="15"/>
                <w:szCs w:val="15"/>
              </w:rPr>
              <w:t>V1.0.0 [</w:t>
            </w:r>
            <w:r>
              <w:rPr>
                <w:rFonts w:ascii="宋体" w:hAnsi="宋体" w:cs="宋体" w:eastAsia="宋体" w:hint="default"/>
                <w:sz w:val="15"/>
                <w:szCs w:val="15"/>
              </w:rPr>
              <w:t>简称</w:t>
            </w:r>
            <w:r>
              <w:rPr>
                <w:rFonts w:ascii="Times New Roman" w:hAnsi="Times New Roman" w:cs="Times New Roman" w:eastAsia="Times New Roman" w:hint="default"/>
                <w:sz w:val="15"/>
                <w:szCs w:val="15"/>
              </w:rPr>
              <w:t>:MKey5G]</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2015/9/14</w:t>
            </w:r>
          </w:p>
        </w:tc>
      </w:tr>
      <w:tr>
        <w:trPr>
          <w:trHeight w:val="342"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179</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1808828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9"/>
              <w:jc w:val="right"/>
              <w:rPr>
                <w:rFonts w:ascii="Times New Roman" w:hAnsi="Times New Roman" w:cs="Times New Roman" w:eastAsia="Times New Roman" w:hint="default"/>
                <w:sz w:val="15"/>
                <w:szCs w:val="15"/>
              </w:rPr>
            </w:pPr>
            <w:r>
              <w:rPr>
                <w:rFonts w:ascii="Times New Roman"/>
                <w:spacing w:val="-1"/>
                <w:sz w:val="15"/>
              </w:rPr>
              <w:t>2017SR223544</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数字天堂无线中间件</w:t>
            </w:r>
            <w:r>
              <w:rPr>
                <w:rFonts w:ascii="Times New Roman" w:hAnsi="Times New Roman" w:cs="Times New Roman" w:eastAsia="Times New Roman" w:hint="default"/>
                <w:sz w:val="15"/>
                <w:szCs w:val="15"/>
              </w:rPr>
              <w:t>MKey6</w:t>
            </w:r>
            <w:r>
              <w:rPr>
                <w:rFonts w:ascii="宋体" w:hAnsi="宋体" w:cs="宋体" w:eastAsia="宋体" w:hint="default"/>
                <w:sz w:val="15"/>
                <w:szCs w:val="15"/>
              </w:rPr>
              <w:t>系统</w:t>
            </w:r>
            <w:r>
              <w:rPr>
                <w:rFonts w:ascii="Times New Roman" w:hAnsi="Times New Roman" w:cs="Times New Roman" w:eastAsia="Times New Roman" w:hint="default"/>
                <w:sz w:val="15"/>
                <w:szCs w:val="15"/>
              </w:rPr>
              <w:t>V1.0</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2016/7/1</w:t>
            </w:r>
          </w:p>
        </w:tc>
      </w:tr>
      <w:tr>
        <w:trPr>
          <w:trHeight w:val="342"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180</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1064737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9"/>
              <w:jc w:val="right"/>
              <w:rPr>
                <w:rFonts w:ascii="Times New Roman" w:hAnsi="Times New Roman" w:cs="Times New Roman" w:eastAsia="Times New Roman" w:hint="default"/>
                <w:sz w:val="15"/>
                <w:szCs w:val="15"/>
              </w:rPr>
            </w:pPr>
            <w:r>
              <w:rPr>
                <w:rFonts w:ascii="Times New Roman"/>
                <w:spacing w:val="-1"/>
                <w:sz w:val="15"/>
              </w:rPr>
              <w:t>2017SR223943</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数字天堂无线中间件</w:t>
            </w:r>
            <w:r>
              <w:rPr>
                <w:rFonts w:ascii="Times New Roman" w:hAnsi="Times New Roman" w:cs="Times New Roman" w:eastAsia="Times New Roman" w:hint="default"/>
                <w:sz w:val="15"/>
                <w:szCs w:val="15"/>
              </w:rPr>
              <w:t>MKey</w:t>
            </w:r>
            <w:r>
              <w:rPr>
                <w:rFonts w:ascii="Times New Roman" w:hAnsi="Times New Roman" w:cs="Times New Roman" w:eastAsia="Times New Roman" w:hint="default"/>
                <w:spacing w:val="-5"/>
                <w:sz w:val="15"/>
                <w:szCs w:val="15"/>
              </w:rPr>
              <w:t> </w:t>
            </w:r>
            <w:r>
              <w:rPr>
                <w:rFonts w:ascii="Times New Roman" w:hAnsi="Times New Roman" w:cs="Times New Roman" w:eastAsia="Times New Roman" w:hint="default"/>
                <w:sz w:val="15"/>
                <w:szCs w:val="15"/>
              </w:rPr>
              <w:t>Plus</w:t>
            </w:r>
            <w:r>
              <w:rPr>
                <w:rFonts w:ascii="宋体" w:hAnsi="宋体" w:cs="宋体" w:eastAsia="宋体" w:hint="default"/>
                <w:sz w:val="15"/>
                <w:szCs w:val="15"/>
              </w:rPr>
              <w:t>系统</w:t>
            </w:r>
            <w:r>
              <w:rPr>
                <w:rFonts w:ascii="Times New Roman" w:hAnsi="Times New Roman" w:cs="Times New Roman" w:eastAsia="Times New Roman" w:hint="default"/>
                <w:sz w:val="15"/>
                <w:szCs w:val="15"/>
              </w:rPr>
              <w:t>V1.0</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5"/>
                <w:szCs w:val="15"/>
              </w:rPr>
            </w:pPr>
            <w:r>
              <w:rPr>
                <w:rFonts w:ascii="宋体" w:hAnsi="宋体" w:cs="宋体" w:eastAsia="宋体" w:hint="default"/>
                <w:sz w:val="15"/>
                <w:szCs w:val="15"/>
              </w:rPr>
              <w:t>数字天堂</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2016/10/24</w:t>
            </w:r>
          </w:p>
        </w:tc>
      </w:tr>
      <w:tr>
        <w:trPr>
          <w:trHeight w:val="342"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181</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5"/>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BJ0484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2004SRBJ0139</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移动网络</w:t>
            </w:r>
            <w:r>
              <w:rPr>
                <w:rFonts w:ascii="Times New Roman" w:hAnsi="Times New Roman" w:cs="Times New Roman" w:eastAsia="Times New Roman" w:hint="default"/>
                <w:sz w:val="15"/>
                <w:szCs w:val="15"/>
              </w:rPr>
              <w:t>SP</w:t>
            </w:r>
            <w:r>
              <w:rPr>
                <w:rFonts w:ascii="宋体" w:hAnsi="宋体" w:cs="宋体" w:eastAsia="宋体" w:hint="default"/>
                <w:sz w:val="15"/>
                <w:szCs w:val="15"/>
              </w:rPr>
              <w:t>监测系统</w:t>
            </w:r>
            <w:r>
              <w:rPr>
                <w:rFonts w:ascii="Times New Roman" w:hAnsi="Times New Roman" w:cs="Times New Roman" w:eastAsia="Times New Roman" w:hint="default"/>
                <w:sz w:val="15"/>
                <w:szCs w:val="15"/>
              </w:rPr>
              <w:t>V1.0</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2004/1/16</w:t>
            </w:r>
          </w:p>
        </w:tc>
      </w:tr>
      <w:tr>
        <w:trPr>
          <w:trHeight w:val="342"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182</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5"/>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BJ1351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2004SRBJ1005</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网络不良信息监测系统</w:t>
            </w:r>
            <w:r>
              <w:rPr>
                <w:rFonts w:ascii="Times New Roman" w:hAnsi="Times New Roman" w:cs="Times New Roman" w:eastAsia="Times New Roman" w:hint="default"/>
                <w:sz w:val="15"/>
                <w:szCs w:val="15"/>
              </w:rPr>
              <w:t>V1.0</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2004/8/20</w:t>
            </w:r>
          </w:p>
        </w:tc>
      </w:tr>
      <w:tr>
        <w:trPr>
          <w:trHeight w:val="342"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183</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5"/>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BJ1875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2005SRBJ0178</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增值业务质量优化系统</w:t>
            </w:r>
            <w:r>
              <w:rPr>
                <w:rFonts w:ascii="Times New Roman" w:hAnsi="Times New Roman" w:cs="Times New Roman" w:eastAsia="Times New Roman" w:hint="default"/>
                <w:sz w:val="15"/>
                <w:szCs w:val="15"/>
              </w:rPr>
              <w:t>V1.0</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2005/1/30</w:t>
            </w:r>
          </w:p>
        </w:tc>
      </w:tr>
      <w:tr>
        <w:trPr>
          <w:trHeight w:val="342"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184</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5"/>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BJ3152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2005SRBJ1454</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数据业务拨测系统</w:t>
            </w:r>
            <w:r>
              <w:rPr>
                <w:rFonts w:ascii="Times New Roman" w:hAnsi="Times New Roman" w:cs="Times New Roman" w:eastAsia="Times New Roman" w:hint="default"/>
                <w:sz w:val="15"/>
                <w:szCs w:val="15"/>
              </w:rPr>
              <w:t>V1.0</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2005/9/10</w:t>
            </w:r>
          </w:p>
        </w:tc>
      </w:tr>
      <w:tr>
        <w:trPr>
          <w:trHeight w:val="342"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185</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5"/>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BJ5875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2006SRBJ2069</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WAP</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流量优化控制系统</w:t>
            </w:r>
            <w:r>
              <w:rPr>
                <w:rFonts w:ascii="Times New Roman" w:hAnsi="Times New Roman" w:cs="Times New Roman" w:eastAsia="Times New Roman" w:hint="default"/>
                <w:sz w:val="15"/>
                <w:szCs w:val="15"/>
              </w:rPr>
              <w:t>V1.0</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2006/7/20</w:t>
            </w:r>
          </w:p>
        </w:tc>
      </w:tr>
      <w:tr>
        <w:trPr>
          <w:trHeight w:val="342"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186</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5"/>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BJ6996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2007SRBJ0024</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ADC</w:t>
            </w:r>
            <w:r>
              <w:rPr>
                <w:rFonts w:ascii="Times New Roman" w:hAnsi="Times New Roman" w:cs="Times New Roman" w:eastAsia="Times New Roman" w:hint="default"/>
                <w:spacing w:val="20"/>
                <w:sz w:val="15"/>
                <w:szCs w:val="15"/>
              </w:rPr>
              <w:t> </w:t>
            </w:r>
            <w:r>
              <w:rPr>
                <w:rFonts w:ascii="宋体" w:hAnsi="宋体" w:cs="宋体" w:eastAsia="宋体" w:hint="default"/>
                <w:sz w:val="15"/>
                <w:szCs w:val="15"/>
              </w:rPr>
              <w:t>应用监控系统</w:t>
            </w:r>
            <w:r>
              <w:rPr>
                <w:rFonts w:ascii="Times New Roman" w:hAnsi="Times New Roman" w:cs="Times New Roman" w:eastAsia="Times New Roman" w:hint="default"/>
                <w:sz w:val="15"/>
                <w:szCs w:val="15"/>
              </w:rPr>
              <w:t>V1.0</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2006/12/20</w:t>
            </w:r>
          </w:p>
        </w:tc>
      </w:tr>
      <w:tr>
        <w:trPr>
          <w:trHeight w:val="342"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187</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BJ11019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2008SRBJ0713</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数据业务拨测系统</w:t>
            </w:r>
            <w:r>
              <w:rPr>
                <w:rFonts w:ascii="Times New Roman" w:hAnsi="Times New Roman" w:cs="Times New Roman" w:eastAsia="Times New Roman" w:hint="default"/>
                <w:sz w:val="15"/>
                <w:szCs w:val="15"/>
              </w:rPr>
              <w:t>V2.0</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2007/5/15</w:t>
            </w:r>
          </w:p>
        </w:tc>
      </w:tr>
      <w:tr>
        <w:trPr>
          <w:trHeight w:val="342"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188</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5"/>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BJ8235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2007SRBJ1263</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增值业务质量优化系统</w:t>
            </w:r>
            <w:r>
              <w:rPr>
                <w:rFonts w:ascii="Times New Roman" w:hAnsi="Times New Roman" w:cs="Times New Roman" w:eastAsia="Times New Roman" w:hint="default"/>
                <w:sz w:val="15"/>
                <w:szCs w:val="15"/>
              </w:rPr>
              <w:t>V2.0</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2008/1/8</w:t>
            </w:r>
          </w:p>
        </w:tc>
      </w:tr>
      <w:tr>
        <w:trPr>
          <w:trHeight w:val="342"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189</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BJ11771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2008SRBJ1465</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ADC</w:t>
            </w:r>
            <w:r>
              <w:rPr>
                <w:rFonts w:ascii="Times New Roman" w:hAnsi="Times New Roman" w:cs="Times New Roman" w:eastAsia="Times New Roman" w:hint="default"/>
                <w:spacing w:val="20"/>
                <w:sz w:val="15"/>
                <w:szCs w:val="15"/>
              </w:rPr>
              <w:t> </w:t>
            </w:r>
            <w:r>
              <w:rPr>
                <w:rFonts w:ascii="宋体" w:hAnsi="宋体" w:cs="宋体" w:eastAsia="宋体" w:hint="default"/>
                <w:sz w:val="15"/>
                <w:szCs w:val="15"/>
              </w:rPr>
              <w:t>应用监控系统</w:t>
            </w:r>
            <w:r>
              <w:rPr>
                <w:rFonts w:ascii="Times New Roman" w:hAnsi="Times New Roman" w:cs="Times New Roman" w:eastAsia="Times New Roman" w:hint="default"/>
                <w:sz w:val="15"/>
                <w:szCs w:val="15"/>
              </w:rPr>
              <w:t>V2.0</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2008/4/25</w:t>
            </w:r>
          </w:p>
        </w:tc>
      </w:tr>
      <w:tr>
        <w:trPr>
          <w:trHeight w:val="342"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190</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85"/>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BJ3766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2008SRBJ3460</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信安网络内容安全监测系统</w:t>
            </w:r>
            <w:r>
              <w:rPr>
                <w:rFonts w:ascii="Times New Roman" w:hAnsi="Times New Roman" w:cs="Times New Roman" w:eastAsia="Times New Roman" w:hint="default"/>
                <w:sz w:val="15"/>
                <w:szCs w:val="15"/>
              </w:rPr>
              <w:t>V1.0</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2008/8/20</w:t>
            </w:r>
          </w:p>
        </w:tc>
      </w:tr>
      <w:tr>
        <w:trPr>
          <w:trHeight w:val="342"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191</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BJ13768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2008SRBJ3462</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增值业务质量优化系统</w:t>
            </w:r>
            <w:r>
              <w:rPr>
                <w:rFonts w:ascii="Times New Roman" w:hAnsi="Times New Roman" w:cs="Times New Roman" w:eastAsia="Times New Roman" w:hint="default"/>
                <w:sz w:val="15"/>
                <w:szCs w:val="15"/>
              </w:rPr>
              <w:t>V3.0</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2008/8/27</w:t>
            </w:r>
          </w:p>
        </w:tc>
      </w:tr>
      <w:tr>
        <w:trPr>
          <w:trHeight w:val="342"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192</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BJ23775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2009SRBJ6769</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彩信内容安全监测系统</w:t>
            </w:r>
            <w:r>
              <w:rPr>
                <w:rFonts w:ascii="Times New Roman" w:hAnsi="Times New Roman" w:cs="Times New Roman" w:eastAsia="Times New Roman" w:hint="default"/>
                <w:sz w:val="15"/>
                <w:szCs w:val="15"/>
              </w:rPr>
              <w:t>V1.0</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2009/9/14</w:t>
            </w:r>
          </w:p>
        </w:tc>
      </w:tr>
      <w:tr>
        <w:trPr>
          <w:trHeight w:val="342" w:hRule="exact"/>
        </w:trPr>
        <w:tc>
          <w:tcPr>
            <w:tcW w:w="446"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193</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BJ23776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2009SRBJ6770</w:t>
            </w:r>
          </w:p>
        </w:tc>
        <w:tc>
          <w:tcPr>
            <w:tcW w:w="3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互联网内容安全监测系统</w:t>
            </w:r>
            <w:r>
              <w:rPr>
                <w:rFonts w:ascii="Times New Roman" w:hAnsi="Times New Roman" w:cs="Times New Roman" w:eastAsia="Times New Roman" w:hint="default"/>
                <w:sz w:val="15"/>
                <w:szCs w:val="15"/>
              </w:rPr>
              <w:t>V1.0</w:t>
            </w:r>
          </w:p>
        </w:tc>
        <w:tc>
          <w:tcPr>
            <w:tcW w:w="8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7"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2009/9/14</w:t>
            </w:r>
          </w:p>
        </w:tc>
      </w:tr>
    </w:tbl>
    <w:p>
      <w:pPr>
        <w:spacing w:after="0" w:line="240" w:lineRule="auto"/>
        <w:jc w:val="left"/>
        <w:rPr>
          <w:rFonts w:ascii="Times New Roman" w:hAnsi="Times New Roman" w:cs="Times New Roman" w:eastAsia="Times New Roman" w:hint="default"/>
          <w:sz w:val="15"/>
          <w:szCs w:val="15"/>
        </w:rPr>
        <w:sectPr>
          <w:pgSz w:w="11910" w:h="16840"/>
          <w:pgMar w:header="747" w:footer="979" w:top="1060" w:bottom="1160" w:left="0" w:right="0"/>
        </w:sectPr>
      </w:pPr>
    </w:p>
    <w:p>
      <w:pPr>
        <w:spacing w:line="240" w:lineRule="auto" w:before="6"/>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1031800"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24" w:type="dxa"/>
        <w:tblLayout w:type="fixed"/>
        <w:tblCellMar>
          <w:top w:w="0" w:type="dxa"/>
          <w:left w:w="0" w:type="dxa"/>
          <w:bottom w:w="0" w:type="dxa"/>
          <w:right w:w="0" w:type="dxa"/>
        </w:tblCellMar>
        <w:tblLook w:val="01E0"/>
      </w:tblPr>
      <w:tblGrid>
        <w:gridCol w:w="432"/>
        <w:gridCol w:w="1591"/>
        <w:gridCol w:w="1049"/>
        <w:gridCol w:w="3036"/>
        <w:gridCol w:w="838"/>
        <w:gridCol w:w="925"/>
        <w:gridCol w:w="866"/>
        <w:gridCol w:w="922"/>
      </w:tblGrid>
      <w:tr>
        <w:trPr>
          <w:trHeight w:val="67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194</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BJ23777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2009SRBJ6771</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IDC(</w:t>
            </w:r>
            <w:r>
              <w:rPr>
                <w:rFonts w:ascii="宋体" w:hAnsi="宋体" w:cs="宋体" w:eastAsia="宋体" w:hint="default"/>
                <w:sz w:val="15"/>
                <w:szCs w:val="15"/>
              </w:rPr>
              <w:t>互联网数据中心</w:t>
            </w:r>
            <w:r>
              <w:rPr>
                <w:rFonts w:ascii="Times New Roman" w:hAnsi="Times New Roman" w:cs="Times New Roman" w:eastAsia="Times New Roman" w:hint="default"/>
                <w:sz w:val="15"/>
                <w:szCs w:val="15"/>
              </w:rPr>
              <w:t>)</w:t>
            </w:r>
            <w:r>
              <w:rPr>
                <w:rFonts w:ascii="宋体" w:hAnsi="宋体" w:cs="宋体" w:eastAsia="宋体" w:hint="default"/>
                <w:sz w:val="15"/>
                <w:szCs w:val="15"/>
              </w:rPr>
              <w:t>内容安全监测系统</w:t>
            </w:r>
            <w:r>
              <w:rPr>
                <w:rFonts w:ascii="Times New Roman" w:hAnsi="Times New Roman" w:cs="Times New Roman" w:eastAsia="Times New Roman" w:hint="default"/>
                <w:sz w:val="15"/>
                <w:szCs w:val="15"/>
              </w:rPr>
              <w:t>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2009/9/14</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195</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BJ23792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2009SRBJ6786</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增值业务质量优化系统</w:t>
            </w:r>
            <w:r>
              <w:rPr>
                <w:rFonts w:ascii="Times New Roman" w:hAnsi="Times New Roman" w:cs="Times New Roman" w:eastAsia="Times New Roman" w:hint="default"/>
                <w:sz w:val="15"/>
                <w:szCs w:val="15"/>
              </w:rPr>
              <w:t>V4.0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2009/9/14</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196</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BJ24974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2009SRBJ7968</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增值业务质量优化系统</w:t>
            </w:r>
            <w:r>
              <w:rPr>
                <w:rFonts w:ascii="Times New Roman" w:hAnsi="Times New Roman" w:cs="Times New Roman" w:eastAsia="Times New Roman" w:hint="default"/>
                <w:sz w:val="15"/>
                <w:szCs w:val="15"/>
              </w:rPr>
              <w:t>V5.0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2009/11/24</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197</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BJ25053</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2009SRBJ8047</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互联网内容深度分析系统</w:t>
            </w:r>
            <w:r>
              <w:rPr>
                <w:rFonts w:ascii="Times New Roman" w:hAnsi="Times New Roman" w:cs="Times New Roman" w:eastAsia="Times New Roman" w:hint="default"/>
                <w:sz w:val="15"/>
                <w:szCs w:val="15"/>
              </w:rPr>
              <w:t>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2009/11/26</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198</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BJ27210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2010SRBJ1827</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网络不良信息监测系统</w:t>
            </w:r>
            <w:r>
              <w:rPr>
                <w:rFonts w:ascii="Times New Roman" w:hAnsi="Times New Roman" w:cs="Times New Roman" w:eastAsia="Times New Roman" w:hint="default"/>
                <w:sz w:val="15"/>
                <w:szCs w:val="15"/>
              </w:rPr>
              <w:t>V2.0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2010/2/8</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199</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BJ27671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2010SRBJ2288</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移动互联网用户行为分析系统</w:t>
            </w:r>
            <w:r>
              <w:rPr>
                <w:rFonts w:ascii="Times New Roman" w:hAnsi="Times New Roman" w:cs="Times New Roman" w:eastAsia="Times New Roman" w:hint="default"/>
                <w:sz w:val="15"/>
                <w:szCs w:val="15"/>
              </w:rPr>
              <w:t>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2010/3/5</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200</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BJ27670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2010SRBJ2287</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互联网内容扫描监控系统</w:t>
            </w:r>
            <w:r>
              <w:rPr>
                <w:rFonts w:ascii="Times New Roman" w:hAnsi="Times New Roman" w:cs="Times New Roman" w:eastAsia="Times New Roman" w:hint="default"/>
                <w:sz w:val="15"/>
                <w:szCs w:val="15"/>
              </w:rPr>
              <w:t>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2010/3/10</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201</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BJ27672</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2010SRBJ2289</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互联网信息安全监控系统</w:t>
            </w:r>
            <w:r>
              <w:rPr>
                <w:rFonts w:ascii="Times New Roman" w:hAnsi="Times New Roman" w:cs="Times New Roman" w:eastAsia="Times New Roman" w:hint="default"/>
                <w:sz w:val="15"/>
                <w:szCs w:val="15"/>
              </w:rPr>
              <w:t>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2010/4/2</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202</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BJ36877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2011SRBJ4756</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手机威胁管理系统</w:t>
            </w:r>
            <w:r>
              <w:rPr>
                <w:rFonts w:ascii="Times New Roman" w:hAnsi="Times New Roman" w:cs="Times New Roman" w:eastAsia="Times New Roman" w:hint="default"/>
                <w:sz w:val="15"/>
                <w:szCs w:val="15"/>
              </w:rPr>
              <w:t>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2010/5/7</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203</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0373731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9"/>
              <w:jc w:val="right"/>
              <w:rPr>
                <w:rFonts w:ascii="Times New Roman" w:hAnsi="Times New Roman" w:cs="Times New Roman" w:eastAsia="Times New Roman" w:hint="default"/>
                <w:sz w:val="15"/>
                <w:szCs w:val="15"/>
              </w:rPr>
            </w:pPr>
            <w:r>
              <w:rPr>
                <w:rFonts w:ascii="Times New Roman"/>
                <w:spacing w:val="-1"/>
                <w:sz w:val="15"/>
              </w:rPr>
              <w:t>2012SR005695</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MP08SEPV01</w:t>
            </w:r>
            <w:r>
              <w:rPr>
                <w:rFonts w:ascii="宋体" w:hAnsi="宋体" w:cs="宋体" w:eastAsia="宋体" w:hint="default"/>
                <w:sz w:val="15"/>
                <w:szCs w:val="15"/>
              </w:rPr>
              <w:t>嵌入式软件</w:t>
            </w:r>
            <w:r>
              <w:rPr>
                <w:rFonts w:ascii="Times New Roman" w:hAnsi="Times New Roman" w:cs="Times New Roman" w:eastAsia="Times New Roman" w:hint="default"/>
                <w:sz w:val="15"/>
                <w:szCs w:val="15"/>
              </w:rPr>
              <w:t>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2010/5/7</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204</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BJ30720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2010SRBJ5337</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网络协议分析软件</w:t>
            </w:r>
            <w:r>
              <w:rPr>
                <w:rFonts w:ascii="宋体" w:hAnsi="宋体" w:cs="宋体" w:eastAsia="宋体" w:hint="default"/>
                <w:spacing w:val="-15"/>
                <w:sz w:val="15"/>
                <w:szCs w:val="15"/>
              </w:rPr>
              <w:t> </w:t>
            </w:r>
            <w:r>
              <w:rPr>
                <w:rFonts w:ascii="Times New Roman" w:hAnsi="Times New Roman" w:cs="Times New Roman" w:eastAsia="Times New Roman" w:hint="default"/>
                <w:sz w:val="15"/>
                <w:szCs w:val="15"/>
              </w:rPr>
              <w:t>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2010/9/10</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205</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BJ31548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2010SRBJ6165</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垃圾短信过滤系统</w:t>
            </w:r>
            <w:r>
              <w:rPr>
                <w:rFonts w:ascii="宋体" w:hAnsi="宋体" w:cs="宋体" w:eastAsia="宋体" w:hint="default"/>
                <w:spacing w:val="-15"/>
                <w:sz w:val="15"/>
                <w:szCs w:val="15"/>
              </w:rPr>
              <w:t> </w:t>
            </w:r>
            <w:r>
              <w:rPr>
                <w:rFonts w:ascii="Times New Roman" w:hAnsi="Times New Roman" w:cs="Times New Roman" w:eastAsia="Times New Roman" w:hint="default"/>
                <w:sz w:val="15"/>
                <w:szCs w:val="15"/>
              </w:rPr>
              <w:t>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2010/10/29</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206</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0"/>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BJ34110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0"/>
              <w:jc w:val="right"/>
              <w:rPr>
                <w:rFonts w:ascii="Times New Roman" w:hAnsi="Times New Roman" w:cs="Times New Roman" w:eastAsia="Times New Roman" w:hint="default"/>
                <w:sz w:val="15"/>
                <w:szCs w:val="15"/>
              </w:rPr>
            </w:pPr>
            <w:r>
              <w:rPr>
                <w:rFonts w:ascii="Times New Roman"/>
                <w:spacing w:val="-1"/>
                <w:sz w:val="15"/>
              </w:rPr>
              <w:t>2011SRBJ1989</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移动互联网舆情分析系统</w:t>
            </w:r>
            <w:r>
              <w:rPr>
                <w:rFonts w:ascii="Times New Roman" w:hAnsi="Times New Roman" w:cs="Times New Roman" w:eastAsia="Times New Roman" w:hint="default"/>
                <w:sz w:val="15"/>
                <w:szCs w:val="15"/>
              </w:rPr>
              <w:t>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2"/>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2011/10/8</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207</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0498087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9"/>
              <w:jc w:val="right"/>
              <w:rPr>
                <w:rFonts w:ascii="Times New Roman" w:hAnsi="Times New Roman" w:cs="Times New Roman" w:eastAsia="Times New Roman" w:hint="default"/>
                <w:sz w:val="15"/>
                <w:szCs w:val="15"/>
              </w:rPr>
            </w:pPr>
            <w:r>
              <w:rPr>
                <w:rFonts w:ascii="Times New Roman"/>
                <w:spacing w:val="-1"/>
                <w:sz w:val="15"/>
              </w:rPr>
              <w:t>2012SR130051</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用户行为模拟</w:t>
            </w:r>
            <w:r>
              <w:rPr>
                <w:rFonts w:ascii="Times New Roman" w:hAnsi="Times New Roman" w:cs="Times New Roman" w:eastAsia="Times New Roman" w:hint="default"/>
                <w:sz w:val="15"/>
                <w:szCs w:val="15"/>
              </w:rPr>
              <w:t>(</w:t>
            </w:r>
            <w:r>
              <w:rPr>
                <w:rFonts w:ascii="宋体" w:hAnsi="宋体" w:cs="宋体" w:eastAsia="宋体" w:hint="default"/>
                <w:sz w:val="15"/>
                <w:szCs w:val="15"/>
              </w:rPr>
              <w:t>嵌入式软件</w:t>
            </w:r>
            <w:r>
              <w:rPr>
                <w:rFonts w:ascii="Times New Roman" w:hAnsi="Times New Roman" w:cs="Times New Roman" w:eastAsia="Times New Roman" w:hint="default"/>
                <w:sz w:val="15"/>
                <w:szCs w:val="15"/>
              </w:rPr>
              <w:t>)</w:t>
            </w:r>
            <w:r>
              <w:rPr>
                <w:rFonts w:ascii="宋体" w:hAnsi="宋体" w:cs="宋体" w:eastAsia="宋体" w:hint="default"/>
                <w:sz w:val="15"/>
                <w:szCs w:val="15"/>
              </w:rPr>
              <w:t>软件</w:t>
            </w:r>
            <w:r>
              <w:rPr>
                <w:rFonts w:ascii="Times New Roman" w:hAnsi="Times New Roman" w:cs="Times New Roman" w:eastAsia="Times New Roman" w:hint="default"/>
                <w:sz w:val="15"/>
                <w:szCs w:val="15"/>
              </w:rPr>
              <w:t>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2012/4/10</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208</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0498083</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9"/>
              <w:jc w:val="right"/>
              <w:rPr>
                <w:rFonts w:ascii="Times New Roman" w:hAnsi="Times New Roman" w:cs="Times New Roman" w:eastAsia="Times New Roman" w:hint="default"/>
                <w:sz w:val="15"/>
                <w:szCs w:val="15"/>
              </w:rPr>
            </w:pPr>
            <w:r>
              <w:rPr>
                <w:rFonts w:ascii="Times New Roman"/>
                <w:spacing w:val="-1"/>
                <w:sz w:val="15"/>
              </w:rPr>
              <w:t>2012SR130047</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宽带测速平台</w:t>
            </w:r>
            <w:r>
              <w:rPr>
                <w:rFonts w:ascii="Times New Roman" w:hAnsi="Times New Roman" w:cs="Times New Roman" w:eastAsia="Times New Roman" w:hint="default"/>
                <w:sz w:val="15"/>
                <w:szCs w:val="15"/>
              </w:rPr>
              <w:t>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2012/9/11</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209</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0626608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9"/>
              <w:jc w:val="right"/>
              <w:rPr>
                <w:rFonts w:ascii="Times New Roman" w:hAnsi="Times New Roman" w:cs="Times New Roman" w:eastAsia="Times New Roman" w:hint="default"/>
                <w:sz w:val="15"/>
                <w:szCs w:val="15"/>
              </w:rPr>
            </w:pPr>
            <w:r>
              <w:rPr>
                <w:rFonts w:ascii="Times New Roman"/>
                <w:spacing w:val="-1"/>
                <w:sz w:val="15"/>
              </w:rPr>
              <w:t>2013SR120846</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IDCISP</w:t>
            </w:r>
            <w:r>
              <w:rPr>
                <w:rFonts w:ascii="宋体" w:hAnsi="宋体" w:cs="宋体" w:eastAsia="宋体" w:hint="default"/>
                <w:sz w:val="15"/>
                <w:szCs w:val="15"/>
              </w:rPr>
              <w:t>安全监管系统（</w:t>
            </w:r>
            <w:r>
              <w:rPr>
                <w:rFonts w:ascii="Times New Roman" w:hAnsi="Times New Roman" w:cs="Times New Roman" w:eastAsia="Times New Roman" w:hint="default"/>
                <w:sz w:val="15"/>
                <w:szCs w:val="15"/>
              </w:rPr>
              <w:t>MV-SMMS]v1.0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2013/7/1</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210</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0626615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9"/>
              <w:jc w:val="right"/>
              <w:rPr>
                <w:rFonts w:ascii="Times New Roman" w:hAnsi="Times New Roman" w:cs="Times New Roman" w:eastAsia="Times New Roman" w:hint="default"/>
                <w:sz w:val="15"/>
                <w:szCs w:val="15"/>
              </w:rPr>
            </w:pPr>
            <w:r>
              <w:rPr>
                <w:rFonts w:ascii="Times New Roman"/>
                <w:spacing w:val="-1"/>
                <w:sz w:val="15"/>
              </w:rPr>
              <w:t>2013SR120853</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IDCISP</w:t>
            </w:r>
            <w:r>
              <w:rPr>
                <w:rFonts w:ascii="宋体" w:hAnsi="宋体" w:cs="宋体" w:eastAsia="宋体" w:hint="default"/>
                <w:sz w:val="15"/>
                <w:szCs w:val="15"/>
              </w:rPr>
              <w:t>信息安全管理系统（</w:t>
            </w:r>
            <w:r>
              <w:rPr>
                <w:rFonts w:ascii="Times New Roman" w:hAnsi="Times New Roman" w:cs="Times New Roman" w:eastAsia="Times New Roman" w:hint="default"/>
                <w:sz w:val="15"/>
                <w:szCs w:val="15"/>
              </w:rPr>
              <w:t>MV-ISMS]v1.0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2013/7/1</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211</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软著登记第</w:t>
            </w:r>
            <w:r>
              <w:rPr>
                <w:rFonts w:ascii="Times New Roman" w:hAnsi="Times New Roman" w:cs="Times New Roman" w:eastAsia="Times New Roman" w:hint="default"/>
                <w:sz w:val="15"/>
                <w:szCs w:val="15"/>
              </w:rPr>
              <w:t>0615016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2013SR109254</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3G</w:t>
            </w:r>
            <w:r>
              <w:rPr>
                <w:rFonts w:ascii="宋体" w:hAnsi="宋体" w:cs="宋体" w:eastAsia="宋体" w:hint="default"/>
                <w:sz w:val="15"/>
                <w:szCs w:val="15"/>
              </w:rPr>
              <w:t>移动互联网舆情监控报警平台</w:t>
            </w:r>
          </w:p>
          <w:p>
            <w:pPr>
              <w:pStyle w:val="TableParagraph"/>
              <w:spacing w:line="240" w:lineRule="auto" w:before="10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MVS-POM]v1.0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2013/9/10</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212</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1204709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2016SR026092</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数据识别分析软件系统</w:t>
            </w:r>
          </w:p>
          <w:p>
            <w:pPr>
              <w:pStyle w:val="TableParagraph"/>
              <w:spacing w:line="240" w:lineRule="auto" w:before="116"/>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:MV-DASS]V1.0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2013/11/11</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213</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0970817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9"/>
              <w:jc w:val="right"/>
              <w:rPr>
                <w:rFonts w:ascii="Times New Roman" w:hAnsi="Times New Roman" w:cs="Times New Roman" w:eastAsia="Times New Roman" w:hint="default"/>
                <w:sz w:val="15"/>
                <w:szCs w:val="15"/>
              </w:rPr>
            </w:pPr>
            <w:r>
              <w:rPr>
                <w:rFonts w:ascii="Times New Roman"/>
                <w:spacing w:val="-1"/>
                <w:sz w:val="15"/>
              </w:rPr>
              <w:t>2015SR083731</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DPI</w:t>
            </w:r>
            <w:r>
              <w:rPr>
                <w:rFonts w:ascii="宋体" w:hAnsi="宋体" w:cs="宋体" w:eastAsia="宋体" w:hint="default"/>
                <w:sz w:val="15"/>
                <w:szCs w:val="15"/>
              </w:rPr>
              <w:t>深度数据包检测系统</w:t>
            </w:r>
            <w:r>
              <w:rPr>
                <w:rFonts w:ascii="Times New Roman" w:hAnsi="Times New Roman" w:cs="Times New Roman" w:eastAsia="Times New Roman" w:hint="default"/>
                <w:sz w:val="15"/>
                <w:szCs w:val="15"/>
              </w:rPr>
              <w:t>(MVS-DPI)v1.0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2013/11/20</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214</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0714926</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9"/>
              <w:jc w:val="right"/>
              <w:rPr>
                <w:rFonts w:ascii="Times New Roman" w:hAnsi="Times New Roman" w:cs="Times New Roman" w:eastAsia="Times New Roman" w:hint="default"/>
                <w:sz w:val="15"/>
                <w:szCs w:val="15"/>
              </w:rPr>
            </w:pPr>
            <w:r>
              <w:rPr>
                <w:rFonts w:ascii="Times New Roman"/>
                <w:spacing w:val="-1"/>
                <w:sz w:val="15"/>
              </w:rPr>
              <w:t>2014SR045682</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互联网威胁管理系统（</w:t>
            </w:r>
            <w:r>
              <w:rPr>
                <w:rFonts w:ascii="Times New Roman" w:hAnsi="Times New Roman" w:cs="Times New Roman" w:eastAsia="Times New Roman" w:hint="default"/>
                <w:sz w:val="15"/>
                <w:szCs w:val="15"/>
              </w:rPr>
              <w:t>MVS-ICMP-VDS]v1.0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2014/1/31</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215</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0753811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9"/>
              <w:jc w:val="right"/>
              <w:rPr>
                <w:rFonts w:ascii="Times New Roman" w:hAnsi="Times New Roman" w:cs="Times New Roman" w:eastAsia="Times New Roman" w:hint="default"/>
                <w:sz w:val="15"/>
                <w:szCs w:val="15"/>
              </w:rPr>
            </w:pPr>
            <w:r>
              <w:rPr>
                <w:rFonts w:ascii="Times New Roman"/>
                <w:spacing w:val="-1"/>
                <w:sz w:val="15"/>
              </w:rPr>
              <w:t>2014SR084567</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APP</w:t>
            </w:r>
            <w:r>
              <w:rPr>
                <w:rFonts w:ascii="宋体" w:hAnsi="宋体" w:cs="宋体" w:eastAsia="宋体" w:hint="default"/>
                <w:sz w:val="15"/>
                <w:szCs w:val="15"/>
              </w:rPr>
              <w:t>应用监测系统（</w:t>
            </w:r>
            <w:r>
              <w:rPr>
                <w:rFonts w:ascii="Times New Roman" w:hAnsi="Times New Roman" w:cs="Times New Roman" w:eastAsia="Times New Roman" w:hint="default"/>
                <w:sz w:val="15"/>
                <w:szCs w:val="15"/>
              </w:rPr>
              <w:t>MVS-APP]v1.0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2014/4/30</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216</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1366448</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2016SR187831</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移动互联网恶意程序监控系统</w:t>
            </w:r>
          </w:p>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sz w:val="15"/>
              </w:rPr>
              <w:t>[MVS-MMMS]v1.0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2015/10/7</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217</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1366549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2016SR187932</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互联网僵木蠕监控系统</w:t>
            </w:r>
          </w:p>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sz w:val="15"/>
              </w:rPr>
              <w:t>[MVS-BTW]v1.0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2016/1/2</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218</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1399103</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2016SR220486</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第三方信息安全共享联动平台系统</w:t>
            </w:r>
          </w:p>
          <w:p>
            <w:pPr>
              <w:pStyle w:val="TableParagraph"/>
              <w:spacing w:line="240" w:lineRule="auto"/>
              <w:ind w:right="0"/>
              <w:jc w:val="left"/>
              <w:rPr>
                <w:rFonts w:ascii="Times New Roman" w:hAnsi="Times New Roman" w:cs="Times New Roman" w:eastAsia="Times New Roman" w:hint="default"/>
                <w:sz w:val="13"/>
                <w:szCs w:val="13"/>
              </w:rPr>
            </w:pPr>
          </w:p>
          <w:p>
            <w:pPr>
              <w:pStyle w:val="TableParagraph"/>
              <w:spacing w:line="240" w:lineRule="auto"/>
              <w:ind w:left="22" w:right="0"/>
              <w:jc w:val="left"/>
              <w:rPr>
                <w:rFonts w:ascii="Times New Roman" w:hAnsi="Times New Roman" w:cs="Times New Roman" w:eastAsia="Times New Roman" w:hint="default"/>
                <w:sz w:val="15"/>
                <w:szCs w:val="15"/>
              </w:rPr>
            </w:pPr>
            <w:r>
              <w:rPr>
                <w:rFonts w:ascii="Times New Roman"/>
                <w:sz w:val="15"/>
              </w:rPr>
              <w:t>[MVS-TISP]v1.0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2016/2/24</w:t>
            </w:r>
          </w:p>
        </w:tc>
      </w:tr>
      <w:tr>
        <w:trPr>
          <w:trHeight w:val="966"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219</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软著登字第</w:t>
            </w:r>
            <w:r>
              <w:rPr>
                <w:rFonts w:ascii="Times New Roman" w:hAnsi="Times New Roman" w:cs="Times New Roman" w:eastAsia="Times New Roman" w:hint="default"/>
                <w:sz w:val="15"/>
                <w:szCs w:val="15"/>
              </w:rPr>
              <w:t>1619484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2017SR034200</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通讯信息诈骗智能反制平台</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w:t>
            </w:r>
          </w:p>
          <w:p>
            <w:pPr>
              <w:pStyle w:val="TableParagraph"/>
              <w:spacing w:line="240" w:lineRule="auto" w:before="104"/>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:MVS-CFIC]V1.0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2017/2/7</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220</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软著登记第</w:t>
            </w:r>
            <w:r>
              <w:rPr>
                <w:rFonts w:ascii="Times New Roman" w:hAnsi="Times New Roman" w:cs="Times New Roman" w:eastAsia="Times New Roman" w:hint="default"/>
                <w:sz w:val="15"/>
                <w:szCs w:val="15"/>
              </w:rPr>
              <w:t>1776454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2017SR191170</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云通讯信息控制平台</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:MVS-CIS]V1.0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2017/5/19</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221</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软著登记第</w:t>
            </w:r>
            <w:r>
              <w:rPr>
                <w:rFonts w:ascii="Times New Roman" w:hAnsi="Times New Roman" w:cs="Times New Roman" w:eastAsia="Times New Roman" w:hint="default"/>
                <w:sz w:val="15"/>
                <w:szCs w:val="15"/>
              </w:rPr>
              <w:t>1776470</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2017SR191186</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语音专线安全管控系统系统</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:MVS-VSC]V1.0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2017/5/19</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222</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软著登记第</w:t>
            </w:r>
            <w:r>
              <w:rPr>
                <w:rFonts w:ascii="Times New Roman" w:hAnsi="Times New Roman" w:cs="Times New Roman" w:eastAsia="Times New Roman" w:hint="default"/>
                <w:sz w:val="15"/>
                <w:szCs w:val="15"/>
              </w:rPr>
              <w:t>1776477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2017SR191193</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22" w:right="0"/>
              <w:jc w:val="left"/>
              <w:rPr>
                <w:rFonts w:ascii="宋体" w:hAnsi="宋体" w:cs="宋体" w:eastAsia="宋体" w:hint="default"/>
                <w:sz w:val="15"/>
                <w:szCs w:val="15"/>
              </w:rPr>
            </w:pPr>
            <w:r>
              <w:rPr>
                <w:rFonts w:ascii="宋体" w:hAnsi="宋体" w:cs="宋体" w:eastAsia="宋体" w:hint="default"/>
                <w:sz w:val="15"/>
                <w:szCs w:val="15"/>
              </w:rPr>
              <w:t>云通讯客户中心能力服务平台</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:MV-CUS]V1.0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2017/5/19</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223</w:t>
            </w:r>
          </w:p>
        </w:tc>
        <w:tc>
          <w:tcPr>
            <w:tcW w:w="159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center"/>
              <w:rPr>
                <w:rFonts w:ascii="宋体" w:hAnsi="宋体" w:cs="宋体" w:eastAsia="宋体" w:hint="default"/>
                <w:sz w:val="15"/>
                <w:szCs w:val="15"/>
              </w:rPr>
            </w:pPr>
            <w:r>
              <w:rPr>
                <w:rFonts w:ascii="宋体" w:hAnsi="宋体" w:cs="宋体" w:eastAsia="宋体" w:hint="default"/>
                <w:sz w:val="15"/>
                <w:szCs w:val="15"/>
              </w:rPr>
              <w:t>软著登记第</w:t>
            </w:r>
            <w:r>
              <w:rPr>
                <w:rFonts w:ascii="Times New Roman" w:hAnsi="Times New Roman" w:cs="Times New Roman" w:eastAsia="Times New Roman" w:hint="default"/>
                <w:sz w:val="15"/>
                <w:szCs w:val="15"/>
              </w:rPr>
              <w:t>1895547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Times New Roman" w:hAnsi="Times New Roman" w:cs="Times New Roman" w:eastAsia="Times New Roman" w:hint="default"/>
                <w:sz w:val="15"/>
                <w:szCs w:val="15"/>
              </w:rPr>
            </w:pPr>
            <w:r>
              <w:rPr>
                <w:rFonts w:ascii="Times New Roman"/>
                <w:spacing w:val="-1"/>
                <w:sz w:val="15"/>
              </w:rPr>
              <w:t>2017SR310263</w:t>
            </w:r>
          </w:p>
        </w:tc>
        <w:tc>
          <w:tcPr>
            <w:tcW w:w="303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2" w:right="0"/>
              <w:jc w:val="left"/>
              <w:rPr>
                <w:rFonts w:ascii="宋体" w:hAnsi="宋体" w:cs="宋体" w:eastAsia="宋体" w:hint="default"/>
                <w:sz w:val="15"/>
                <w:szCs w:val="15"/>
              </w:rPr>
            </w:pPr>
            <w:r>
              <w:rPr>
                <w:rFonts w:ascii="宋体" w:hAnsi="宋体" w:cs="宋体" w:eastAsia="宋体" w:hint="default"/>
                <w:sz w:val="15"/>
                <w:szCs w:val="15"/>
              </w:rPr>
              <w:t>智慧客服应答能力平台系统</w:t>
            </w:r>
          </w:p>
          <w:p>
            <w:pPr>
              <w:pStyle w:val="TableParagraph"/>
              <w:spacing w:line="240" w:lineRule="auto" w:before="115"/>
              <w:ind w:left="2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:MVS-SSA]V1.0</w:t>
            </w:r>
          </w:p>
        </w:tc>
        <w:tc>
          <w:tcPr>
            <w:tcW w:w="83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center"/>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2017/6/26</w:t>
            </w:r>
          </w:p>
        </w:tc>
      </w:tr>
    </w:tbl>
    <w:p>
      <w:pPr>
        <w:spacing w:after="0" w:line="240" w:lineRule="auto"/>
        <w:jc w:val="left"/>
        <w:rPr>
          <w:rFonts w:ascii="Times New Roman" w:hAnsi="Times New Roman" w:cs="Times New Roman" w:eastAsia="Times New Roman" w:hint="default"/>
          <w:sz w:val="15"/>
          <w:szCs w:val="15"/>
        </w:rPr>
        <w:sectPr>
          <w:pgSz w:w="11910" w:h="16840"/>
          <w:pgMar w:header="747" w:footer="979" w:top="1060" w:bottom="1160" w:left="0" w:right="0"/>
        </w:sectPr>
      </w:pPr>
    </w:p>
    <w:p>
      <w:pPr>
        <w:spacing w:line="240" w:lineRule="auto" w:before="6"/>
        <w:rPr>
          <w:rFonts w:ascii="Times New Roman" w:hAnsi="Times New Roman" w:cs="Times New Roman" w:eastAsia="Times New Roman" w:hint="default"/>
          <w:sz w:val="3"/>
          <w:szCs w:val="3"/>
        </w:rPr>
      </w:pPr>
      <w:r>
        <w:rPr/>
        <w:pict>
          <v:group style="position:absolute;margin-left:55.200001pt;margin-top:55.619984pt;width:485pt;height:.1pt;mso-position-horizontal-relative:page;mso-position-vertical-relative:page;z-index:-1031776"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124" w:type="dxa"/>
        <w:tblLayout w:type="fixed"/>
        <w:tblCellMar>
          <w:top w:w="0" w:type="dxa"/>
          <w:left w:w="0" w:type="dxa"/>
          <w:bottom w:w="0" w:type="dxa"/>
          <w:right w:w="0" w:type="dxa"/>
        </w:tblCellMar>
        <w:tblLook w:val="01E0"/>
      </w:tblPr>
      <w:tblGrid>
        <w:gridCol w:w="432"/>
        <w:gridCol w:w="1587"/>
        <w:gridCol w:w="1049"/>
        <w:gridCol w:w="3129"/>
        <w:gridCol w:w="749"/>
        <w:gridCol w:w="925"/>
        <w:gridCol w:w="866"/>
        <w:gridCol w:w="922"/>
      </w:tblGrid>
      <w:tr>
        <w:trPr>
          <w:trHeight w:val="986"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224</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软著登记第</w:t>
            </w:r>
            <w:r>
              <w:rPr>
                <w:rFonts w:ascii="Times New Roman" w:hAnsi="Times New Roman" w:cs="Times New Roman" w:eastAsia="Times New Roman" w:hint="default"/>
                <w:sz w:val="15"/>
                <w:szCs w:val="15"/>
              </w:rPr>
              <w:t>1895554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2017SR310270</w:t>
            </w:r>
          </w:p>
        </w:tc>
        <w:tc>
          <w:tcPr>
            <w:tcW w:w="3129"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智能客服语音甄别能力平台系统</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:MVS-SCS]V1.0</w:t>
            </w:r>
          </w:p>
        </w:tc>
        <w:tc>
          <w:tcPr>
            <w:tcW w:w="7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8"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2017/6/26</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225</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软著登记第</w:t>
            </w:r>
            <w:r>
              <w:rPr>
                <w:rFonts w:ascii="Times New Roman" w:hAnsi="Times New Roman" w:cs="Times New Roman" w:eastAsia="Times New Roman" w:hint="default"/>
                <w:sz w:val="15"/>
                <w:szCs w:val="15"/>
              </w:rPr>
              <w:t>1895559</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2017SR310275</w:t>
            </w:r>
          </w:p>
        </w:tc>
        <w:tc>
          <w:tcPr>
            <w:tcW w:w="3129"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客服音频质检能力平台系统</w:t>
            </w:r>
          </w:p>
          <w:p>
            <w:pPr>
              <w:pStyle w:val="TableParagraph"/>
              <w:spacing w:line="240" w:lineRule="auto" w:before="115"/>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:MVS-SAQ]V1.0</w:t>
            </w:r>
          </w:p>
        </w:tc>
        <w:tc>
          <w:tcPr>
            <w:tcW w:w="7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8"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2017/6/26</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226</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软著登记第</w:t>
            </w:r>
            <w:r>
              <w:rPr>
                <w:rFonts w:ascii="Times New Roman" w:hAnsi="Times New Roman" w:cs="Times New Roman" w:eastAsia="Times New Roman" w:hint="default"/>
                <w:sz w:val="15"/>
                <w:szCs w:val="15"/>
              </w:rPr>
              <w:t>1922994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2017SR337710</w:t>
            </w:r>
          </w:p>
        </w:tc>
        <w:tc>
          <w:tcPr>
            <w:tcW w:w="3129"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left="27" w:right="0"/>
              <w:jc w:val="left"/>
              <w:rPr>
                <w:rFonts w:ascii="宋体" w:hAnsi="宋体" w:cs="宋体" w:eastAsia="宋体" w:hint="default"/>
                <w:sz w:val="15"/>
                <w:szCs w:val="15"/>
              </w:rPr>
            </w:pPr>
            <w:r>
              <w:rPr>
                <w:rFonts w:ascii="宋体" w:hAnsi="宋体" w:cs="宋体" w:eastAsia="宋体" w:hint="default"/>
                <w:sz w:val="15"/>
                <w:szCs w:val="15"/>
              </w:rPr>
              <w:t>互联网资源协作服务（</w:t>
            </w:r>
            <w:r>
              <w:rPr>
                <w:rFonts w:ascii="Times New Roman" w:hAnsi="Times New Roman" w:cs="Times New Roman" w:eastAsia="Times New Roman" w:hint="default"/>
                <w:sz w:val="15"/>
                <w:szCs w:val="15"/>
              </w:rPr>
              <w:t>IRCS)</w:t>
            </w:r>
            <w:r>
              <w:rPr>
                <w:rFonts w:ascii="宋体" w:hAnsi="宋体" w:cs="宋体" w:eastAsia="宋体" w:hint="default"/>
                <w:sz w:val="15"/>
                <w:szCs w:val="15"/>
              </w:rPr>
              <w:t>信息安全管理系统</w:t>
            </w:r>
          </w:p>
          <w:p>
            <w:pPr>
              <w:pStyle w:val="TableParagraph"/>
              <w:spacing w:line="240" w:lineRule="auto" w:before="10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MVS-IRCS-ISMS]</w:t>
            </w:r>
          </w:p>
        </w:tc>
        <w:tc>
          <w:tcPr>
            <w:tcW w:w="7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8"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2017/7/3</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227</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软著登记第</w:t>
            </w:r>
            <w:r>
              <w:rPr>
                <w:rFonts w:ascii="Times New Roman" w:hAnsi="Times New Roman" w:cs="Times New Roman" w:eastAsia="Times New Roman" w:hint="default"/>
                <w:sz w:val="15"/>
                <w:szCs w:val="15"/>
              </w:rPr>
              <w:t>2045574</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2017SR460290</w:t>
            </w:r>
          </w:p>
        </w:tc>
        <w:tc>
          <w:tcPr>
            <w:tcW w:w="3129"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27" w:right="1424"/>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IDCISP</w:t>
            </w:r>
            <w:r>
              <w:rPr>
                <w:rFonts w:ascii="宋体" w:hAnsi="宋体" w:cs="宋体" w:eastAsia="宋体" w:hint="default"/>
                <w:sz w:val="15"/>
                <w:szCs w:val="15"/>
              </w:rPr>
              <w:t>信息安全管理系统 </w:t>
            </w: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MV-ISMS]V2.0</w:t>
            </w:r>
          </w:p>
        </w:tc>
        <w:tc>
          <w:tcPr>
            <w:tcW w:w="7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8"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2017/8/21</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228</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软著登记第</w:t>
            </w:r>
            <w:r>
              <w:rPr>
                <w:rFonts w:ascii="Times New Roman" w:hAnsi="Times New Roman" w:cs="Times New Roman" w:eastAsia="Times New Roman" w:hint="default"/>
                <w:sz w:val="15"/>
                <w:szCs w:val="15"/>
              </w:rPr>
              <w:t>2179715</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2017SR594431</w:t>
            </w:r>
          </w:p>
        </w:tc>
        <w:tc>
          <w:tcPr>
            <w:tcW w:w="3129"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分布式安全存储（</w:t>
            </w:r>
            <w:r>
              <w:rPr>
                <w:rFonts w:ascii="Times New Roman" w:hAnsi="Times New Roman" w:cs="Times New Roman" w:eastAsia="Times New Roman" w:hint="default"/>
                <w:sz w:val="15"/>
                <w:szCs w:val="15"/>
              </w:rPr>
              <w:t>SSAN</w:t>
            </w:r>
            <w:r>
              <w:rPr>
                <w:rFonts w:ascii="宋体" w:hAnsi="宋体" w:cs="宋体" w:eastAsia="宋体" w:hint="default"/>
                <w:sz w:val="15"/>
                <w:szCs w:val="15"/>
              </w:rPr>
              <w:t>）管理平台软件</w:t>
            </w:r>
          </w:p>
          <w:p>
            <w:pPr>
              <w:pStyle w:val="TableParagraph"/>
              <w:spacing w:line="240" w:lineRule="auto" w:before="10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MVS-SSAN-CM]V1.0</w:t>
            </w:r>
          </w:p>
        </w:tc>
        <w:tc>
          <w:tcPr>
            <w:tcW w:w="7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8"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2017/10/30</w:t>
            </w:r>
          </w:p>
        </w:tc>
      </w:tr>
      <w:tr>
        <w:trPr>
          <w:trHeight w:val="654"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Times New Roman" w:hAnsi="Times New Roman" w:cs="Times New Roman" w:eastAsia="Times New Roman" w:hint="default"/>
                <w:sz w:val="15"/>
                <w:szCs w:val="15"/>
              </w:rPr>
            </w:pPr>
            <w:r>
              <w:rPr>
                <w:rFonts w:ascii="Times New Roman"/>
                <w:spacing w:val="-1"/>
                <w:sz w:val="15"/>
              </w:rPr>
              <w:t>229</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软著登记第</w:t>
            </w:r>
            <w:r>
              <w:rPr>
                <w:rFonts w:ascii="Times New Roman" w:hAnsi="Times New Roman" w:cs="Times New Roman" w:eastAsia="Times New Roman" w:hint="default"/>
                <w:sz w:val="15"/>
                <w:szCs w:val="15"/>
              </w:rPr>
              <w:t>2179717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2017SR594433</w:t>
            </w:r>
          </w:p>
        </w:tc>
        <w:tc>
          <w:tcPr>
            <w:tcW w:w="3129"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分布式安全存储（</w:t>
            </w:r>
            <w:r>
              <w:rPr>
                <w:rFonts w:ascii="Times New Roman" w:hAnsi="Times New Roman" w:cs="Times New Roman" w:eastAsia="Times New Roman" w:hint="default"/>
                <w:sz w:val="15"/>
                <w:szCs w:val="15"/>
              </w:rPr>
              <w:t>SSAN</w:t>
            </w:r>
            <w:r>
              <w:rPr>
                <w:rFonts w:ascii="宋体" w:hAnsi="宋体" w:cs="宋体" w:eastAsia="宋体" w:hint="default"/>
                <w:sz w:val="15"/>
                <w:szCs w:val="15"/>
              </w:rPr>
              <w:t>）应用软件</w:t>
            </w:r>
          </w:p>
          <w:p>
            <w:pPr>
              <w:pStyle w:val="TableParagraph"/>
              <w:spacing w:line="240" w:lineRule="auto" w:before="10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简称：</w:t>
            </w:r>
            <w:r>
              <w:rPr>
                <w:rFonts w:ascii="Times New Roman" w:hAnsi="Times New Roman" w:cs="Times New Roman" w:eastAsia="Times New Roman" w:hint="default"/>
                <w:sz w:val="15"/>
                <w:szCs w:val="15"/>
              </w:rPr>
              <w:t>MVS-SSAN-SW]V1.0</w:t>
            </w:r>
          </w:p>
        </w:tc>
        <w:tc>
          <w:tcPr>
            <w:tcW w:w="74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8"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5"/>
                <w:szCs w:val="15"/>
              </w:rPr>
            </w:pPr>
            <w:r>
              <w:rPr>
                <w:rFonts w:ascii="Times New Roman"/>
                <w:sz w:val="15"/>
              </w:rPr>
              <w:t>2017/10/30</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230</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软著登记第</w:t>
            </w:r>
            <w:r>
              <w:rPr>
                <w:rFonts w:ascii="Times New Roman" w:hAnsi="Times New Roman" w:cs="Times New Roman" w:eastAsia="Times New Roman" w:hint="default"/>
                <w:sz w:val="15"/>
                <w:szCs w:val="15"/>
              </w:rPr>
              <w:t>2234411</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2017SR649127</w:t>
            </w:r>
          </w:p>
        </w:tc>
        <w:tc>
          <w:tcPr>
            <w:tcW w:w="3129"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EU</w:t>
            </w:r>
            <w:r>
              <w:rPr>
                <w:rFonts w:ascii="宋体" w:hAnsi="宋体" w:cs="宋体" w:eastAsia="宋体" w:hint="default"/>
                <w:sz w:val="15"/>
                <w:szCs w:val="15"/>
              </w:rPr>
              <w:t>分流器</w:t>
            </w:r>
            <w:r>
              <w:rPr>
                <w:rFonts w:ascii="Times New Roman" w:hAnsi="Times New Roman" w:cs="Times New Roman" w:eastAsia="Times New Roman" w:hint="default"/>
                <w:sz w:val="15"/>
                <w:szCs w:val="15"/>
              </w:rPr>
              <w:t>-</w:t>
            </w:r>
            <w:r>
              <w:rPr>
                <w:rFonts w:ascii="宋体" w:hAnsi="宋体" w:cs="宋体" w:eastAsia="宋体" w:hint="default"/>
                <w:sz w:val="15"/>
                <w:szCs w:val="15"/>
              </w:rPr>
              <w:t>嵌入式软件</w:t>
            </w:r>
            <w:r>
              <w:rPr>
                <w:rFonts w:ascii="Times New Roman" w:hAnsi="Times New Roman" w:cs="Times New Roman" w:eastAsia="Times New Roman" w:hint="default"/>
                <w:sz w:val="15"/>
                <w:szCs w:val="15"/>
              </w:rPr>
              <w:t>V1.0</w:t>
            </w:r>
          </w:p>
        </w:tc>
        <w:tc>
          <w:tcPr>
            <w:tcW w:w="749"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8"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2017/11/27</w:t>
            </w:r>
          </w:p>
        </w:tc>
      </w:tr>
      <w:tr>
        <w:trPr>
          <w:trHeight w:val="342" w:hRule="exact"/>
        </w:trPr>
        <w:tc>
          <w:tcPr>
            <w:tcW w:w="43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70"/>
              <w:jc w:val="right"/>
              <w:rPr>
                <w:rFonts w:ascii="Times New Roman" w:hAnsi="Times New Roman" w:cs="Times New Roman" w:eastAsia="Times New Roman" w:hint="default"/>
                <w:sz w:val="15"/>
                <w:szCs w:val="15"/>
              </w:rPr>
            </w:pPr>
            <w:r>
              <w:rPr>
                <w:rFonts w:ascii="Times New Roman"/>
                <w:spacing w:val="-1"/>
                <w:sz w:val="15"/>
              </w:rPr>
              <w:t>231</w:t>
            </w:r>
          </w:p>
        </w:tc>
        <w:tc>
          <w:tcPr>
            <w:tcW w:w="158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14"/>
              <w:jc w:val="center"/>
              <w:rPr>
                <w:rFonts w:ascii="宋体" w:hAnsi="宋体" w:cs="宋体" w:eastAsia="宋体" w:hint="default"/>
                <w:sz w:val="15"/>
                <w:szCs w:val="15"/>
              </w:rPr>
            </w:pPr>
            <w:r>
              <w:rPr>
                <w:rFonts w:ascii="宋体" w:hAnsi="宋体" w:cs="宋体" w:eastAsia="宋体" w:hint="default"/>
                <w:sz w:val="15"/>
                <w:szCs w:val="15"/>
              </w:rPr>
              <w:t>软著登记第</w:t>
            </w:r>
            <w:r>
              <w:rPr>
                <w:rFonts w:ascii="Times New Roman" w:hAnsi="Times New Roman" w:cs="Times New Roman" w:eastAsia="Times New Roman" w:hint="default"/>
                <w:sz w:val="15"/>
                <w:szCs w:val="15"/>
              </w:rPr>
              <w:t>2234417</w:t>
            </w:r>
            <w:r>
              <w:rPr>
                <w:rFonts w:ascii="宋体" w:hAnsi="宋体" w:cs="宋体" w:eastAsia="宋体" w:hint="default"/>
                <w:sz w:val="15"/>
                <w:szCs w:val="15"/>
              </w:rPr>
              <w:t>号</w:t>
            </w: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5"/>
              <w:jc w:val="right"/>
              <w:rPr>
                <w:rFonts w:ascii="Times New Roman" w:hAnsi="Times New Roman" w:cs="Times New Roman" w:eastAsia="Times New Roman" w:hint="default"/>
                <w:sz w:val="15"/>
                <w:szCs w:val="15"/>
              </w:rPr>
            </w:pPr>
            <w:r>
              <w:rPr>
                <w:rFonts w:ascii="Times New Roman"/>
                <w:spacing w:val="-1"/>
                <w:sz w:val="15"/>
              </w:rPr>
              <w:t>2017SR649133</w:t>
            </w:r>
          </w:p>
        </w:tc>
        <w:tc>
          <w:tcPr>
            <w:tcW w:w="3129"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EU</w:t>
            </w:r>
            <w:r>
              <w:rPr>
                <w:rFonts w:ascii="宋体" w:hAnsi="宋体" w:cs="宋体" w:eastAsia="宋体" w:hint="default"/>
                <w:sz w:val="15"/>
                <w:szCs w:val="15"/>
              </w:rPr>
              <w:t>服务器</w:t>
            </w:r>
            <w:r>
              <w:rPr>
                <w:rFonts w:ascii="Times New Roman" w:hAnsi="Times New Roman" w:cs="Times New Roman" w:eastAsia="Times New Roman" w:hint="default"/>
                <w:sz w:val="15"/>
                <w:szCs w:val="15"/>
              </w:rPr>
              <w:t>-</w:t>
            </w:r>
            <w:r>
              <w:rPr>
                <w:rFonts w:ascii="宋体" w:hAnsi="宋体" w:cs="宋体" w:eastAsia="宋体" w:hint="default"/>
                <w:sz w:val="15"/>
                <w:szCs w:val="15"/>
              </w:rPr>
              <w:t>嵌入式软件</w:t>
            </w:r>
            <w:r>
              <w:rPr>
                <w:rFonts w:ascii="Times New Roman" w:hAnsi="Times New Roman" w:cs="Times New Roman" w:eastAsia="Times New Roman" w:hint="default"/>
                <w:sz w:val="15"/>
                <w:szCs w:val="15"/>
              </w:rPr>
              <w:t>V1.0</w:t>
            </w:r>
          </w:p>
        </w:tc>
        <w:tc>
          <w:tcPr>
            <w:tcW w:w="749"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8"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9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3"/>
              <w:jc w:val="center"/>
              <w:rPr>
                <w:rFonts w:ascii="宋体" w:hAnsi="宋体" w:cs="宋体" w:eastAsia="宋体" w:hint="default"/>
                <w:sz w:val="15"/>
                <w:szCs w:val="15"/>
              </w:rPr>
            </w:pPr>
            <w:r>
              <w:rPr>
                <w:rFonts w:ascii="宋体" w:hAnsi="宋体" w:cs="宋体" w:eastAsia="宋体" w:hint="default"/>
                <w:sz w:val="15"/>
                <w:szCs w:val="15"/>
              </w:rPr>
              <w:t>原始取得</w:t>
            </w:r>
          </w:p>
        </w:tc>
        <w:tc>
          <w:tcPr>
            <w:tcW w:w="86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69"/>
              <w:jc w:val="right"/>
              <w:rPr>
                <w:rFonts w:ascii="宋体" w:hAnsi="宋体" w:cs="宋体" w:eastAsia="宋体" w:hint="default"/>
                <w:sz w:val="15"/>
                <w:szCs w:val="15"/>
              </w:rPr>
            </w:pPr>
            <w:r>
              <w:rPr>
                <w:rFonts w:ascii="宋体" w:hAnsi="宋体" w:cs="宋体" w:eastAsia="宋体" w:hint="default"/>
                <w:sz w:val="15"/>
                <w:szCs w:val="15"/>
              </w:rPr>
              <w:t>全部权利</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71" w:right="0"/>
              <w:jc w:val="left"/>
              <w:rPr>
                <w:rFonts w:ascii="Times New Roman" w:hAnsi="Times New Roman" w:cs="Times New Roman" w:eastAsia="Times New Roman" w:hint="default"/>
                <w:sz w:val="15"/>
                <w:szCs w:val="15"/>
              </w:rPr>
            </w:pPr>
            <w:r>
              <w:rPr>
                <w:rFonts w:ascii="Times New Roman"/>
                <w:sz w:val="15"/>
              </w:rPr>
              <w:t>2017/11/27</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5"/>
          <w:szCs w:val="15"/>
        </w:rPr>
      </w:pPr>
    </w:p>
    <w:p>
      <w:pPr>
        <w:pStyle w:val="BodyText"/>
        <w:spacing w:line="302" w:lineRule="auto"/>
        <w:ind w:right="1130" w:firstLine="360"/>
        <w:jc w:val="left"/>
      </w:pPr>
      <w:r>
        <w:rPr/>
        <w:t>报告期内，公司及全资子公司新增发明专利</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项。截止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日，公司及全资子公司共有</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项发明专利收到 受理通知，</w:t>
      </w:r>
      <w:r>
        <w:rPr>
          <w:rFonts w:ascii="Times New Roman" w:hAnsi="Times New Roman" w:cs="Times New Roman" w:eastAsia="Times New Roman" w:hint="default"/>
        </w:rPr>
        <w:t>2 </w:t>
      </w:r>
      <w:r>
        <w:rPr/>
        <w:t>项发明专利已通过初审，</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项发明申请已进入实质审查阶段。</w:t>
      </w:r>
    </w:p>
    <w:p>
      <w:pPr>
        <w:spacing w:line="240" w:lineRule="auto" w:before="13"/>
        <w:rPr>
          <w:rFonts w:ascii="宋体" w:hAnsi="宋体" w:cs="宋体" w:eastAsia="宋体" w:hint="default"/>
          <w:sz w:val="2"/>
          <w:szCs w:val="2"/>
        </w:rPr>
      </w:pPr>
    </w:p>
    <w:tbl>
      <w:tblPr>
        <w:tblW w:w="0" w:type="auto"/>
        <w:jc w:val="left"/>
        <w:tblInd w:w="1119" w:type="dxa"/>
        <w:tblLayout w:type="fixed"/>
        <w:tblCellMar>
          <w:top w:w="0" w:type="dxa"/>
          <w:left w:w="0" w:type="dxa"/>
          <w:bottom w:w="0" w:type="dxa"/>
          <w:right w:w="0" w:type="dxa"/>
        </w:tblCellMar>
        <w:tblLook w:val="01E0"/>
      </w:tblPr>
      <w:tblGrid>
        <w:gridCol w:w="465"/>
        <w:gridCol w:w="2904"/>
        <w:gridCol w:w="964"/>
        <w:gridCol w:w="915"/>
        <w:gridCol w:w="1498"/>
        <w:gridCol w:w="1201"/>
        <w:gridCol w:w="1003"/>
        <w:gridCol w:w="708"/>
      </w:tblGrid>
      <w:tr>
        <w:trPr>
          <w:trHeight w:val="654" w:hRule="exact"/>
        </w:trPr>
        <w:tc>
          <w:tcPr>
            <w:tcW w:w="46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6" w:right="0"/>
              <w:jc w:val="center"/>
              <w:rPr>
                <w:rFonts w:ascii="宋体" w:hAnsi="宋体" w:cs="宋体" w:eastAsia="宋体" w:hint="default"/>
                <w:sz w:val="15"/>
                <w:szCs w:val="15"/>
              </w:rPr>
            </w:pPr>
            <w:r>
              <w:rPr>
                <w:rFonts w:ascii="宋体" w:hAnsi="宋体" w:cs="宋体" w:eastAsia="宋体" w:hint="default"/>
                <w:b/>
                <w:bCs/>
                <w:sz w:val="15"/>
                <w:szCs w:val="15"/>
              </w:rPr>
              <w:t>序号</w:t>
            </w:r>
            <w:r>
              <w:rPr>
                <w:rFonts w:ascii="宋体" w:hAnsi="宋体" w:cs="宋体" w:eastAsia="宋体" w:hint="default"/>
                <w:sz w:val="15"/>
                <w:szCs w:val="15"/>
              </w:rPr>
            </w:r>
          </w:p>
        </w:tc>
        <w:tc>
          <w:tcPr>
            <w:tcW w:w="290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7" w:right="0"/>
              <w:jc w:val="center"/>
              <w:rPr>
                <w:rFonts w:ascii="宋体" w:hAnsi="宋体" w:cs="宋体" w:eastAsia="宋体" w:hint="default"/>
                <w:sz w:val="15"/>
                <w:szCs w:val="15"/>
              </w:rPr>
            </w:pPr>
            <w:r>
              <w:rPr>
                <w:rFonts w:ascii="宋体" w:hAnsi="宋体" w:cs="宋体" w:eastAsia="宋体" w:hint="default"/>
                <w:b/>
                <w:bCs/>
                <w:sz w:val="15"/>
                <w:szCs w:val="15"/>
              </w:rPr>
              <w:t>专利名称</w:t>
            </w:r>
            <w:r>
              <w:rPr>
                <w:rFonts w:ascii="宋体" w:hAnsi="宋体" w:cs="宋体" w:eastAsia="宋体" w:hint="default"/>
                <w:sz w:val="15"/>
                <w:szCs w:val="15"/>
              </w:rPr>
            </w:r>
          </w:p>
        </w:tc>
        <w:tc>
          <w:tcPr>
            <w:tcW w:w="964"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5"/>
                <w:szCs w:val="15"/>
              </w:rPr>
            </w:pPr>
            <w:r>
              <w:rPr>
                <w:rFonts w:ascii="宋体" w:hAnsi="宋体" w:cs="宋体" w:eastAsia="宋体" w:hint="default"/>
                <w:b/>
                <w:bCs/>
                <w:sz w:val="15"/>
                <w:szCs w:val="15"/>
              </w:rPr>
              <w:t>专利类型</w:t>
            </w:r>
            <w:r>
              <w:rPr>
                <w:rFonts w:ascii="宋体" w:hAnsi="宋体" w:cs="宋体" w:eastAsia="宋体" w:hint="default"/>
                <w:sz w:val="15"/>
                <w:szCs w:val="15"/>
              </w:rPr>
            </w:r>
          </w:p>
        </w:tc>
        <w:tc>
          <w:tcPr>
            <w:tcW w:w="915"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3" w:right="0"/>
              <w:jc w:val="left"/>
              <w:rPr>
                <w:rFonts w:ascii="宋体" w:hAnsi="宋体" w:cs="宋体" w:eastAsia="宋体" w:hint="default"/>
                <w:sz w:val="15"/>
                <w:szCs w:val="15"/>
              </w:rPr>
            </w:pPr>
            <w:r>
              <w:rPr>
                <w:rFonts w:ascii="宋体" w:hAnsi="宋体" w:cs="宋体" w:eastAsia="宋体" w:hint="default"/>
                <w:b/>
                <w:bCs/>
                <w:sz w:val="15"/>
                <w:szCs w:val="15"/>
              </w:rPr>
              <w:t>专利权人</w:t>
            </w:r>
            <w:r>
              <w:rPr>
                <w:rFonts w:ascii="宋体" w:hAnsi="宋体" w:cs="宋体" w:eastAsia="宋体" w:hint="default"/>
                <w:sz w:val="15"/>
                <w:szCs w:val="15"/>
              </w:rPr>
            </w:r>
          </w:p>
        </w:tc>
        <w:tc>
          <w:tcPr>
            <w:tcW w:w="149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08" w:right="0"/>
              <w:jc w:val="left"/>
              <w:rPr>
                <w:rFonts w:ascii="宋体" w:hAnsi="宋体" w:cs="宋体" w:eastAsia="宋体" w:hint="default"/>
                <w:sz w:val="15"/>
                <w:szCs w:val="15"/>
              </w:rPr>
            </w:pPr>
            <w:r>
              <w:rPr>
                <w:rFonts w:ascii="宋体" w:hAnsi="宋体" w:cs="宋体" w:eastAsia="宋体" w:hint="default"/>
                <w:b/>
                <w:bCs/>
                <w:sz w:val="15"/>
                <w:szCs w:val="15"/>
              </w:rPr>
              <w:t>专利号</w:t>
            </w:r>
            <w:r>
              <w:rPr>
                <w:rFonts w:ascii="宋体" w:hAnsi="宋体" w:cs="宋体" w:eastAsia="宋体" w:hint="default"/>
                <w:sz w:val="15"/>
                <w:szCs w:val="15"/>
              </w:rPr>
            </w:r>
          </w:p>
        </w:tc>
        <w:tc>
          <w:tcPr>
            <w:tcW w:w="1201"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15"/>
                <w:szCs w:val="15"/>
              </w:rPr>
            </w:pPr>
            <w:r>
              <w:rPr>
                <w:rFonts w:ascii="宋体" w:hAnsi="宋体" w:cs="宋体" w:eastAsia="宋体" w:hint="default"/>
                <w:b/>
                <w:bCs/>
                <w:sz w:val="15"/>
                <w:szCs w:val="15"/>
              </w:rPr>
              <w:t>专利申请日</w:t>
            </w:r>
            <w:r>
              <w:rPr>
                <w:rFonts w:ascii="宋体" w:hAnsi="宋体" w:cs="宋体" w:eastAsia="宋体" w:hint="default"/>
                <w:sz w:val="15"/>
                <w:szCs w:val="15"/>
              </w:rPr>
            </w:r>
          </w:p>
        </w:tc>
        <w:tc>
          <w:tcPr>
            <w:tcW w:w="1003"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b/>
                <w:bCs/>
                <w:sz w:val="15"/>
                <w:szCs w:val="15"/>
              </w:rPr>
              <w:t>授权公告日</w:t>
            </w:r>
            <w:r>
              <w:rPr>
                <w:rFonts w:ascii="宋体" w:hAnsi="宋体" w:cs="宋体" w:eastAsia="宋体" w:hint="default"/>
                <w:sz w:val="15"/>
                <w:szCs w:val="15"/>
              </w:rPr>
            </w:r>
          </w:p>
        </w:tc>
        <w:tc>
          <w:tcPr>
            <w:tcW w:w="70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381" w:lineRule="auto" w:before="44"/>
              <w:ind w:left="223" w:right="107" w:hanging="75"/>
              <w:jc w:val="left"/>
              <w:rPr>
                <w:rFonts w:ascii="宋体" w:hAnsi="宋体" w:cs="宋体" w:eastAsia="宋体" w:hint="default"/>
                <w:sz w:val="15"/>
                <w:szCs w:val="15"/>
              </w:rPr>
            </w:pPr>
            <w:r>
              <w:rPr>
                <w:rFonts w:ascii="宋体" w:hAnsi="宋体" w:cs="宋体" w:eastAsia="宋体" w:hint="default"/>
                <w:b/>
                <w:bCs/>
                <w:sz w:val="15"/>
                <w:szCs w:val="15"/>
              </w:rPr>
              <w:t>专利权</w:t>
            </w:r>
            <w:r>
              <w:rPr>
                <w:rFonts w:ascii="宋体" w:hAnsi="宋体" w:cs="宋体" w:eastAsia="宋体" w:hint="default"/>
                <w:b/>
                <w:bCs/>
                <w:w w:val="99"/>
                <w:sz w:val="15"/>
                <w:szCs w:val="15"/>
              </w:rPr>
              <w:t> </w:t>
            </w:r>
            <w:r>
              <w:rPr>
                <w:rFonts w:ascii="宋体" w:hAnsi="宋体" w:cs="宋体" w:eastAsia="宋体" w:hint="default"/>
                <w:b/>
                <w:bCs/>
                <w:sz w:val="15"/>
                <w:szCs w:val="15"/>
              </w:rPr>
              <w:t>期限</w:t>
            </w:r>
            <w:r>
              <w:rPr>
                <w:rFonts w:ascii="宋体" w:hAnsi="宋体" w:cs="宋体" w:eastAsia="宋体" w:hint="default"/>
                <w:sz w:val="15"/>
                <w:szCs w:val="15"/>
              </w:rPr>
            </w:r>
          </w:p>
        </w:tc>
      </w:tr>
      <w:tr>
        <w:trPr>
          <w:trHeight w:val="342" w:hRule="exact"/>
        </w:trPr>
        <w:tc>
          <w:tcPr>
            <w:tcW w:w="465"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47" w:right="0"/>
              <w:jc w:val="center"/>
              <w:rPr>
                <w:rFonts w:ascii="Times New Roman" w:hAnsi="Times New Roman" w:cs="Times New Roman" w:eastAsia="Times New Roman" w:hint="default"/>
                <w:sz w:val="15"/>
                <w:szCs w:val="15"/>
              </w:rPr>
            </w:pPr>
            <w:r>
              <w:rPr>
                <w:rFonts w:ascii="Times New Roman"/>
                <w:sz w:val="15"/>
              </w:rPr>
              <w:t>1</w:t>
            </w:r>
          </w:p>
        </w:tc>
        <w:tc>
          <w:tcPr>
            <w:tcW w:w="2904"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57" w:right="0"/>
              <w:jc w:val="left"/>
              <w:rPr>
                <w:rFonts w:ascii="宋体" w:hAnsi="宋体" w:cs="宋体" w:eastAsia="宋体" w:hint="default"/>
                <w:sz w:val="15"/>
                <w:szCs w:val="15"/>
              </w:rPr>
            </w:pPr>
            <w:r>
              <w:rPr>
                <w:rFonts w:ascii="宋体" w:hAnsi="宋体" w:cs="宋体" w:eastAsia="宋体" w:hint="default"/>
                <w:sz w:val="15"/>
                <w:szCs w:val="15"/>
              </w:rPr>
              <w:t>一种消息的读写方法和装置</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 w:right="0"/>
              <w:jc w:val="left"/>
              <w:rPr>
                <w:rFonts w:ascii="宋体" w:hAnsi="宋体" w:cs="宋体" w:eastAsia="宋体" w:hint="default"/>
                <w:sz w:val="15"/>
                <w:szCs w:val="15"/>
              </w:rPr>
            </w:pPr>
            <w:r>
              <w:rPr>
                <w:rFonts w:ascii="宋体" w:hAnsi="宋体" w:cs="宋体" w:eastAsia="宋体" w:hint="default"/>
                <w:sz w:val="15"/>
                <w:szCs w:val="15"/>
              </w:rPr>
              <w:t>发明专利</w:t>
            </w: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2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69" w:right="0"/>
              <w:jc w:val="left"/>
              <w:rPr>
                <w:rFonts w:ascii="Times New Roman" w:hAnsi="Times New Roman" w:cs="Times New Roman" w:eastAsia="Times New Roman" w:hint="default"/>
                <w:sz w:val="15"/>
                <w:szCs w:val="15"/>
              </w:rPr>
            </w:pPr>
            <w:r>
              <w:rPr>
                <w:rFonts w:ascii="Times New Roman"/>
                <w:sz w:val="15"/>
              </w:rPr>
              <w:t>ZL</w:t>
            </w:r>
            <w:r>
              <w:rPr>
                <w:rFonts w:ascii="Times New Roman"/>
                <w:spacing w:val="-8"/>
                <w:sz w:val="15"/>
              </w:rPr>
              <w:t> </w:t>
            </w:r>
            <w:r>
              <w:rPr>
                <w:rFonts w:ascii="Times New Roman"/>
                <w:sz w:val="15"/>
              </w:rPr>
              <w:t>200710304415.8</w:t>
            </w:r>
          </w:p>
        </w:tc>
        <w:tc>
          <w:tcPr>
            <w:tcW w:w="1201"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21" w:right="0"/>
              <w:jc w:val="left"/>
              <w:rPr>
                <w:rFonts w:ascii="Times New Roman" w:hAnsi="Times New Roman" w:cs="Times New Roman" w:eastAsia="Times New Roman" w:hint="default"/>
                <w:sz w:val="15"/>
                <w:szCs w:val="15"/>
              </w:rPr>
            </w:pPr>
            <w:r>
              <w:rPr>
                <w:rFonts w:ascii="Times New Roman"/>
                <w:sz w:val="15"/>
              </w:rPr>
              <w:t>2007/12/27</w:t>
            </w:r>
          </w:p>
        </w:tc>
        <w:tc>
          <w:tcPr>
            <w:tcW w:w="1003"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16" w:right="0"/>
              <w:jc w:val="left"/>
              <w:rPr>
                <w:rFonts w:ascii="Times New Roman" w:hAnsi="Times New Roman" w:cs="Times New Roman" w:eastAsia="Times New Roman" w:hint="default"/>
                <w:sz w:val="15"/>
                <w:szCs w:val="15"/>
              </w:rPr>
            </w:pPr>
            <w:r>
              <w:rPr>
                <w:rFonts w:ascii="Times New Roman"/>
                <w:sz w:val="15"/>
              </w:rPr>
              <w:t>2011/10/26</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5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w:t>
            </w:r>
            <w:r>
              <w:rPr>
                <w:rFonts w:ascii="宋体" w:hAnsi="宋体" w:cs="宋体" w:eastAsia="宋体" w:hint="default"/>
                <w:sz w:val="15"/>
                <w:szCs w:val="15"/>
              </w:rPr>
              <w:t>年</w:t>
            </w:r>
          </w:p>
        </w:tc>
      </w:tr>
      <w:tr>
        <w:trPr>
          <w:trHeight w:val="654" w:hRule="exact"/>
        </w:trPr>
        <w:tc>
          <w:tcPr>
            <w:tcW w:w="46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7" w:right="0"/>
              <w:jc w:val="center"/>
              <w:rPr>
                <w:rFonts w:ascii="Times New Roman" w:hAnsi="Times New Roman" w:cs="Times New Roman" w:eastAsia="Times New Roman" w:hint="default"/>
                <w:sz w:val="15"/>
                <w:szCs w:val="15"/>
              </w:rPr>
            </w:pPr>
            <w:r>
              <w:rPr>
                <w:rFonts w:ascii="Times New Roman"/>
                <w:sz w:val="15"/>
              </w:rPr>
              <w:t>2</w:t>
            </w:r>
          </w:p>
        </w:tc>
        <w:tc>
          <w:tcPr>
            <w:tcW w:w="2904" w:type="dxa"/>
            <w:tcBorders>
              <w:top w:val="single" w:sz="4" w:space="0" w:color="000000"/>
              <w:left w:val="nil" w:sz="6" w:space="0" w:color="auto"/>
              <w:bottom w:val="single" w:sz="4" w:space="0" w:color="000000"/>
              <w:right w:val="nil" w:sz="6" w:space="0" w:color="auto"/>
            </w:tcBorders>
          </w:tcPr>
          <w:p>
            <w:pPr>
              <w:pStyle w:val="TableParagraph"/>
              <w:spacing w:line="381" w:lineRule="auto" w:before="44"/>
              <w:ind w:left="57" w:right="7"/>
              <w:jc w:val="left"/>
              <w:rPr>
                <w:rFonts w:ascii="宋体" w:hAnsi="宋体" w:cs="宋体" w:eastAsia="宋体" w:hint="default"/>
                <w:sz w:val="15"/>
                <w:szCs w:val="15"/>
              </w:rPr>
            </w:pPr>
            <w:r>
              <w:rPr>
                <w:rFonts w:ascii="宋体" w:hAnsi="宋体" w:cs="宋体" w:eastAsia="宋体" w:hint="default"/>
                <w:spacing w:val="-1"/>
                <w:sz w:val="15"/>
                <w:szCs w:val="15"/>
              </w:rPr>
              <w:t>一种企业服务总线的消息转发方法、服务器</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及其系统</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5"/>
                <w:szCs w:val="15"/>
              </w:rPr>
            </w:pPr>
            <w:r>
              <w:rPr>
                <w:rFonts w:ascii="宋体" w:hAnsi="宋体" w:cs="宋体" w:eastAsia="宋体" w:hint="default"/>
                <w:sz w:val="15"/>
                <w:szCs w:val="15"/>
              </w:rPr>
              <w:t>发明专利</w:t>
            </w: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15"/>
                <w:szCs w:val="15"/>
              </w:rPr>
            </w:pPr>
            <w:r>
              <w:rPr>
                <w:rFonts w:ascii="Times New Roman"/>
                <w:sz w:val="15"/>
              </w:rPr>
              <w:t>ZL</w:t>
            </w:r>
            <w:r>
              <w:rPr>
                <w:rFonts w:ascii="Times New Roman"/>
                <w:spacing w:val="-8"/>
                <w:sz w:val="15"/>
              </w:rPr>
              <w:t> </w:t>
            </w:r>
            <w:r>
              <w:rPr>
                <w:rFonts w:ascii="Times New Roman"/>
                <w:sz w:val="15"/>
              </w:rPr>
              <w:t>200810119861.6</w:t>
            </w:r>
          </w:p>
        </w:tc>
        <w:tc>
          <w:tcPr>
            <w:tcW w:w="120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1" w:right="0"/>
              <w:jc w:val="left"/>
              <w:rPr>
                <w:rFonts w:ascii="Times New Roman" w:hAnsi="Times New Roman" w:cs="Times New Roman" w:eastAsia="Times New Roman" w:hint="default"/>
                <w:sz w:val="15"/>
                <w:szCs w:val="15"/>
              </w:rPr>
            </w:pPr>
            <w:r>
              <w:rPr>
                <w:rFonts w:ascii="Times New Roman"/>
                <w:sz w:val="15"/>
              </w:rPr>
              <w:t>2008/9/12</w:t>
            </w:r>
          </w:p>
        </w:tc>
        <w:tc>
          <w:tcPr>
            <w:tcW w:w="100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6" w:right="0"/>
              <w:jc w:val="left"/>
              <w:rPr>
                <w:rFonts w:ascii="Times New Roman" w:hAnsi="Times New Roman" w:cs="Times New Roman" w:eastAsia="Times New Roman" w:hint="default"/>
                <w:sz w:val="15"/>
                <w:szCs w:val="15"/>
              </w:rPr>
            </w:pPr>
            <w:r>
              <w:rPr>
                <w:rFonts w:ascii="Times New Roman"/>
                <w:sz w:val="15"/>
              </w:rPr>
              <w:t>2012/1/11</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w:t>
            </w:r>
            <w:r>
              <w:rPr>
                <w:rFonts w:ascii="宋体" w:hAnsi="宋体" w:cs="宋体" w:eastAsia="宋体" w:hint="default"/>
                <w:sz w:val="15"/>
                <w:szCs w:val="15"/>
              </w:rPr>
              <w:t>年</w:t>
            </w:r>
          </w:p>
        </w:tc>
      </w:tr>
      <w:tr>
        <w:trPr>
          <w:trHeight w:val="654" w:hRule="exact"/>
        </w:trPr>
        <w:tc>
          <w:tcPr>
            <w:tcW w:w="46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7" w:right="0"/>
              <w:jc w:val="center"/>
              <w:rPr>
                <w:rFonts w:ascii="Times New Roman" w:hAnsi="Times New Roman" w:cs="Times New Roman" w:eastAsia="Times New Roman" w:hint="default"/>
                <w:sz w:val="15"/>
                <w:szCs w:val="15"/>
              </w:rPr>
            </w:pPr>
            <w:r>
              <w:rPr>
                <w:rFonts w:ascii="Times New Roman"/>
                <w:sz w:val="15"/>
              </w:rPr>
              <w:t>3</w:t>
            </w:r>
          </w:p>
        </w:tc>
        <w:tc>
          <w:tcPr>
            <w:tcW w:w="2904" w:type="dxa"/>
            <w:tcBorders>
              <w:top w:val="single" w:sz="4" w:space="0" w:color="000000"/>
              <w:left w:val="nil" w:sz="6" w:space="0" w:color="auto"/>
              <w:bottom w:val="single" w:sz="4" w:space="0" w:color="000000"/>
              <w:right w:val="nil" w:sz="6" w:space="0" w:color="auto"/>
            </w:tcBorders>
          </w:tcPr>
          <w:p>
            <w:pPr>
              <w:pStyle w:val="TableParagraph"/>
              <w:spacing w:line="381" w:lineRule="auto" w:before="44"/>
              <w:ind w:left="57" w:right="7"/>
              <w:jc w:val="left"/>
              <w:rPr>
                <w:rFonts w:ascii="宋体" w:hAnsi="宋体" w:cs="宋体" w:eastAsia="宋体" w:hint="default"/>
                <w:sz w:val="15"/>
                <w:szCs w:val="15"/>
              </w:rPr>
            </w:pPr>
            <w:r>
              <w:rPr>
                <w:rFonts w:ascii="宋体" w:hAnsi="宋体" w:cs="宋体" w:eastAsia="宋体" w:hint="default"/>
                <w:spacing w:val="-1"/>
                <w:sz w:val="15"/>
                <w:szCs w:val="15"/>
              </w:rPr>
              <w:t>一种基于分布式、异构数据库统一视图的查</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询优化方法</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5"/>
                <w:szCs w:val="15"/>
              </w:rPr>
            </w:pPr>
            <w:r>
              <w:rPr>
                <w:rFonts w:ascii="宋体" w:hAnsi="宋体" w:cs="宋体" w:eastAsia="宋体" w:hint="default"/>
                <w:sz w:val="15"/>
                <w:szCs w:val="15"/>
              </w:rPr>
              <w:t>发明专利</w:t>
            </w: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15"/>
                <w:szCs w:val="15"/>
              </w:rPr>
            </w:pPr>
            <w:r>
              <w:rPr>
                <w:rFonts w:ascii="Times New Roman"/>
                <w:sz w:val="15"/>
              </w:rPr>
              <w:t>ZL</w:t>
            </w:r>
            <w:r>
              <w:rPr>
                <w:rFonts w:ascii="Times New Roman"/>
                <w:spacing w:val="-8"/>
                <w:sz w:val="15"/>
              </w:rPr>
              <w:t> </w:t>
            </w:r>
            <w:r>
              <w:rPr>
                <w:rFonts w:ascii="Times New Roman"/>
                <w:sz w:val="15"/>
              </w:rPr>
              <w:t>201010112856.X</w:t>
            </w:r>
          </w:p>
        </w:tc>
        <w:tc>
          <w:tcPr>
            <w:tcW w:w="120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1" w:right="0"/>
              <w:jc w:val="left"/>
              <w:rPr>
                <w:rFonts w:ascii="Times New Roman" w:hAnsi="Times New Roman" w:cs="Times New Roman" w:eastAsia="Times New Roman" w:hint="default"/>
                <w:sz w:val="15"/>
                <w:szCs w:val="15"/>
              </w:rPr>
            </w:pPr>
            <w:r>
              <w:rPr>
                <w:rFonts w:ascii="Times New Roman"/>
                <w:sz w:val="15"/>
              </w:rPr>
              <w:t>2010/2/22</w:t>
            </w:r>
          </w:p>
        </w:tc>
        <w:tc>
          <w:tcPr>
            <w:tcW w:w="100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6" w:right="0"/>
              <w:jc w:val="left"/>
              <w:rPr>
                <w:rFonts w:ascii="Times New Roman" w:hAnsi="Times New Roman" w:cs="Times New Roman" w:eastAsia="Times New Roman" w:hint="default"/>
                <w:sz w:val="15"/>
                <w:szCs w:val="15"/>
              </w:rPr>
            </w:pPr>
            <w:r>
              <w:rPr>
                <w:rFonts w:ascii="Times New Roman"/>
                <w:sz w:val="15"/>
              </w:rPr>
              <w:t>2013/4/24</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w:t>
            </w:r>
            <w:r>
              <w:rPr>
                <w:rFonts w:ascii="宋体" w:hAnsi="宋体" w:cs="宋体" w:eastAsia="宋体" w:hint="default"/>
                <w:sz w:val="15"/>
                <w:szCs w:val="15"/>
              </w:rPr>
              <w:t>年</w:t>
            </w:r>
          </w:p>
        </w:tc>
      </w:tr>
      <w:tr>
        <w:trPr>
          <w:trHeight w:val="654" w:hRule="exact"/>
        </w:trPr>
        <w:tc>
          <w:tcPr>
            <w:tcW w:w="46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7" w:right="0"/>
              <w:jc w:val="center"/>
              <w:rPr>
                <w:rFonts w:ascii="Times New Roman" w:hAnsi="Times New Roman" w:cs="Times New Roman" w:eastAsia="Times New Roman" w:hint="default"/>
                <w:sz w:val="15"/>
                <w:szCs w:val="15"/>
              </w:rPr>
            </w:pPr>
            <w:r>
              <w:rPr>
                <w:rFonts w:ascii="Times New Roman"/>
                <w:sz w:val="15"/>
              </w:rPr>
              <w:t>4</w:t>
            </w:r>
          </w:p>
        </w:tc>
        <w:tc>
          <w:tcPr>
            <w:tcW w:w="290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5"/>
                <w:szCs w:val="15"/>
              </w:rPr>
            </w:pPr>
            <w:r>
              <w:rPr>
                <w:rFonts w:ascii="宋体" w:hAnsi="宋体" w:cs="宋体" w:eastAsia="宋体" w:hint="default"/>
                <w:sz w:val="15"/>
                <w:szCs w:val="15"/>
              </w:rPr>
              <w:t>基于约束校验的内存格式化方法</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5"/>
                <w:szCs w:val="15"/>
              </w:rPr>
            </w:pPr>
            <w:r>
              <w:rPr>
                <w:rFonts w:ascii="宋体" w:hAnsi="宋体" w:cs="宋体" w:eastAsia="宋体" w:hint="default"/>
                <w:sz w:val="15"/>
                <w:szCs w:val="15"/>
              </w:rPr>
              <w:t>发明专利</w:t>
            </w: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381" w:lineRule="auto" w:before="44"/>
              <w:ind w:left="124" w:right="188"/>
              <w:jc w:val="left"/>
              <w:rPr>
                <w:rFonts w:ascii="宋体" w:hAnsi="宋体" w:cs="宋体" w:eastAsia="宋体" w:hint="default"/>
                <w:sz w:val="15"/>
                <w:szCs w:val="15"/>
              </w:rPr>
            </w:pPr>
            <w:r>
              <w:rPr>
                <w:rFonts w:ascii="宋体" w:hAnsi="宋体" w:cs="宋体" w:eastAsia="宋体" w:hint="default"/>
                <w:sz w:val="15"/>
                <w:szCs w:val="15"/>
              </w:rPr>
              <w:t>东方通 东方通泰</w:t>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15"/>
                <w:szCs w:val="15"/>
              </w:rPr>
            </w:pPr>
            <w:r>
              <w:rPr>
                <w:rFonts w:ascii="Times New Roman"/>
                <w:sz w:val="15"/>
              </w:rPr>
              <w:t>ZL</w:t>
            </w:r>
            <w:r>
              <w:rPr>
                <w:rFonts w:ascii="Times New Roman"/>
                <w:spacing w:val="-8"/>
                <w:sz w:val="15"/>
              </w:rPr>
              <w:t> </w:t>
            </w:r>
            <w:r>
              <w:rPr>
                <w:rFonts w:ascii="Times New Roman"/>
                <w:sz w:val="15"/>
              </w:rPr>
              <w:t>201110195005.0</w:t>
            </w:r>
          </w:p>
        </w:tc>
        <w:tc>
          <w:tcPr>
            <w:tcW w:w="120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1" w:right="0"/>
              <w:jc w:val="left"/>
              <w:rPr>
                <w:rFonts w:ascii="Times New Roman" w:hAnsi="Times New Roman" w:cs="Times New Roman" w:eastAsia="Times New Roman" w:hint="default"/>
                <w:sz w:val="15"/>
                <w:szCs w:val="15"/>
              </w:rPr>
            </w:pPr>
            <w:r>
              <w:rPr>
                <w:rFonts w:ascii="Times New Roman"/>
                <w:sz w:val="15"/>
              </w:rPr>
              <w:t>2011/7/12</w:t>
            </w:r>
          </w:p>
        </w:tc>
        <w:tc>
          <w:tcPr>
            <w:tcW w:w="100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6" w:right="0"/>
              <w:jc w:val="left"/>
              <w:rPr>
                <w:rFonts w:ascii="Times New Roman" w:hAnsi="Times New Roman" w:cs="Times New Roman" w:eastAsia="Times New Roman" w:hint="default"/>
                <w:sz w:val="15"/>
                <w:szCs w:val="15"/>
              </w:rPr>
            </w:pPr>
            <w:r>
              <w:rPr>
                <w:rFonts w:ascii="Times New Roman"/>
                <w:sz w:val="15"/>
              </w:rPr>
              <w:t>2014/12/17</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w:t>
            </w:r>
            <w:r>
              <w:rPr>
                <w:rFonts w:ascii="宋体" w:hAnsi="宋体" w:cs="宋体" w:eastAsia="宋体" w:hint="default"/>
                <w:sz w:val="15"/>
                <w:szCs w:val="15"/>
              </w:rPr>
              <w:t>年</w:t>
            </w:r>
          </w:p>
        </w:tc>
      </w:tr>
      <w:tr>
        <w:trPr>
          <w:trHeight w:val="654" w:hRule="exact"/>
        </w:trPr>
        <w:tc>
          <w:tcPr>
            <w:tcW w:w="46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7" w:right="0"/>
              <w:jc w:val="center"/>
              <w:rPr>
                <w:rFonts w:ascii="Times New Roman" w:hAnsi="Times New Roman" w:cs="Times New Roman" w:eastAsia="Times New Roman" w:hint="default"/>
                <w:sz w:val="15"/>
                <w:szCs w:val="15"/>
              </w:rPr>
            </w:pPr>
            <w:r>
              <w:rPr>
                <w:rFonts w:ascii="Times New Roman"/>
                <w:sz w:val="15"/>
              </w:rPr>
              <w:t>5</w:t>
            </w:r>
          </w:p>
        </w:tc>
        <w:tc>
          <w:tcPr>
            <w:tcW w:w="290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5"/>
                <w:szCs w:val="15"/>
              </w:rPr>
            </w:pPr>
            <w:r>
              <w:rPr>
                <w:rFonts w:ascii="宋体" w:hAnsi="宋体" w:cs="宋体" w:eastAsia="宋体" w:hint="default"/>
                <w:sz w:val="15"/>
                <w:szCs w:val="15"/>
              </w:rPr>
              <w:t>自动配置</w:t>
            </w:r>
            <w:r>
              <w:rPr>
                <w:rFonts w:ascii="Times New Roman" w:hAnsi="Times New Roman" w:cs="Times New Roman" w:eastAsia="Times New Roman" w:hint="default"/>
                <w:sz w:val="15"/>
                <w:szCs w:val="15"/>
              </w:rPr>
              <w:t>Java</w:t>
            </w:r>
            <w:r>
              <w:rPr>
                <w:rFonts w:ascii="Times New Roman" w:hAnsi="Times New Roman" w:cs="Times New Roman" w:eastAsia="Times New Roman" w:hint="default"/>
                <w:spacing w:val="-2"/>
                <w:sz w:val="15"/>
                <w:szCs w:val="15"/>
              </w:rPr>
              <w:t> </w:t>
            </w:r>
            <w:r>
              <w:rPr>
                <w:rFonts w:ascii="Times New Roman" w:hAnsi="Times New Roman" w:cs="Times New Roman" w:eastAsia="Times New Roman" w:hint="default"/>
                <w:sz w:val="15"/>
                <w:szCs w:val="15"/>
              </w:rPr>
              <w:t>EE</w:t>
            </w:r>
            <w:r>
              <w:rPr>
                <w:rFonts w:ascii="宋体" w:hAnsi="宋体" w:cs="宋体" w:eastAsia="宋体" w:hint="default"/>
                <w:sz w:val="15"/>
                <w:szCs w:val="15"/>
              </w:rPr>
              <w:t>应用集群的装置和方法</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5"/>
                <w:szCs w:val="15"/>
              </w:rPr>
            </w:pPr>
            <w:r>
              <w:rPr>
                <w:rFonts w:ascii="宋体" w:hAnsi="宋体" w:cs="宋体" w:eastAsia="宋体" w:hint="default"/>
                <w:sz w:val="15"/>
                <w:szCs w:val="15"/>
              </w:rPr>
              <w:t>发明专利</w:t>
            </w: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381" w:lineRule="auto" w:before="44"/>
              <w:ind w:left="124" w:right="188"/>
              <w:jc w:val="left"/>
              <w:rPr>
                <w:rFonts w:ascii="宋体" w:hAnsi="宋体" w:cs="宋体" w:eastAsia="宋体" w:hint="default"/>
                <w:sz w:val="15"/>
                <w:szCs w:val="15"/>
              </w:rPr>
            </w:pPr>
            <w:r>
              <w:rPr>
                <w:rFonts w:ascii="宋体" w:hAnsi="宋体" w:cs="宋体" w:eastAsia="宋体" w:hint="default"/>
                <w:sz w:val="15"/>
                <w:szCs w:val="15"/>
              </w:rPr>
              <w:t>东方通 东方通泰</w:t>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15"/>
                <w:szCs w:val="15"/>
              </w:rPr>
            </w:pPr>
            <w:r>
              <w:rPr>
                <w:rFonts w:ascii="Times New Roman"/>
                <w:sz w:val="15"/>
              </w:rPr>
              <w:t>ZL</w:t>
            </w:r>
            <w:r>
              <w:rPr>
                <w:rFonts w:ascii="Times New Roman"/>
                <w:spacing w:val="-8"/>
                <w:sz w:val="15"/>
              </w:rPr>
              <w:t> </w:t>
            </w:r>
            <w:r>
              <w:rPr>
                <w:rFonts w:ascii="Times New Roman"/>
                <w:sz w:val="15"/>
              </w:rPr>
              <w:t>201110078200.5</w:t>
            </w:r>
          </w:p>
        </w:tc>
        <w:tc>
          <w:tcPr>
            <w:tcW w:w="120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1" w:right="0"/>
              <w:jc w:val="left"/>
              <w:rPr>
                <w:rFonts w:ascii="Times New Roman" w:hAnsi="Times New Roman" w:cs="Times New Roman" w:eastAsia="Times New Roman" w:hint="default"/>
                <w:sz w:val="15"/>
                <w:szCs w:val="15"/>
              </w:rPr>
            </w:pPr>
            <w:r>
              <w:rPr>
                <w:rFonts w:ascii="Times New Roman"/>
                <w:sz w:val="15"/>
              </w:rPr>
              <w:t>2011/3/30</w:t>
            </w:r>
          </w:p>
        </w:tc>
        <w:tc>
          <w:tcPr>
            <w:tcW w:w="100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6" w:right="0"/>
              <w:jc w:val="left"/>
              <w:rPr>
                <w:rFonts w:ascii="Times New Roman" w:hAnsi="Times New Roman" w:cs="Times New Roman" w:eastAsia="Times New Roman" w:hint="default"/>
                <w:sz w:val="15"/>
                <w:szCs w:val="15"/>
              </w:rPr>
            </w:pPr>
            <w:r>
              <w:rPr>
                <w:rFonts w:ascii="Times New Roman"/>
                <w:sz w:val="15"/>
              </w:rPr>
              <w:t>2015/4/29</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w:t>
            </w:r>
            <w:r>
              <w:rPr>
                <w:rFonts w:ascii="宋体" w:hAnsi="宋体" w:cs="宋体" w:eastAsia="宋体" w:hint="default"/>
                <w:sz w:val="15"/>
                <w:szCs w:val="15"/>
              </w:rPr>
              <w:t>年</w:t>
            </w:r>
          </w:p>
        </w:tc>
      </w:tr>
      <w:tr>
        <w:trPr>
          <w:trHeight w:val="342" w:hRule="exact"/>
        </w:trPr>
        <w:tc>
          <w:tcPr>
            <w:tcW w:w="465"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47" w:right="0"/>
              <w:jc w:val="center"/>
              <w:rPr>
                <w:rFonts w:ascii="Times New Roman" w:hAnsi="Times New Roman" w:cs="Times New Roman" w:eastAsia="Times New Roman" w:hint="default"/>
                <w:sz w:val="15"/>
                <w:szCs w:val="15"/>
              </w:rPr>
            </w:pPr>
            <w:r>
              <w:rPr>
                <w:rFonts w:ascii="Times New Roman"/>
                <w:sz w:val="15"/>
              </w:rPr>
              <w:t>6</w:t>
            </w:r>
          </w:p>
        </w:tc>
        <w:tc>
          <w:tcPr>
            <w:tcW w:w="2904"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57" w:right="0"/>
              <w:jc w:val="left"/>
              <w:rPr>
                <w:rFonts w:ascii="宋体" w:hAnsi="宋体" w:cs="宋体" w:eastAsia="宋体" w:hint="default"/>
                <w:sz w:val="15"/>
                <w:szCs w:val="15"/>
              </w:rPr>
            </w:pPr>
            <w:r>
              <w:rPr>
                <w:rFonts w:ascii="宋体" w:hAnsi="宋体" w:cs="宋体" w:eastAsia="宋体" w:hint="default"/>
                <w:sz w:val="15"/>
                <w:szCs w:val="15"/>
              </w:rPr>
              <w:t>文件传输系统及文件传输方法</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 w:right="0"/>
              <w:jc w:val="left"/>
              <w:rPr>
                <w:rFonts w:ascii="宋体" w:hAnsi="宋体" w:cs="宋体" w:eastAsia="宋体" w:hint="default"/>
                <w:sz w:val="15"/>
                <w:szCs w:val="15"/>
              </w:rPr>
            </w:pPr>
            <w:r>
              <w:rPr>
                <w:rFonts w:ascii="宋体" w:hAnsi="宋体" w:cs="宋体" w:eastAsia="宋体" w:hint="default"/>
                <w:sz w:val="15"/>
                <w:szCs w:val="15"/>
              </w:rPr>
              <w:t>发明专利</w:t>
            </w: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2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69" w:right="0"/>
              <w:jc w:val="left"/>
              <w:rPr>
                <w:rFonts w:ascii="Times New Roman" w:hAnsi="Times New Roman" w:cs="Times New Roman" w:eastAsia="Times New Roman" w:hint="default"/>
                <w:sz w:val="15"/>
                <w:szCs w:val="15"/>
              </w:rPr>
            </w:pPr>
            <w:r>
              <w:rPr>
                <w:rFonts w:ascii="Times New Roman"/>
                <w:sz w:val="15"/>
              </w:rPr>
              <w:t>ZL</w:t>
            </w:r>
            <w:r>
              <w:rPr>
                <w:rFonts w:ascii="Times New Roman"/>
                <w:spacing w:val="-8"/>
                <w:sz w:val="15"/>
              </w:rPr>
              <w:t> </w:t>
            </w:r>
            <w:r>
              <w:rPr>
                <w:rFonts w:ascii="Times New Roman"/>
                <w:sz w:val="15"/>
              </w:rPr>
              <w:t>201110175087.2</w:t>
            </w:r>
          </w:p>
        </w:tc>
        <w:tc>
          <w:tcPr>
            <w:tcW w:w="1201"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21" w:right="0"/>
              <w:jc w:val="left"/>
              <w:rPr>
                <w:rFonts w:ascii="Times New Roman" w:hAnsi="Times New Roman" w:cs="Times New Roman" w:eastAsia="Times New Roman" w:hint="default"/>
                <w:sz w:val="15"/>
                <w:szCs w:val="15"/>
              </w:rPr>
            </w:pPr>
            <w:r>
              <w:rPr>
                <w:rFonts w:ascii="Times New Roman"/>
                <w:sz w:val="15"/>
              </w:rPr>
              <w:t>2011/6/27</w:t>
            </w:r>
          </w:p>
        </w:tc>
        <w:tc>
          <w:tcPr>
            <w:tcW w:w="1003"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16" w:right="0"/>
              <w:jc w:val="left"/>
              <w:rPr>
                <w:rFonts w:ascii="Times New Roman" w:hAnsi="Times New Roman" w:cs="Times New Roman" w:eastAsia="Times New Roman" w:hint="default"/>
                <w:sz w:val="15"/>
                <w:szCs w:val="15"/>
              </w:rPr>
            </w:pPr>
            <w:r>
              <w:rPr>
                <w:rFonts w:ascii="Times New Roman"/>
                <w:sz w:val="15"/>
              </w:rPr>
              <w:t>2015/4/29</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5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w:t>
            </w:r>
            <w:r>
              <w:rPr>
                <w:rFonts w:ascii="宋体" w:hAnsi="宋体" w:cs="宋体" w:eastAsia="宋体" w:hint="default"/>
                <w:sz w:val="15"/>
                <w:szCs w:val="15"/>
              </w:rPr>
              <w:t>年</w:t>
            </w:r>
          </w:p>
        </w:tc>
      </w:tr>
      <w:tr>
        <w:trPr>
          <w:trHeight w:val="654" w:hRule="exact"/>
        </w:trPr>
        <w:tc>
          <w:tcPr>
            <w:tcW w:w="46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7" w:right="0"/>
              <w:jc w:val="center"/>
              <w:rPr>
                <w:rFonts w:ascii="Times New Roman" w:hAnsi="Times New Roman" w:cs="Times New Roman" w:eastAsia="Times New Roman" w:hint="default"/>
                <w:sz w:val="15"/>
                <w:szCs w:val="15"/>
              </w:rPr>
            </w:pPr>
            <w:r>
              <w:rPr>
                <w:rFonts w:ascii="Times New Roman"/>
                <w:sz w:val="15"/>
              </w:rPr>
              <w:t>7</w:t>
            </w:r>
          </w:p>
        </w:tc>
        <w:tc>
          <w:tcPr>
            <w:tcW w:w="290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5"/>
                <w:szCs w:val="15"/>
              </w:rPr>
            </w:pPr>
            <w:r>
              <w:rPr>
                <w:rFonts w:ascii="宋体" w:hAnsi="宋体" w:cs="宋体" w:eastAsia="宋体" w:hint="default"/>
                <w:sz w:val="15"/>
                <w:szCs w:val="15"/>
              </w:rPr>
              <w:t>服务并发访问控制方法及装置</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5"/>
                <w:szCs w:val="15"/>
              </w:rPr>
            </w:pPr>
            <w:r>
              <w:rPr>
                <w:rFonts w:ascii="宋体" w:hAnsi="宋体" w:cs="宋体" w:eastAsia="宋体" w:hint="default"/>
                <w:sz w:val="15"/>
                <w:szCs w:val="15"/>
              </w:rPr>
              <w:t>发明专利</w:t>
            </w: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381" w:lineRule="auto" w:before="44"/>
              <w:ind w:left="124" w:right="188"/>
              <w:jc w:val="left"/>
              <w:rPr>
                <w:rFonts w:ascii="宋体" w:hAnsi="宋体" w:cs="宋体" w:eastAsia="宋体" w:hint="default"/>
                <w:sz w:val="15"/>
                <w:szCs w:val="15"/>
              </w:rPr>
            </w:pPr>
            <w:r>
              <w:rPr>
                <w:rFonts w:ascii="宋体" w:hAnsi="宋体" w:cs="宋体" w:eastAsia="宋体" w:hint="default"/>
                <w:sz w:val="15"/>
                <w:szCs w:val="15"/>
              </w:rPr>
              <w:t>东方通 东方通泰</w:t>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15"/>
                <w:szCs w:val="15"/>
              </w:rPr>
            </w:pPr>
            <w:r>
              <w:rPr>
                <w:rFonts w:ascii="Times New Roman"/>
                <w:sz w:val="15"/>
              </w:rPr>
              <w:t>ZL</w:t>
            </w:r>
            <w:r>
              <w:rPr>
                <w:rFonts w:ascii="Times New Roman"/>
                <w:spacing w:val="-8"/>
                <w:sz w:val="15"/>
              </w:rPr>
              <w:t> </w:t>
            </w:r>
            <w:r>
              <w:rPr>
                <w:rFonts w:ascii="Times New Roman"/>
                <w:sz w:val="15"/>
              </w:rPr>
              <w:t>201210506416.1</w:t>
            </w:r>
          </w:p>
        </w:tc>
        <w:tc>
          <w:tcPr>
            <w:tcW w:w="120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1" w:right="0"/>
              <w:jc w:val="left"/>
              <w:rPr>
                <w:rFonts w:ascii="Times New Roman" w:hAnsi="Times New Roman" w:cs="Times New Roman" w:eastAsia="Times New Roman" w:hint="default"/>
                <w:sz w:val="15"/>
                <w:szCs w:val="15"/>
              </w:rPr>
            </w:pPr>
            <w:r>
              <w:rPr>
                <w:rFonts w:ascii="Times New Roman"/>
                <w:sz w:val="15"/>
              </w:rPr>
              <w:t>2012/11/30</w:t>
            </w:r>
          </w:p>
        </w:tc>
        <w:tc>
          <w:tcPr>
            <w:tcW w:w="100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6" w:right="0"/>
              <w:jc w:val="left"/>
              <w:rPr>
                <w:rFonts w:ascii="Times New Roman" w:hAnsi="Times New Roman" w:cs="Times New Roman" w:eastAsia="Times New Roman" w:hint="default"/>
                <w:sz w:val="15"/>
                <w:szCs w:val="15"/>
              </w:rPr>
            </w:pPr>
            <w:r>
              <w:rPr>
                <w:rFonts w:ascii="Times New Roman"/>
                <w:sz w:val="15"/>
              </w:rPr>
              <w:t>2015/6/10</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w:t>
            </w:r>
            <w:r>
              <w:rPr>
                <w:rFonts w:ascii="宋体" w:hAnsi="宋体" w:cs="宋体" w:eastAsia="宋体" w:hint="default"/>
                <w:sz w:val="15"/>
                <w:szCs w:val="15"/>
              </w:rPr>
              <w:t>年</w:t>
            </w:r>
          </w:p>
        </w:tc>
      </w:tr>
      <w:tr>
        <w:trPr>
          <w:trHeight w:val="654" w:hRule="exact"/>
        </w:trPr>
        <w:tc>
          <w:tcPr>
            <w:tcW w:w="46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7" w:right="0"/>
              <w:jc w:val="center"/>
              <w:rPr>
                <w:rFonts w:ascii="Times New Roman" w:hAnsi="Times New Roman" w:cs="Times New Roman" w:eastAsia="Times New Roman" w:hint="default"/>
                <w:sz w:val="15"/>
                <w:szCs w:val="15"/>
              </w:rPr>
            </w:pPr>
            <w:r>
              <w:rPr>
                <w:rFonts w:ascii="Times New Roman"/>
                <w:sz w:val="15"/>
              </w:rPr>
              <w:t>8</w:t>
            </w:r>
          </w:p>
        </w:tc>
        <w:tc>
          <w:tcPr>
            <w:tcW w:w="290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5"/>
                <w:szCs w:val="15"/>
              </w:rPr>
            </w:pPr>
            <w:r>
              <w:rPr>
                <w:rFonts w:ascii="宋体" w:hAnsi="宋体" w:cs="宋体" w:eastAsia="宋体" w:hint="default"/>
                <w:sz w:val="15"/>
                <w:szCs w:val="15"/>
              </w:rPr>
              <w:t>基于</w:t>
            </w:r>
            <w:r>
              <w:rPr>
                <w:rFonts w:ascii="Times New Roman" w:hAnsi="Times New Roman" w:cs="Times New Roman" w:eastAsia="Times New Roman" w:hint="default"/>
                <w:sz w:val="15"/>
                <w:szCs w:val="15"/>
              </w:rPr>
              <w:t>OSGI</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的类加载隔离系统和方法</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5"/>
                <w:szCs w:val="15"/>
              </w:rPr>
            </w:pPr>
            <w:r>
              <w:rPr>
                <w:rFonts w:ascii="宋体" w:hAnsi="宋体" w:cs="宋体" w:eastAsia="宋体" w:hint="default"/>
                <w:sz w:val="15"/>
                <w:szCs w:val="15"/>
              </w:rPr>
              <w:t>发明专利</w:t>
            </w: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381" w:lineRule="auto" w:before="44"/>
              <w:ind w:left="124" w:right="188"/>
              <w:jc w:val="left"/>
              <w:rPr>
                <w:rFonts w:ascii="宋体" w:hAnsi="宋体" w:cs="宋体" w:eastAsia="宋体" w:hint="default"/>
                <w:sz w:val="15"/>
                <w:szCs w:val="15"/>
              </w:rPr>
            </w:pPr>
            <w:r>
              <w:rPr>
                <w:rFonts w:ascii="宋体" w:hAnsi="宋体" w:cs="宋体" w:eastAsia="宋体" w:hint="default"/>
                <w:sz w:val="15"/>
                <w:szCs w:val="15"/>
              </w:rPr>
              <w:t>东方通 东方通泰</w:t>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15"/>
                <w:szCs w:val="15"/>
              </w:rPr>
            </w:pPr>
            <w:r>
              <w:rPr>
                <w:rFonts w:ascii="Times New Roman"/>
                <w:sz w:val="15"/>
              </w:rPr>
              <w:t>ZL</w:t>
            </w:r>
            <w:r>
              <w:rPr>
                <w:rFonts w:ascii="Times New Roman"/>
                <w:spacing w:val="-8"/>
                <w:sz w:val="15"/>
              </w:rPr>
              <w:t> </w:t>
            </w:r>
            <w:r>
              <w:rPr>
                <w:rFonts w:ascii="Times New Roman"/>
                <w:sz w:val="15"/>
              </w:rPr>
              <w:t>201310026972.3</w:t>
            </w:r>
          </w:p>
        </w:tc>
        <w:tc>
          <w:tcPr>
            <w:tcW w:w="120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1" w:right="0"/>
              <w:jc w:val="left"/>
              <w:rPr>
                <w:rFonts w:ascii="Times New Roman" w:hAnsi="Times New Roman" w:cs="Times New Roman" w:eastAsia="Times New Roman" w:hint="default"/>
                <w:sz w:val="15"/>
                <w:szCs w:val="15"/>
              </w:rPr>
            </w:pPr>
            <w:r>
              <w:rPr>
                <w:rFonts w:ascii="Times New Roman"/>
                <w:sz w:val="15"/>
              </w:rPr>
              <w:t>2013/1/21</w:t>
            </w:r>
          </w:p>
        </w:tc>
        <w:tc>
          <w:tcPr>
            <w:tcW w:w="100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6" w:right="0"/>
              <w:jc w:val="left"/>
              <w:rPr>
                <w:rFonts w:ascii="Times New Roman" w:hAnsi="Times New Roman" w:cs="Times New Roman" w:eastAsia="Times New Roman" w:hint="default"/>
                <w:sz w:val="15"/>
                <w:szCs w:val="15"/>
              </w:rPr>
            </w:pPr>
            <w:r>
              <w:rPr>
                <w:rFonts w:ascii="Times New Roman"/>
                <w:sz w:val="15"/>
              </w:rPr>
              <w:t>2016/4/27</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w:t>
            </w:r>
            <w:r>
              <w:rPr>
                <w:rFonts w:ascii="宋体" w:hAnsi="宋体" w:cs="宋体" w:eastAsia="宋体" w:hint="default"/>
                <w:sz w:val="15"/>
                <w:szCs w:val="15"/>
              </w:rPr>
              <w:t>年</w:t>
            </w:r>
          </w:p>
        </w:tc>
      </w:tr>
      <w:tr>
        <w:trPr>
          <w:trHeight w:val="654" w:hRule="exact"/>
        </w:trPr>
        <w:tc>
          <w:tcPr>
            <w:tcW w:w="46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7" w:right="0"/>
              <w:jc w:val="center"/>
              <w:rPr>
                <w:rFonts w:ascii="Times New Roman" w:hAnsi="Times New Roman" w:cs="Times New Roman" w:eastAsia="Times New Roman" w:hint="default"/>
                <w:sz w:val="15"/>
                <w:szCs w:val="15"/>
              </w:rPr>
            </w:pPr>
            <w:r>
              <w:rPr>
                <w:rFonts w:ascii="Times New Roman"/>
                <w:sz w:val="15"/>
              </w:rPr>
              <w:t>9</w:t>
            </w:r>
          </w:p>
        </w:tc>
        <w:tc>
          <w:tcPr>
            <w:tcW w:w="290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5"/>
                <w:szCs w:val="15"/>
              </w:rPr>
            </w:pPr>
            <w:r>
              <w:rPr>
                <w:rFonts w:ascii="宋体" w:hAnsi="宋体" w:cs="宋体" w:eastAsia="宋体" w:hint="default"/>
                <w:sz w:val="15"/>
                <w:szCs w:val="15"/>
              </w:rPr>
              <w:t>客户端集群访问方法及装置</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5"/>
                <w:szCs w:val="15"/>
              </w:rPr>
            </w:pPr>
            <w:r>
              <w:rPr>
                <w:rFonts w:ascii="宋体" w:hAnsi="宋体" w:cs="宋体" w:eastAsia="宋体" w:hint="default"/>
                <w:sz w:val="15"/>
                <w:szCs w:val="15"/>
              </w:rPr>
              <w:t>发明专利</w:t>
            </w: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381" w:lineRule="auto" w:before="44"/>
              <w:ind w:left="124" w:right="188"/>
              <w:jc w:val="left"/>
              <w:rPr>
                <w:rFonts w:ascii="宋体" w:hAnsi="宋体" w:cs="宋体" w:eastAsia="宋体" w:hint="default"/>
                <w:sz w:val="15"/>
                <w:szCs w:val="15"/>
              </w:rPr>
            </w:pPr>
            <w:r>
              <w:rPr>
                <w:rFonts w:ascii="宋体" w:hAnsi="宋体" w:cs="宋体" w:eastAsia="宋体" w:hint="default"/>
                <w:sz w:val="15"/>
                <w:szCs w:val="15"/>
              </w:rPr>
              <w:t>东方通 东方通泰</w:t>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15"/>
                <w:szCs w:val="15"/>
              </w:rPr>
            </w:pPr>
            <w:r>
              <w:rPr>
                <w:rFonts w:ascii="Times New Roman"/>
                <w:sz w:val="15"/>
              </w:rPr>
              <w:t>ZL</w:t>
            </w:r>
            <w:r>
              <w:rPr>
                <w:rFonts w:ascii="Times New Roman"/>
                <w:spacing w:val="-8"/>
                <w:sz w:val="15"/>
              </w:rPr>
              <w:t> </w:t>
            </w:r>
            <w:r>
              <w:rPr>
                <w:rFonts w:ascii="Times New Roman"/>
                <w:sz w:val="15"/>
              </w:rPr>
              <w:t>201210547829.4</w:t>
            </w:r>
          </w:p>
        </w:tc>
        <w:tc>
          <w:tcPr>
            <w:tcW w:w="120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1" w:right="0"/>
              <w:jc w:val="left"/>
              <w:rPr>
                <w:rFonts w:ascii="Times New Roman" w:hAnsi="Times New Roman" w:cs="Times New Roman" w:eastAsia="Times New Roman" w:hint="default"/>
                <w:sz w:val="15"/>
                <w:szCs w:val="15"/>
              </w:rPr>
            </w:pPr>
            <w:r>
              <w:rPr>
                <w:rFonts w:ascii="Times New Roman"/>
                <w:sz w:val="15"/>
              </w:rPr>
              <w:t>2012/12/14</w:t>
            </w:r>
          </w:p>
        </w:tc>
        <w:tc>
          <w:tcPr>
            <w:tcW w:w="100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6" w:right="0"/>
              <w:jc w:val="left"/>
              <w:rPr>
                <w:rFonts w:ascii="Times New Roman" w:hAnsi="Times New Roman" w:cs="Times New Roman" w:eastAsia="Times New Roman" w:hint="default"/>
                <w:sz w:val="15"/>
                <w:szCs w:val="15"/>
              </w:rPr>
            </w:pPr>
            <w:r>
              <w:rPr>
                <w:rFonts w:ascii="Times New Roman"/>
                <w:sz w:val="15"/>
              </w:rPr>
              <w:t>2018/2/27</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w:t>
            </w:r>
            <w:r>
              <w:rPr>
                <w:rFonts w:ascii="宋体" w:hAnsi="宋体" w:cs="宋体" w:eastAsia="宋体" w:hint="default"/>
                <w:sz w:val="15"/>
                <w:szCs w:val="15"/>
              </w:rPr>
              <w:t>年</w:t>
            </w:r>
          </w:p>
        </w:tc>
      </w:tr>
      <w:tr>
        <w:trPr>
          <w:trHeight w:val="654" w:hRule="exact"/>
        </w:trPr>
        <w:tc>
          <w:tcPr>
            <w:tcW w:w="46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6" w:right="0"/>
              <w:jc w:val="center"/>
              <w:rPr>
                <w:rFonts w:ascii="Times New Roman" w:hAnsi="Times New Roman" w:cs="Times New Roman" w:eastAsia="Times New Roman" w:hint="default"/>
                <w:sz w:val="15"/>
                <w:szCs w:val="15"/>
              </w:rPr>
            </w:pPr>
            <w:r>
              <w:rPr>
                <w:rFonts w:ascii="Times New Roman"/>
                <w:sz w:val="15"/>
              </w:rPr>
              <w:t>10</w:t>
            </w:r>
          </w:p>
        </w:tc>
        <w:tc>
          <w:tcPr>
            <w:tcW w:w="2904" w:type="dxa"/>
            <w:tcBorders>
              <w:top w:val="single" w:sz="4" w:space="0" w:color="000000"/>
              <w:left w:val="nil" w:sz="6" w:space="0" w:color="auto"/>
              <w:bottom w:val="single" w:sz="4" w:space="0" w:color="000000"/>
              <w:right w:val="nil" w:sz="6" w:space="0" w:color="auto"/>
            </w:tcBorders>
          </w:tcPr>
          <w:p>
            <w:pPr>
              <w:pStyle w:val="TableParagraph"/>
              <w:spacing w:line="360" w:lineRule="auto" w:before="44"/>
              <w:ind w:left="57" w:right="127"/>
              <w:jc w:val="left"/>
              <w:rPr>
                <w:rFonts w:ascii="宋体" w:hAnsi="宋体" w:cs="宋体" w:eastAsia="宋体" w:hint="default"/>
                <w:sz w:val="15"/>
                <w:szCs w:val="15"/>
              </w:rPr>
            </w:pPr>
            <w:r>
              <w:rPr>
                <w:rFonts w:ascii="宋体" w:hAnsi="宋体" w:cs="宋体" w:eastAsia="宋体" w:hint="default"/>
                <w:sz w:val="15"/>
                <w:szCs w:val="15"/>
              </w:rPr>
              <w:t>一种无线互联网</w:t>
            </w:r>
            <w:r>
              <w:rPr>
                <w:rFonts w:ascii="Times New Roman" w:hAnsi="Times New Roman" w:cs="Times New Roman" w:eastAsia="Times New Roman" w:hint="default"/>
                <w:sz w:val="15"/>
                <w:szCs w:val="15"/>
              </w:rPr>
              <w:t>SP</w:t>
            </w:r>
            <w:r>
              <w:rPr>
                <w:rFonts w:ascii="宋体" w:hAnsi="宋体" w:cs="宋体" w:eastAsia="宋体" w:hint="default"/>
                <w:sz w:val="15"/>
                <w:szCs w:val="15"/>
              </w:rPr>
              <w:t>业务</w:t>
            </w:r>
            <w:r>
              <w:rPr>
                <w:rFonts w:ascii="Times New Roman" w:hAnsi="Times New Roman" w:cs="Times New Roman" w:eastAsia="Times New Roman" w:hint="default"/>
                <w:sz w:val="15"/>
                <w:szCs w:val="15"/>
              </w:rPr>
              <w:t>URL</w:t>
            </w:r>
            <w:r>
              <w:rPr>
                <w:rFonts w:ascii="宋体" w:hAnsi="宋体" w:cs="宋体" w:eastAsia="宋体" w:hint="default"/>
                <w:sz w:val="15"/>
                <w:szCs w:val="15"/>
              </w:rPr>
              <w:t>的记录方法及 系统</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5"/>
                <w:szCs w:val="15"/>
              </w:rPr>
            </w:pPr>
            <w:r>
              <w:rPr>
                <w:rFonts w:ascii="宋体" w:hAnsi="宋体" w:cs="宋体" w:eastAsia="宋体" w:hint="default"/>
                <w:sz w:val="15"/>
                <w:szCs w:val="15"/>
              </w:rPr>
              <w:t>发明专利</w:t>
            </w: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381" w:lineRule="auto" w:before="44"/>
              <w:ind w:left="124" w:right="188"/>
              <w:jc w:val="left"/>
              <w:rPr>
                <w:rFonts w:ascii="宋体" w:hAnsi="宋体" w:cs="宋体" w:eastAsia="宋体" w:hint="default"/>
                <w:sz w:val="15"/>
                <w:szCs w:val="15"/>
              </w:rPr>
            </w:pPr>
            <w:r>
              <w:rPr>
                <w:rFonts w:ascii="宋体" w:hAnsi="宋体" w:cs="宋体" w:eastAsia="宋体" w:hint="default"/>
                <w:sz w:val="15"/>
                <w:szCs w:val="15"/>
              </w:rPr>
              <w:t>微智信业 中国联通</w:t>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15"/>
                <w:szCs w:val="15"/>
              </w:rPr>
            </w:pPr>
            <w:r>
              <w:rPr>
                <w:rFonts w:ascii="Times New Roman"/>
                <w:sz w:val="15"/>
              </w:rPr>
              <w:t>ZL 2008 1</w:t>
            </w:r>
            <w:r>
              <w:rPr>
                <w:rFonts w:ascii="Times New Roman"/>
                <w:spacing w:val="-8"/>
                <w:sz w:val="15"/>
              </w:rPr>
              <w:t> </w:t>
            </w:r>
            <w:r>
              <w:rPr>
                <w:rFonts w:ascii="Times New Roman"/>
                <w:sz w:val="15"/>
              </w:rPr>
              <w:t>0114519.7</w:t>
            </w:r>
          </w:p>
        </w:tc>
        <w:tc>
          <w:tcPr>
            <w:tcW w:w="120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1" w:right="0"/>
              <w:jc w:val="left"/>
              <w:rPr>
                <w:rFonts w:ascii="Times New Roman" w:hAnsi="Times New Roman" w:cs="Times New Roman" w:eastAsia="Times New Roman" w:hint="default"/>
                <w:sz w:val="15"/>
                <w:szCs w:val="15"/>
              </w:rPr>
            </w:pPr>
            <w:r>
              <w:rPr>
                <w:rFonts w:ascii="Times New Roman"/>
                <w:sz w:val="15"/>
              </w:rPr>
              <w:t>2008/6/6</w:t>
            </w:r>
          </w:p>
        </w:tc>
        <w:tc>
          <w:tcPr>
            <w:tcW w:w="100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6" w:right="0"/>
              <w:jc w:val="left"/>
              <w:rPr>
                <w:rFonts w:ascii="Times New Roman" w:hAnsi="Times New Roman" w:cs="Times New Roman" w:eastAsia="Times New Roman" w:hint="default"/>
                <w:sz w:val="15"/>
                <w:szCs w:val="15"/>
              </w:rPr>
            </w:pPr>
            <w:r>
              <w:rPr>
                <w:rFonts w:ascii="Times New Roman"/>
                <w:sz w:val="15"/>
              </w:rPr>
              <w:t>2012/2/15</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w:t>
            </w:r>
            <w:r>
              <w:rPr>
                <w:rFonts w:ascii="宋体" w:hAnsi="宋体" w:cs="宋体" w:eastAsia="宋体" w:hint="default"/>
                <w:sz w:val="15"/>
                <w:szCs w:val="15"/>
              </w:rPr>
              <w:t>年</w:t>
            </w:r>
          </w:p>
        </w:tc>
      </w:tr>
      <w:tr>
        <w:trPr>
          <w:trHeight w:val="654" w:hRule="exact"/>
        </w:trPr>
        <w:tc>
          <w:tcPr>
            <w:tcW w:w="465"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6" w:right="0"/>
              <w:jc w:val="center"/>
              <w:rPr>
                <w:rFonts w:ascii="Times New Roman" w:hAnsi="Times New Roman" w:cs="Times New Roman" w:eastAsia="Times New Roman" w:hint="default"/>
                <w:sz w:val="15"/>
                <w:szCs w:val="15"/>
              </w:rPr>
            </w:pPr>
            <w:r>
              <w:rPr>
                <w:rFonts w:ascii="Times New Roman"/>
                <w:sz w:val="15"/>
              </w:rPr>
              <w:t>11</w:t>
            </w:r>
          </w:p>
        </w:tc>
        <w:tc>
          <w:tcPr>
            <w:tcW w:w="2904" w:type="dxa"/>
            <w:tcBorders>
              <w:top w:val="single" w:sz="4" w:space="0" w:color="000000"/>
              <w:left w:val="nil" w:sz="6" w:space="0" w:color="auto"/>
              <w:bottom w:val="single" w:sz="4" w:space="0" w:color="000000"/>
              <w:right w:val="nil" w:sz="6" w:space="0" w:color="auto"/>
            </w:tcBorders>
          </w:tcPr>
          <w:p>
            <w:pPr>
              <w:pStyle w:val="TableParagraph"/>
              <w:spacing w:line="381" w:lineRule="auto" w:before="44"/>
              <w:ind w:left="57" w:right="7"/>
              <w:jc w:val="left"/>
              <w:rPr>
                <w:rFonts w:ascii="宋体" w:hAnsi="宋体" w:cs="宋体" w:eastAsia="宋体" w:hint="default"/>
                <w:sz w:val="15"/>
                <w:szCs w:val="15"/>
              </w:rPr>
            </w:pPr>
            <w:r>
              <w:rPr>
                <w:rFonts w:ascii="宋体" w:hAnsi="宋体" w:cs="宋体" w:eastAsia="宋体" w:hint="default"/>
                <w:spacing w:val="-1"/>
                <w:sz w:val="15"/>
                <w:szCs w:val="15"/>
              </w:rPr>
              <w:t>图像指纹提取方法及其设备、信息过滤及其</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系统</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5"/>
                <w:szCs w:val="15"/>
              </w:rPr>
            </w:pPr>
            <w:r>
              <w:rPr>
                <w:rFonts w:ascii="宋体" w:hAnsi="宋体" w:cs="宋体" w:eastAsia="宋体" w:hint="default"/>
                <w:sz w:val="15"/>
                <w:szCs w:val="15"/>
              </w:rPr>
              <w:t>发明专利</w:t>
            </w: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5"/>
                <w:szCs w:val="15"/>
              </w:rPr>
            </w:pPr>
            <w:r>
              <w:rPr>
                <w:rFonts w:ascii="宋体" w:hAnsi="宋体" w:cs="宋体" w:eastAsia="宋体" w:hint="default"/>
                <w:sz w:val="15"/>
                <w:szCs w:val="15"/>
              </w:rPr>
              <w:t>微智信业</w:t>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9" w:right="0"/>
              <w:jc w:val="left"/>
              <w:rPr>
                <w:rFonts w:ascii="Times New Roman" w:hAnsi="Times New Roman" w:cs="Times New Roman" w:eastAsia="Times New Roman" w:hint="default"/>
                <w:sz w:val="15"/>
                <w:szCs w:val="15"/>
              </w:rPr>
            </w:pPr>
            <w:r>
              <w:rPr>
                <w:rFonts w:ascii="Times New Roman"/>
                <w:sz w:val="15"/>
              </w:rPr>
              <w:t>ZL</w:t>
            </w:r>
            <w:r>
              <w:rPr>
                <w:rFonts w:ascii="Times New Roman"/>
                <w:spacing w:val="-8"/>
                <w:sz w:val="15"/>
              </w:rPr>
              <w:t> </w:t>
            </w:r>
            <w:r>
              <w:rPr>
                <w:rFonts w:ascii="Times New Roman"/>
                <w:sz w:val="15"/>
              </w:rPr>
              <w:t>201010112716.2</w:t>
            </w:r>
          </w:p>
        </w:tc>
        <w:tc>
          <w:tcPr>
            <w:tcW w:w="1201"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1" w:right="0"/>
              <w:jc w:val="left"/>
              <w:rPr>
                <w:rFonts w:ascii="Times New Roman" w:hAnsi="Times New Roman" w:cs="Times New Roman" w:eastAsia="Times New Roman" w:hint="default"/>
                <w:sz w:val="15"/>
                <w:szCs w:val="15"/>
              </w:rPr>
            </w:pPr>
            <w:r>
              <w:rPr>
                <w:rFonts w:ascii="Times New Roman"/>
                <w:sz w:val="15"/>
              </w:rPr>
              <w:t>2010/2/24</w:t>
            </w:r>
          </w:p>
        </w:tc>
        <w:tc>
          <w:tcPr>
            <w:tcW w:w="1003"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6" w:right="0"/>
              <w:jc w:val="left"/>
              <w:rPr>
                <w:rFonts w:ascii="Times New Roman" w:hAnsi="Times New Roman" w:cs="Times New Roman" w:eastAsia="Times New Roman" w:hint="default"/>
                <w:sz w:val="15"/>
                <w:szCs w:val="15"/>
              </w:rPr>
            </w:pPr>
            <w:r>
              <w:rPr>
                <w:rFonts w:ascii="Times New Roman"/>
                <w:sz w:val="15"/>
              </w:rPr>
              <w:t>2013/9/25</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w:t>
            </w:r>
            <w:r>
              <w:rPr>
                <w:rFonts w:ascii="宋体" w:hAnsi="宋体" w:cs="宋体" w:eastAsia="宋体" w:hint="default"/>
                <w:sz w:val="15"/>
                <w:szCs w:val="15"/>
              </w:rPr>
              <w:t>年</w:t>
            </w:r>
          </w:p>
        </w:tc>
      </w:tr>
      <w:tr>
        <w:trPr>
          <w:trHeight w:val="343" w:hRule="exact"/>
        </w:trPr>
        <w:tc>
          <w:tcPr>
            <w:tcW w:w="465"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46" w:right="0"/>
              <w:jc w:val="center"/>
              <w:rPr>
                <w:rFonts w:ascii="Times New Roman" w:hAnsi="Times New Roman" w:cs="Times New Roman" w:eastAsia="Times New Roman" w:hint="default"/>
                <w:sz w:val="15"/>
                <w:szCs w:val="15"/>
              </w:rPr>
            </w:pPr>
            <w:r>
              <w:rPr>
                <w:rFonts w:ascii="Times New Roman"/>
                <w:sz w:val="15"/>
              </w:rPr>
              <w:t>12</w:t>
            </w:r>
          </w:p>
        </w:tc>
        <w:tc>
          <w:tcPr>
            <w:tcW w:w="2904"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57" w:right="0"/>
              <w:jc w:val="left"/>
              <w:rPr>
                <w:rFonts w:ascii="宋体" w:hAnsi="宋体" w:cs="宋体" w:eastAsia="宋体" w:hint="default"/>
                <w:sz w:val="15"/>
                <w:szCs w:val="15"/>
              </w:rPr>
            </w:pPr>
            <w:r>
              <w:rPr>
                <w:rFonts w:ascii="宋体" w:hAnsi="宋体" w:cs="宋体" w:eastAsia="宋体" w:hint="default"/>
                <w:sz w:val="15"/>
                <w:szCs w:val="15"/>
              </w:rPr>
              <w:t>JavaEE</w:t>
            </w:r>
            <w:r>
              <w:rPr>
                <w:rFonts w:ascii="宋体" w:hAnsi="宋体" w:cs="宋体" w:eastAsia="宋体" w:hint="default"/>
                <w:sz w:val="15"/>
                <w:szCs w:val="15"/>
              </w:rPr>
              <w:t>应用类加载冲突分析方法和装置</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9" w:right="0"/>
              <w:jc w:val="left"/>
              <w:rPr>
                <w:rFonts w:ascii="宋体" w:hAnsi="宋体" w:cs="宋体" w:eastAsia="宋体" w:hint="default"/>
                <w:sz w:val="15"/>
                <w:szCs w:val="15"/>
              </w:rPr>
            </w:pPr>
            <w:r>
              <w:rPr>
                <w:rFonts w:ascii="宋体" w:hAnsi="宋体" w:cs="宋体" w:eastAsia="宋体" w:hint="default"/>
                <w:sz w:val="15"/>
                <w:szCs w:val="15"/>
              </w:rPr>
              <w:t>发明专利</w:t>
            </w: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24" w:right="0"/>
              <w:jc w:val="left"/>
              <w:rPr>
                <w:rFonts w:ascii="宋体" w:hAnsi="宋体" w:cs="宋体" w:eastAsia="宋体" w:hint="default"/>
                <w:sz w:val="15"/>
                <w:szCs w:val="15"/>
              </w:rPr>
            </w:pPr>
            <w:r>
              <w:rPr>
                <w:rFonts w:ascii="宋体" w:hAnsi="宋体" w:cs="宋体" w:eastAsia="宋体" w:hint="default"/>
                <w:sz w:val="15"/>
                <w:szCs w:val="15"/>
              </w:rPr>
              <w:t>东方通</w:t>
            </w: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69" w:right="0"/>
              <w:jc w:val="left"/>
              <w:rPr>
                <w:rFonts w:ascii="宋体" w:hAnsi="宋体" w:cs="宋体" w:eastAsia="宋体" w:hint="default"/>
                <w:sz w:val="15"/>
                <w:szCs w:val="15"/>
              </w:rPr>
            </w:pPr>
            <w:r>
              <w:rPr>
                <w:rFonts w:ascii="宋体"/>
                <w:sz w:val="15"/>
              </w:rPr>
              <w:t>201510121221.9</w:t>
            </w:r>
          </w:p>
        </w:tc>
        <w:tc>
          <w:tcPr>
            <w:tcW w:w="1201" w:type="dxa"/>
            <w:tcBorders>
              <w:top w:val="single" w:sz="4" w:space="0" w:color="000000"/>
              <w:left w:val="nil" w:sz="6" w:space="0" w:color="auto"/>
              <w:bottom w:val="single" w:sz="4" w:space="0" w:color="000000"/>
              <w:right w:val="nil" w:sz="6" w:space="0" w:color="auto"/>
            </w:tcBorders>
          </w:tcPr>
          <w:p>
            <w:pPr/>
          </w:p>
        </w:tc>
        <w:tc>
          <w:tcPr>
            <w:tcW w:w="1003" w:type="dxa"/>
            <w:tcBorders>
              <w:top w:val="single" w:sz="4" w:space="0" w:color="000000"/>
              <w:left w:val="nil" w:sz="6" w:space="0" w:color="auto"/>
              <w:bottom w:val="single" w:sz="4" w:space="0" w:color="000000"/>
              <w:right w:val="nil" w:sz="6" w:space="0" w:color="auto"/>
            </w:tcBorders>
          </w:tcPr>
          <w:p>
            <w:pPr/>
          </w:p>
        </w:tc>
        <w:tc>
          <w:tcPr>
            <w:tcW w:w="708" w:type="dxa"/>
            <w:tcBorders>
              <w:top w:val="single" w:sz="4" w:space="0" w:color="000000"/>
              <w:left w:val="nil" w:sz="6" w:space="0" w:color="auto"/>
              <w:bottom w:val="single" w:sz="4" w:space="0" w:color="000000"/>
              <w:right w:val="nil" w:sz="6" w:space="0" w:color="auto"/>
            </w:tcBorders>
          </w:tcPr>
          <w:p>
            <w:pPr/>
          </w:p>
        </w:tc>
      </w:tr>
    </w:tbl>
    <w:p>
      <w:pPr>
        <w:spacing w:line="240" w:lineRule="auto" w:before="5"/>
        <w:rPr>
          <w:rFonts w:ascii="宋体" w:hAnsi="宋体" w:cs="宋体" w:eastAsia="宋体" w:hint="default"/>
          <w:sz w:val="24"/>
          <w:szCs w:val="24"/>
        </w:rPr>
      </w:pPr>
    </w:p>
    <w:p>
      <w:pPr>
        <w:pStyle w:val="BodyText"/>
        <w:spacing w:line="240" w:lineRule="auto" w:before="44"/>
        <w:ind w:left="1494" w:right="1033"/>
        <w:jc w:val="left"/>
      </w:pPr>
      <w:r>
        <w:rPr/>
        <w:t>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日，公司及全资子公司拥有商标情况如下表：</w:t>
      </w:r>
    </w:p>
    <w:p>
      <w:pPr>
        <w:spacing w:after="0" w:line="240" w:lineRule="auto"/>
        <w:jc w:val="left"/>
        <w:sectPr>
          <w:pgSz w:w="11910" w:h="16840"/>
          <w:pgMar w:header="747" w:footer="979" w:top="1060" w:bottom="1160" w:left="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24" w:type="dxa"/>
        <w:tblLayout w:type="fixed"/>
        <w:tblCellMar>
          <w:top w:w="0" w:type="dxa"/>
          <w:left w:w="0" w:type="dxa"/>
          <w:bottom w:w="0" w:type="dxa"/>
          <w:right w:w="0" w:type="dxa"/>
        </w:tblCellMar>
        <w:tblLook w:val="01E0"/>
      </w:tblPr>
      <w:tblGrid>
        <w:gridCol w:w="797"/>
        <w:gridCol w:w="3266"/>
        <w:gridCol w:w="1157"/>
        <w:gridCol w:w="1041"/>
        <w:gridCol w:w="1178"/>
        <w:gridCol w:w="1080"/>
        <w:gridCol w:w="1140"/>
      </w:tblGrid>
      <w:tr>
        <w:trPr>
          <w:trHeight w:val="332" w:hRule="exact"/>
        </w:trPr>
        <w:tc>
          <w:tcPr>
            <w:tcW w:w="797" w:type="dxa"/>
            <w:tcBorders>
              <w:top w:val="single" w:sz="6" w:space="0" w:color="000000"/>
              <w:left w:val="nil" w:sz="6" w:space="0" w:color="auto"/>
              <w:bottom w:val="single" w:sz="4" w:space="0" w:color="000000"/>
              <w:right w:val="nil" w:sz="6" w:space="0" w:color="auto"/>
            </w:tcBorders>
          </w:tcPr>
          <w:p>
            <w:pPr/>
          </w:p>
        </w:tc>
        <w:tc>
          <w:tcPr>
            <w:tcW w:w="3266" w:type="dxa"/>
            <w:tcBorders>
              <w:top w:val="single" w:sz="6" w:space="0" w:color="000000"/>
              <w:left w:val="nil" w:sz="6" w:space="0" w:color="auto"/>
              <w:bottom w:val="single" w:sz="4" w:space="0" w:color="000000"/>
              <w:right w:val="nil" w:sz="6" w:space="0" w:color="auto"/>
            </w:tcBorders>
          </w:tcPr>
          <w:p>
            <w:pPr/>
          </w:p>
        </w:tc>
        <w:tc>
          <w:tcPr>
            <w:tcW w:w="1157" w:type="dxa"/>
            <w:tcBorders>
              <w:top w:val="single" w:sz="6" w:space="0" w:color="000000"/>
              <w:left w:val="nil" w:sz="6" w:space="0" w:color="auto"/>
              <w:bottom w:val="single" w:sz="4" w:space="0" w:color="000000"/>
              <w:right w:val="nil" w:sz="6" w:space="0" w:color="auto"/>
            </w:tcBorders>
          </w:tcPr>
          <w:p>
            <w:pPr/>
          </w:p>
        </w:tc>
        <w:tc>
          <w:tcPr>
            <w:tcW w:w="1041" w:type="dxa"/>
            <w:tcBorders>
              <w:top w:val="single" w:sz="6" w:space="0" w:color="000000"/>
              <w:left w:val="nil" w:sz="6" w:space="0" w:color="auto"/>
              <w:bottom w:val="single" w:sz="4" w:space="0" w:color="000000"/>
              <w:right w:val="nil" w:sz="6" w:space="0" w:color="auto"/>
            </w:tcBorders>
          </w:tcPr>
          <w:p>
            <w:pPr/>
          </w:p>
        </w:tc>
        <w:tc>
          <w:tcPr>
            <w:tcW w:w="1178" w:type="dxa"/>
            <w:tcBorders>
              <w:top w:val="single" w:sz="6" w:space="0" w:color="000000"/>
              <w:left w:val="nil" w:sz="6" w:space="0" w:color="auto"/>
              <w:bottom w:val="single" w:sz="4" w:space="0" w:color="000000"/>
              <w:right w:val="nil" w:sz="6" w:space="0" w:color="auto"/>
            </w:tcBorders>
          </w:tcPr>
          <w:p>
            <w:pPr/>
          </w:p>
        </w:tc>
        <w:tc>
          <w:tcPr>
            <w:tcW w:w="1080" w:type="dxa"/>
            <w:tcBorders>
              <w:top w:val="single" w:sz="6" w:space="0" w:color="000000"/>
              <w:left w:val="nil" w:sz="6" w:space="0" w:color="auto"/>
              <w:bottom w:val="single" w:sz="4" w:space="0" w:color="000000"/>
              <w:right w:val="nil" w:sz="6" w:space="0" w:color="auto"/>
            </w:tcBorders>
          </w:tcPr>
          <w:p>
            <w:pPr/>
          </w:p>
        </w:tc>
        <w:tc>
          <w:tcPr>
            <w:tcW w:w="1140" w:type="dxa"/>
            <w:tcBorders>
              <w:top w:val="single" w:sz="6" w:space="0" w:color="000000"/>
              <w:left w:val="nil" w:sz="6" w:space="0" w:color="auto"/>
              <w:bottom w:val="single" w:sz="4" w:space="0" w:color="000000"/>
              <w:right w:val="nil" w:sz="6" w:space="0" w:color="auto"/>
            </w:tcBorders>
          </w:tcPr>
          <w:p>
            <w:pPr/>
          </w:p>
        </w:tc>
      </w:tr>
      <w:tr>
        <w:trPr>
          <w:trHeight w:val="654" w:hRule="exact"/>
        </w:trPr>
        <w:tc>
          <w:tcPr>
            <w:tcW w:w="797"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56"/>
              <w:jc w:val="center"/>
              <w:rPr>
                <w:rFonts w:ascii="宋体" w:hAnsi="宋体" w:cs="宋体" w:eastAsia="宋体" w:hint="default"/>
                <w:sz w:val="15"/>
                <w:szCs w:val="15"/>
              </w:rPr>
            </w:pPr>
            <w:r>
              <w:rPr>
                <w:rFonts w:ascii="宋体" w:hAnsi="宋体" w:cs="宋体" w:eastAsia="宋体" w:hint="default"/>
                <w:b/>
                <w:bCs/>
                <w:sz w:val="15"/>
                <w:szCs w:val="15"/>
              </w:rPr>
              <w:t>序号</w:t>
            </w:r>
            <w:r>
              <w:rPr>
                <w:rFonts w:ascii="宋体" w:hAnsi="宋体" w:cs="宋体" w:eastAsia="宋体" w:hint="default"/>
                <w:sz w:val="15"/>
                <w:szCs w:val="15"/>
              </w:rPr>
            </w:r>
          </w:p>
        </w:tc>
        <w:tc>
          <w:tcPr>
            <w:tcW w:w="3266"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center"/>
              <w:rPr>
                <w:rFonts w:ascii="宋体" w:hAnsi="宋体" w:cs="宋体" w:eastAsia="宋体" w:hint="default"/>
                <w:sz w:val="15"/>
                <w:szCs w:val="15"/>
              </w:rPr>
            </w:pPr>
            <w:r>
              <w:rPr>
                <w:rFonts w:ascii="宋体" w:hAnsi="宋体" w:cs="宋体" w:eastAsia="宋体" w:hint="default"/>
                <w:b/>
                <w:bCs/>
                <w:sz w:val="15"/>
                <w:szCs w:val="15"/>
              </w:rPr>
              <w:t>商标图样</w:t>
            </w:r>
            <w:r>
              <w:rPr>
                <w:rFonts w:ascii="宋体" w:hAnsi="宋体" w:cs="宋体" w:eastAsia="宋体" w:hint="default"/>
                <w:sz w:val="15"/>
                <w:szCs w:val="15"/>
              </w:rPr>
            </w:r>
          </w:p>
        </w:tc>
        <w:tc>
          <w:tcPr>
            <w:tcW w:w="1157"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381" w:lineRule="auto" w:before="44"/>
              <w:ind w:left="347" w:right="205" w:firstLine="150"/>
              <w:jc w:val="left"/>
              <w:rPr>
                <w:rFonts w:ascii="宋体" w:hAnsi="宋体" w:cs="宋体" w:eastAsia="宋体" w:hint="default"/>
                <w:sz w:val="15"/>
                <w:szCs w:val="15"/>
              </w:rPr>
            </w:pPr>
            <w:r>
              <w:rPr>
                <w:rFonts w:ascii="宋体" w:hAnsi="宋体" w:cs="宋体" w:eastAsia="宋体" w:hint="default"/>
                <w:b/>
                <w:bCs/>
                <w:sz w:val="15"/>
                <w:szCs w:val="15"/>
              </w:rPr>
              <w:t>核定</w:t>
            </w:r>
            <w:r>
              <w:rPr>
                <w:rFonts w:ascii="宋体" w:hAnsi="宋体" w:cs="宋体" w:eastAsia="宋体" w:hint="default"/>
                <w:b/>
                <w:bCs/>
                <w:spacing w:val="1"/>
                <w:w w:val="99"/>
                <w:sz w:val="15"/>
                <w:szCs w:val="15"/>
              </w:rPr>
              <w:t> </w:t>
            </w:r>
            <w:r>
              <w:rPr>
                <w:rFonts w:ascii="宋体" w:hAnsi="宋体" w:cs="宋体" w:eastAsia="宋体" w:hint="default"/>
                <w:b/>
                <w:bCs/>
                <w:sz w:val="15"/>
                <w:szCs w:val="15"/>
              </w:rPr>
              <w:t>服务项目</w:t>
            </w:r>
            <w:r>
              <w:rPr>
                <w:rFonts w:ascii="宋体" w:hAnsi="宋体" w:cs="宋体" w:eastAsia="宋体" w:hint="default"/>
                <w:sz w:val="15"/>
                <w:szCs w:val="15"/>
              </w:rPr>
            </w:r>
          </w:p>
        </w:tc>
        <w:tc>
          <w:tcPr>
            <w:tcW w:w="1041"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381" w:lineRule="auto" w:before="44"/>
              <w:ind w:left="281" w:right="306" w:firstLine="74"/>
              <w:jc w:val="left"/>
              <w:rPr>
                <w:rFonts w:ascii="宋体" w:hAnsi="宋体" w:cs="宋体" w:eastAsia="宋体" w:hint="default"/>
                <w:sz w:val="15"/>
                <w:szCs w:val="15"/>
              </w:rPr>
            </w:pPr>
            <w:r>
              <w:rPr>
                <w:rFonts w:ascii="宋体" w:hAnsi="宋体" w:cs="宋体" w:eastAsia="宋体" w:hint="default"/>
                <w:b/>
                <w:bCs/>
                <w:sz w:val="15"/>
                <w:szCs w:val="15"/>
              </w:rPr>
              <w:t>商标</w:t>
            </w:r>
            <w:r>
              <w:rPr>
                <w:rFonts w:ascii="宋体" w:hAnsi="宋体" w:cs="宋体" w:eastAsia="宋体" w:hint="default"/>
                <w:b/>
                <w:bCs/>
                <w:spacing w:val="1"/>
                <w:w w:val="99"/>
                <w:sz w:val="15"/>
                <w:szCs w:val="15"/>
              </w:rPr>
              <w:t> </w:t>
            </w:r>
            <w:r>
              <w:rPr>
                <w:rFonts w:ascii="宋体" w:hAnsi="宋体" w:cs="宋体" w:eastAsia="宋体" w:hint="default"/>
                <w:b/>
                <w:bCs/>
                <w:sz w:val="15"/>
                <w:szCs w:val="15"/>
              </w:rPr>
              <w:t>注册号</w:t>
            </w:r>
            <w:r>
              <w:rPr>
                <w:rFonts w:ascii="宋体" w:hAnsi="宋体" w:cs="宋体" w:eastAsia="宋体" w:hint="default"/>
                <w:sz w:val="15"/>
                <w:szCs w:val="15"/>
              </w:rPr>
            </w:r>
          </w:p>
        </w:tc>
        <w:tc>
          <w:tcPr>
            <w:tcW w:w="1178"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50" w:right="0"/>
              <w:jc w:val="left"/>
              <w:rPr>
                <w:rFonts w:ascii="宋体" w:hAnsi="宋体" w:cs="宋体" w:eastAsia="宋体" w:hint="default"/>
                <w:sz w:val="15"/>
                <w:szCs w:val="15"/>
              </w:rPr>
            </w:pPr>
            <w:r>
              <w:rPr>
                <w:rFonts w:ascii="宋体" w:hAnsi="宋体" w:cs="宋体" w:eastAsia="宋体" w:hint="default"/>
                <w:b/>
                <w:bCs/>
                <w:sz w:val="15"/>
                <w:szCs w:val="15"/>
              </w:rPr>
              <w:t>注册期</w:t>
            </w:r>
            <w:r>
              <w:rPr>
                <w:rFonts w:ascii="宋体" w:hAnsi="宋体" w:cs="宋体" w:eastAsia="宋体" w:hint="default"/>
                <w:sz w:val="15"/>
                <w:szCs w:val="15"/>
              </w:rPr>
            </w:r>
          </w:p>
        </w:tc>
        <w:tc>
          <w:tcPr>
            <w:tcW w:w="108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26" w:right="0"/>
              <w:jc w:val="center"/>
              <w:rPr>
                <w:rFonts w:ascii="宋体" w:hAnsi="宋体" w:cs="宋体" w:eastAsia="宋体" w:hint="default"/>
                <w:sz w:val="15"/>
                <w:szCs w:val="15"/>
              </w:rPr>
            </w:pPr>
            <w:r>
              <w:rPr>
                <w:rFonts w:ascii="宋体" w:hAnsi="宋体" w:cs="宋体" w:eastAsia="宋体" w:hint="default"/>
                <w:b/>
                <w:bCs/>
                <w:sz w:val="15"/>
                <w:szCs w:val="15"/>
              </w:rPr>
              <w:t>有效期</w:t>
            </w:r>
            <w:r>
              <w:rPr>
                <w:rFonts w:ascii="宋体" w:hAnsi="宋体" w:cs="宋体" w:eastAsia="宋体" w:hint="default"/>
                <w:sz w:val="15"/>
                <w:szCs w:val="15"/>
              </w:rPr>
            </w:r>
          </w:p>
        </w:tc>
        <w:tc>
          <w:tcPr>
            <w:tcW w:w="1140" w:type="dxa"/>
            <w:tcBorders>
              <w:top w:val="single" w:sz="4" w:space="0" w:color="000000"/>
              <w:left w:val="nil" w:sz="6" w:space="0" w:color="auto"/>
              <w:bottom w:val="single" w:sz="4" w:space="0" w:color="000000"/>
              <w:right w:val="nil" w:sz="6" w:space="0" w:color="auto"/>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06" w:right="0"/>
              <w:jc w:val="left"/>
              <w:rPr>
                <w:rFonts w:ascii="宋体" w:hAnsi="宋体" w:cs="宋体" w:eastAsia="宋体" w:hint="default"/>
                <w:sz w:val="15"/>
                <w:szCs w:val="15"/>
              </w:rPr>
            </w:pPr>
            <w:r>
              <w:rPr>
                <w:rFonts w:ascii="宋体" w:hAnsi="宋体" w:cs="宋体" w:eastAsia="宋体" w:hint="default"/>
                <w:b/>
                <w:bCs/>
                <w:sz w:val="15"/>
                <w:szCs w:val="15"/>
              </w:rPr>
              <w:t>注册人</w:t>
            </w:r>
            <w:r>
              <w:rPr>
                <w:rFonts w:ascii="宋体" w:hAnsi="宋体" w:cs="宋体" w:eastAsia="宋体" w:hint="default"/>
                <w:sz w:val="15"/>
                <w:szCs w:val="15"/>
              </w:rPr>
            </w:r>
          </w:p>
        </w:tc>
      </w:tr>
      <w:tr>
        <w:trPr>
          <w:trHeight w:val="966"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58"/>
              <w:jc w:val="center"/>
              <w:rPr>
                <w:rFonts w:ascii="Times New Roman" w:hAnsi="Times New Roman" w:cs="Times New Roman" w:eastAsia="Times New Roman" w:hint="default"/>
                <w:sz w:val="15"/>
                <w:szCs w:val="15"/>
              </w:rPr>
            </w:pPr>
            <w:r>
              <w:rPr>
                <w:rFonts w:ascii="Times New Roman"/>
                <w:sz w:val="15"/>
              </w:rPr>
              <w:t>1</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0"/>
                <w:szCs w:val="10"/>
              </w:rPr>
            </w:pPr>
          </w:p>
          <w:p>
            <w:pPr>
              <w:pStyle w:val="TableParagraph"/>
              <w:spacing w:line="716" w:lineRule="exact"/>
              <w:ind w:left="68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186566" cy="455199"/>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1186566" cy="455199"/>
                          </a:xfrm>
                          <a:prstGeom prst="rect">
                            <a:avLst/>
                          </a:prstGeom>
                        </pic:spPr>
                      </pic:pic>
                    </a:graphicData>
                  </a:graphic>
                </wp:inline>
              </w:drawing>
            </w:r>
            <w:r>
              <w:rPr>
                <w:rFonts w:ascii="Times New Roman" w:hAnsi="Times New Roman" w:cs="Times New Roman" w:eastAsia="Times New Roman" w:hint="default"/>
                <w:position w:val="-13"/>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280"/>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42</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1272264</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333"/>
              <w:jc w:val="right"/>
              <w:rPr>
                <w:rFonts w:ascii="Times New Roman" w:hAnsi="Times New Roman" w:cs="Times New Roman" w:eastAsia="Times New Roman" w:hint="default"/>
                <w:sz w:val="15"/>
                <w:szCs w:val="15"/>
              </w:rPr>
            </w:pPr>
            <w:r>
              <w:rPr>
                <w:rFonts w:ascii="Times New Roman"/>
                <w:spacing w:val="-1"/>
                <w:sz w:val="15"/>
              </w:rPr>
              <w:t>1999/5/7</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26" w:right="0"/>
              <w:jc w:val="center"/>
              <w:rPr>
                <w:rFonts w:ascii="Times New Roman" w:hAnsi="Times New Roman" w:cs="Times New Roman" w:eastAsia="Times New Roman" w:hint="default"/>
                <w:sz w:val="15"/>
                <w:szCs w:val="15"/>
              </w:rPr>
            </w:pPr>
            <w:r>
              <w:rPr>
                <w:rFonts w:ascii="Times New Roman"/>
                <w:sz w:val="15"/>
              </w:rPr>
              <w:t>2019/5/6</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654"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58"/>
              <w:jc w:val="center"/>
              <w:rPr>
                <w:rFonts w:ascii="Times New Roman" w:hAnsi="Times New Roman" w:cs="Times New Roman" w:eastAsia="Times New Roman" w:hint="default"/>
                <w:sz w:val="15"/>
                <w:szCs w:val="15"/>
              </w:rPr>
            </w:pPr>
            <w:r>
              <w:rPr>
                <w:rFonts w:ascii="Times New Roman"/>
                <w:sz w:val="15"/>
              </w:rPr>
              <w:t>2</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5"/>
                <w:szCs w:val="5"/>
              </w:rPr>
            </w:pPr>
          </w:p>
          <w:p>
            <w:pPr>
              <w:pStyle w:val="TableParagraph"/>
              <w:spacing w:line="522" w:lineRule="exact"/>
              <w:ind w:left="52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383895" cy="33175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1383895" cy="331755"/>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80"/>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42</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1277389</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pacing w:val="-1"/>
                <w:sz w:val="15"/>
              </w:rPr>
              <w:t>1999/5/21</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2019/5/20</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966"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58"/>
              <w:jc w:val="center"/>
              <w:rPr>
                <w:rFonts w:ascii="Times New Roman" w:hAnsi="Times New Roman" w:cs="Times New Roman" w:eastAsia="Times New Roman" w:hint="default"/>
                <w:sz w:val="15"/>
                <w:szCs w:val="15"/>
              </w:rPr>
            </w:pPr>
            <w:r>
              <w:rPr>
                <w:rFonts w:ascii="Times New Roman"/>
                <w:sz w:val="15"/>
              </w:rPr>
              <w:t>3</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648" w:lineRule="exact"/>
              <w:ind w:left="86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962511" cy="412051"/>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962511" cy="412051"/>
                          </a:xfrm>
                          <a:prstGeom prst="rect">
                            <a:avLst/>
                          </a:prstGeom>
                        </pic:spPr>
                      </pic:pic>
                    </a:graphicData>
                  </a:graphic>
                </wp:inline>
              </w:drawing>
            </w:r>
            <w:r>
              <w:rPr>
                <w:rFonts w:ascii="Times New Roman" w:hAnsi="Times New Roman" w:cs="Times New Roman" w:eastAsia="Times New Roman" w:hint="default"/>
                <w:position w:val="-12"/>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317"/>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1298700</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pacing w:val="-1"/>
                <w:sz w:val="15"/>
              </w:rPr>
              <w:t>1999/7/28</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2019/7/27</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966"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58"/>
              <w:jc w:val="center"/>
              <w:rPr>
                <w:rFonts w:ascii="Times New Roman" w:hAnsi="Times New Roman" w:cs="Times New Roman" w:eastAsia="Times New Roman" w:hint="default"/>
                <w:sz w:val="15"/>
                <w:szCs w:val="15"/>
              </w:rPr>
            </w:pPr>
            <w:r>
              <w:rPr>
                <w:rFonts w:ascii="Times New Roman"/>
                <w:sz w:val="15"/>
              </w:rPr>
              <w:t>4</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7"/>
                <w:szCs w:val="7"/>
              </w:rPr>
            </w:pPr>
          </w:p>
          <w:p>
            <w:pPr>
              <w:pStyle w:val="TableParagraph"/>
              <w:spacing w:line="778" w:lineRule="exact"/>
              <w:ind w:left="61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drawing>
                <wp:inline distT="0" distB="0" distL="0" distR="0">
                  <wp:extent cx="1274117" cy="494537"/>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12" cstate="print"/>
                          <a:stretch>
                            <a:fillRect/>
                          </a:stretch>
                        </pic:blipFill>
                        <pic:spPr>
                          <a:xfrm>
                            <a:off x="0" y="0"/>
                            <a:ext cx="1274117" cy="494537"/>
                          </a:xfrm>
                          <a:prstGeom prst="rect">
                            <a:avLst/>
                          </a:prstGeom>
                        </pic:spPr>
                      </pic:pic>
                    </a:graphicData>
                  </a:graphic>
                </wp:inline>
              </w:drawing>
            </w:r>
            <w:r>
              <w:rPr>
                <w:rFonts w:ascii="Times New Roman" w:hAnsi="Times New Roman" w:cs="Times New Roman" w:eastAsia="Times New Roman" w:hint="default"/>
                <w:position w:val="-15"/>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317"/>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1298714</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pacing w:val="-1"/>
                <w:sz w:val="15"/>
              </w:rPr>
              <w:t>1999/7/28</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2019/7/27</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654"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58"/>
              <w:jc w:val="center"/>
              <w:rPr>
                <w:rFonts w:ascii="Times New Roman" w:hAnsi="Times New Roman" w:cs="Times New Roman" w:eastAsia="Times New Roman" w:hint="default"/>
                <w:sz w:val="15"/>
                <w:szCs w:val="15"/>
              </w:rPr>
            </w:pPr>
            <w:r>
              <w:rPr>
                <w:rFonts w:ascii="Times New Roman"/>
                <w:sz w:val="15"/>
              </w:rPr>
              <w:t>5</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387" w:lineRule="exact"/>
              <w:ind w:left="37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1571757" cy="245745"/>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5" cstate="print"/>
                          <a:stretch>
                            <a:fillRect/>
                          </a:stretch>
                        </pic:blipFill>
                        <pic:spPr>
                          <a:xfrm>
                            <a:off x="0" y="0"/>
                            <a:ext cx="1571757" cy="245745"/>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17"/>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3775834</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pacing w:val="-1"/>
                <w:sz w:val="15"/>
              </w:rPr>
              <w:t>2005/12/7</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4" w:right="0"/>
              <w:jc w:val="center"/>
              <w:rPr>
                <w:rFonts w:ascii="Times New Roman" w:hAnsi="Times New Roman" w:cs="Times New Roman" w:eastAsia="Times New Roman" w:hint="default"/>
                <w:sz w:val="15"/>
                <w:szCs w:val="15"/>
              </w:rPr>
            </w:pPr>
            <w:r>
              <w:rPr>
                <w:rFonts w:ascii="Times New Roman"/>
                <w:sz w:val="15"/>
              </w:rPr>
              <w:t>2025/12/6</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654"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58"/>
              <w:jc w:val="center"/>
              <w:rPr>
                <w:rFonts w:ascii="Times New Roman" w:hAnsi="Times New Roman" w:cs="Times New Roman" w:eastAsia="Times New Roman" w:hint="default"/>
                <w:sz w:val="15"/>
                <w:szCs w:val="15"/>
              </w:rPr>
            </w:pPr>
            <w:r>
              <w:rPr>
                <w:rFonts w:ascii="Times New Roman"/>
                <w:sz w:val="15"/>
              </w:rPr>
              <w:t>6</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5"/>
                <w:szCs w:val="5"/>
              </w:rPr>
            </w:pPr>
          </w:p>
          <w:p>
            <w:pPr>
              <w:pStyle w:val="TableParagraph"/>
              <w:spacing w:line="522" w:lineRule="exact"/>
              <w:ind w:left="52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383895" cy="331755"/>
                  <wp:effectExtent l="0" t="0" r="0" b="0"/>
                  <wp:docPr id="13" name="image4.jpeg" descr=""/>
                  <wp:cNvGraphicFramePr>
                    <a:graphicFrameLocks noChangeAspect="1"/>
                  </wp:cNvGraphicFramePr>
                  <a:graphic>
                    <a:graphicData uri="http://schemas.openxmlformats.org/drawingml/2006/picture">
                      <pic:pic>
                        <pic:nvPicPr>
                          <pic:cNvPr id="14" name="image4.jpeg"/>
                          <pic:cNvPicPr/>
                        </pic:nvPicPr>
                        <pic:blipFill>
                          <a:blip r:embed="rId13" cstate="print"/>
                          <a:stretch>
                            <a:fillRect/>
                          </a:stretch>
                        </pic:blipFill>
                        <pic:spPr>
                          <a:xfrm>
                            <a:off x="0" y="0"/>
                            <a:ext cx="1383895" cy="331755"/>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80"/>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35</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4204278</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9"/>
              <w:jc w:val="right"/>
              <w:rPr>
                <w:rFonts w:ascii="Times New Roman" w:hAnsi="Times New Roman" w:cs="Times New Roman" w:eastAsia="Times New Roman" w:hint="default"/>
                <w:sz w:val="15"/>
                <w:szCs w:val="15"/>
              </w:rPr>
            </w:pPr>
            <w:r>
              <w:rPr>
                <w:rFonts w:ascii="Times New Roman"/>
                <w:spacing w:val="-1"/>
                <w:sz w:val="15"/>
              </w:rPr>
              <w:t>2007/12/28</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2017/12/27</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654"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58"/>
              <w:jc w:val="center"/>
              <w:rPr>
                <w:rFonts w:ascii="Times New Roman" w:hAnsi="Times New Roman" w:cs="Times New Roman" w:eastAsia="Times New Roman" w:hint="default"/>
                <w:sz w:val="15"/>
                <w:szCs w:val="15"/>
              </w:rPr>
            </w:pPr>
            <w:r>
              <w:rPr>
                <w:rFonts w:ascii="Times New Roman"/>
                <w:sz w:val="15"/>
              </w:rPr>
              <w:t>7</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5"/>
                <w:szCs w:val="5"/>
              </w:rPr>
            </w:pPr>
          </w:p>
          <w:p>
            <w:pPr>
              <w:pStyle w:val="TableParagraph"/>
              <w:spacing w:line="528" w:lineRule="exact"/>
              <w:ind w:left="46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478687" cy="335279"/>
                  <wp:effectExtent l="0" t="0" r="0" b="0"/>
                  <wp:docPr id="15" name="image7.jpeg" descr=""/>
                  <wp:cNvGraphicFramePr>
                    <a:graphicFrameLocks noChangeAspect="1"/>
                  </wp:cNvGraphicFramePr>
                  <a:graphic>
                    <a:graphicData uri="http://schemas.openxmlformats.org/drawingml/2006/picture">
                      <pic:pic>
                        <pic:nvPicPr>
                          <pic:cNvPr id="16" name="image7.jpeg"/>
                          <pic:cNvPicPr/>
                        </pic:nvPicPr>
                        <pic:blipFill>
                          <a:blip r:embed="rId16" cstate="print"/>
                          <a:stretch>
                            <a:fillRect/>
                          </a:stretch>
                        </pic:blipFill>
                        <pic:spPr>
                          <a:xfrm>
                            <a:off x="0" y="0"/>
                            <a:ext cx="1478687" cy="335279"/>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17"/>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4204280</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9"/>
              <w:jc w:val="right"/>
              <w:rPr>
                <w:rFonts w:ascii="Times New Roman" w:hAnsi="Times New Roman" w:cs="Times New Roman" w:eastAsia="Times New Roman" w:hint="default"/>
                <w:sz w:val="15"/>
                <w:szCs w:val="15"/>
              </w:rPr>
            </w:pPr>
            <w:r>
              <w:rPr>
                <w:rFonts w:ascii="Times New Roman"/>
                <w:spacing w:val="-1"/>
                <w:sz w:val="15"/>
              </w:rPr>
              <w:t>2006/11/21</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2016/11/20</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654"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58"/>
              <w:jc w:val="center"/>
              <w:rPr>
                <w:rFonts w:ascii="Times New Roman" w:hAnsi="Times New Roman" w:cs="Times New Roman" w:eastAsia="Times New Roman" w:hint="default"/>
                <w:sz w:val="15"/>
                <w:szCs w:val="15"/>
              </w:rPr>
            </w:pPr>
            <w:r>
              <w:rPr>
                <w:rFonts w:ascii="Times New Roman"/>
                <w:sz w:val="15"/>
              </w:rPr>
              <w:t>8</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9"/>
                <w:szCs w:val="9"/>
              </w:rPr>
            </w:pPr>
          </w:p>
          <w:p>
            <w:pPr>
              <w:pStyle w:val="TableParagraph"/>
              <w:spacing w:line="419" w:lineRule="exact"/>
              <w:ind w:left="45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1490724" cy="266223"/>
                  <wp:effectExtent l="0" t="0" r="0" b="0"/>
                  <wp:docPr id="17" name="image8.jpeg" descr=""/>
                  <wp:cNvGraphicFramePr>
                    <a:graphicFrameLocks noChangeAspect="1"/>
                  </wp:cNvGraphicFramePr>
                  <a:graphic>
                    <a:graphicData uri="http://schemas.openxmlformats.org/drawingml/2006/picture">
                      <pic:pic>
                        <pic:nvPicPr>
                          <pic:cNvPr id="18" name="image8.jpeg"/>
                          <pic:cNvPicPr/>
                        </pic:nvPicPr>
                        <pic:blipFill>
                          <a:blip r:embed="rId17" cstate="print"/>
                          <a:stretch>
                            <a:fillRect/>
                          </a:stretch>
                        </pic:blipFill>
                        <pic:spPr>
                          <a:xfrm>
                            <a:off x="0" y="0"/>
                            <a:ext cx="1490724" cy="266223"/>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17"/>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4204281</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9"/>
              <w:jc w:val="right"/>
              <w:rPr>
                <w:rFonts w:ascii="Times New Roman" w:hAnsi="Times New Roman" w:cs="Times New Roman" w:eastAsia="Times New Roman" w:hint="default"/>
                <w:sz w:val="15"/>
                <w:szCs w:val="15"/>
              </w:rPr>
            </w:pPr>
            <w:r>
              <w:rPr>
                <w:rFonts w:ascii="Times New Roman"/>
                <w:spacing w:val="-1"/>
                <w:sz w:val="15"/>
              </w:rPr>
              <w:t>2006/11/21</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2016/11/20</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654"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58"/>
              <w:jc w:val="center"/>
              <w:rPr>
                <w:rFonts w:ascii="Times New Roman" w:hAnsi="Times New Roman" w:cs="Times New Roman" w:eastAsia="Times New Roman" w:hint="default"/>
                <w:sz w:val="15"/>
                <w:szCs w:val="15"/>
              </w:rPr>
            </w:pPr>
            <w:r>
              <w:rPr>
                <w:rFonts w:ascii="Times New Roman"/>
                <w:sz w:val="15"/>
              </w:rPr>
              <w:t>9</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6"/>
                <w:szCs w:val="6"/>
              </w:rPr>
            </w:pPr>
          </w:p>
          <w:p>
            <w:pPr>
              <w:pStyle w:val="TableParagraph"/>
              <w:spacing w:line="503" w:lineRule="exact"/>
              <w:ind w:left="32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633258" cy="319468"/>
                  <wp:effectExtent l="0" t="0" r="0" b="0"/>
                  <wp:docPr id="19" name="image9.jpeg" descr=""/>
                  <wp:cNvGraphicFramePr>
                    <a:graphicFrameLocks noChangeAspect="1"/>
                  </wp:cNvGraphicFramePr>
                  <a:graphic>
                    <a:graphicData uri="http://schemas.openxmlformats.org/drawingml/2006/picture">
                      <pic:pic>
                        <pic:nvPicPr>
                          <pic:cNvPr id="20" name="image9.jpeg"/>
                          <pic:cNvPicPr/>
                        </pic:nvPicPr>
                        <pic:blipFill>
                          <a:blip r:embed="rId18" cstate="print"/>
                          <a:stretch>
                            <a:fillRect/>
                          </a:stretch>
                        </pic:blipFill>
                        <pic:spPr>
                          <a:xfrm>
                            <a:off x="0" y="0"/>
                            <a:ext cx="1633258" cy="319468"/>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17"/>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4204282</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59"/>
              <w:jc w:val="right"/>
              <w:rPr>
                <w:rFonts w:ascii="Times New Roman" w:hAnsi="Times New Roman" w:cs="Times New Roman" w:eastAsia="Times New Roman" w:hint="default"/>
                <w:sz w:val="15"/>
                <w:szCs w:val="15"/>
              </w:rPr>
            </w:pPr>
            <w:r>
              <w:rPr>
                <w:rFonts w:ascii="Times New Roman"/>
                <w:spacing w:val="-1"/>
                <w:sz w:val="15"/>
              </w:rPr>
              <w:t>2006/11/21</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2016/11/20</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654"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56"/>
              <w:jc w:val="center"/>
              <w:rPr>
                <w:rFonts w:ascii="Times New Roman" w:hAnsi="Times New Roman" w:cs="Times New Roman" w:eastAsia="Times New Roman" w:hint="default"/>
                <w:sz w:val="15"/>
                <w:szCs w:val="15"/>
              </w:rPr>
            </w:pPr>
            <w:r>
              <w:rPr>
                <w:rFonts w:ascii="Times New Roman"/>
                <w:sz w:val="15"/>
              </w:rPr>
              <w:t>10</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384" w:lineRule="exact"/>
              <w:ind w:left="42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1500033" cy="244030"/>
                  <wp:effectExtent l="0" t="0" r="0" b="0"/>
                  <wp:docPr id="21" name="image10.jpeg" descr=""/>
                  <wp:cNvGraphicFramePr>
                    <a:graphicFrameLocks noChangeAspect="1"/>
                  </wp:cNvGraphicFramePr>
                  <a:graphic>
                    <a:graphicData uri="http://schemas.openxmlformats.org/drawingml/2006/picture">
                      <pic:pic>
                        <pic:nvPicPr>
                          <pic:cNvPr id="22" name="image10.jpeg"/>
                          <pic:cNvPicPr/>
                        </pic:nvPicPr>
                        <pic:blipFill>
                          <a:blip r:embed="rId19" cstate="print"/>
                          <a:stretch>
                            <a:fillRect/>
                          </a:stretch>
                        </pic:blipFill>
                        <pic:spPr>
                          <a:xfrm>
                            <a:off x="0" y="0"/>
                            <a:ext cx="1500033" cy="244030"/>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17"/>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4204283</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9"/>
              <w:jc w:val="right"/>
              <w:rPr>
                <w:rFonts w:ascii="Times New Roman" w:hAnsi="Times New Roman" w:cs="Times New Roman" w:eastAsia="Times New Roman" w:hint="default"/>
                <w:sz w:val="15"/>
                <w:szCs w:val="15"/>
              </w:rPr>
            </w:pPr>
            <w:r>
              <w:rPr>
                <w:rFonts w:ascii="Times New Roman"/>
                <w:spacing w:val="-1"/>
                <w:sz w:val="15"/>
              </w:rPr>
              <w:t>2006/11/21</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2016/11/20</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966"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56"/>
              <w:jc w:val="center"/>
              <w:rPr>
                <w:rFonts w:ascii="Times New Roman" w:hAnsi="Times New Roman" w:cs="Times New Roman" w:eastAsia="Times New Roman" w:hint="default"/>
                <w:sz w:val="15"/>
                <w:szCs w:val="15"/>
              </w:rPr>
            </w:pPr>
            <w:r>
              <w:rPr>
                <w:rFonts w:ascii="Times New Roman"/>
                <w:sz w:val="15"/>
              </w:rPr>
              <w:t>11</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638" w:lineRule="exact"/>
              <w:ind w:left="44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93704" cy="405479"/>
                  <wp:effectExtent l="0" t="0" r="0" b="0"/>
                  <wp:docPr id="23" name="image11.jpeg" descr=""/>
                  <wp:cNvGraphicFramePr>
                    <a:graphicFrameLocks noChangeAspect="1"/>
                  </wp:cNvGraphicFramePr>
                  <a:graphic>
                    <a:graphicData uri="http://schemas.openxmlformats.org/drawingml/2006/picture">
                      <pic:pic>
                        <pic:nvPicPr>
                          <pic:cNvPr id="24" name="image11.jpeg"/>
                          <pic:cNvPicPr/>
                        </pic:nvPicPr>
                        <pic:blipFill>
                          <a:blip r:embed="rId20" cstate="print"/>
                          <a:stretch>
                            <a:fillRect/>
                          </a:stretch>
                        </pic:blipFill>
                        <pic:spPr>
                          <a:xfrm>
                            <a:off x="0" y="0"/>
                            <a:ext cx="1493704" cy="405479"/>
                          </a:xfrm>
                          <a:prstGeom prst="rect">
                            <a:avLst/>
                          </a:prstGeom>
                        </pic:spPr>
                      </pic:pic>
                    </a:graphicData>
                  </a:graphic>
                </wp:inline>
              </w:drawing>
            </w:r>
            <w:r>
              <w:rPr>
                <w:rFonts w:ascii="Times New Roman" w:hAnsi="Times New Roman" w:cs="Times New Roman" w:eastAsia="Times New Roman" w:hint="default"/>
                <w:position w:val="-12"/>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317"/>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4204284</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59"/>
              <w:jc w:val="right"/>
              <w:rPr>
                <w:rFonts w:ascii="Times New Roman" w:hAnsi="Times New Roman" w:cs="Times New Roman" w:eastAsia="Times New Roman" w:hint="default"/>
                <w:sz w:val="15"/>
                <w:szCs w:val="15"/>
              </w:rPr>
            </w:pPr>
            <w:r>
              <w:rPr>
                <w:rFonts w:ascii="Times New Roman"/>
                <w:spacing w:val="-1"/>
                <w:sz w:val="15"/>
              </w:rPr>
              <w:t>2006/11/21</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2016/11/20</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654"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56"/>
              <w:jc w:val="center"/>
              <w:rPr>
                <w:rFonts w:ascii="Times New Roman" w:hAnsi="Times New Roman" w:cs="Times New Roman" w:eastAsia="Times New Roman" w:hint="default"/>
                <w:sz w:val="15"/>
                <w:szCs w:val="15"/>
              </w:rPr>
            </w:pPr>
            <w:r>
              <w:rPr>
                <w:rFonts w:ascii="Times New Roman"/>
                <w:sz w:val="15"/>
              </w:rPr>
              <w:t>12</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5"/>
                <w:szCs w:val="5"/>
              </w:rPr>
            </w:pPr>
          </w:p>
          <w:p>
            <w:pPr>
              <w:pStyle w:val="TableParagraph"/>
              <w:spacing w:line="522" w:lineRule="exact"/>
              <w:ind w:left="52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383895" cy="331755"/>
                  <wp:effectExtent l="0" t="0" r="0" b="0"/>
                  <wp:docPr id="25" name="image4.jpeg" descr=""/>
                  <wp:cNvGraphicFramePr>
                    <a:graphicFrameLocks noChangeAspect="1"/>
                  </wp:cNvGraphicFramePr>
                  <a:graphic>
                    <a:graphicData uri="http://schemas.openxmlformats.org/drawingml/2006/picture">
                      <pic:pic>
                        <pic:nvPicPr>
                          <pic:cNvPr id="26" name="image4.jpeg"/>
                          <pic:cNvPicPr/>
                        </pic:nvPicPr>
                        <pic:blipFill>
                          <a:blip r:embed="rId13" cstate="print"/>
                          <a:stretch>
                            <a:fillRect/>
                          </a:stretch>
                        </pic:blipFill>
                        <pic:spPr>
                          <a:xfrm>
                            <a:off x="0" y="0"/>
                            <a:ext cx="1383895" cy="331755"/>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17"/>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4204285</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9"/>
              <w:jc w:val="right"/>
              <w:rPr>
                <w:rFonts w:ascii="Times New Roman" w:hAnsi="Times New Roman" w:cs="Times New Roman" w:eastAsia="Times New Roman" w:hint="default"/>
                <w:sz w:val="15"/>
                <w:szCs w:val="15"/>
              </w:rPr>
            </w:pPr>
            <w:r>
              <w:rPr>
                <w:rFonts w:ascii="Times New Roman"/>
                <w:spacing w:val="-1"/>
                <w:sz w:val="15"/>
              </w:rPr>
              <w:t>2006/11/21</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2016/11/20</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654"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56"/>
              <w:jc w:val="center"/>
              <w:rPr>
                <w:rFonts w:ascii="Times New Roman" w:hAnsi="Times New Roman" w:cs="Times New Roman" w:eastAsia="Times New Roman" w:hint="default"/>
                <w:sz w:val="15"/>
                <w:szCs w:val="15"/>
              </w:rPr>
            </w:pPr>
            <w:r>
              <w:rPr>
                <w:rFonts w:ascii="Times New Roman"/>
                <w:sz w:val="15"/>
              </w:rPr>
              <w:t>13</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3"/>
                <w:szCs w:val="3"/>
              </w:rPr>
            </w:pPr>
          </w:p>
          <w:p>
            <w:pPr>
              <w:pStyle w:val="TableParagraph"/>
              <w:spacing w:line="553" w:lineRule="exact"/>
              <w:ind w:left="86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957410" cy="351663"/>
                  <wp:effectExtent l="0" t="0" r="0" b="0"/>
                  <wp:docPr id="27" name="image12.png" descr=""/>
                  <wp:cNvGraphicFramePr>
                    <a:graphicFrameLocks noChangeAspect="1"/>
                  </wp:cNvGraphicFramePr>
                  <a:graphic>
                    <a:graphicData uri="http://schemas.openxmlformats.org/drawingml/2006/picture">
                      <pic:pic>
                        <pic:nvPicPr>
                          <pic:cNvPr id="28" name="image12.png"/>
                          <pic:cNvPicPr/>
                        </pic:nvPicPr>
                        <pic:blipFill>
                          <a:blip r:embed="rId21" cstate="print"/>
                          <a:stretch>
                            <a:fillRect/>
                          </a:stretch>
                        </pic:blipFill>
                        <pic:spPr>
                          <a:xfrm>
                            <a:off x="0" y="0"/>
                            <a:ext cx="957410" cy="351663"/>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17"/>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4204286</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9"/>
              <w:jc w:val="right"/>
              <w:rPr>
                <w:rFonts w:ascii="Times New Roman" w:hAnsi="Times New Roman" w:cs="Times New Roman" w:eastAsia="Times New Roman" w:hint="default"/>
                <w:sz w:val="15"/>
                <w:szCs w:val="15"/>
              </w:rPr>
            </w:pPr>
            <w:r>
              <w:rPr>
                <w:rFonts w:ascii="Times New Roman"/>
                <w:spacing w:val="-1"/>
                <w:sz w:val="15"/>
              </w:rPr>
              <w:t>2006/11/21</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2016/11/20</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654"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56"/>
              <w:jc w:val="center"/>
              <w:rPr>
                <w:rFonts w:ascii="Times New Roman" w:hAnsi="Times New Roman" w:cs="Times New Roman" w:eastAsia="Times New Roman" w:hint="default"/>
                <w:sz w:val="15"/>
                <w:szCs w:val="15"/>
              </w:rPr>
            </w:pPr>
            <w:r>
              <w:rPr>
                <w:rFonts w:ascii="Times New Roman"/>
                <w:sz w:val="15"/>
              </w:rPr>
              <w:t>14</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4"/>
                <w:szCs w:val="4"/>
              </w:rPr>
            </w:pPr>
          </w:p>
          <w:p>
            <w:pPr>
              <w:pStyle w:val="TableParagraph"/>
              <w:spacing w:line="548" w:lineRule="exact"/>
              <w:ind w:left="87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950564" cy="348138"/>
                  <wp:effectExtent l="0" t="0" r="0" b="0"/>
                  <wp:docPr id="29" name="image13.png" descr=""/>
                  <wp:cNvGraphicFramePr>
                    <a:graphicFrameLocks noChangeAspect="1"/>
                  </wp:cNvGraphicFramePr>
                  <a:graphic>
                    <a:graphicData uri="http://schemas.openxmlformats.org/drawingml/2006/picture">
                      <pic:pic>
                        <pic:nvPicPr>
                          <pic:cNvPr id="30" name="image13.png"/>
                          <pic:cNvPicPr/>
                        </pic:nvPicPr>
                        <pic:blipFill>
                          <a:blip r:embed="rId22" cstate="print"/>
                          <a:stretch>
                            <a:fillRect/>
                          </a:stretch>
                        </pic:blipFill>
                        <pic:spPr>
                          <a:xfrm>
                            <a:off x="0" y="0"/>
                            <a:ext cx="950564" cy="348138"/>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17"/>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6143543</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pacing w:val="-1"/>
                <w:sz w:val="15"/>
              </w:rPr>
              <w:t>2010/2/21</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2020/2/20</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654"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56"/>
              <w:jc w:val="center"/>
              <w:rPr>
                <w:rFonts w:ascii="Times New Roman" w:hAnsi="Times New Roman" w:cs="Times New Roman" w:eastAsia="Times New Roman" w:hint="default"/>
                <w:sz w:val="15"/>
                <w:szCs w:val="15"/>
              </w:rPr>
            </w:pPr>
            <w:r>
              <w:rPr>
                <w:rFonts w:ascii="Times New Roman"/>
                <w:sz w:val="15"/>
              </w:rPr>
              <w:t>15</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9"/>
                <w:szCs w:val="9"/>
              </w:rPr>
            </w:pPr>
          </w:p>
          <w:p>
            <w:pPr>
              <w:pStyle w:val="TableParagraph"/>
              <w:spacing w:line="422" w:lineRule="exact"/>
              <w:ind w:left="44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1508200" cy="268224"/>
                  <wp:effectExtent l="0" t="0" r="0" b="0"/>
                  <wp:docPr id="31" name="image14.jpeg" descr=""/>
                  <wp:cNvGraphicFramePr>
                    <a:graphicFrameLocks noChangeAspect="1"/>
                  </wp:cNvGraphicFramePr>
                  <a:graphic>
                    <a:graphicData uri="http://schemas.openxmlformats.org/drawingml/2006/picture">
                      <pic:pic>
                        <pic:nvPicPr>
                          <pic:cNvPr id="32" name="image14.jpeg"/>
                          <pic:cNvPicPr/>
                        </pic:nvPicPr>
                        <pic:blipFill>
                          <a:blip r:embed="rId23" cstate="print"/>
                          <a:stretch>
                            <a:fillRect/>
                          </a:stretch>
                        </pic:blipFill>
                        <pic:spPr>
                          <a:xfrm>
                            <a:off x="0" y="0"/>
                            <a:ext cx="1508200" cy="268224"/>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17"/>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
              <w:jc w:val="center"/>
              <w:rPr>
                <w:rFonts w:ascii="Times New Roman" w:hAnsi="Times New Roman" w:cs="Times New Roman" w:eastAsia="Times New Roman" w:hint="default"/>
                <w:sz w:val="15"/>
                <w:szCs w:val="15"/>
              </w:rPr>
            </w:pPr>
            <w:r>
              <w:rPr>
                <w:rFonts w:ascii="Times New Roman"/>
                <w:sz w:val="15"/>
              </w:rPr>
              <w:t>9240531</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pacing w:val="-1"/>
                <w:sz w:val="15"/>
              </w:rPr>
              <w:t>2012/4/21</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2022/4/20</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342"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156"/>
              <w:jc w:val="center"/>
              <w:rPr>
                <w:rFonts w:ascii="Times New Roman" w:hAnsi="Times New Roman" w:cs="Times New Roman" w:eastAsia="Times New Roman" w:hint="default"/>
                <w:sz w:val="15"/>
                <w:szCs w:val="15"/>
              </w:rPr>
            </w:pPr>
            <w:r>
              <w:rPr>
                <w:rFonts w:ascii="Times New Roman"/>
                <w:sz w:val="15"/>
              </w:rPr>
              <w:t>16</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83" w:lineRule="exact"/>
              <w:ind w:left="38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drawing>
                <wp:inline distT="0" distB="0" distL="0" distR="0">
                  <wp:extent cx="1565007" cy="180212"/>
                  <wp:effectExtent l="0" t="0" r="0" b="0"/>
                  <wp:docPr id="33" name="image15.jpeg" descr=""/>
                  <wp:cNvGraphicFramePr>
                    <a:graphicFrameLocks noChangeAspect="1"/>
                  </wp:cNvGraphicFramePr>
                  <a:graphic>
                    <a:graphicData uri="http://schemas.openxmlformats.org/drawingml/2006/picture">
                      <pic:pic>
                        <pic:nvPicPr>
                          <pic:cNvPr id="34" name="image15.jpeg"/>
                          <pic:cNvPicPr/>
                        </pic:nvPicPr>
                        <pic:blipFill>
                          <a:blip r:embed="rId24" cstate="print"/>
                          <a:stretch>
                            <a:fillRect/>
                          </a:stretch>
                        </pic:blipFill>
                        <pic:spPr>
                          <a:xfrm>
                            <a:off x="0" y="0"/>
                            <a:ext cx="1565007" cy="180212"/>
                          </a:xfrm>
                          <a:prstGeom prst="rect">
                            <a:avLst/>
                          </a:prstGeom>
                        </pic:spPr>
                      </pic:pic>
                    </a:graphicData>
                  </a:graphic>
                </wp:inline>
              </w:drawing>
            </w:r>
            <w:r>
              <w:rPr>
                <w:rFonts w:ascii="Times New Roman" w:hAnsi="Times New Roman" w:cs="Times New Roman" w:eastAsia="Times New Roman" w:hint="default"/>
                <w:position w:val="-5"/>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317"/>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24"/>
              <w:jc w:val="center"/>
              <w:rPr>
                <w:rFonts w:ascii="Times New Roman" w:hAnsi="Times New Roman" w:cs="Times New Roman" w:eastAsia="Times New Roman" w:hint="default"/>
                <w:sz w:val="15"/>
                <w:szCs w:val="15"/>
              </w:rPr>
            </w:pPr>
            <w:r>
              <w:rPr>
                <w:rFonts w:ascii="Times New Roman"/>
                <w:sz w:val="15"/>
              </w:rPr>
              <w:t>11539512</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right="333"/>
              <w:jc w:val="right"/>
              <w:rPr>
                <w:rFonts w:ascii="Times New Roman" w:hAnsi="Times New Roman" w:cs="Times New Roman" w:eastAsia="Times New Roman" w:hint="default"/>
                <w:sz w:val="15"/>
                <w:szCs w:val="15"/>
              </w:rPr>
            </w:pPr>
            <w:r>
              <w:rPr>
                <w:rFonts w:ascii="Times New Roman"/>
                <w:spacing w:val="-1"/>
                <w:sz w:val="15"/>
              </w:rPr>
              <w:t>2014/3/7</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78"/>
              <w:ind w:left="126" w:right="0"/>
              <w:jc w:val="center"/>
              <w:rPr>
                <w:rFonts w:ascii="Times New Roman" w:hAnsi="Times New Roman" w:cs="Times New Roman" w:eastAsia="Times New Roman" w:hint="default"/>
                <w:sz w:val="15"/>
                <w:szCs w:val="15"/>
              </w:rPr>
            </w:pPr>
            <w:r>
              <w:rPr>
                <w:rFonts w:ascii="Times New Roman"/>
                <w:sz w:val="15"/>
              </w:rPr>
              <w:t>2024/3/6</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654"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56"/>
              <w:jc w:val="center"/>
              <w:rPr>
                <w:rFonts w:ascii="Times New Roman" w:hAnsi="Times New Roman" w:cs="Times New Roman" w:eastAsia="Times New Roman" w:hint="default"/>
                <w:sz w:val="15"/>
                <w:szCs w:val="15"/>
              </w:rPr>
            </w:pPr>
            <w:r>
              <w:rPr>
                <w:rFonts w:ascii="Times New Roman"/>
                <w:sz w:val="15"/>
              </w:rPr>
              <w:t>17</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5"/>
                <w:szCs w:val="5"/>
              </w:rPr>
            </w:pPr>
          </w:p>
          <w:p>
            <w:pPr>
              <w:pStyle w:val="TableParagraph"/>
              <w:spacing w:line="503" w:lineRule="exact"/>
              <w:ind w:left="68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180205" cy="319468"/>
                  <wp:effectExtent l="0" t="0" r="0" b="0"/>
                  <wp:docPr id="35" name="image16.jpeg" descr=""/>
                  <wp:cNvGraphicFramePr>
                    <a:graphicFrameLocks noChangeAspect="1"/>
                  </wp:cNvGraphicFramePr>
                  <a:graphic>
                    <a:graphicData uri="http://schemas.openxmlformats.org/drawingml/2006/picture">
                      <pic:pic>
                        <pic:nvPicPr>
                          <pic:cNvPr id="36" name="image16.jpeg"/>
                          <pic:cNvPicPr/>
                        </pic:nvPicPr>
                        <pic:blipFill>
                          <a:blip r:embed="rId25" cstate="print"/>
                          <a:stretch>
                            <a:fillRect/>
                          </a:stretch>
                        </pic:blipFill>
                        <pic:spPr>
                          <a:xfrm>
                            <a:off x="0" y="0"/>
                            <a:ext cx="1180205" cy="319468"/>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17"/>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4"/>
              <w:jc w:val="center"/>
              <w:rPr>
                <w:rFonts w:ascii="Times New Roman" w:hAnsi="Times New Roman" w:cs="Times New Roman" w:eastAsia="Times New Roman" w:hint="default"/>
                <w:sz w:val="15"/>
                <w:szCs w:val="15"/>
              </w:rPr>
            </w:pPr>
            <w:r>
              <w:rPr>
                <w:rFonts w:ascii="Times New Roman"/>
                <w:sz w:val="15"/>
              </w:rPr>
              <w:t>11714840</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pacing w:val="-1"/>
                <w:sz w:val="15"/>
              </w:rPr>
              <w:t>2014/4/14</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2024/4/13</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654" w:hRule="exact"/>
        </w:trPr>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56"/>
              <w:jc w:val="center"/>
              <w:rPr>
                <w:rFonts w:ascii="Times New Roman" w:hAnsi="Times New Roman" w:cs="Times New Roman" w:eastAsia="Times New Roman" w:hint="default"/>
                <w:sz w:val="15"/>
                <w:szCs w:val="15"/>
              </w:rPr>
            </w:pPr>
            <w:r>
              <w:rPr>
                <w:rFonts w:ascii="Times New Roman"/>
                <w:sz w:val="15"/>
              </w:rPr>
              <w:t>18</w:t>
            </w:r>
          </w:p>
        </w:tc>
        <w:tc>
          <w:tcPr>
            <w:tcW w:w="326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7"/>
                <w:szCs w:val="7"/>
              </w:rPr>
            </w:pPr>
          </w:p>
          <w:p>
            <w:pPr>
              <w:pStyle w:val="TableParagraph"/>
              <w:spacing w:line="468" w:lineRule="exact"/>
              <w:ind w:left="64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1256155" cy="297561"/>
                  <wp:effectExtent l="0" t="0" r="0" b="0"/>
                  <wp:docPr id="37" name="image17.jpeg" descr=""/>
                  <wp:cNvGraphicFramePr>
                    <a:graphicFrameLocks noChangeAspect="1"/>
                  </wp:cNvGraphicFramePr>
                  <a:graphic>
                    <a:graphicData uri="http://schemas.openxmlformats.org/drawingml/2006/picture">
                      <pic:pic>
                        <pic:nvPicPr>
                          <pic:cNvPr id="38" name="image17.jpeg"/>
                          <pic:cNvPicPr/>
                        </pic:nvPicPr>
                        <pic:blipFill>
                          <a:blip r:embed="rId26" cstate="print"/>
                          <a:stretch>
                            <a:fillRect/>
                          </a:stretch>
                        </pic:blipFill>
                        <pic:spPr>
                          <a:xfrm>
                            <a:off x="0" y="0"/>
                            <a:ext cx="1256155" cy="297561"/>
                          </a:xfrm>
                          <a:prstGeom prst="rect">
                            <a:avLst/>
                          </a:prstGeom>
                        </pic:spPr>
                      </pic:pic>
                    </a:graphicData>
                  </a:graphic>
                </wp:inline>
              </w:drawing>
            </w:r>
            <w:r>
              <w:rPr>
                <w:rFonts w:ascii="Times New Roman" w:hAnsi="Times New Roman" w:cs="Times New Roman" w:eastAsia="Times New Roman" w:hint="default"/>
                <w:position w:val="-8"/>
                <w:sz w:val="20"/>
                <w:szCs w:val="20"/>
              </w:rPr>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17"/>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4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4"/>
              <w:jc w:val="center"/>
              <w:rPr>
                <w:rFonts w:ascii="Times New Roman" w:hAnsi="Times New Roman" w:cs="Times New Roman" w:eastAsia="Times New Roman" w:hint="default"/>
                <w:sz w:val="15"/>
                <w:szCs w:val="15"/>
              </w:rPr>
            </w:pPr>
            <w:r>
              <w:rPr>
                <w:rFonts w:ascii="Times New Roman"/>
                <w:sz w:val="15"/>
              </w:rPr>
              <w:t>11714841</w:t>
            </w:r>
          </w:p>
        </w:tc>
        <w:tc>
          <w:tcPr>
            <w:tcW w:w="117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96"/>
              <w:jc w:val="right"/>
              <w:rPr>
                <w:rFonts w:ascii="Times New Roman" w:hAnsi="Times New Roman" w:cs="Times New Roman" w:eastAsia="Times New Roman" w:hint="default"/>
                <w:sz w:val="15"/>
                <w:szCs w:val="15"/>
              </w:rPr>
            </w:pPr>
            <w:r>
              <w:rPr>
                <w:rFonts w:ascii="Times New Roman"/>
                <w:spacing w:val="-1"/>
                <w:sz w:val="15"/>
              </w:rPr>
              <w:t>2014/4/14</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25" w:right="0"/>
              <w:jc w:val="center"/>
              <w:rPr>
                <w:rFonts w:ascii="Times New Roman" w:hAnsi="Times New Roman" w:cs="Times New Roman" w:eastAsia="Times New Roman" w:hint="default"/>
                <w:sz w:val="15"/>
                <w:szCs w:val="15"/>
              </w:rPr>
            </w:pPr>
            <w:r>
              <w:rPr>
                <w:rFonts w:ascii="Times New Roman"/>
                <w:sz w:val="15"/>
              </w:rPr>
              <w:t>2024/4/13</w:t>
            </w:r>
          </w:p>
        </w:tc>
        <w:tc>
          <w:tcPr>
            <w:tcW w:w="114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sz w:val="15"/>
                <w:szCs w:val="15"/>
              </w:rPr>
              <w:t>东方通</w:t>
            </w:r>
          </w:p>
        </w:tc>
      </w:tr>
    </w:tbl>
    <w:p>
      <w:pPr>
        <w:spacing w:after="0" w:line="240" w:lineRule="auto"/>
        <w:jc w:val="left"/>
        <w:rPr>
          <w:rFonts w:ascii="宋体" w:hAnsi="宋体" w:cs="宋体" w:eastAsia="宋体" w:hint="default"/>
          <w:sz w:val="15"/>
          <w:szCs w:val="15"/>
        </w:rPr>
        <w:sectPr>
          <w:pgSz w:w="11910" w:h="16840"/>
          <w:pgMar w:header="747" w:footer="979" w:top="1060" w:bottom="1160" w:left="0" w:right="0"/>
        </w:sectPr>
      </w:pPr>
    </w:p>
    <w:p>
      <w:pPr>
        <w:spacing w:line="240" w:lineRule="auto" w:before="4"/>
        <w:rPr>
          <w:rFonts w:ascii="Times New Roman" w:hAnsi="Times New Roman" w:cs="Times New Roman" w:eastAsia="Times New Roman" w:hint="default"/>
          <w:sz w:val="3"/>
          <w:szCs w:val="3"/>
        </w:rPr>
      </w:pPr>
    </w:p>
    <w:p>
      <w:pPr>
        <w:spacing w:line="20" w:lineRule="exact"/>
        <w:ind w:left="109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124" w:type="dxa"/>
        <w:tblLayout w:type="fixed"/>
        <w:tblCellMar>
          <w:top w:w="0" w:type="dxa"/>
          <w:left w:w="0" w:type="dxa"/>
          <w:bottom w:w="0" w:type="dxa"/>
          <w:right w:w="0" w:type="dxa"/>
        </w:tblCellMar>
        <w:tblLook w:val="01E0"/>
      </w:tblPr>
      <w:tblGrid>
        <w:gridCol w:w="853"/>
        <w:gridCol w:w="3155"/>
        <w:gridCol w:w="1174"/>
        <w:gridCol w:w="1097"/>
        <w:gridCol w:w="1159"/>
        <w:gridCol w:w="1061"/>
        <w:gridCol w:w="1159"/>
      </w:tblGrid>
      <w:tr>
        <w:trPr>
          <w:trHeight w:val="654" w:hRule="exact"/>
        </w:trPr>
        <w:tc>
          <w:tcPr>
            <w:tcW w:w="85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43" w:right="0"/>
              <w:jc w:val="left"/>
              <w:rPr>
                <w:rFonts w:ascii="Times New Roman" w:hAnsi="Times New Roman" w:cs="Times New Roman" w:eastAsia="Times New Roman" w:hint="default"/>
                <w:sz w:val="15"/>
                <w:szCs w:val="15"/>
              </w:rPr>
            </w:pPr>
            <w:r>
              <w:rPr>
                <w:rFonts w:ascii="Times New Roman"/>
                <w:sz w:val="15"/>
              </w:rPr>
              <w:t>19</w:t>
            </w:r>
          </w:p>
        </w:tc>
        <w:tc>
          <w:tcPr>
            <w:tcW w:w="3155"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399" w:lineRule="exact"/>
              <w:ind w:left="66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1145240" cy="253936"/>
                  <wp:effectExtent l="0" t="0" r="0" b="0"/>
                  <wp:docPr id="39" name="image18.jpeg" descr=""/>
                  <wp:cNvGraphicFramePr>
                    <a:graphicFrameLocks noChangeAspect="1"/>
                  </wp:cNvGraphicFramePr>
                  <a:graphic>
                    <a:graphicData uri="http://schemas.openxmlformats.org/drawingml/2006/picture">
                      <pic:pic>
                        <pic:nvPicPr>
                          <pic:cNvPr id="40" name="image18.jpeg"/>
                          <pic:cNvPicPr/>
                        </pic:nvPicPr>
                        <pic:blipFill>
                          <a:blip r:embed="rId27" cstate="print"/>
                          <a:stretch>
                            <a:fillRect/>
                          </a:stretch>
                        </pic:blipFill>
                        <pic:spPr>
                          <a:xfrm>
                            <a:off x="0" y="0"/>
                            <a:ext cx="1145240" cy="253936"/>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117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81"/>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9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44" w:right="0"/>
              <w:jc w:val="left"/>
              <w:rPr>
                <w:rFonts w:ascii="Times New Roman" w:hAnsi="Times New Roman" w:cs="Times New Roman" w:eastAsia="Times New Roman" w:hint="default"/>
                <w:sz w:val="15"/>
                <w:szCs w:val="15"/>
              </w:rPr>
            </w:pPr>
            <w:r>
              <w:rPr>
                <w:rFonts w:ascii="Times New Roman"/>
                <w:sz w:val="15"/>
              </w:rPr>
              <w:t>11714842</w:t>
            </w:r>
          </w:p>
        </w:tc>
        <w:tc>
          <w:tcPr>
            <w:tcW w:w="115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52" w:right="0"/>
              <w:jc w:val="left"/>
              <w:rPr>
                <w:rFonts w:ascii="Times New Roman" w:hAnsi="Times New Roman" w:cs="Times New Roman" w:eastAsia="Times New Roman" w:hint="default"/>
                <w:sz w:val="15"/>
                <w:szCs w:val="15"/>
              </w:rPr>
            </w:pPr>
            <w:r>
              <w:rPr>
                <w:rFonts w:ascii="Times New Roman"/>
                <w:sz w:val="15"/>
              </w:rPr>
              <w:t>2014/4/14</w:t>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2024/4/13</w:t>
            </w:r>
          </w:p>
        </w:tc>
        <w:tc>
          <w:tcPr>
            <w:tcW w:w="115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4"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654" w:hRule="exact"/>
        </w:trPr>
        <w:tc>
          <w:tcPr>
            <w:tcW w:w="85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43" w:right="0"/>
              <w:jc w:val="left"/>
              <w:rPr>
                <w:rFonts w:ascii="Times New Roman" w:hAnsi="Times New Roman" w:cs="Times New Roman" w:eastAsia="Times New Roman" w:hint="default"/>
                <w:sz w:val="15"/>
                <w:szCs w:val="15"/>
              </w:rPr>
            </w:pPr>
            <w:r>
              <w:rPr>
                <w:rFonts w:ascii="Times New Roman"/>
                <w:sz w:val="15"/>
              </w:rPr>
              <w:t>20</w:t>
            </w:r>
          </w:p>
        </w:tc>
        <w:tc>
          <w:tcPr>
            <w:tcW w:w="3155"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399" w:lineRule="exact"/>
              <w:ind w:left="457"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1401703" cy="253936"/>
                  <wp:effectExtent l="0" t="0" r="0" b="0"/>
                  <wp:docPr id="41" name="image19.jpeg" descr=""/>
                  <wp:cNvGraphicFramePr>
                    <a:graphicFrameLocks noChangeAspect="1"/>
                  </wp:cNvGraphicFramePr>
                  <a:graphic>
                    <a:graphicData uri="http://schemas.openxmlformats.org/drawingml/2006/picture">
                      <pic:pic>
                        <pic:nvPicPr>
                          <pic:cNvPr id="42" name="image19.jpeg"/>
                          <pic:cNvPicPr/>
                        </pic:nvPicPr>
                        <pic:blipFill>
                          <a:blip r:embed="rId28" cstate="print"/>
                          <a:stretch>
                            <a:fillRect/>
                          </a:stretch>
                        </pic:blipFill>
                        <pic:spPr>
                          <a:xfrm>
                            <a:off x="0" y="0"/>
                            <a:ext cx="1401703" cy="253936"/>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1174"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81"/>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9</w:t>
            </w:r>
            <w:r>
              <w:rPr>
                <w:rFonts w:ascii="宋体" w:hAnsi="宋体" w:cs="宋体" w:eastAsia="宋体" w:hint="default"/>
                <w:sz w:val="15"/>
                <w:szCs w:val="15"/>
              </w:rPr>
              <w:t>类</w:t>
            </w:r>
          </w:p>
        </w:tc>
        <w:tc>
          <w:tcPr>
            <w:tcW w:w="1097"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44" w:right="0"/>
              <w:jc w:val="left"/>
              <w:rPr>
                <w:rFonts w:ascii="Times New Roman" w:hAnsi="Times New Roman" w:cs="Times New Roman" w:eastAsia="Times New Roman" w:hint="default"/>
                <w:sz w:val="15"/>
                <w:szCs w:val="15"/>
              </w:rPr>
            </w:pPr>
            <w:r>
              <w:rPr>
                <w:rFonts w:ascii="Times New Roman"/>
                <w:sz w:val="15"/>
              </w:rPr>
              <w:t>11714843</w:t>
            </w:r>
          </w:p>
        </w:tc>
        <w:tc>
          <w:tcPr>
            <w:tcW w:w="115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52" w:right="0"/>
              <w:jc w:val="left"/>
              <w:rPr>
                <w:rFonts w:ascii="Times New Roman" w:hAnsi="Times New Roman" w:cs="Times New Roman" w:eastAsia="Times New Roman" w:hint="default"/>
                <w:sz w:val="15"/>
                <w:szCs w:val="15"/>
              </w:rPr>
            </w:pPr>
            <w:r>
              <w:rPr>
                <w:rFonts w:ascii="Times New Roman"/>
                <w:sz w:val="15"/>
              </w:rPr>
              <w:t>2014/4/14</w:t>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2024/4/13</w:t>
            </w:r>
          </w:p>
        </w:tc>
        <w:tc>
          <w:tcPr>
            <w:tcW w:w="115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54" w:right="0"/>
              <w:jc w:val="left"/>
              <w:rPr>
                <w:rFonts w:ascii="宋体" w:hAnsi="宋体" w:cs="宋体" w:eastAsia="宋体" w:hint="default"/>
                <w:sz w:val="15"/>
                <w:szCs w:val="15"/>
              </w:rPr>
            </w:pPr>
            <w:r>
              <w:rPr>
                <w:rFonts w:ascii="宋体" w:hAnsi="宋体" w:cs="宋体" w:eastAsia="宋体" w:hint="default"/>
                <w:sz w:val="15"/>
                <w:szCs w:val="15"/>
              </w:rPr>
              <w:t>东方通</w:t>
            </w:r>
          </w:p>
        </w:tc>
      </w:tr>
      <w:tr>
        <w:trPr>
          <w:trHeight w:val="1278" w:hRule="exact"/>
        </w:trPr>
        <w:tc>
          <w:tcPr>
            <w:tcW w:w="85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43" w:right="0"/>
              <w:jc w:val="left"/>
              <w:rPr>
                <w:rFonts w:ascii="Times New Roman" w:hAnsi="Times New Roman" w:cs="Times New Roman" w:eastAsia="Times New Roman" w:hint="default"/>
                <w:sz w:val="15"/>
                <w:szCs w:val="15"/>
              </w:rPr>
            </w:pPr>
            <w:r>
              <w:rPr>
                <w:rFonts w:ascii="Times New Roman"/>
                <w:sz w:val="15"/>
              </w:rPr>
              <w:t>22</w:t>
            </w:r>
          </w:p>
        </w:tc>
        <w:tc>
          <w:tcPr>
            <w:tcW w:w="315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996" w:lineRule="exact"/>
              <w:ind w:left="97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759024" cy="632841"/>
                  <wp:effectExtent l="0" t="0" r="0" b="0"/>
                  <wp:docPr id="43" name="image20.jpeg" descr=""/>
                  <wp:cNvGraphicFramePr>
                    <a:graphicFrameLocks noChangeAspect="1"/>
                  </wp:cNvGraphicFramePr>
                  <a:graphic>
                    <a:graphicData uri="http://schemas.openxmlformats.org/drawingml/2006/picture">
                      <pic:pic>
                        <pic:nvPicPr>
                          <pic:cNvPr id="44" name="image20.jpeg"/>
                          <pic:cNvPicPr/>
                        </pic:nvPicPr>
                        <pic:blipFill>
                          <a:blip r:embed="rId29" cstate="print"/>
                          <a:stretch>
                            <a:fillRect/>
                          </a:stretch>
                        </pic:blipFill>
                        <pic:spPr>
                          <a:xfrm>
                            <a:off x="0" y="0"/>
                            <a:ext cx="759024" cy="632841"/>
                          </a:xfrm>
                          <a:prstGeom prst="rect">
                            <a:avLst/>
                          </a:prstGeom>
                        </pic:spPr>
                      </pic:pic>
                    </a:graphicData>
                  </a:graphic>
                </wp:inline>
              </w:drawing>
            </w:r>
            <w:r>
              <w:rPr>
                <w:rFonts w:ascii="Times New Roman" w:hAnsi="Times New Roman" w:cs="Times New Roman" w:eastAsia="Times New Roman" w:hint="default"/>
                <w:position w:val="-19"/>
                <w:sz w:val="20"/>
                <w:szCs w:val="20"/>
              </w:rPr>
            </w:r>
          </w:p>
        </w:tc>
        <w:tc>
          <w:tcPr>
            <w:tcW w:w="117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240" w:lineRule="auto"/>
              <w:ind w:right="242"/>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42</w:t>
            </w:r>
            <w:r>
              <w:rPr>
                <w:rFonts w:ascii="宋体" w:hAnsi="宋体" w:cs="宋体" w:eastAsia="宋体" w:hint="default"/>
                <w:sz w:val="15"/>
                <w:szCs w:val="15"/>
              </w:rPr>
              <w:t>类</w:t>
            </w:r>
          </w:p>
        </w:tc>
        <w:tc>
          <w:tcPr>
            <w:tcW w:w="109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81" w:right="0"/>
              <w:jc w:val="left"/>
              <w:rPr>
                <w:rFonts w:ascii="Times New Roman" w:hAnsi="Times New Roman" w:cs="Times New Roman" w:eastAsia="Times New Roman" w:hint="default"/>
                <w:sz w:val="15"/>
                <w:szCs w:val="15"/>
              </w:rPr>
            </w:pPr>
            <w:r>
              <w:rPr>
                <w:rFonts w:ascii="Times New Roman"/>
                <w:sz w:val="15"/>
              </w:rPr>
              <w:t>8065056</w:t>
            </w:r>
          </w:p>
        </w:tc>
        <w:tc>
          <w:tcPr>
            <w:tcW w:w="115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52" w:right="0"/>
              <w:jc w:val="left"/>
              <w:rPr>
                <w:rFonts w:ascii="Times New Roman" w:hAnsi="Times New Roman" w:cs="Times New Roman" w:eastAsia="Times New Roman" w:hint="default"/>
                <w:sz w:val="15"/>
                <w:szCs w:val="15"/>
              </w:rPr>
            </w:pPr>
            <w:r>
              <w:rPr>
                <w:rFonts w:ascii="Times New Roman"/>
                <w:sz w:val="15"/>
              </w:rPr>
              <w:t>2011/3/28</w:t>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52"/>
              <w:jc w:val="right"/>
              <w:rPr>
                <w:rFonts w:ascii="Times New Roman" w:hAnsi="Times New Roman" w:cs="Times New Roman" w:eastAsia="Times New Roman" w:hint="default"/>
                <w:sz w:val="15"/>
                <w:szCs w:val="15"/>
              </w:rPr>
            </w:pPr>
            <w:r>
              <w:rPr>
                <w:rFonts w:ascii="Times New Roman"/>
                <w:spacing w:val="-1"/>
                <w:sz w:val="15"/>
              </w:rPr>
              <w:t>2021/3/27</w:t>
            </w:r>
          </w:p>
        </w:tc>
        <w:tc>
          <w:tcPr>
            <w:tcW w:w="115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54" w:right="0"/>
              <w:jc w:val="left"/>
              <w:rPr>
                <w:rFonts w:ascii="宋体" w:hAnsi="宋体" w:cs="宋体" w:eastAsia="宋体" w:hint="default"/>
                <w:sz w:val="15"/>
                <w:szCs w:val="15"/>
              </w:rPr>
            </w:pPr>
            <w:r>
              <w:rPr>
                <w:rFonts w:ascii="宋体" w:hAnsi="宋体" w:cs="宋体" w:eastAsia="宋体" w:hint="default"/>
                <w:sz w:val="15"/>
                <w:szCs w:val="15"/>
              </w:rPr>
              <w:t>数字天堂</w:t>
            </w:r>
          </w:p>
        </w:tc>
      </w:tr>
      <w:tr>
        <w:trPr>
          <w:trHeight w:val="1278" w:hRule="exact"/>
        </w:trPr>
        <w:tc>
          <w:tcPr>
            <w:tcW w:w="85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43" w:right="0"/>
              <w:jc w:val="left"/>
              <w:rPr>
                <w:rFonts w:ascii="Times New Roman" w:hAnsi="Times New Roman" w:cs="Times New Roman" w:eastAsia="Times New Roman" w:hint="default"/>
                <w:sz w:val="15"/>
                <w:szCs w:val="15"/>
              </w:rPr>
            </w:pPr>
            <w:r>
              <w:rPr>
                <w:rFonts w:ascii="Times New Roman"/>
                <w:sz w:val="15"/>
              </w:rPr>
              <w:t>23</w:t>
            </w:r>
          </w:p>
        </w:tc>
        <w:tc>
          <w:tcPr>
            <w:tcW w:w="3155"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996" w:lineRule="exact"/>
              <w:ind w:left="97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759024" cy="632841"/>
                  <wp:effectExtent l="0" t="0" r="0" b="0"/>
                  <wp:docPr id="45" name="image20.jpeg" descr=""/>
                  <wp:cNvGraphicFramePr>
                    <a:graphicFrameLocks noChangeAspect="1"/>
                  </wp:cNvGraphicFramePr>
                  <a:graphic>
                    <a:graphicData uri="http://schemas.openxmlformats.org/drawingml/2006/picture">
                      <pic:pic>
                        <pic:nvPicPr>
                          <pic:cNvPr id="46" name="image20.jpeg"/>
                          <pic:cNvPicPr/>
                        </pic:nvPicPr>
                        <pic:blipFill>
                          <a:blip r:embed="rId29" cstate="print"/>
                          <a:stretch>
                            <a:fillRect/>
                          </a:stretch>
                        </pic:blipFill>
                        <pic:spPr>
                          <a:xfrm>
                            <a:off x="0" y="0"/>
                            <a:ext cx="759024" cy="632841"/>
                          </a:xfrm>
                          <a:prstGeom prst="rect">
                            <a:avLst/>
                          </a:prstGeom>
                        </pic:spPr>
                      </pic:pic>
                    </a:graphicData>
                  </a:graphic>
                </wp:inline>
              </w:drawing>
            </w:r>
            <w:r>
              <w:rPr>
                <w:rFonts w:ascii="Times New Roman" w:hAnsi="Times New Roman" w:cs="Times New Roman" w:eastAsia="Times New Roman" w:hint="default"/>
                <w:position w:val="-19"/>
                <w:sz w:val="20"/>
                <w:szCs w:val="20"/>
              </w:rPr>
            </w:r>
          </w:p>
        </w:tc>
        <w:tc>
          <w:tcPr>
            <w:tcW w:w="117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242"/>
              <w:jc w:val="right"/>
              <w:rPr>
                <w:rFonts w:ascii="宋体" w:hAnsi="宋体" w:cs="宋体" w:eastAsia="宋体" w:hint="default"/>
                <w:sz w:val="15"/>
                <w:szCs w:val="15"/>
              </w:rPr>
            </w:pPr>
            <w:r>
              <w:rPr>
                <w:rFonts w:ascii="宋体" w:hAnsi="宋体" w:cs="宋体" w:eastAsia="宋体" w:hint="default"/>
                <w:sz w:val="15"/>
                <w:szCs w:val="15"/>
              </w:rPr>
              <w:t>第</w:t>
            </w:r>
            <w:r>
              <w:rPr>
                <w:rFonts w:ascii="Times New Roman" w:hAnsi="Times New Roman" w:cs="Times New Roman" w:eastAsia="Times New Roman" w:hint="default"/>
                <w:sz w:val="15"/>
                <w:szCs w:val="15"/>
              </w:rPr>
              <w:t>38</w:t>
            </w:r>
            <w:r>
              <w:rPr>
                <w:rFonts w:ascii="宋体" w:hAnsi="宋体" w:cs="宋体" w:eastAsia="宋体" w:hint="default"/>
                <w:sz w:val="15"/>
                <w:szCs w:val="15"/>
              </w:rPr>
              <w:t>类</w:t>
            </w:r>
          </w:p>
        </w:tc>
        <w:tc>
          <w:tcPr>
            <w:tcW w:w="109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81" w:right="0"/>
              <w:jc w:val="left"/>
              <w:rPr>
                <w:rFonts w:ascii="Times New Roman" w:hAnsi="Times New Roman" w:cs="Times New Roman" w:eastAsia="Times New Roman" w:hint="default"/>
                <w:sz w:val="15"/>
                <w:szCs w:val="15"/>
              </w:rPr>
            </w:pPr>
            <w:r>
              <w:rPr>
                <w:rFonts w:ascii="Times New Roman"/>
                <w:sz w:val="15"/>
              </w:rPr>
              <w:t>8065055</w:t>
            </w:r>
          </w:p>
        </w:tc>
        <w:tc>
          <w:tcPr>
            <w:tcW w:w="115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90" w:right="0"/>
              <w:jc w:val="left"/>
              <w:rPr>
                <w:rFonts w:ascii="Times New Roman" w:hAnsi="Times New Roman" w:cs="Times New Roman" w:eastAsia="Times New Roman" w:hint="default"/>
                <w:sz w:val="15"/>
                <w:szCs w:val="15"/>
              </w:rPr>
            </w:pPr>
            <w:r>
              <w:rPr>
                <w:rFonts w:ascii="Times New Roman"/>
                <w:sz w:val="15"/>
              </w:rPr>
              <w:t>2011/4/7</w:t>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89"/>
              <w:jc w:val="right"/>
              <w:rPr>
                <w:rFonts w:ascii="Times New Roman" w:hAnsi="Times New Roman" w:cs="Times New Roman" w:eastAsia="Times New Roman" w:hint="default"/>
                <w:sz w:val="15"/>
                <w:szCs w:val="15"/>
              </w:rPr>
            </w:pPr>
            <w:r>
              <w:rPr>
                <w:rFonts w:ascii="Times New Roman"/>
                <w:spacing w:val="-1"/>
                <w:sz w:val="15"/>
              </w:rPr>
              <w:t>2021/4/6</w:t>
            </w:r>
          </w:p>
        </w:tc>
        <w:tc>
          <w:tcPr>
            <w:tcW w:w="115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54" w:right="0"/>
              <w:jc w:val="left"/>
              <w:rPr>
                <w:rFonts w:ascii="宋体" w:hAnsi="宋体" w:cs="宋体" w:eastAsia="宋体" w:hint="default"/>
                <w:sz w:val="15"/>
                <w:szCs w:val="15"/>
              </w:rPr>
            </w:pPr>
            <w:r>
              <w:rPr>
                <w:rFonts w:ascii="宋体" w:hAnsi="宋体" w:cs="宋体" w:eastAsia="宋体" w:hint="default"/>
                <w:sz w:val="15"/>
                <w:szCs w:val="15"/>
              </w:rPr>
              <w:t>数字天堂</w:t>
            </w:r>
          </w:p>
        </w:tc>
      </w:tr>
    </w:tbl>
    <w:p>
      <w:pPr>
        <w:spacing w:line="240" w:lineRule="auto" w:before="6"/>
        <w:rPr>
          <w:rFonts w:ascii="Times New Roman" w:hAnsi="Times New Roman" w:cs="Times New Roman" w:eastAsia="Times New Roman" w:hint="default"/>
          <w:sz w:val="7"/>
          <w:szCs w:val="7"/>
        </w:rPr>
      </w:pPr>
    </w:p>
    <w:p>
      <w:pPr>
        <w:pStyle w:val="Heading4"/>
        <w:spacing w:line="240" w:lineRule="auto" w:before="44"/>
        <w:ind w:right="1033"/>
        <w:jc w:val="left"/>
        <w:rPr>
          <w:b w:val="0"/>
          <w:bCs w:val="0"/>
        </w:rPr>
      </w:pPr>
      <w:r>
        <w:rPr/>
        <w:t>（二）商业模式创新</w:t>
      </w:r>
      <w:r>
        <w:rPr>
          <w:b w:val="0"/>
          <w:bCs w:val="0"/>
        </w:rPr>
      </w:r>
    </w:p>
    <w:p>
      <w:pPr>
        <w:spacing w:line="240" w:lineRule="auto" w:before="0"/>
        <w:rPr>
          <w:rFonts w:ascii="宋体" w:hAnsi="宋体" w:cs="宋体" w:eastAsia="宋体" w:hint="default"/>
          <w:b/>
          <w:bCs/>
          <w:sz w:val="15"/>
          <w:szCs w:val="15"/>
        </w:rPr>
      </w:pPr>
    </w:p>
    <w:p>
      <w:pPr>
        <w:pStyle w:val="BodyText"/>
        <w:spacing w:line="314" w:lineRule="auto"/>
        <w:ind w:right="1130" w:firstLine="360"/>
        <w:jc w:val="both"/>
      </w:pPr>
      <w:r>
        <w:rPr>
          <w:spacing w:val="-2"/>
        </w:rPr>
        <w:t>公司上市以来，积极开拓进取，通过内生和外延的双轮驱动，围绕董事会制定的战略目标，改变了上市之初以基础软件</w:t>
      </w:r>
      <w:r>
        <w:rPr/>
        <w:t> </w:t>
      </w:r>
      <w:r>
        <w:rPr>
          <w:spacing w:val="-2"/>
        </w:rPr>
        <w:t>中间件作为唯一主业的局面。公司由原来的基础软件产品销售加维保服务的模式，积极向创新应用软件和软件基础设施解决</w:t>
      </w:r>
      <w:r>
        <w:rPr>
          <w:spacing w:val="-64"/>
        </w:rPr>
        <w:t> </w:t>
      </w:r>
      <w:r>
        <w:rPr>
          <w:spacing w:val="-64"/>
        </w:rPr>
      </w:r>
      <w:r>
        <w:rPr>
          <w:spacing w:val="-2"/>
        </w:rPr>
        <w:t>方案提供商转型升级，以</w:t>
      </w:r>
      <w:r>
        <w:rPr>
          <w:rFonts w:ascii="Times New Roman" w:hAnsi="Times New Roman" w:cs="Times New Roman" w:eastAsia="Times New Roman" w:hint="default"/>
          <w:spacing w:val="-2"/>
        </w:rPr>
        <w:t>“</w:t>
      </w:r>
      <w:r>
        <w:rPr>
          <w:spacing w:val="-2"/>
        </w:rPr>
        <w:t>自主、可控、安全</w:t>
      </w:r>
      <w:r>
        <w:rPr>
          <w:rFonts w:ascii="Times New Roman" w:hAnsi="Times New Roman" w:cs="Times New Roman" w:eastAsia="Times New Roman" w:hint="default"/>
          <w:spacing w:val="-2"/>
        </w:rPr>
        <w:t>”</w:t>
      </w:r>
      <w:r>
        <w:rPr>
          <w:spacing w:val="-2"/>
        </w:rPr>
        <w:t>作为核心发展理念，积极布局信息安全、政务大数据、军工信息化、移动互联</w:t>
      </w:r>
      <w:r>
        <w:rPr>
          <w:spacing w:val="-46"/>
        </w:rPr>
        <w:t> </w:t>
      </w:r>
      <w:r>
        <w:rPr>
          <w:spacing w:val="-46"/>
        </w:rPr>
      </w:r>
      <w:r>
        <w:rPr>
          <w:spacing w:val="-2"/>
        </w:rPr>
        <w:t>网等业务领域。未来，公司仍将在商业模式上持续创新，如基础软件业务在推进产品销售的同时，探索参与定制开发等解决</w:t>
      </w:r>
      <w:r>
        <w:rPr>
          <w:spacing w:val="-66"/>
        </w:rPr>
        <w:t> </w:t>
      </w:r>
      <w:r>
        <w:rPr>
          <w:spacing w:val="-66"/>
        </w:rPr>
      </w:r>
      <w:r>
        <w:rPr/>
        <w:t>方案模式的项目，或以服务、买断或租赁模式替代传统软件销售模式，提升公司业绩与核心竞争力。</w:t>
      </w:r>
    </w:p>
    <w:p>
      <w:pPr>
        <w:pStyle w:val="BodyText"/>
        <w:spacing w:line="319" w:lineRule="auto" w:before="60"/>
        <w:ind w:right="1131" w:firstLine="360"/>
        <w:jc w:val="both"/>
      </w:pPr>
      <w:r>
        <w:rPr>
          <w:spacing w:val="-2"/>
        </w:rPr>
        <w:t>作为公司内生发展的新兴业务，全资子公司东方通泰（包括其子公司无锡东方通）致力于大数据电子政务方向的创新应</w:t>
      </w:r>
      <w:r>
        <w:rPr/>
        <w:t> </w:t>
      </w:r>
      <w:r>
        <w:rPr>
          <w:spacing w:val="-2"/>
        </w:rPr>
        <w:t>用分析与运营业务。重点利用政务大数据归集服务能力、产品服务能力和国内应用案例经验，将企业数字服务空间、政务大</w:t>
      </w:r>
      <w:r>
        <w:rPr>
          <w:spacing w:val="-66"/>
        </w:rPr>
        <w:t> </w:t>
      </w:r>
      <w:r>
        <w:rPr>
          <w:spacing w:val="-66"/>
        </w:rPr>
      </w:r>
      <w:r>
        <w:rPr>
          <w:spacing w:val="-2"/>
        </w:rPr>
        <w:t>数据融合、经济沙盘调节、专业机构经济分析预测等植入省、市级政务大数据经济运行应用中，让客户获得与其他业内所不</w:t>
      </w:r>
      <w:r>
        <w:rPr>
          <w:spacing w:val="-66"/>
        </w:rPr>
        <w:t> </w:t>
      </w:r>
      <w:r>
        <w:rPr>
          <w:spacing w:val="-66"/>
        </w:rPr>
      </w:r>
      <w:r>
        <w:rPr>
          <w:spacing w:val="-2"/>
        </w:rPr>
        <w:t>能提供的政务大数据服务。同时优化整合集团数据服务方面的人才、技术优势资源，发挥数据采集归集、数据融合治理、经</w:t>
      </w:r>
      <w:r>
        <w:rPr>
          <w:spacing w:val="-66"/>
        </w:rPr>
        <w:t> </w:t>
      </w:r>
      <w:r>
        <w:rPr>
          <w:spacing w:val="-66"/>
        </w:rPr>
      </w:r>
      <w:r>
        <w:rPr/>
        <w:t>济预测分析、服务运营板块的积累优势，围绕差异化竞争格局，形成可持续的发展潜力。</w:t>
      </w:r>
    </w:p>
    <w:p>
      <w:pPr>
        <w:pStyle w:val="BodyText"/>
        <w:spacing w:line="432" w:lineRule="exact"/>
        <w:ind w:left="1493" w:right="1033" w:firstLine="1"/>
        <w:jc w:val="left"/>
      </w:pPr>
      <w:r>
        <w:rPr>
          <w:rFonts w:ascii="宋体" w:hAnsi="宋体" w:cs="宋体" w:eastAsia="宋体" w:hint="default"/>
          <w:b/>
          <w:bCs/>
        </w:rPr>
        <w:t>（三）管理模式创新</w:t>
      </w:r>
      <w:r>
        <w:rPr>
          <w:rFonts w:ascii="宋体" w:hAnsi="宋体" w:cs="宋体" w:eastAsia="宋体" w:hint="default"/>
          <w:b/>
          <w:bCs/>
          <w:w w:val="99"/>
        </w:rPr>
        <w:t> </w:t>
      </w:r>
      <w:r>
        <w:rPr>
          <w:spacing w:val="-2"/>
        </w:rPr>
        <w:t>公司通过持续外部引进（包括并购）与内部培养相结合的方式组建了管理团队。报告期内公司董事会新聘任五名高级管</w:t>
      </w:r>
    </w:p>
    <w:p>
      <w:pPr>
        <w:pStyle w:val="BodyText"/>
        <w:spacing w:line="314" w:lineRule="auto" w:before="15"/>
        <w:ind w:right="1033"/>
        <w:jc w:val="left"/>
      </w:pPr>
      <w:r>
        <w:rPr>
          <w:spacing w:val="-5"/>
        </w:rPr>
        <w:t>理人员，以</w:t>
      </w:r>
      <w:r>
        <w:rPr>
          <w:spacing w:val="-56"/>
        </w:rPr>
        <w:t> </w:t>
      </w:r>
      <w:r>
        <w:rPr>
          <w:rFonts w:ascii="Times New Roman" w:hAnsi="Times New Roman" w:cs="Times New Roman" w:eastAsia="Times New Roman" w:hint="default"/>
        </w:rPr>
        <w:t>75</w:t>
      </w:r>
      <w:r>
        <w:rPr>
          <w:rFonts w:ascii="Times New Roman" w:hAnsi="Times New Roman" w:cs="Times New Roman" w:eastAsia="Times New Roman" w:hint="default"/>
          <w:spacing w:val="-10"/>
        </w:rPr>
        <w:t> </w:t>
      </w:r>
      <w:r>
        <w:rPr/>
        <w:t>后和</w:t>
      </w:r>
      <w:r>
        <w:rPr>
          <w:spacing w:val="-56"/>
        </w:rPr>
        <w:t> </w:t>
      </w:r>
      <w:r>
        <w:rPr>
          <w:rFonts w:ascii="Times New Roman" w:hAnsi="Times New Roman" w:cs="Times New Roman" w:eastAsia="Times New Roman" w:hint="default"/>
        </w:rPr>
        <w:t>80</w:t>
      </w:r>
      <w:r>
        <w:rPr>
          <w:rFonts w:ascii="Times New Roman" w:hAnsi="Times New Roman" w:cs="Times New Roman" w:eastAsia="Times New Roman" w:hint="default"/>
          <w:spacing w:val="-11"/>
        </w:rPr>
        <w:t> </w:t>
      </w:r>
      <w:r>
        <w:rPr/>
        <w:t>后为主体，管理层年龄结构得到优化，更富有朝气和创新精神。目前已形成上市公司管理与初始基础 </w:t>
      </w:r>
      <w:r>
        <w:rPr>
          <w:spacing w:val="-2"/>
        </w:rPr>
        <w:t>软件业务的逻辑分离，根据各业务板块的市场定位进一步整合，相互间保持协同，集团公司管理体系已初步建立。公司通过</w:t>
      </w:r>
      <w:r>
        <w:rPr>
          <w:spacing w:val="-66"/>
        </w:rPr>
        <w:t> </w:t>
      </w:r>
      <w:r>
        <w:rPr>
          <w:spacing w:val="-66"/>
        </w:rPr>
      </w:r>
      <w:r>
        <w:rPr>
          <w:spacing w:val="-4"/>
        </w:rPr>
        <w:t>不断完善、优化与高效的用人机制，特别是强化激励机制和培训体系来吸纳与培养优秀经营管理人才、营销人才和科技人才，</w:t>
      </w:r>
      <w:r>
        <w:rPr>
          <w:spacing w:val="-44"/>
        </w:rPr>
        <w:t> </w:t>
      </w:r>
      <w:r>
        <w:rPr>
          <w:spacing w:val="-44"/>
        </w:rPr>
      </w:r>
      <w:r>
        <w:rPr>
          <w:spacing w:val="-2"/>
        </w:rPr>
        <w:t>建立科学的人力资源管理体系，进一步增强公司持续发展能力。同时，公司根据发展战略，确定以价值创造为基础的薪酬与</w:t>
      </w:r>
      <w:r>
        <w:rPr>
          <w:spacing w:val="-66"/>
        </w:rPr>
        <w:t> </w:t>
      </w:r>
      <w:r>
        <w:rPr>
          <w:spacing w:val="-66"/>
        </w:rPr>
      </w:r>
      <w:r>
        <w:rPr>
          <w:spacing w:val="-2"/>
        </w:rPr>
        <w:t>激励政策，以吸引更多的优秀人才，不断增强企业的核心竞争优势。管理模式的创新将为公司持续输送高质量人才管理团队</w:t>
      </w:r>
      <w:r>
        <w:rPr>
          <w:spacing w:val="-66"/>
        </w:rPr>
        <w:t> </w:t>
      </w:r>
      <w:r>
        <w:rPr>
          <w:spacing w:val="-66"/>
        </w:rPr>
      </w:r>
      <w:r>
        <w:rPr/>
        <w:t>和创新源泉，为公司的可持续发展提供不断支撑。</w:t>
      </w:r>
    </w:p>
    <w:p>
      <w:pPr>
        <w:pStyle w:val="Heading4"/>
        <w:spacing w:line="316" w:lineRule="auto" w:before="139"/>
        <w:ind w:left="1133" w:right="1201" w:firstLine="361"/>
        <w:jc w:val="both"/>
        <w:rPr>
          <w:b w:val="0"/>
          <w:bCs w:val="0"/>
        </w:rPr>
      </w:pPr>
      <w:r>
        <w:rPr>
          <w:w w:val="95"/>
        </w:rPr>
        <w:t>（四）全资子公司惠捷朗因核心管理团队及关键技术人员离职，导致核心竞争力受到严重影响的分析，以及拟采取的</w:t>
      </w:r>
      <w:r>
        <w:rPr>
          <w:spacing w:val="3"/>
          <w:w w:val="95"/>
        </w:rPr>
        <w:t> </w:t>
      </w:r>
      <w:r>
        <w:rPr>
          <w:spacing w:val="3"/>
          <w:w w:val="95"/>
        </w:rPr>
      </w:r>
      <w:r>
        <w:rPr/>
        <w:t>相应措施如下：</w:t>
      </w:r>
      <w:r>
        <w:rPr>
          <w:b w:val="0"/>
          <w:bCs w:val="0"/>
        </w:rPr>
      </w:r>
    </w:p>
    <w:p>
      <w:pPr>
        <w:pStyle w:val="BodyText"/>
        <w:spacing w:line="312" w:lineRule="auto" w:before="139"/>
        <w:ind w:left="1134" w:right="1131" w:firstLine="360"/>
        <w:jc w:val="both"/>
      </w:pPr>
      <w:r>
        <w:rPr/>
        <w:t>公司全资子公司惠捷朗的原创始人、前二位大股东李健、王晋敏以及商务负责人于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季度相继提出离职，目前 </w:t>
      </w:r>
      <w:r>
        <w:rPr>
          <w:spacing w:val="-2"/>
        </w:rPr>
        <w:t>正在办理业务和技术交接。李健为惠捷朗的法定代表人、总经理，是最主要的市场营销组织者，其离职预计将对市场开拓产</w:t>
      </w:r>
      <w:r>
        <w:rPr>
          <w:spacing w:val="-66"/>
        </w:rPr>
        <w:t> </w:t>
      </w:r>
      <w:r>
        <w:rPr>
          <w:spacing w:val="-66"/>
        </w:rPr>
      </w:r>
      <w:r>
        <w:rPr>
          <w:spacing w:val="-2"/>
        </w:rPr>
        <w:t>生较大不利影响；王晋敏为惠捷朗的副总经理，是核心技术研发的带头人，其离职预计将对网优测试软件研发工作产生较大</w:t>
      </w:r>
      <w:r>
        <w:rPr>
          <w:spacing w:val="-66"/>
        </w:rPr>
        <w:t> </w:t>
      </w:r>
      <w:r>
        <w:rPr>
          <w:spacing w:val="-66"/>
        </w:rPr>
      </w:r>
      <w:r>
        <w:rPr/>
        <w:t>不利影响。</w:t>
      </w:r>
    </w:p>
    <w:p>
      <w:pPr>
        <w:pStyle w:val="BodyText"/>
        <w:spacing w:line="240" w:lineRule="auto" w:before="62"/>
        <w:ind w:left="1494" w:right="1033"/>
        <w:jc w:val="left"/>
      </w:pPr>
      <w:r>
        <w:rPr/>
        <w:t>鉴于以上原因，公司拟采取如下措施，以保持惠捷朗持续经营能力：</w:t>
      </w:r>
    </w:p>
    <w:p>
      <w:pPr>
        <w:pStyle w:val="BodyText"/>
        <w:spacing w:line="302" w:lineRule="auto" w:before="115"/>
        <w:ind w:left="1134" w:right="1131" w:firstLine="360"/>
        <w:jc w:val="both"/>
      </w:pPr>
      <w:r>
        <w:rPr>
          <w:rFonts w:ascii="Times New Roman" w:hAnsi="Times New Roman" w:cs="Times New Roman" w:eastAsia="Times New Roman" w:hint="default"/>
          <w:spacing w:val="-1"/>
        </w:rPr>
        <w:t>1.</w:t>
      </w:r>
      <w:r>
        <w:rPr>
          <w:spacing w:val="-1"/>
        </w:rPr>
        <w:t>营销团队与微智信业深度整合。由于主要最终客户均为电信运营商，市场营销与微智信业深度融合可加强协同，以保</w:t>
      </w:r>
      <w:r>
        <w:rPr/>
        <w:t> 持销售团队的稳定性，重新激发销售人员的工作热情，给予相应的激励政策，引进或内部挖掘市场营销带头人。</w:t>
      </w:r>
    </w:p>
    <w:p>
      <w:pPr>
        <w:pStyle w:val="BodyText"/>
        <w:spacing w:line="240" w:lineRule="auto" w:before="69"/>
        <w:ind w:left="1494" w:right="1033"/>
        <w:jc w:val="left"/>
      </w:pPr>
      <w:r>
        <w:rPr>
          <w:rFonts w:ascii="Times New Roman" w:hAnsi="Times New Roman" w:cs="Times New Roman" w:eastAsia="Times New Roman" w:hint="default"/>
        </w:rPr>
        <w:t>2.</w:t>
      </w:r>
      <w:r>
        <w:rPr/>
        <w:t>技术上引进行业内优秀的产品和研发人才。与现有技术团队充分融合，同时与行业里其它的技术团队开展合作，取长</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pPr>
      <w:r>
        <w:rPr/>
        <w:t>补短，保持</w:t>
      </w:r>
      <w:r>
        <w:rPr>
          <w:spacing w:val="-46"/>
        </w:rPr>
        <w:t> </w:t>
      </w:r>
      <w:r>
        <w:rPr>
          <w:rFonts w:ascii="Times New Roman" w:hAnsi="Times New Roman" w:cs="Times New Roman" w:eastAsia="Times New Roman" w:hint="default"/>
        </w:rPr>
        <w:t>CDS</w:t>
      </w:r>
      <w:r>
        <w:rPr>
          <w:rFonts w:ascii="Times New Roman" w:hAnsi="Times New Roman" w:cs="Times New Roman" w:eastAsia="Times New Roman" w:hint="default"/>
          <w:spacing w:val="-1"/>
        </w:rPr>
        <w:t> </w:t>
      </w:r>
      <w:r>
        <w:rPr/>
        <w:t>网优路测软件产品在现阶段的先进性，同时加强技术服务力度，增强用户满意度，维护健康市场环境；在 </w:t>
      </w:r>
      <w:r>
        <w:rPr>
          <w:rFonts w:ascii="Times New Roman" w:hAnsi="Times New Roman" w:cs="Times New Roman" w:eastAsia="Times New Roman" w:hint="default"/>
        </w:rPr>
        <w:t>5G</w:t>
      </w:r>
      <w:r>
        <w:rPr>
          <w:rFonts w:ascii="Times New Roman" w:hAnsi="Times New Roman" w:cs="Times New Roman" w:eastAsia="Times New Roman" w:hint="default"/>
          <w:spacing w:val="-10"/>
        </w:rPr>
        <w:t> </w:t>
      </w:r>
      <w:r>
        <w:rPr/>
        <w:t>时代全面开启之前</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重点开发</w:t>
      </w:r>
      <w:r>
        <w:rPr>
          <w:spacing w:val="-55"/>
        </w:rPr>
        <w:t> </w:t>
      </w:r>
      <w:r>
        <w:rPr>
          <w:rFonts w:ascii="Times New Roman" w:hAnsi="Times New Roman" w:cs="Times New Roman" w:eastAsia="Times New Roman" w:hint="default"/>
        </w:rPr>
        <w:t>NB-IoT(</w:t>
      </w:r>
      <w:r>
        <w:rPr/>
        <w:t>窄带物联网</w:t>
      </w:r>
      <w:r>
        <w:rPr>
          <w:rFonts w:ascii="Times New Roman" w:hAnsi="Times New Roman" w:cs="Times New Roman" w:eastAsia="Times New Roman" w:hint="default"/>
        </w:rPr>
        <w:t>)</w:t>
      </w:r>
      <w:r>
        <w:rPr/>
        <w:t>，以继续保持市场份额领先优势。公司计划在</w:t>
      </w:r>
      <w:r>
        <w:rPr>
          <w:spacing w:val="-55"/>
        </w:rPr>
        <w:t> </w:t>
      </w:r>
      <w:r>
        <w:rPr>
          <w:rFonts w:ascii="Times New Roman" w:hAnsi="Times New Roman" w:cs="Times New Roman" w:eastAsia="Times New Roman" w:hint="default"/>
        </w:rPr>
        <w:t>5G</w:t>
      </w:r>
      <w:r>
        <w:rPr>
          <w:rFonts w:ascii="Times New Roman" w:hAnsi="Times New Roman" w:cs="Times New Roman" w:eastAsia="Times New Roman" w:hint="default"/>
          <w:spacing w:val="-9"/>
        </w:rPr>
        <w:t> </w:t>
      </w:r>
      <w:r>
        <w:rPr>
          <w:spacing w:val="-4"/>
        </w:rPr>
        <w:t>研发上加大投入，期</w:t>
      </w:r>
      <w:r>
        <w:rPr/>
        <w:t> 望在</w:t>
      </w:r>
      <w:r>
        <w:rPr>
          <w:spacing w:val="-46"/>
        </w:rPr>
        <w:t> </w:t>
      </w:r>
      <w:r>
        <w:rPr>
          <w:rFonts w:ascii="Times New Roman" w:hAnsi="Times New Roman" w:cs="Times New Roman" w:eastAsia="Times New Roman" w:hint="default"/>
        </w:rPr>
        <w:t>5G</w:t>
      </w:r>
      <w:r>
        <w:rPr>
          <w:rFonts w:ascii="Times New Roman" w:hAnsi="Times New Roman" w:cs="Times New Roman" w:eastAsia="Times New Roman" w:hint="default"/>
          <w:spacing w:val="-1"/>
        </w:rPr>
        <w:t> </w:t>
      </w:r>
      <w:r>
        <w:rPr/>
        <w:t>的前期和正式商用阶段赢得市场先机。</w:t>
      </w:r>
    </w:p>
    <w:p>
      <w:pPr>
        <w:pStyle w:val="BodyText"/>
        <w:spacing w:line="240" w:lineRule="auto" w:before="52"/>
        <w:ind w:left="1493" w:right="1033"/>
        <w:jc w:val="left"/>
      </w:pPr>
      <w:r>
        <w:rPr>
          <w:rFonts w:ascii="Times New Roman" w:hAnsi="Times New Roman" w:cs="Times New Roman" w:eastAsia="Times New Roman" w:hint="default"/>
        </w:rPr>
        <w:t>3.</w:t>
      </w:r>
      <w:r>
        <w:rPr/>
        <w:t>支撑管理体系全部纳入母公司，如综合运营、财务、商务由母公司统一管理。</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1033"/>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Heading4"/>
        <w:spacing w:line="240" w:lineRule="auto"/>
        <w:ind w:right="1033"/>
        <w:jc w:val="left"/>
        <w:rPr>
          <w:b w:val="0"/>
          <w:bCs w:val="0"/>
        </w:rPr>
      </w:pPr>
      <w:r>
        <w:rPr/>
        <w:t>一、报告期内经营数据分析</w:t>
      </w:r>
      <w:r>
        <w:rPr>
          <w:b w:val="0"/>
          <w:bCs w:val="0"/>
        </w:rPr>
      </w:r>
    </w:p>
    <w:p>
      <w:pPr>
        <w:spacing w:line="240" w:lineRule="auto" w:before="0"/>
        <w:rPr>
          <w:rFonts w:ascii="宋体" w:hAnsi="宋体" w:cs="宋体" w:eastAsia="宋体" w:hint="default"/>
          <w:b/>
          <w:bCs/>
          <w:sz w:val="15"/>
          <w:szCs w:val="15"/>
        </w:rPr>
      </w:pPr>
    </w:p>
    <w:p>
      <w:pPr>
        <w:pStyle w:val="BodyText"/>
        <w:spacing w:line="307" w:lineRule="auto"/>
        <w:ind w:right="1155" w:firstLine="360"/>
        <w:jc w:val="left"/>
      </w:pPr>
      <w:r>
        <w:rPr/>
        <w:t>报告期内，公司实现营业收入</w:t>
      </w:r>
      <w:r>
        <w:rPr>
          <w:spacing w:val="-47"/>
        </w:rPr>
        <w:t> </w:t>
      </w:r>
      <w:r>
        <w:rPr>
          <w:rFonts w:ascii="Times New Roman" w:hAnsi="Times New Roman" w:cs="Times New Roman" w:eastAsia="Times New Roman" w:hint="default"/>
        </w:rPr>
        <w:t>29,278.64</w:t>
      </w:r>
      <w:r>
        <w:rPr>
          <w:rFonts w:ascii="Times New Roman" w:hAnsi="Times New Roman" w:cs="Times New Roman" w:eastAsia="Times New Roman" w:hint="default"/>
          <w:spacing w:val="-2"/>
        </w:rPr>
        <w:t> </w:t>
      </w:r>
      <w:r>
        <w:rPr/>
        <w:t>万元，同比下降</w:t>
      </w:r>
      <w:r>
        <w:rPr>
          <w:spacing w:val="-47"/>
        </w:rPr>
        <w:t> </w:t>
      </w:r>
      <w:r>
        <w:rPr>
          <w:rFonts w:ascii="Times New Roman" w:hAnsi="Times New Roman" w:cs="Times New Roman" w:eastAsia="Times New Roman" w:hint="default"/>
        </w:rPr>
        <w:t>10.02%</w:t>
      </w:r>
      <w:r>
        <w:rPr/>
        <w:t>，营业利润</w:t>
      </w:r>
      <w:r>
        <w:rPr>
          <w:rFonts w:ascii="Times New Roman" w:hAnsi="Times New Roman" w:cs="Times New Roman" w:eastAsia="Times New Roman" w:hint="default"/>
        </w:rPr>
        <w:t>-31,334.14</w:t>
      </w:r>
      <w:r>
        <w:rPr>
          <w:rFonts w:ascii="Times New Roman" w:hAnsi="Times New Roman" w:cs="Times New Roman" w:eastAsia="Times New Roman" w:hint="default"/>
          <w:spacing w:val="-1"/>
        </w:rPr>
        <w:t> </w:t>
      </w:r>
      <w:r>
        <w:rPr/>
        <w:t>万元，同比下降</w:t>
      </w:r>
      <w:r>
        <w:rPr>
          <w:spacing w:val="-47"/>
        </w:rPr>
        <w:t> </w:t>
      </w:r>
      <w:r>
        <w:rPr>
          <w:rFonts w:ascii="Times New Roman" w:hAnsi="Times New Roman" w:cs="Times New Roman" w:eastAsia="Times New Roman" w:hint="default"/>
        </w:rPr>
        <w:t>478.61%</w:t>
      </w:r>
      <w:r>
        <w:rPr/>
        <w:t>，归属 于上市公司股东的净利润</w:t>
      </w:r>
      <w:r>
        <w:rPr>
          <w:rFonts w:ascii="Times New Roman" w:hAnsi="Times New Roman" w:cs="Times New Roman" w:eastAsia="Times New Roman" w:hint="default"/>
        </w:rPr>
        <w:t>-30,728.67 </w:t>
      </w:r>
      <w:r>
        <w:rPr/>
        <w:t>万元，同比下降</w:t>
      </w:r>
      <w:r>
        <w:rPr>
          <w:spacing w:val="-48"/>
        </w:rPr>
        <w:t> </w:t>
      </w:r>
      <w:r>
        <w:rPr>
          <w:rFonts w:ascii="Times New Roman" w:hAnsi="Times New Roman" w:cs="Times New Roman" w:eastAsia="Times New Roman" w:hint="default"/>
        </w:rPr>
        <w:t>375.93%</w:t>
      </w:r>
      <w:r>
        <w:rPr/>
        <w:t>。报告期内，公司信息安全业务收入虽实现大幅增长，但因网 优测试业务营业收入剧烈下滑，导致公司总体营业收入和净利润同比下降。报告期内，因公司合计计提商誉减值准备 </w:t>
      </w:r>
      <w:r>
        <w:rPr>
          <w:rFonts w:ascii="Times New Roman" w:hAnsi="Times New Roman" w:cs="Times New Roman" w:eastAsia="Times New Roman" w:hint="default"/>
        </w:rPr>
        <w:t>38,481.73</w:t>
      </w:r>
      <w:r>
        <w:rPr>
          <w:rFonts w:ascii="Times New Roman" w:hAnsi="Times New Roman" w:cs="Times New Roman" w:eastAsia="Times New Roman" w:hint="default"/>
          <w:spacing w:val="-2"/>
        </w:rPr>
        <w:t> </w:t>
      </w:r>
      <w:r>
        <w:rPr/>
        <w:t>万元，导致报告期亏损。</w:t>
      </w:r>
    </w:p>
    <w:p>
      <w:pPr>
        <w:pStyle w:val="Heading4"/>
        <w:spacing w:line="240" w:lineRule="auto" w:before="127"/>
        <w:ind w:right="1033"/>
        <w:jc w:val="left"/>
        <w:rPr>
          <w:b w:val="0"/>
          <w:bCs w:val="0"/>
        </w:rPr>
      </w:pPr>
      <w:r>
        <w:rPr/>
        <w:t>二、报告期内发生和未来将要发生的重大事项</w:t>
      </w:r>
      <w:r>
        <w:rPr>
          <w:b w:val="0"/>
          <w:bCs w:val="0"/>
        </w:rPr>
      </w:r>
    </w:p>
    <w:p>
      <w:pPr>
        <w:spacing w:line="240" w:lineRule="auto" w:before="12"/>
        <w:rPr>
          <w:rFonts w:ascii="宋体" w:hAnsi="宋体" w:cs="宋体" w:eastAsia="宋体" w:hint="default"/>
          <w:b/>
          <w:bCs/>
          <w:sz w:val="14"/>
          <w:szCs w:val="14"/>
        </w:rPr>
      </w:pPr>
    </w:p>
    <w:p>
      <w:pPr>
        <w:pStyle w:val="Heading4"/>
        <w:spacing w:line="240" w:lineRule="auto"/>
        <w:ind w:right="1033"/>
        <w:jc w:val="left"/>
        <w:rPr>
          <w:b w:val="0"/>
          <w:bCs w:val="0"/>
        </w:rPr>
      </w:pPr>
      <w:r>
        <w:rPr>
          <w:rFonts w:ascii="Times New Roman" w:hAnsi="Times New Roman" w:cs="Times New Roman" w:eastAsia="Times New Roman" w:hint="default"/>
        </w:rPr>
        <w:t>1</w:t>
      </w:r>
      <w:r>
        <w:rPr/>
        <w:t>、董事、高级管理人员变动与聘任</w:t>
      </w:r>
      <w:r>
        <w:rPr>
          <w:b w:val="0"/>
          <w:bCs w:val="0"/>
        </w:rPr>
      </w:r>
    </w:p>
    <w:p>
      <w:pPr>
        <w:spacing w:line="240" w:lineRule="auto" w:before="13"/>
        <w:rPr>
          <w:rFonts w:ascii="宋体" w:hAnsi="宋体" w:cs="宋体" w:eastAsia="宋体" w:hint="default"/>
          <w:b/>
          <w:bCs/>
          <w:sz w:val="13"/>
          <w:szCs w:val="13"/>
        </w:rPr>
      </w:pPr>
    </w:p>
    <w:p>
      <w:pPr>
        <w:pStyle w:val="BodyText"/>
        <w:spacing w:line="309" w:lineRule="auto"/>
        <w:ind w:right="1131"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日公司第三届董事会第三次会议，审议通过了《关于聘任徐少璞先生为公司常务副总经理同时免去其副 </w:t>
      </w:r>
      <w:r>
        <w:rPr>
          <w:spacing w:val="-2"/>
        </w:rPr>
        <w:t>总经理职务的议案》。根据总经理沈惠中先生提名，经公司第三届董事会提名委员会审查，公司第三届董事会同意聘任徐少</w:t>
      </w:r>
      <w:r>
        <w:rPr>
          <w:spacing w:val="-72"/>
        </w:rPr>
        <w:t> </w:t>
      </w:r>
      <w:r>
        <w:rPr>
          <w:spacing w:val="-72"/>
        </w:rPr>
      </w:r>
      <w:r>
        <w:rPr/>
        <w:t>璞先生为公司常务副总经理，任期自本次会议通过之日起至本届董事会届满之日止，同时免去其副总经理职务。</w:t>
      </w:r>
    </w:p>
    <w:p>
      <w:pPr>
        <w:pStyle w:val="BodyText"/>
        <w:spacing w:line="314" w:lineRule="auto" w:before="64"/>
        <w:ind w:right="1131"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日收到公司董事、总经理沈惠中先生的辞职报告。沈惠中先生因公司发展需要调整工作分工的原因申请 </w:t>
      </w:r>
      <w:r>
        <w:rPr>
          <w:spacing w:val="-2"/>
        </w:rPr>
        <w:t>辞去公司总经理的职务。同日，公司第三届董事会召开第三次会议，审议通过了《关于聘任总经理的议案》。董事会同意聘</w:t>
      </w:r>
      <w:r>
        <w:rPr>
          <w:spacing w:val="-72"/>
        </w:rPr>
        <w:t> </w:t>
      </w:r>
      <w:r>
        <w:rPr>
          <w:spacing w:val="-72"/>
        </w:rPr>
      </w:r>
      <w:r>
        <w:rPr>
          <w:spacing w:val="-2"/>
        </w:rPr>
        <w:t>任黄永军先生为公司总经理，负责主持公司日常生产经营和管理工作。任期自本次会议通过之日起至第三届董事会届满之日</w:t>
      </w:r>
      <w:r>
        <w:rPr>
          <w:spacing w:val="-64"/>
        </w:rPr>
        <w:t> </w:t>
      </w:r>
      <w:r>
        <w:rPr>
          <w:spacing w:val="-64"/>
        </w:rPr>
      </w:r>
      <w:r>
        <w:rPr>
          <w:spacing w:val="-2"/>
        </w:rPr>
        <w:t>止。同次会议还通过了《关于选举沈惠中先生担任公司副董事长的议案》，董事会同意选举沈惠中先生担任公司副董事长，</w:t>
      </w:r>
      <w:r>
        <w:rPr>
          <w:spacing w:val="-72"/>
        </w:rPr>
        <w:t> </w:t>
      </w:r>
      <w:r>
        <w:rPr>
          <w:spacing w:val="-72"/>
        </w:rPr>
      </w:r>
      <w:r>
        <w:rPr/>
        <w:t>任期自董事会审议通过之日起，至第三届董事会任期届满日止。</w:t>
      </w:r>
    </w:p>
    <w:p>
      <w:pPr>
        <w:pStyle w:val="BodyText"/>
        <w:spacing w:line="240" w:lineRule="auto" w:before="59"/>
        <w:ind w:left="1493" w:right="1033"/>
        <w:jc w:val="left"/>
      </w:pPr>
      <w:r>
        <w:rPr/>
        <w:t>为进一步增强企业活力，逐步实现公司管理团队的新老更替，张齐春女士于</w:t>
      </w:r>
      <w:r>
        <w:rPr>
          <w:spacing w:val="-6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w:t>
      </w:r>
      <w:r>
        <w:rPr>
          <w:spacing w:val="-66"/>
        </w:rPr>
        <w:t> </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t>月辞去公司董事会董事长、董事</w:t>
      </w:r>
    </w:p>
    <w:p>
      <w:pPr>
        <w:pStyle w:val="BodyText"/>
        <w:spacing w:line="309" w:lineRule="auto" w:before="63"/>
        <w:ind w:right="1140"/>
        <w:jc w:val="both"/>
      </w:pPr>
      <w:r>
        <w:rPr/>
        <w:t>会战略委员会主任委员及法定代表人职务。</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日，公司召开第三届董事会第九次会议，审议通过了《关于选 </w:t>
      </w:r>
      <w:r>
        <w:rPr>
          <w:spacing w:val="-2"/>
        </w:rPr>
        <w:t>举公司董事长的议案》，选举黄永军先生为公司第三届董事会董事长，任期自董事会审议通过之日起至第三届董事会任期届</w:t>
      </w:r>
      <w:r>
        <w:rPr>
          <w:spacing w:val="-72"/>
        </w:rPr>
        <w:t> </w:t>
      </w:r>
      <w:r>
        <w:rPr>
          <w:spacing w:val="-72"/>
        </w:rPr>
      </w:r>
      <w:r>
        <w:rPr/>
        <w:t>满时止。根据《公司章程》的规定，董事长为公司法定代表人。同时任命黄永军先生为战略委员会主任委员</w:t>
      </w:r>
    </w:p>
    <w:p>
      <w:pPr>
        <w:pStyle w:val="BodyText"/>
        <w:spacing w:line="302" w:lineRule="auto" w:before="62"/>
        <w:ind w:left="1134" w:right="1121" w:firstLine="360"/>
        <w:jc w:val="left"/>
      </w:pP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10 </w:t>
      </w:r>
      <w:r>
        <w:rPr>
          <w:spacing w:val="-3"/>
        </w:rPr>
        <w:t>日召开了第三届董事会第九次会议，会议审议通过了《关于聘任公司内部审计部门负责人的议案》，同</w:t>
      </w:r>
      <w:r>
        <w:rPr/>
        <w:t> 意聘任朱律玮先生为公司内部审计部门负责人。任期自董事会审议通过之日起，至本届董事会任期届满日止。</w:t>
      </w:r>
    </w:p>
    <w:p>
      <w:pPr>
        <w:pStyle w:val="BodyText"/>
        <w:spacing w:line="309" w:lineRule="auto" w:before="69"/>
        <w:ind w:right="1130" w:firstLine="360"/>
        <w:jc w:val="both"/>
      </w:pP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27 </w:t>
      </w:r>
      <w:r>
        <w:rPr>
          <w:spacing w:val="-3"/>
        </w:rPr>
        <w:t>日，公司召开第三届董事会第十次会议，审议通过《关于补选第三届董事会董事的议案》，由公司时任</w:t>
      </w:r>
      <w:r>
        <w:rPr/>
        <w:t> 控股股东、实际控制人、董事张齐春女士及持股</w:t>
      </w:r>
      <w:r>
        <w:rPr>
          <w:spacing w:val="-52"/>
        </w:rPr>
        <w:t> </w:t>
      </w:r>
      <w:r>
        <w:rPr>
          <w:rFonts w:ascii="Times New Roman" w:hAnsi="Times New Roman" w:cs="Times New Roman" w:eastAsia="Times New Roman" w:hint="default"/>
        </w:rPr>
        <w:t>5%</w:t>
      </w:r>
      <w:r>
        <w:rPr/>
        <w:t>以上股东、董事长黄永军先生联合提名，经公司第三届董事会提名委员 </w:t>
      </w:r>
      <w:r>
        <w:rPr>
          <w:spacing w:val="-2"/>
        </w:rPr>
        <w:t>会审查，董事会同意补选徐少璞先生为公司第三届董事会董事，同时增补为战略委员会委员、审计委员会委员，任期自股东</w:t>
      </w:r>
      <w:r>
        <w:rPr>
          <w:spacing w:val="-66"/>
        </w:rPr>
        <w:t> </w:t>
      </w:r>
      <w:r>
        <w:rPr>
          <w:spacing w:val="-66"/>
        </w:rPr>
      </w:r>
      <w:r>
        <w:rPr>
          <w:spacing w:val="-4"/>
        </w:rPr>
        <w:t>大会审议通过之日起至第三届董事会届满之日止。本议案已经</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日召开的公司</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年第一次临时股东大会审议 </w:t>
      </w:r>
      <w:r>
        <w:rPr>
          <w:spacing w:val="-2"/>
        </w:rPr>
        <w:t>通过。同次会议还审议通过了《关于聘任公司高级管理人员的议案》。同意聘任郭大勇先生、曲涛先生、武耀辉先生、张春</w:t>
      </w:r>
      <w:r>
        <w:rPr>
          <w:spacing w:val="-72"/>
        </w:rPr>
        <w:t> </w:t>
      </w:r>
      <w:r>
        <w:rPr>
          <w:spacing w:val="-72"/>
        </w:rPr>
      </w:r>
      <w:r>
        <w:rPr>
          <w:spacing w:val="-2"/>
        </w:rPr>
        <w:t>林先生担任公司副总经理，同意聘任王会先生担任公司财务总监，任期自本次董事会审议通过之日起至公司第三届董事会届</w:t>
      </w:r>
      <w:r>
        <w:rPr>
          <w:spacing w:val="-64"/>
        </w:rPr>
        <w:t> </w:t>
      </w:r>
      <w:r>
        <w:rPr>
          <w:spacing w:val="-64"/>
        </w:rPr>
      </w:r>
      <w:r>
        <w:rPr/>
        <w:t>满之日止。</w:t>
      </w:r>
    </w:p>
    <w:p>
      <w:pPr>
        <w:pStyle w:val="BodyText"/>
        <w:spacing w:line="240" w:lineRule="auto" w:before="64"/>
        <w:ind w:left="1494" w:right="1033"/>
        <w:jc w:val="left"/>
      </w:pPr>
      <w:r>
        <w:rPr/>
        <w:t>上述新聘任的高级管理人员均为</w:t>
      </w:r>
      <w:r>
        <w:rPr>
          <w:spacing w:val="-46"/>
        </w:rPr>
        <w:t> </w:t>
      </w:r>
      <w:r>
        <w:rPr>
          <w:rFonts w:ascii="Times New Roman" w:hAnsi="Times New Roman" w:cs="Times New Roman" w:eastAsia="Times New Roman" w:hint="default"/>
        </w:rPr>
        <w:t>75</w:t>
      </w:r>
      <w:r>
        <w:rPr>
          <w:rFonts w:ascii="Times New Roman" w:hAnsi="Times New Roman" w:cs="Times New Roman" w:eastAsia="Times New Roman" w:hint="default"/>
          <w:spacing w:val="-1"/>
        </w:rPr>
        <w:t> </w:t>
      </w:r>
      <w:r>
        <w:rPr/>
        <w:t>后和</w:t>
      </w:r>
      <w:r>
        <w:rPr>
          <w:spacing w:val="-46"/>
        </w:rPr>
        <w:t> </w:t>
      </w:r>
      <w:r>
        <w:rPr>
          <w:rFonts w:ascii="Times New Roman" w:hAnsi="Times New Roman" w:cs="Times New Roman" w:eastAsia="Times New Roman" w:hint="default"/>
        </w:rPr>
        <w:t>80</w:t>
      </w:r>
      <w:r>
        <w:rPr>
          <w:rFonts w:ascii="Times New Roman" w:hAnsi="Times New Roman" w:cs="Times New Roman" w:eastAsia="Times New Roman" w:hint="default"/>
          <w:spacing w:val="-1"/>
        </w:rPr>
        <w:t> </w:t>
      </w:r>
      <w:r>
        <w:rPr/>
        <w:t>后，管理层年龄结构得到优化，更富有朝气和创新精神。</w:t>
      </w:r>
    </w:p>
    <w:p>
      <w:pPr>
        <w:spacing w:line="240" w:lineRule="auto" w:before="12"/>
        <w:rPr>
          <w:rFonts w:ascii="宋体" w:hAnsi="宋体" w:cs="宋体" w:eastAsia="宋体" w:hint="default"/>
          <w:sz w:val="13"/>
          <w:szCs w:val="13"/>
        </w:rPr>
      </w:pPr>
    </w:p>
    <w:p>
      <w:pPr>
        <w:pStyle w:val="Heading4"/>
        <w:spacing w:line="240" w:lineRule="auto"/>
        <w:ind w:right="1033"/>
        <w:jc w:val="left"/>
        <w:rPr>
          <w:b w:val="0"/>
          <w:bCs w:val="0"/>
        </w:rPr>
      </w:pPr>
      <w:r>
        <w:rPr>
          <w:rFonts w:ascii="Times New Roman" w:hAnsi="Times New Roman" w:cs="Times New Roman" w:eastAsia="Times New Roman" w:hint="default"/>
        </w:rPr>
        <w:t>2</w:t>
      </w:r>
      <w:r>
        <w:rPr/>
        <w:t>、持股</w:t>
      </w:r>
      <w:r>
        <w:rPr>
          <w:spacing w:val="-49"/>
        </w:rPr>
        <w:t> </w:t>
      </w:r>
      <w:r>
        <w:rPr>
          <w:rFonts w:ascii="Times New Roman" w:hAnsi="Times New Roman" w:cs="Times New Roman" w:eastAsia="Times New Roman" w:hint="default"/>
        </w:rPr>
        <w:t>5%</w:t>
      </w:r>
      <w:r>
        <w:rPr/>
        <w:t>以上股东增持公司股份</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1494" w:right="103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日收到公司持股</w:t>
      </w:r>
      <w:r>
        <w:rPr>
          <w:spacing w:val="-55"/>
        </w:rPr>
        <w:t> </w:t>
      </w:r>
      <w:r>
        <w:rPr>
          <w:rFonts w:ascii="Times New Roman" w:hAnsi="Times New Roman" w:cs="Times New Roman" w:eastAsia="Times New Roman" w:hint="default"/>
        </w:rPr>
        <w:t>5%</w:t>
      </w:r>
      <w:r>
        <w:rPr/>
        <w:t>以上股东、董事长黄永军先生的通知，基于对公司未来发展前景的信心以及公司价</w:t>
      </w:r>
    </w:p>
    <w:p>
      <w:pPr>
        <w:pStyle w:val="BodyText"/>
        <w:spacing w:line="309" w:lineRule="auto" w:before="63"/>
        <w:ind w:left="1134" w:right="1132"/>
        <w:jc w:val="both"/>
      </w:pPr>
      <w:r>
        <w:rPr/>
        <w:t>值的认可，同时为提升投资者信心，维护中小股东利益，黄永军先生计划自</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4"/>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日起六个月内，根据中国证监会 </w:t>
      </w:r>
      <w:r>
        <w:rPr>
          <w:spacing w:val="-2"/>
        </w:rPr>
        <w:t>和深圳证券交易所的有关规定，通过法律法规允许的方式，通过个人账户或证券、信托等资产管理计划择机以集中竞价或大</w:t>
      </w:r>
      <w:r>
        <w:rPr>
          <w:spacing w:val="-66"/>
        </w:rPr>
        <w:t> </w:t>
      </w:r>
      <w:r>
        <w:rPr>
          <w:spacing w:val="-66"/>
        </w:rPr>
      </w:r>
      <w:r>
        <w:rPr/>
        <w:t>宗交易等方式增持公司股份。增持所需的资金来源为自有资金或自筹资金。增持股份数量不低于</w:t>
      </w:r>
      <w:r>
        <w:rPr>
          <w:spacing w:val="-4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万股。</w:t>
      </w:r>
    </w:p>
    <w:p>
      <w:pPr>
        <w:pStyle w:val="BodyText"/>
        <w:spacing w:line="240" w:lineRule="auto" w:before="43"/>
        <w:ind w:left="1494" w:right="1033"/>
        <w:jc w:val="left"/>
      </w:pPr>
      <w:r>
        <w:rPr/>
        <w:t>截止本报告日，黄永军先生通过</w:t>
      </w:r>
      <w:r>
        <w:rPr>
          <w:rFonts w:ascii="Times New Roman" w:hAnsi="Times New Roman" w:cs="Times New Roman" w:eastAsia="Times New Roman" w:hint="default"/>
        </w:rPr>
        <w:t>“</w:t>
      </w:r>
      <w:r>
        <w:rPr/>
        <w:t>云南国际信托有限公司－招信智赢点山</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号集合资金信托计划</w:t>
      </w:r>
      <w:r>
        <w:rPr>
          <w:rFonts w:ascii="Times New Roman" w:hAnsi="Times New Roman" w:cs="Times New Roman" w:eastAsia="Times New Roman" w:hint="default"/>
        </w:rPr>
        <w:t>”</w:t>
      </w:r>
      <w:r>
        <w:rPr/>
        <w:t>共增持公司股份</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rFonts w:ascii="Times New Roman" w:hAnsi="Times New Roman" w:cs="Times New Roman" w:eastAsia="Times New Roman" w:hint="default"/>
        </w:rPr>
        <w:t>6,043,228 </w:t>
      </w:r>
      <w:r>
        <w:rPr/>
        <w:t>股。</w:t>
      </w:r>
    </w:p>
    <w:p>
      <w:pPr>
        <w:spacing w:line="240" w:lineRule="auto" w:before="12"/>
        <w:rPr>
          <w:rFonts w:ascii="宋体" w:hAnsi="宋体" w:cs="宋体" w:eastAsia="宋体" w:hint="default"/>
          <w:sz w:val="13"/>
          <w:szCs w:val="13"/>
        </w:rPr>
      </w:pPr>
    </w:p>
    <w:p>
      <w:pPr>
        <w:pStyle w:val="Heading4"/>
        <w:spacing w:line="240" w:lineRule="auto"/>
        <w:ind w:right="1033"/>
        <w:jc w:val="left"/>
        <w:rPr>
          <w:b w:val="0"/>
          <w:bCs w:val="0"/>
        </w:rPr>
      </w:pPr>
      <w:r>
        <w:rPr>
          <w:rFonts w:ascii="Times New Roman" w:hAnsi="Times New Roman" w:cs="Times New Roman" w:eastAsia="Times New Roman" w:hint="default"/>
        </w:rPr>
        <w:t>3</w:t>
      </w:r>
      <w:r>
        <w:rPr/>
        <w:t>、公司实际控制人变更</w:t>
      </w:r>
      <w:r>
        <w:rPr>
          <w:b w:val="0"/>
          <w:bCs w:val="0"/>
        </w:rPr>
      </w:r>
    </w:p>
    <w:p>
      <w:pPr>
        <w:spacing w:line="240" w:lineRule="auto" w:before="13"/>
        <w:rPr>
          <w:rFonts w:ascii="宋体" w:hAnsi="宋体" w:cs="宋体" w:eastAsia="宋体" w:hint="default"/>
          <w:b/>
          <w:bCs/>
          <w:sz w:val="13"/>
          <w:szCs w:val="13"/>
        </w:rPr>
      </w:pPr>
    </w:p>
    <w:p>
      <w:pPr>
        <w:pStyle w:val="BodyText"/>
        <w:spacing w:line="302" w:lineRule="auto"/>
        <w:ind w:left="1134" w:right="1205" w:firstLine="360"/>
        <w:jc w:val="left"/>
      </w:pPr>
      <w:r>
        <w:rPr/>
        <w:t>公司持股</w:t>
      </w:r>
      <w:r>
        <w:rPr>
          <w:spacing w:val="-46"/>
        </w:rPr>
        <w:t> </w:t>
      </w:r>
      <w:r>
        <w:rPr>
          <w:rFonts w:ascii="Times New Roman" w:hAnsi="Times New Roman" w:cs="Times New Roman" w:eastAsia="Times New Roman" w:hint="default"/>
        </w:rPr>
        <w:t>5%</w:t>
      </w:r>
      <w:r>
        <w:rPr/>
        <w:t>以上股东张齐春女士与黄永军先生于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4"/>
        </w:rPr>
        <w:t>日签署了《表决权委托协议》，张齐春女士将其持有</w:t>
      </w:r>
      <w:r>
        <w:rPr/>
        <w:t> 的东方通</w:t>
      </w:r>
      <w:r>
        <w:rPr>
          <w:spacing w:val="-46"/>
        </w:rPr>
        <w:t> </w:t>
      </w:r>
      <w:r>
        <w:rPr>
          <w:rFonts w:ascii="Times New Roman" w:hAnsi="Times New Roman" w:cs="Times New Roman" w:eastAsia="Times New Roman" w:hint="default"/>
        </w:rPr>
        <w:t>33,822,218</w:t>
      </w:r>
      <w:r>
        <w:rPr>
          <w:rFonts w:ascii="Times New Roman" w:hAnsi="Times New Roman" w:cs="Times New Roman" w:eastAsia="Times New Roman" w:hint="default"/>
          <w:spacing w:val="-1"/>
        </w:rPr>
        <w:t> </w:t>
      </w:r>
      <w:r>
        <w:rPr/>
        <w:t>股股份（占总股本的</w:t>
      </w:r>
      <w:r>
        <w:rPr>
          <w:spacing w:val="-46"/>
        </w:rPr>
        <w:t> </w:t>
      </w:r>
      <w:r>
        <w:rPr>
          <w:rFonts w:ascii="Times New Roman" w:hAnsi="Times New Roman" w:cs="Times New Roman" w:eastAsia="Times New Roman" w:hint="default"/>
        </w:rPr>
        <w:t>12.2088%</w:t>
      </w:r>
      <w:r>
        <w:rPr/>
        <w:t>） 对应的表决权以及提名和提案权委托给黄永军先生行使。</w:t>
      </w:r>
    </w:p>
    <w:p>
      <w:pPr>
        <w:pStyle w:val="BodyText"/>
        <w:spacing w:line="300" w:lineRule="auto" w:before="49"/>
        <w:ind w:right="1119" w:firstLine="360"/>
        <w:jc w:val="left"/>
      </w:pPr>
      <w:r>
        <w:rPr/>
        <w:t>表决权委托后，张齐春女士享有的表决权股份数量为</w:t>
      </w:r>
      <w:r>
        <w:rPr>
          <w:spacing w:val="-59"/>
        </w:rPr>
        <w:t> </w:t>
      </w:r>
      <w:r>
        <w:rPr>
          <w:rFonts w:ascii="Times New Roman" w:hAnsi="Times New Roman" w:cs="Times New Roman" w:eastAsia="Times New Roman" w:hint="default"/>
        </w:rPr>
        <w:t>0</w:t>
      </w:r>
      <w:r>
        <w:rPr>
          <w:rFonts w:ascii="Times New Roman" w:hAnsi="Times New Roman" w:cs="Times New Roman" w:eastAsia="Times New Roman" w:hint="default"/>
          <w:spacing w:val="-14"/>
        </w:rPr>
        <w:t> </w:t>
      </w:r>
      <w:r>
        <w:rPr/>
        <w:t>股；黄永军先生享有的表决权股份数量为</w:t>
      </w:r>
      <w:r>
        <w:rPr>
          <w:spacing w:val="-59"/>
        </w:rPr>
        <w:t> </w:t>
      </w:r>
      <w:r>
        <w:rPr>
          <w:rFonts w:ascii="Times New Roman" w:hAnsi="Times New Roman" w:cs="Times New Roman" w:eastAsia="Times New Roman" w:hint="default"/>
        </w:rPr>
        <w:t>58,439,112</w:t>
      </w:r>
      <w:r>
        <w:rPr>
          <w:rFonts w:ascii="Times New Roman" w:hAnsi="Times New Roman" w:cs="Times New Roman" w:eastAsia="Times New Roman" w:hint="default"/>
          <w:spacing w:val="-14"/>
        </w:rPr>
        <w:t> </w:t>
      </w:r>
      <w:r>
        <w:rPr>
          <w:spacing w:val="-6"/>
        </w:rPr>
        <w:t>股（包括黄</w:t>
      </w:r>
      <w:r>
        <w:rPr/>
        <w:t> 永军直接持有</w:t>
      </w:r>
      <w:r>
        <w:rPr>
          <w:spacing w:val="-44"/>
        </w:rPr>
        <w:t> </w:t>
      </w:r>
      <w:r>
        <w:rPr>
          <w:rFonts w:ascii="Times New Roman" w:hAnsi="Times New Roman" w:cs="Times New Roman" w:eastAsia="Times New Roman" w:hint="default"/>
        </w:rPr>
        <w:t>18,615,066</w:t>
      </w:r>
      <w:r>
        <w:rPr>
          <w:rFonts w:ascii="Times New Roman" w:hAnsi="Times New Roman" w:cs="Times New Roman" w:eastAsia="Times New Roman" w:hint="default"/>
          <w:spacing w:val="1"/>
        </w:rPr>
        <w:t> </w:t>
      </w:r>
      <w:r>
        <w:rPr>
          <w:spacing w:val="-3"/>
        </w:rPr>
        <w:t>股东方通股票对应的表决权、通过云南国际信托有限公司－招信智赢点山</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号集合资金信托计划间</w:t>
      </w:r>
    </w:p>
    <w:p>
      <w:pPr>
        <w:pStyle w:val="BodyText"/>
        <w:spacing w:line="300" w:lineRule="auto" w:before="13"/>
        <w:ind w:right="1131"/>
        <w:jc w:val="both"/>
      </w:pPr>
      <w:r>
        <w:rPr/>
        <w:t>接持有</w:t>
      </w:r>
      <w:r>
        <w:rPr>
          <w:spacing w:val="-43"/>
        </w:rPr>
        <w:t> </w:t>
      </w:r>
      <w:r>
        <w:rPr>
          <w:rFonts w:ascii="Times New Roman" w:hAnsi="Times New Roman" w:cs="Times New Roman" w:eastAsia="Times New Roman" w:hint="default"/>
          <w:spacing w:val="-1"/>
        </w:rPr>
        <w:t>6,001,828</w:t>
      </w:r>
      <w:r>
        <w:rPr>
          <w:rFonts w:ascii="Times New Roman" w:hAnsi="Times New Roman" w:cs="Times New Roman" w:eastAsia="Times New Roman" w:hint="default"/>
          <w:spacing w:val="2"/>
        </w:rPr>
        <w:t> </w:t>
      </w:r>
      <w:r>
        <w:rPr/>
        <w:t>股东方通股票对应的表决权及通过表决权委托方式获得的东方通</w:t>
      </w:r>
      <w:r>
        <w:rPr>
          <w:spacing w:val="-43"/>
        </w:rPr>
        <w:t> </w:t>
      </w:r>
      <w:r>
        <w:rPr>
          <w:rFonts w:ascii="Times New Roman" w:hAnsi="Times New Roman" w:cs="Times New Roman" w:eastAsia="Times New Roman" w:hint="default"/>
        </w:rPr>
        <w:t>33,822,218</w:t>
      </w:r>
      <w:r>
        <w:rPr>
          <w:rFonts w:ascii="Times New Roman" w:hAnsi="Times New Roman" w:cs="Times New Roman" w:eastAsia="Times New Roman" w:hint="default"/>
          <w:spacing w:val="4"/>
        </w:rPr>
        <w:t> </w:t>
      </w:r>
      <w:r>
        <w:rPr>
          <w:spacing w:val="-13"/>
        </w:rPr>
        <w:t>股对应的表决权），占公司总股</w:t>
      </w:r>
      <w:r>
        <w:rPr/>
        <w:t> 本的</w:t>
      </w:r>
      <w:r>
        <w:rPr>
          <w:spacing w:val="-9"/>
        </w:rPr>
        <w:t> </w:t>
      </w:r>
      <w:r>
        <w:rPr>
          <w:rFonts w:ascii="Times New Roman" w:hAnsi="Times New Roman" w:cs="Times New Roman" w:eastAsia="Times New Roman" w:hint="default"/>
        </w:rPr>
        <w:t>21.0947%</w:t>
      </w:r>
      <w:r>
        <w:rPr/>
        <w:t>，成为可支配公司最大单一表决权的股东。本次表决权委托导致公司实际控制人发生变更，公司实际控制人 已由张齐春女士及其一致行动人变更为黄永军先生。</w:t>
      </w:r>
    </w:p>
    <w:p>
      <w:pPr>
        <w:pStyle w:val="BodyText"/>
        <w:spacing w:line="240" w:lineRule="auto" w:before="72"/>
        <w:ind w:left="1494" w:right="1033"/>
        <w:jc w:val="left"/>
      </w:pPr>
      <w:r>
        <w:rPr/>
        <w:t>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日披</w:t>
      </w:r>
      <w:r>
        <w:rPr>
          <w:spacing w:val="1"/>
        </w:rPr>
        <w:t>露</w:t>
      </w:r>
      <w:r>
        <w:rPr/>
        <w:t>了《关于股东签署</w:t>
      </w:r>
      <w:r>
        <w:rPr>
          <w:rFonts w:ascii="Times New Roman" w:hAnsi="Times New Roman" w:cs="Times New Roman" w:eastAsia="Times New Roman" w:hint="default"/>
        </w:rPr>
        <w:t>&lt;</w:t>
      </w:r>
      <w:r>
        <w:rPr/>
        <w:t>表决权委托协议</w:t>
      </w:r>
      <w:r>
        <w:rPr>
          <w:rFonts w:ascii="Times New Roman" w:hAnsi="Times New Roman" w:cs="Times New Roman" w:eastAsia="Times New Roman" w:hint="default"/>
        </w:rPr>
        <w:t>&gt;</w:t>
      </w:r>
      <w:r>
        <w:rPr/>
        <w:t>暨实际控制人变更的提示性公告</w:t>
      </w:r>
      <w:r>
        <w:rPr>
          <w:spacing w:val="-90"/>
        </w:rPr>
        <w:t>》</w:t>
      </w:r>
      <w:r>
        <w:rPr/>
        <w:t>。</w:t>
      </w:r>
    </w:p>
    <w:p>
      <w:pPr>
        <w:spacing w:line="240" w:lineRule="auto" w:before="12"/>
        <w:rPr>
          <w:rFonts w:ascii="宋体" w:hAnsi="宋体" w:cs="宋体" w:eastAsia="宋体" w:hint="default"/>
          <w:sz w:val="13"/>
          <w:szCs w:val="13"/>
        </w:rPr>
      </w:pPr>
    </w:p>
    <w:p>
      <w:pPr>
        <w:pStyle w:val="Heading4"/>
        <w:spacing w:line="240" w:lineRule="auto"/>
        <w:ind w:right="1033"/>
        <w:jc w:val="left"/>
        <w:rPr>
          <w:b w:val="0"/>
          <w:bCs w:val="0"/>
        </w:rPr>
      </w:pPr>
      <w:r>
        <w:rPr>
          <w:rFonts w:ascii="Times New Roman" w:hAnsi="Times New Roman" w:cs="Times New Roman" w:eastAsia="Times New Roman" w:hint="default"/>
        </w:rPr>
        <w:t>4</w:t>
      </w:r>
      <w:r>
        <w:rPr/>
        <w:t>、股权激励</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1494" w:right="103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22 </w:t>
      </w:r>
      <w:r>
        <w:rPr/>
        <w:t>日，第三届董事会第六次会议审议通过了《关于调整股票期权激励计划期权数量和行权价格的议案</w:t>
      </w:r>
      <w:r>
        <w:rPr>
          <w:spacing w:val="-90"/>
        </w:rPr>
        <w:t>》</w:t>
      </w:r>
      <w:r>
        <w:rPr/>
        <w:t>，</w:t>
      </w:r>
    </w:p>
    <w:p>
      <w:pPr>
        <w:pStyle w:val="BodyText"/>
        <w:spacing w:line="240" w:lineRule="auto" w:before="63"/>
        <w:ind w:left="1134" w:right="1033"/>
        <w:jc w:val="left"/>
      </w:pPr>
      <w:r>
        <w:rPr/>
        <w:t>因公司实施</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年度利润分配及资本公积转增股本方案，公司对第一期股票期权激励计划期权数量和行权价格作出相应调</w:t>
      </w:r>
    </w:p>
    <w:p>
      <w:pPr>
        <w:pStyle w:val="BodyText"/>
        <w:spacing w:line="240" w:lineRule="auto" w:before="63"/>
        <w:ind w:left="1134" w:right="0"/>
        <w:jc w:val="left"/>
      </w:pPr>
      <w:r>
        <w:rPr/>
        <w:t>整，首次授予股票期权授予数量由</w:t>
      </w:r>
      <w:r>
        <w:rPr>
          <w:spacing w:val="-46"/>
        </w:rPr>
        <w:t> </w:t>
      </w:r>
      <w:r>
        <w:rPr>
          <w:rFonts w:ascii="Times New Roman" w:hAnsi="Times New Roman" w:cs="Times New Roman" w:eastAsia="Times New Roman" w:hint="default"/>
        </w:rPr>
        <w:t>400.8</w:t>
      </w:r>
      <w:r>
        <w:rPr>
          <w:rFonts w:ascii="Times New Roman" w:hAnsi="Times New Roman" w:cs="Times New Roman" w:eastAsia="Times New Roman" w:hint="default"/>
          <w:spacing w:val="-1"/>
        </w:rPr>
        <w:t> </w:t>
      </w:r>
      <w:r>
        <w:rPr/>
        <w:t>万份调整为</w:t>
      </w:r>
      <w:r>
        <w:rPr>
          <w:spacing w:val="-46"/>
        </w:rPr>
        <w:t> </w:t>
      </w:r>
      <w:r>
        <w:rPr>
          <w:rFonts w:ascii="Times New Roman" w:hAnsi="Times New Roman" w:cs="Times New Roman" w:eastAsia="Times New Roman" w:hint="default"/>
        </w:rPr>
        <w:t>801.6</w:t>
      </w:r>
      <w:r>
        <w:rPr>
          <w:rFonts w:ascii="Times New Roman" w:hAnsi="Times New Roman" w:cs="Times New Roman" w:eastAsia="Times New Roman" w:hint="default"/>
          <w:spacing w:val="-1"/>
        </w:rPr>
        <w:t> </w:t>
      </w:r>
      <w:r>
        <w:rPr/>
        <w:t>万份，行权价格由</w:t>
      </w:r>
      <w:r>
        <w:rPr>
          <w:spacing w:val="-46"/>
        </w:rPr>
        <w:t> </w:t>
      </w:r>
      <w:r>
        <w:rPr>
          <w:rFonts w:ascii="Times New Roman" w:hAnsi="Times New Roman" w:cs="Times New Roman" w:eastAsia="Times New Roman" w:hint="default"/>
        </w:rPr>
        <w:t>63.57</w:t>
      </w:r>
      <w:r>
        <w:rPr>
          <w:rFonts w:ascii="Times New Roman" w:hAnsi="Times New Roman" w:cs="Times New Roman" w:eastAsia="Times New Roman" w:hint="default"/>
          <w:spacing w:val="-1"/>
        </w:rPr>
        <w:t> </w:t>
      </w:r>
      <w:r>
        <w:rPr/>
        <w:t>元调整为</w:t>
      </w:r>
      <w:r>
        <w:rPr>
          <w:spacing w:val="-46"/>
        </w:rPr>
        <w:t> </w:t>
      </w:r>
      <w:r>
        <w:rPr>
          <w:rFonts w:ascii="Times New Roman" w:hAnsi="Times New Roman" w:cs="Times New Roman" w:eastAsia="Times New Roman" w:hint="default"/>
        </w:rPr>
        <w:t>31.69</w:t>
      </w:r>
      <w:r>
        <w:rPr>
          <w:rFonts w:ascii="Times New Roman" w:hAnsi="Times New Roman" w:cs="Times New Roman" w:eastAsia="Times New Roman" w:hint="default"/>
          <w:spacing w:val="-1"/>
        </w:rPr>
        <w:t> </w:t>
      </w:r>
      <w:r>
        <w:rPr/>
        <w:t>元。预留部分（已授予）</w:t>
      </w:r>
    </w:p>
    <w:p>
      <w:pPr>
        <w:pStyle w:val="BodyText"/>
        <w:spacing w:line="240" w:lineRule="auto" w:before="64"/>
        <w:ind w:right="1033"/>
        <w:jc w:val="left"/>
      </w:pPr>
      <w:r>
        <w:rPr/>
        <w:t>股票期权授予数量由</w:t>
      </w:r>
      <w:r>
        <w:rPr>
          <w:spacing w:val="-46"/>
        </w:rPr>
        <w:t> </w:t>
      </w:r>
      <w:r>
        <w:rPr>
          <w:rFonts w:ascii="Times New Roman" w:hAnsi="Times New Roman" w:cs="Times New Roman" w:eastAsia="Times New Roman" w:hint="default"/>
        </w:rPr>
        <w:t>26.75</w:t>
      </w:r>
      <w:r>
        <w:rPr>
          <w:rFonts w:ascii="Times New Roman" w:hAnsi="Times New Roman" w:cs="Times New Roman" w:eastAsia="Times New Roman" w:hint="default"/>
          <w:spacing w:val="-1"/>
        </w:rPr>
        <w:t> </w:t>
      </w:r>
      <w:r>
        <w:rPr/>
        <w:t>万份调整为</w:t>
      </w:r>
      <w:r>
        <w:rPr>
          <w:spacing w:val="-46"/>
        </w:rPr>
        <w:t> </w:t>
      </w:r>
      <w:r>
        <w:rPr>
          <w:rFonts w:ascii="Times New Roman" w:hAnsi="Times New Roman" w:cs="Times New Roman" w:eastAsia="Times New Roman" w:hint="default"/>
        </w:rPr>
        <w:t>53.5</w:t>
      </w:r>
      <w:r>
        <w:rPr>
          <w:rFonts w:ascii="Times New Roman" w:hAnsi="Times New Roman" w:cs="Times New Roman" w:eastAsia="Times New Roman" w:hint="default"/>
          <w:spacing w:val="-1"/>
        </w:rPr>
        <w:t> </w:t>
      </w:r>
      <w:r>
        <w:rPr/>
        <w:t>万份，行权价格由</w:t>
      </w:r>
      <w:r>
        <w:rPr>
          <w:spacing w:val="-46"/>
        </w:rPr>
        <w:t> </w:t>
      </w:r>
      <w:r>
        <w:rPr>
          <w:rFonts w:ascii="Times New Roman" w:hAnsi="Times New Roman" w:cs="Times New Roman" w:eastAsia="Times New Roman" w:hint="default"/>
        </w:rPr>
        <w:t>69.72</w:t>
      </w:r>
      <w:r>
        <w:rPr>
          <w:rFonts w:ascii="Times New Roman" w:hAnsi="Times New Roman" w:cs="Times New Roman" w:eastAsia="Times New Roman" w:hint="default"/>
          <w:spacing w:val="-1"/>
        </w:rPr>
        <w:t> </w:t>
      </w:r>
      <w:r>
        <w:rPr/>
        <w:t>元调整为</w:t>
      </w:r>
      <w:r>
        <w:rPr>
          <w:spacing w:val="-46"/>
        </w:rPr>
        <w:t> </w:t>
      </w:r>
      <w:r>
        <w:rPr>
          <w:rFonts w:ascii="Times New Roman" w:hAnsi="Times New Roman" w:cs="Times New Roman" w:eastAsia="Times New Roman" w:hint="default"/>
        </w:rPr>
        <w:t>34.76</w:t>
      </w:r>
      <w:r>
        <w:rPr>
          <w:rFonts w:ascii="Times New Roman" w:hAnsi="Times New Roman" w:cs="Times New Roman" w:eastAsia="Times New Roman" w:hint="default"/>
          <w:spacing w:val="-1"/>
        </w:rPr>
        <w:t> </w:t>
      </w:r>
      <w:r>
        <w:rPr/>
        <w:t>元。</w:t>
      </w:r>
    </w:p>
    <w:p>
      <w:pPr>
        <w:pStyle w:val="BodyText"/>
        <w:spacing w:line="240" w:lineRule="auto" w:before="101"/>
        <w:ind w:left="1493" w:right="103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5 </w:t>
      </w:r>
      <w:r>
        <w:rPr/>
        <w:t>日，第三届董事会第八次会议和第三届监事会第七次会议审议通过了《关于调整公司第一期股票期权激</w:t>
      </w:r>
    </w:p>
    <w:p>
      <w:pPr>
        <w:pStyle w:val="BodyText"/>
        <w:spacing w:line="240" w:lineRule="auto" w:before="63"/>
        <w:ind w:right="1033"/>
        <w:jc w:val="left"/>
        <w:rPr>
          <w:rFonts w:ascii="Times New Roman" w:hAnsi="Times New Roman" w:cs="Times New Roman" w:eastAsia="Times New Roman" w:hint="default"/>
        </w:rPr>
      </w:pPr>
      <w:r>
        <w:rPr/>
        <w:t>励计划激励对象和期权数量的议案</w:t>
      </w:r>
      <w:r>
        <w:rPr>
          <w:spacing w:val="-90"/>
        </w:rPr>
        <w:t>》。</w:t>
      </w:r>
      <w:r>
        <w:rPr/>
        <w:t>公司第一期股票期权激励计划首次授予期权的第一个行权期为</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日至</w:t>
      </w:r>
      <w:r>
        <w:rPr>
          <w:spacing w:val="-51"/>
        </w:rPr>
        <w:t> </w:t>
      </w:r>
      <w:r>
        <w:rPr>
          <w:rFonts w:ascii="Times New Roman" w:hAnsi="Times New Roman" w:cs="Times New Roman" w:eastAsia="Times New Roman" w:hint="default"/>
        </w:rPr>
        <w:t>2017</w:t>
      </w:r>
    </w:p>
    <w:p>
      <w:pPr>
        <w:pStyle w:val="BodyText"/>
        <w:spacing w:line="240" w:lineRule="auto" w:before="63"/>
        <w:ind w:left="1134" w:right="0"/>
        <w:jc w:val="left"/>
      </w:pP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日，因</w:t>
      </w:r>
      <w:r>
        <w:rPr>
          <w:spacing w:val="-46"/>
        </w:rPr>
        <w:t> </w:t>
      </w:r>
      <w:r>
        <w:rPr>
          <w:rFonts w:ascii="Times New Roman" w:hAnsi="Times New Roman" w:cs="Times New Roman" w:eastAsia="Times New Roman" w:hint="default"/>
        </w:rPr>
        <w:t>101</w:t>
      </w:r>
      <w:r>
        <w:rPr>
          <w:rFonts w:ascii="Times New Roman" w:hAnsi="Times New Roman" w:cs="Times New Roman" w:eastAsia="Times New Roman" w:hint="default"/>
          <w:spacing w:val="-1"/>
        </w:rPr>
        <w:t> </w:t>
      </w:r>
      <w:r>
        <w:rPr/>
        <w:t>名激励对象放弃行权而失效的股票期权合计</w:t>
      </w:r>
      <w:r>
        <w:rPr>
          <w:spacing w:val="-46"/>
        </w:rPr>
        <w:t> </w:t>
      </w:r>
      <w:r>
        <w:rPr>
          <w:rFonts w:ascii="Times New Roman" w:hAnsi="Times New Roman" w:cs="Times New Roman" w:eastAsia="Times New Roman" w:hint="default"/>
        </w:rPr>
        <w:t>1,247,800</w:t>
      </w:r>
      <w:r>
        <w:rPr>
          <w:rFonts w:ascii="Times New Roman" w:hAnsi="Times New Roman" w:cs="Times New Roman" w:eastAsia="Times New Roman" w:hint="default"/>
          <w:spacing w:val="-1"/>
        </w:rPr>
        <w:t> </w:t>
      </w:r>
      <w:r>
        <w:rPr/>
        <w:t>份，按规定应予以注销；因</w:t>
      </w:r>
      <w:r>
        <w:rPr>
          <w:spacing w:val="-46"/>
        </w:rPr>
        <w:t> </w:t>
      </w:r>
      <w:r>
        <w:rPr>
          <w:rFonts w:ascii="Times New Roman" w:hAnsi="Times New Roman" w:cs="Times New Roman" w:eastAsia="Times New Roman" w:hint="default"/>
        </w:rPr>
        <w:t>73</w:t>
      </w:r>
      <w:r>
        <w:rPr>
          <w:rFonts w:ascii="Times New Roman" w:hAnsi="Times New Roman" w:cs="Times New Roman" w:eastAsia="Times New Roman" w:hint="default"/>
          <w:spacing w:val="-1"/>
        </w:rPr>
        <w:t> </w:t>
      </w:r>
      <w:r>
        <w:rPr/>
        <w:t>名激励对象离职，</w:t>
      </w:r>
    </w:p>
    <w:p>
      <w:pPr>
        <w:pStyle w:val="BodyText"/>
        <w:spacing w:line="240" w:lineRule="auto" w:before="63"/>
        <w:ind w:left="1134" w:right="1033"/>
        <w:jc w:val="left"/>
      </w:pPr>
      <w:r>
        <w:rPr/>
        <w:t>其获授但尚未行权的股票期权合计</w:t>
      </w:r>
      <w:r>
        <w:rPr>
          <w:spacing w:val="-43"/>
        </w:rPr>
        <w:t> </w:t>
      </w:r>
      <w:r>
        <w:rPr>
          <w:rFonts w:ascii="Times New Roman" w:hAnsi="Times New Roman" w:cs="Times New Roman" w:eastAsia="Times New Roman" w:hint="default"/>
        </w:rPr>
        <w:t>1,762,980</w:t>
      </w:r>
      <w:r>
        <w:rPr>
          <w:rFonts w:ascii="Times New Roman" w:hAnsi="Times New Roman" w:cs="Times New Roman" w:eastAsia="Times New Roman" w:hint="default"/>
          <w:spacing w:val="2"/>
        </w:rPr>
        <w:t> </w:t>
      </w:r>
      <w:r>
        <w:rPr>
          <w:spacing w:val="-3"/>
        </w:rPr>
        <w:t>份，按规定应予以注销。应注销期权合计</w:t>
      </w:r>
      <w:r>
        <w:rPr>
          <w:spacing w:val="-43"/>
        </w:rPr>
        <w:t> </w:t>
      </w:r>
      <w:r>
        <w:rPr>
          <w:rFonts w:ascii="Times New Roman" w:hAnsi="Times New Roman" w:cs="Times New Roman" w:eastAsia="Times New Roman" w:hint="default"/>
        </w:rPr>
        <w:t>3,010,780</w:t>
      </w:r>
      <w:r>
        <w:rPr>
          <w:rFonts w:ascii="Times New Roman" w:hAnsi="Times New Roman" w:cs="Times New Roman" w:eastAsia="Times New Roman" w:hint="default"/>
          <w:spacing w:val="3"/>
        </w:rPr>
        <w:t> </w:t>
      </w:r>
      <w:r>
        <w:rPr>
          <w:spacing w:val="-4"/>
        </w:rPr>
        <w:t>份。本次调整后，公司第一</w:t>
      </w:r>
    </w:p>
    <w:p>
      <w:pPr>
        <w:pStyle w:val="BodyText"/>
        <w:spacing w:line="304" w:lineRule="auto" w:before="63"/>
        <w:ind w:left="1134" w:right="1033"/>
        <w:jc w:val="left"/>
      </w:pPr>
      <w:r>
        <w:rPr/>
        <w:t>期股票期权激励计划首次授予期权激励对象由</w:t>
      </w:r>
      <w:r>
        <w:rPr>
          <w:spacing w:val="-47"/>
        </w:rPr>
        <w:t> </w:t>
      </w:r>
      <w:r>
        <w:rPr>
          <w:rFonts w:ascii="Times New Roman" w:hAnsi="Times New Roman" w:cs="Times New Roman" w:eastAsia="Times New Roman" w:hint="default"/>
        </w:rPr>
        <w:t>215</w:t>
      </w:r>
      <w:r>
        <w:rPr>
          <w:rFonts w:ascii="Times New Roman" w:hAnsi="Times New Roman" w:cs="Times New Roman" w:eastAsia="Times New Roman" w:hint="default"/>
          <w:spacing w:val="-2"/>
        </w:rPr>
        <w:t> </w:t>
      </w:r>
      <w:r>
        <w:rPr/>
        <w:t>名调整为</w:t>
      </w:r>
      <w:r>
        <w:rPr>
          <w:spacing w:val="-47"/>
        </w:rPr>
        <w:t> </w:t>
      </w:r>
      <w:r>
        <w:rPr>
          <w:rFonts w:ascii="Times New Roman" w:hAnsi="Times New Roman" w:cs="Times New Roman" w:eastAsia="Times New Roman" w:hint="default"/>
        </w:rPr>
        <w:t>142</w:t>
      </w:r>
      <w:r>
        <w:rPr>
          <w:rFonts w:ascii="Times New Roman" w:hAnsi="Times New Roman" w:cs="Times New Roman" w:eastAsia="Times New Roman" w:hint="default"/>
          <w:spacing w:val="-2"/>
        </w:rPr>
        <w:t> </w:t>
      </w:r>
      <w:r>
        <w:rPr/>
        <w:t>人，激励对象获授但尚未行权的期权数量调整为</w:t>
      </w:r>
      <w:r>
        <w:rPr>
          <w:spacing w:val="-47"/>
        </w:rPr>
        <w:t> </w:t>
      </w:r>
      <w:r>
        <w:rPr>
          <w:rFonts w:ascii="Times New Roman" w:hAnsi="Times New Roman" w:cs="Times New Roman" w:eastAsia="Times New Roman" w:hint="default"/>
        </w:rPr>
        <w:t>4,118,800 </w:t>
      </w:r>
      <w:r>
        <w:rPr>
          <w:spacing w:val="-4"/>
        </w:rPr>
        <w:t>份。由于预留授予期权的激励对象于冬斌因个人原因离职，不再具备激励对象资格，根据公司《股票期权激励计划（草案）》</w:t>
      </w:r>
      <w:r>
        <w:rPr>
          <w:spacing w:val="-44"/>
        </w:rPr>
        <w:t> </w:t>
      </w:r>
      <w:r>
        <w:rPr>
          <w:spacing w:val="-44"/>
        </w:rPr>
      </w:r>
      <w:r>
        <w:rPr/>
        <w:t>的相关规定，对其持有的</w:t>
      </w:r>
      <w:r>
        <w:rPr>
          <w:spacing w:val="-56"/>
        </w:rPr>
        <w:t> </w:t>
      </w:r>
      <w:r>
        <w:rPr>
          <w:rFonts w:ascii="Times New Roman" w:hAnsi="Times New Roman" w:cs="Times New Roman" w:eastAsia="Times New Roman" w:hint="default"/>
        </w:rPr>
        <w:t>535,000</w:t>
      </w:r>
      <w:r>
        <w:rPr>
          <w:rFonts w:ascii="Times New Roman" w:hAnsi="Times New Roman" w:cs="Times New Roman" w:eastAsia="Times New Roman" w:hint="default"/>
          <w:spacing w:val="-11"/>
        </w:rPr>
        <w:t> </w:t>
      </w:r>
      <w:r>
        <w:rPr/>
        <w:t>份预留股票期权予以取消并办理注销手续。本次调整后，公司第一期股票期权激励计划预 留股票期权存量数为</w:t>
      </w:r>
      <w:r>
        <w:rPr>
          <w:spacing w:val="-47"/>
        </w:rPr>
        <w:t> </w:t>
      </w:r>
      <w:r>
        <w:rPr>
          <w:rFonts w:ascii="Times New Roman" w:hAnsi="Times New Roman" w:cs="Times New Roman" w:eastAsia="Times New Roman" w:hint="default"/>
        </w:rPr>
        <w:t>0</w:t>
      </w:r>
      <w:r>
        <w:rPr/>
        <w:t>，自行终止。经中国证券登记结算有限责任公司深圳分公司审核确认，上述</w:t>
      </w:r>
      <w:r>
        <w:rPr>
          <w:spacing w:val="-47"/>
        </w:rPr>
        <w:t> </w:t>
      </w:r>
      <w:r>
        <w:rPr>
          <w:rFonts w:ascii="Times New Roman" w:hAnsi="Times New Roman" w:cs="Times New Roman" w:eastAsia="Times New Roman" w:hint="default"/>
        </w:rPr>
        <w:t>3,545,780</w:t>
      </w:r>
      <w:r>
        <w:rPr>
          <w:rFonts w:ascii="Times New Roman" w:hAnsi="Times New Roman" w:cs="Times New Roman" w:eastAsia="Times New Roman" w:hint="default"/>
          <w:spacing w:val="-2"/>
        </w:rPr>
        <w:t> </w:t>
      </w:r>
      <w:r>
        <w:rPr/>
        <w:t>份股票期权注 销事宜已于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日办理完毕。</w:t>
      </w:r>
    </w:p>
    <w:p>
      <w:pPr>
        <w:pStyle w:val="BodyText"/>
        <w:spacing w:line="240" w:lineRule="auto" w:before="47"/>
        <w:ind w:left="1494" w:right="103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5 </w:t>
      </w:r>
      <w:r>
        <w:rPr/>
        <w:t>日，第三届董事会第八次会议审议通过了《关于公司第一期股票期权激励计划首次授予期权第二个行权</w:t>
      </w:r>
    </w:p>
    <w:p>
      <w:pPr>
        <w:pStyle w:val="BodyText"/>
        <w:spacing w:line="240" w:lineRule="auto" w:before="63"/>
        <w:ind w:left="1134" w:right="1033"/>
        <w:jc w:val="left"/>
      </w:pPr>
      <w:r>
        <w:rPr/>
        <w:t>期可行权的议案</w:t>
      </w:r>
      <w:r>
        <w:rPr>
          <w:spacing w:val="-90"/>
        </w:rPr>
        <w:t>》</w:t>
      </w:r>
      <w:r>
        <w:rPr/>
        <w:t>。公司第一期股票期权激励计划首次授予期权第二个行权期的行权条件已满足，同意</w:t>
      </w:r>
      <w:r>
        <w:rPr>
          <w:spacing w:val="-45"/>
        </w:rPr>
        <w:t> </w:t>
      </w:r>
      <w:r>
        <w:rPr>
          <w:rFonts w:ascii="Times New Roman" w:hAnsi="Times New Roman" w:cs="Times New Roman" w:eastAsia="Times New Roman" w:hint="default"/>
        </w:rPr>
        <w:t>142</w:t>
      </w:r>
      <w:r>
        <w:rPr>
          <w:rFonts w:ascii="Times New Roman" w:hAnsi="Times New Roman" w:cs="Times New Roman" w:eastAsia="Times New Roman" w:hint="default"/>
          <w:spacing w:val="-1"/>
        </w:rPr>
        <w:t> </w:t>
      </w:r>
      <w:r>
        <w:rPr/>
        <w:t>名</w:t>
      </w:r>
      <w:r>
        <w:rPr>
          <w:spacing w:val="1"/>
        </w:rPr>
        <w:t>激</w:t>
      </w:r>
      <w:r>
        <w:rPr/>
        <w:t>励对象在第</w:t>
      </w:r>
    </w:p>
    <w:p>
      <w:pPr>
        <w:pStyle w:val="BodyText"/>
        <w:spacing w:line="240" w:lineRule="auto" w:before="64"/>
        <w:ind w:left="1134" w:right="1033"/>
        <w:jc w:val="left"/>
      </w:pPr>
      <w:r>
        <w:rPr/>
        <w:t>二个行权期内以自主行权方式进行行权，第二个行权期可行权股票期权合计</w:t>
      </w:r>
      <w:r>
        <w:rPr>
          <w:spacing w:val="-46"/>
        </w:rPr>
        <w:t> </w:t>
      </w:r>
      <w:r>
        <w:rPr>
          <w:rFonts w:ascii="Times New Roman" w:hAnsi="Times New Roman" w:cs="Times New Roman" w:eastAsia="Times New Roman" w:hint="default"/>
        </w:rPr>
        <w:t>1,765,200</w:t>
      </w:r>
      <w:r>
        <w:rPr>
          <w:rFonts w:ascii="Times New Roman" w:hAnsi="Times New Roman" w:cs="Times New Roman" w:eastAsia="Times New Roman" w:hint="default"/>
          <w:spacing w:val="-2"/>
        </w:rPr>
        <w:t> </w:t>
      </w:r>
      <w:r>
        <w:rPr/>
        <w:t>份。</w:t>
      </w:r>
    </w:p>
    <w:p>
      <w:pPr>
        <w:spacing w:line="240" w:lineRule="auto" w:before="13"/>
        <w:rPr>
          <w:rFonts w:ascii="宋体" w:hAnsi="宋体" w:cs="宋体" w:eastAsia="宋体" w:hint="default"/>
          <w:sz w:val="13"/>
          <w:szCs w:val="13"/>
        </w:rPr>
      </w:pPr>
    </w:p>
    <w:p>
      <w:pPr>
        <w:spacing w:line="415" w:lineRule="auto" w:before="0"/>
        <w:ind w:left="1493" w:right="1033"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、子公司增资及设立分公司</w:t>
      </w:r>
      <w:r>
        <w:rPr>
          <w:rFonts w:ascii="宋体" w:hAnsi="宋体" w:cs="宋体" w:eastAsia="宋体" w:hint="default"/>
          <w:b/>
          <w:bCs/>
          <w:w w:val="99"/>
          <w:sz w:val="18"/>
          <w:szCs w:val="18"/>
        </w:rPr>
        <w:t> </w:t>
      </w:r>
      <w:r>
        <w:rPr>
          <w:rFonts w:ascii="宋体" w:hAnsi="宋体" w:cs="宋体" w:eastAsia="宋体" w:hint="default"/>
          <w:spacing w:val="-2"/>
          <w:sz w:val="18"/>
          <w:szCs w:val="18"/>
        </w:rPr>
        <w:t>为增强公司全资子公司北京微智信业科技有限公司的资本实力，补充经营性流动资金，满足其业务发展需要，提升公司</w:t>
      </w:r>
    </w:p>
    <w:p>
      <w:pPr>
        <w:pStyle w:val="BodyText"/>
        <w:spacing w:line="194" w:lineRule="exact"/>
        <w:ind w:right="1033"/>
        <w:jc w:val="left"/>
      </w:pPr>
      <w:r>
        <w:rPr/>
        <w:t>在大数据信息安全领域的综合实力，公司以自有资金向微智信业进行增资，增资金额人民币</w:t>
      </w:r>
      <w:r>
        <w:rPr>
          <w:spacing w:val="-45"/>
        </w:rPr>
        <w:t> </w:t>
      </w:r>
      <w:r>
        <w:rPr>
          <w:rFonts w:ascii="Times New Roman" w:hAnsi="Times New Roman" w:cs="Times New Roman" w:eastAsia="Times New Roman" w:hint="default"/>
        </w:rPr>
        <w:t>6,000  </w:t>
      </w:r>
      <w:r>
        <w:rPr/>
        <w:t>万元。该议案经</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p>
    <w:p>
      <w:pPr>
        <w:pStyle w:val="BodyText"/>
        <w:spacing w:line="302" w:lineRule="auto" w:before="63"/>
        <w:ind w:right="1031"/>
        <w:jc w:val="left"/>
      </w:pPr>
      <w:r>
        <w:rPr>
          <w:rFonts w:ascii="Times New Roman" w:hAnsi="Times New Roman" w:cs="Times New Roman" w:eastAsia="Times New Roman" w:hint="default"/>
        </w:rPr>
        <w:t>3 </w:t>
      </w:r>
      <w:r>
        <w:rPr/>
        <w:t>月 </w:t>
      </w:r>
      <w:r>
        <w:rPr>
          <w:rFonts w:ascii="Times New Roman" w:hAnsi="Times New Roman" w:cs="Times New Roman" w:eastAsia="Times New Roman" w:hint="default"/>
        </w:rPr>
        <w:t>30 </w:t>
      </w:r>
      <w:r>
        <w:rPr>
          <w:spacing w:val="-5"/>
        </w:rPr>
        <w:t>日召开的第三届董事会第三次会议审议通过，本次增资完成后，微智信业注册资本由</w:t>
      </w:r>
      <w:r>
        <w:rPr/>
        <w:t> </w:t>
      </w:r>
      <w:r>
        <w:rPr>
          <w:rFonts w:ascii="Times New Roman" w:hAnsi="Times New Roman" w:cs="Times New Roman" w:eastAsia="Times New Roman" w:hint="default"/>
        </w:rPr>
        <w:t>5,300 </w:t>
      </w:r>
      <w:r>
        <w:rPr/>
        <w:t>万元增加至 </w:t>
      </w:r>
      <w:r>
        <w:rPr>
          <w:rFonts w:ascii="Times New Roman" w:hAnsi="Times New Roman" w:cs="Times New Roman" w:eastAsia="Times New Roman" w:hint="default"/>
          <w:spacing w:val="-2"/>
        </w:rPr>
        <w:t>11,300</w:t>
      </w:r>
      <w:r>
        <w:rPr>
          <w:rFonts w:ascii="Times New Roman" w:hAnsi="Times New Roman" w:cs="Times New Roman" w:eastAsia="Times New Roman" w:hint="default"/>
          <w:spacing w:val="19"/>
        </w:rPr>
        <w:t> </w:t>
      </w:r>
      <w:r>
        <w:rPr/>
        <w:t>万元， 东方通持有其</w:t>
      </w:r>
      <w:r>
        <w:rPr>
          <w:spacing w:val="-46"/>
        </w:rPr>
        <w:t> </w:t>
      </w:r>
      <w:r>
        <w:rPr>
          <w:rFonts w:ascii="Times New Roman" w:hAnsi="Times New Roman" w:cs="Times New Roman" w:eastAsia="Times New Roman" w:hint="default"/>
        </w:rPr>
        <w:t>100%</w:t>
      </w:r>
      <w:r>
        <w:rPr/>
        <w:t>股权。</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日微智信业完成了工商变更手续。</w:t>
      </w:r>
    </w:p>
    <w:p>
      <w:pPr>
        <w:pStyle w:val="BodyText"/>
        <w:spacing w:line="240" w:lineRule="auto" w:before="50"/>
        <w:ind w:left="1493" w:right="1033"/>
        <w:jc w:val="left"/>
      </w:pPr>
      <w:r>
        <w:rPr/>
        <w:t>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日召</w:t>
      </w:r>
      <w:r>
        <w:rPr>
          <w:spacing w:val="1"/>
        </w:rPr>
        <w:t>开</w:t>
      </w:r>
      <w:r>
        <w:rPr/>
        <w:t>第三届董事会第十一次会议</w:t>
      </w:r>
      <w:r>
        <w:rPr>
          <w:spacing w:val="-28"/>
        </w:rPr>
        <w:t>，</w:t>
      </w:r>
      <w:r>
        <w:rPr/>
        <w:t>审议通过</w:t>
      </w:r>
      <w:r>
        <w:rPr>
          <w:spacing w:val="-28"/>
        </w:rPr>
        <w:t>了</w:t>
      </w:r>
      <w:r>
        <w:rPr/>
        <w:t>《关于设立分公司的议案</w:t>
      </w:r>
      <w:r>
        <w:rPr>
          <w:spacing w:val="-90"/>
        </w:rPr>
        <w:t>》</w:t>
      </w:r>
      <w:r>
        <w:rPr>
          <w:spacing w:val="-28"/>
        </w:rPr>
        <w:t>。</w:t>
      </w:r>
      <w:r>
        <w:rPr/>
        <w:t>为满足公司业</w:t>
      </w:r>
      <w:r>
        <w:rPr>
          <w:spacing w:val="1"/>
        </w:rPr>
        <w:t>务</w:t>
      </w:r>
      <w:r>
        <w:rPr/>
        <w:t>发</w:t>
      </w:r>
    </w:p>
    <w:p>
      <w:pPr>
        <w:pStyle w:val="BodyText"/>
        <w:spacing w:line="240" w:lineRule="auto" w:before="63"/>
        <w:ind w:right="1033"/>
        <w:jc w:val="left"/>
        <w:rPr>
          <w:rFonts w:ascii="Times New Roman" w:hAnsi="Times New Roman" w:cs="Times New Roman" w:eastAsia="Times New Roman" w:hint="default"/>
        </w:rPr>
      </w:pPr>
      <w:r>
        <w:rPr/>
        <w:t>展需要，优化公司组织架构，提升公司整体运营效率，在北京海淀区设立北京东方通科技股份有限公司分公司。</w:t>
      </w:r>
      <w:r>
        <w:rPr>
          <w:rFonts w:ascii="Times New Roman" w:hAnsi="Times New Roman" w:cs="Times New Roman" w:eastAsia="Times New Roman" w:hint="default"/>
        </w:rPr>
        <w:t>2017 </w:t>
      </w:r>
      <w:r>
        <w:rPr/>
        <w:t>年</w:t>
      </w:r>
      <w:r>
        <w:rPr>
          <w:spacing w:val="-47"/>
        </w:rPr>
        <w:t> </w:t>
      </w:r>
      <w:r>
        <w:rPr>
          <w:rFonts w:ascii="Times New Roman" w:hAnsi="Times New Roman" w:cs="Times New Roman" w:eastAsia="Times New Roman" w:hint="default"/>
        </w:rPr>
        <w:t>12</w:t>
      </w:r>
    </w:p>
    <w:p>
      <w:pPr>
        <w:pStyle w:val="BodyText"/>
        <w:spacing w:line="240" w:lineRule="auto" w:before="64"/>
        <w:ind w:left="1134" w:right="1033"/>
        <w:jc w:val="left"/>
      </w:pP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日北京分公司领取了营业执照。</w:t>
      </w:r>
    </w:p>
    <w:p>
      <w:pPr>
        <w:spacing w:line="240" w:lineRule="auto" w:before="12"/>
        <w:rPr>
          <w:rFonts w:ascii="宋体" w:hAnsi="宋体" w:cs="宋体" w:eastAsia="宋体" w:hint="default"/>
          <w:sz w:val="13"/>
          <w:szCs w:val="13"/>
        </w:rPr>
      </w:pPr>
    </w:p>
    <w:p>
      <w:pPr>
        <w:pStyle w:val="Heading4"/>
        <w:spacing w:line="240" w:lineRule="auto"/>
        <w:ind w:right="1033"/>
        <w:jc w:val="left"/>
        <w:rPr>
          <w:b w:val="0"/>
          <w:bCs w:val="0"/>
        </w:rPr>
      </w:pPr>
      <w:r>
        <w:rPr>
          <w:rFonts w:ascii="Times New Roman" w:hAnsi="Times New Roman" w:cs="Times New Roman" w:eastAsia="Times New Roman" w:hint="default"/>
        </w:rPr>
        <w:t>6</w:t>
      </w:r>
      <w:r>
        <w:rPr/>
        <w:t>、设立产业基金</w:t>
      </w:r>
      <w:r>
        <w:rPr>
          <w:b w:val="0"/>
          <w:bCs w:val="0"/>
        </w:rPr>
      </w:r>
    </w:p>
    <w:p>
      <w:pPr>
        <w:spacing w:line="240" w:lineRule="auto" w:before="0"/>
        <w:rPr>
          <w:rFonts w:ascii="宋体" w:hAnsi="宋体" w:cs="宋体" w:eastAsia="宋体" w:hint="default"/>
          <w:b/>
          <w:bCs/>
          <w:sz w:val="14"/>
          <w:szCs w:val="14"/>
        </w:rPr>
      </w:pPr>
    </w:p>
    <w:p>
      <w:pPr>
        <w:pStyle w:val="BodyText"/>
        <w:spacing w:line="302" w:lineRule="auto"/>
        <w:ind w:left="1134" w:right="1119"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t>年</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月</w:t>
      </w:r>
      <w:r>
        <w:rPr>
          <w:spacing w:val="-62"/>
        </w:rPr>
        <w:t> </w:t>
      </w:r>
      <w:r>
        <w:rPr>
          <w:rFonts w:ascii="Times New Roman" w:hAnsi="Times New Roman" w:cs="Times New Roman" w:eastAsia="Times New Roman" w:hint="default"/>
        </w:rPr>
        <w:t>20</w:t>
      </w:r>
      <w:r>
        <w:rPr>
          <w:rFonts w:ascii="Times New Roman" w:hAnsi="Times New Roman" w:cs="Times New Roman" w:eastAsia="Times New Roman" w:hint="default"/>
          <w:spacing w:val="-18"/>
        </w:rPr>
        <w:t> </w:t>
      </w:r>
      <w:r>
        <w:rPr/>
        <w:t>日</w:t>
      </w:r>
      <w:r>
        <w:rPr>
          <w:rFonts w:ascii="Times New Roman" w:hAnsi="Times New Roman" w:cs="Times New Roman" w:eastAsia="Times New Roman" w:hint="default"/>
        </w:rPr>
        <w:t>,</w:t>
      </w:r>
      <w:r>
        <w:rPr/>
        <w:t>公司作为</w:t>
      </w:r>
      <w:r>
        <w:rPr>
          <w:spacing w:val="-2"/>
        </w:rPr>
        <w:t>有</w:t>
      </w:r>
      <w:r>
        <w:rPr/>
        <w:t>限合伙人与普通合伙人杭州海枫投资管理有限公司签署</w:t>
      </w:r>
      <w:r>
        <w:rPr>
          <w:spacing w:val="-90"/>
        </w:rPr>
        <w:t>了</w:t>
      </w:r>
      <w:r>
        <w:rPr/>
        <w:t>《杭州清响投资管理合伙企</w:t>
      </w:r>
      <w:r>
        <w:rPr>
          <w:spacing w:val="-90"/>
        </w:rPr>
        <w:t>业</w:t>
      </w:r>
      <w:r>
        <w:rPr/>
        <w:t>（有</w:t>
      </w:r>
      <w:r>
        <w:rPr/>
        <w:t> 限合伙）合伙协议书</w:t>
      </w:r>
      <w:r>
        <w:rPr>
          <w:spacing w:val="-90"/>
        </w:rPr>
        <w:t>》</w:t>
      </w:r>
      <w:r>
        <w:rPr/>
        <w:t>。</w:t>
      </w:r>
    </w:p>
    <w:p>
      <w:pPr>
        <w:pStyle w:val="BodyText"/>
        <w:spacing w:line="302" w:lineRule="auto" w:before="68"/>
        <w:ind w:left="1134" w:right="1114" w:firstLine="360"/>
        <w:jc w:val="left"/>
      </w:pPr>
      <w:r>
        <w:rPr/>
        <w:t>报告期内，公司已向产业基金缴付出资额人民币</w:t>
      </w:r>
      <w:r>
        <w:rPr>
          <w:spacing w:val="-63"/>
        </w:rPr>
        <w:t> </w:t>
      </w:r>
      <w:r>
        <w:rPr>
          <w:rFonts w:ascii="Times New Roman" w:hAnsi="Times New Roman" w:cs="Times New Roman" w:eastAsia="Times New Roman" w:hint="default"/>
        </w:rPr>
        <w:t>5,960</w:t>
      </w:r>
      <w:r>
        <w:rPr>
          <w:rFonts w:ascii="Times New Roman" w:hAnsi="Times New Roman" w:cs="Times New Roman" w:eastAsia="Times New Roman" w:hint="default"/>
          <w:spacing w:val="-19"/>
        </w:rPr>
        <w:t> </w:t>
      </w:r>
      <w:r>
        <w:rPr/>
        <w:t>万元。截至报告期末，该产业基金对外投资了北京宏链科技有限 公司，主营业务为面向企业级客户提供基于区块链、云计算及信息安全管理等方面的产品和服务。</w:t>
      </w:r>
    </w:p>
    <w:p>
      <w:pPr>
        <w:spacing w:after="0" w:line="302"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Heading4"/>
        <w:spacing w:line="240" w:lineRule="auto" w:before="44"/>
        <w:ind w:right="1033"/>
        <w:jc w:val="left"/>
        <w:rPr>
          <w:b w:val="0"/>
          <w:bCs w:val="0"/>
        </w:rPr>
      </w:pPr>
      <w:r>
        <w:rPr>
          <w:rFonts w:ascii="Times New Roman" w:hAnsi="Times New Roman" w:cs="Times New Roman" w:eastAsia="Times New Roman" w:hint="default"/>
        </w:rPr>
        <w:t>7</w:t>
      </w:r>
      <w:r>
        <w:rPr/>
        <w:t>、计提商誉减值准备</w:t>
      </w:r>
      <w:r>
        <w:rPr>
          <w:b w:val="0"/>
          <w:bCs w:val="0"/>
        </w:rPr>
      </w:r>
    </w:p>
    <w:p>
      <w:pPr>
        <w:spacing w:line="240" w:lineRule="auto" w:before="13"/>
        <w:rPr>
          <w:rFonts w:ascii="宋体" w:hAnsi="宋体" w:cs="宋体" w:eastAsia="宋体" w:hint="default"/>
          <w:b/>
          <w:bCs/>
          <w:sz w:val="13"/>
          <w:szCs w:val="13"/>
        </w:rPr>
      </w:pPr>
    </w:p>
    <w:p>
      <w:pPr>
        <w:pStyle w:val="BodyText"/>
        <w:spacing w:line="312" w:lineRule="auto"/>
        <w:ind w:right="1131" w:firstLine="360"/>
        <w:jc w:val="both"/>
      </w:pPr>
      <w:r>
        <w:rPr>
          <w:spacing w:val="-2"/>
        </w:rPr>
        <w:t>根据《企业会计准则》及公司会计政策等相关规定，本着谨慎性原则，公司及下属子公司对商誉等资产进行了全面充分</w:t>
      </w:r>
      <w:r>
        <w:rPr/>
        <w:t> </w:t>
      </w:r>
      <w:r>
        <w:rPr>
          <w:spacing w:val="-2"/>
        </w:rPr>
        <w:t>的清查、分析和评估，管理层通过对各子公司业务历史回顾、现状分析、未来预测，在必要的情况下利用了外部评估专家的</w:t>
      </w:r>
      <w:r>
        <w:rPr>
          <w:spacing w:val="-66"/>
        </w:rPr>
        <w:t> </w:t>
      </w:r>
      <w:r>
        <w:rPr>
          <w:spacing w:val="-66"/>
        </w:rPr>
      </w:r>
      <w:r>
        <w:rPr>
          <w:spacing w:val="-6"/>
        </w:rPr>
        <w:t>工作，对</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4"/>
        </w:rPr>
        <w:t>日合并会计报表范围内相关商誉进行了减值测试，分别编制了《商誉减值测试报告》，汇总编制</w:t>
      </w:r>
      <w:r>
        <w:rPr/>
        <w:t> 了《</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spacing w:val="-6"/>
        </w:rPr>
        <w:t>年度计提商誉减值准备专项报告》。</w:t>
      </w:r>
    </w:p>
    <w:p>
      <w:pPr>
        <w:pStyle w:val="BodyText"/>
        <w:spacing w:line="240" w:lineRule="auto" w:before="41"/>
        <w:ind w:left="1493" w:right="1033"/>
        <w:jc w:val="left"/>
      </w:pPr>
      <w:r>
        <w:rPr/>
        <w:t>减值测试结果表明，在</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日公司需要计提商誉减值准备</w:t>
      </w:r>
      <w:r>
        <w:rPr>
          <w:spacing w:val="-46"/>
        </w:rPr>
        <w:t> </w:t>
      </w:r>
      <w:r>
        <w:rPr>
          <w:rFonts w:ascii="Times New Roman" w:hAnsi="Times New Roman" w:cs="Times New Roman" w:eastAsia="Times New Roman" w:hint="default"/>
        </w:rPr>
        <w:t>384,817,297.98 </w:t>
      </w:r>
      <w:r>
        <w:rPr/>
        <w:t>元，其中：惠捷朗商誉减值</w:t>
      </w:r>
    </w:p>
    <w:p>
      <w:pPr>
        <w:pStyle w:val="BodyText"/>
        <w:spacing w:line="240" w:lineRule="auto" w:before="63"/>
        <w:ind w:right="1033"/>
        <w:jc w:val="left"/>
      </w:pPr>
      <w:r>
        <w:rPr>
          <w:rFonts w:ascii="Times New Roman" w:hAnsi="Times New Roman" w:cs="Times New Roman" w:eastAsia="Times New Roman" w:hint="default"/>
        </w:rPr>
        <w:t>337,929,523.60</w:t>
      </w:r>
      <w:r>
        <w:rPr>
          <w:rFonts w:ascii="Times New Roman" w:hAnsi="Times New Roman" w:cs="Times New Roman" w:eastAsia="Times New Roman" w:hint="default"/>
          <w:spacing w:val="-6"/>
        </w:rPr>
        <w:t> </w:t>
      </w:r>
      <w:r>
        <w:rPr>
          <w:spacing w:val="-3"/>
        </w:rPr>
        <w:t>元，同德一心商誉减值</w:t>
      </w:r>
      <w:r>
        <w:rPr>
          <w:spacing w:val="-52"/>
        </w:rPr>
        <w:t> </w:t>
      </w:r>
      <w:r>
        <w:rPr>
          <w:rFonts w:ascii="Times New Roman" w:hAnsi="Times New Roman" w:cs="Times New Roman" w:eastAsia="Times New Roman" w:hint="default"/>
        </w:rPr>
        <w:t>29,607,378.92</w:t>
      </w:r>
      <w:r>
        <w:rPr>
          <w:rFonts w:ascii="Times New Roman" w:hAnsi="Times New Roman" w:cs="Times New Roman" w:eastAsia="Times New Roman" w:hint="default"/>
          <w:spacing w:val="-6"/>
        </w:rPr>
        <w:t> </w:t>
      </w:r>
      <w:r>
        <w:rPr>
          <w:spacing w:val="-3"/>
        </w:rPr>
        <w:t>元、数字天堂商誉减值</w:t>
      </w:r>
      <w:r>
        <w:rPr>
          <w:spacing w:val="-52"/>
        </w:rPr>
        <w:t> </w:t>
      </w:r>
      <w:r>
        <w:rPr>
          <w:rFonts w:ascii="Times New Roman" w:hAnsi="Times New Roman" w:cs="Times New Roman" w:eastAsia="Times New Roman" w:hint="default"/>
        </w:rPr>
        <w:t>17,280,395.46</w:t>
      </w:r>
      <w:r>
        <w:rPr>
          <w:rFonts w:ascii="Times New Roman" w:hAnsi="Times New Roman" w:cs="Times New Roman" w:eastAsia="Times New Roman" w:hint="default"/>
          <w:spacing w:val="-6"/>
        </w:rPr>
        <w:t> </w:t>
      </w:r>
      <w:r>
        <w:rPr/>
        <w:t>元。本次商誉计提减值准备计入公</w:t>
      </w:r>
    </w:p>
    <w:p>
      <w:pPr>
        <w:pStyle w:val="BodyText"/>
        <w:spacing w:line="338" w:lineRule="auto" w:before="64"/>
        <w:ind w:left="1494" w:right="1033" w:hanging="360"/>
        <w:jc w:val="left"/>
      </w:pPr>
      <w:r>
        <w:rPr/>
        <w:t>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年度合并损益，导致公司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年度合并报表归属于上市公司股东的净利润减少</w:t>
      </w:r>
      <w:r>
        <w:rPr>
          <w:spacing w:val="-46"/>
        </w:rPr>
        <w:t> </w:t>
      </w:r>
      <w:r>
        <w:rPr>
          <w:rFonts w:ascii="Times New Roman" w:hAnsi="Times New Roman" w:cs="Times New Roman" w:eastAsia="Times New Roman" w:hint="default"/>
        </w:rPr>
        <w:t>384,817,297.98 </w:t>
      </w:r>
      <w:r>
        <w:rPr/>
        <w:t>元。 </w:t>
      </w:r>
      <w:r>
        <w:rPr>
          <w:spacing w:val="-2"/>
        </w:rPr>
        <w:t>本次计提相关商誉减值准备是基于会计谨慎性原则而做出的，依据充分，计提商誉减值准备后，能够公允地反映了公司</w:t>
      </w:r>
    </w:p>
    <w:p>
      <w:pPr>
        <w:pStyle w:val="BodyText"/>
        <w:spacing w:line="240" w:lineRule="auto" w:before="4"/>
        <w:ind w:left="1134" w:right="1033"/>
        <w:jc w:val="left"/>
      </w:pPr>
      <w:r>
        <w:rPr/>
        <w:t>资产状况，使公司关于资产价值的会计信息更加真实可靠，更具合理性。</w:t>
      </w:r>
    </w:p>
    <w:p>
      <w:pPr>
        <w:spacing w:line="240" w:lineRule="auto" w:before="12"/>
        <w:rPr>
          <w:rFonts w:ascii="宋体" w:hAnsi="宋体" w:cs="宋体" w:eastAsia="宋体" w:hint="default"/>
          <w:sz w:val="14"/>
          <w:szCs w:val="14"/>
        </w:rPr>
      </w:pPr>
    </w:p>
    <w:p>
      <w:pPr>
        <w:pStyle w:val="Heading4"/>
        <w:spacing w:line="240" w:lineRule="auto"/>
        <w:ind w:right="1033"/>
        <w:jc w:val="left"/>
        <w:rPr>
          <w:b w:val="0"/>
          <w:bCs w:val="0"/>
        </w:rPr>
      </w:pPr>
      <w:r>
        <w:rPr>
          <w:rFonts w:ascii="Times New Roman" w:hAnsi="Times New Roman" w:cs="Times New Roman" w:eastAsia="Times New Roman" w:hint="default"/>
        </w:rPr>
        <w:t>8</w:t>
      </w:r>
      <w:r>
        <w:rPr/>
        <w:t>、品牌宣传与市场推广</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1493" w:right="1033"/>
        <w:jc w:val="left"/>
      </w:pPr>
      <w:r>
        <w:rPr/>
        <w:t>报告期内，公司持续推进品牌建设，以</w:t>
      </w:r>
      <w:r>
        <w:rPr>
          <w:rFonts w:ascii="Times New Roman" w:hAnsi="Times New Roman" w:cs="Times New Roman" w:eastAsia="Times New Roman" w:hint="default"/>
        </w:rPr>
        <w:t>“</w:t>
      </w:r>
      <w:r>
        <w:rPr/>
        <w:t>安全可靠</w:t>
      </w:r>
      <w:r>
        <w:rPr>
          <w:spacing w:val="-75"/>
        </w:rPr>
        <w:t> </w:t>
      </w:r>
      <w:r>
        <w:rPr>
          <w:rFonts w:ascii="Times New Roman" w:hAnsi="Times New Roman" w:cs="Times New Roman" w:eastAsia="Times New Roman" w:hint="default"/>
        </w:rPr>
        <w:t>25</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w:t>
      </w:r>
      <w:r>
        <w:rPr/>
        <w:t>为主线，塑造专业、专注、领先、可信赖的品牌形象，开展</w:t>
      </w:r>
      <w:r>
        <w:rPr>
          <w:rFonts w:ascii="Times New Roman" w:hAnsi="Times New Roman" w:cs="Times New Roman" w:eastAsia="Times New Roman" w:hint="default"/>
        </w:rPr>
        <w:t>“</w:t>
      </w:r>
      <w:r>
        <w:rPr/>
        <w:t>安</w:t>
      </w:r>
    </w:p>
    <w:p>
      <w:pPr>
        <w:pStyle w:val="BodyText"/>
        <w:spacing w:line="302" w:lineRule="auto" w:before="63"/>
        <w:ind w:right="1113"/>
        <w:jc w:val="left"/>
      </w:pPr>
      <w:r>
        <w:rPr/>
        <w:t>全可靠</w:t>
      </w:r>
      <w:r>
        <w:rPr>
          <w:spacing w:val="-60"/>
        </w:rPr>
        <w:t> </w:t>
      </w:r>
      <w:r>
        <w:rPr>
          <w:rFonts w:ascii="Times New Roman" w:hAnsi="Times New Roman" w:cs="Times New Roman" w:eastAsia="Times New Roman" w:hint="default"/>
        </w:rPr>
        <w:t>25</w:t>
      </w:r>
      <w:r>
        <w:rPr>
          <w:rFonts w:ascii="Times New Roman" w:hAnsi="Times New Roman" w:cs="Times New Roman" w:eastAsia="Times New Roman" w:hint="default"/>
          <w:spacing w:val="-15"/>
        </w:rPr>
        <w:t> </w:t>
      </w:r>
      <w:r>
        <w:rPr/>
        <w:t>年巡礼</w:t>
      </w:r>
      <w:r>
        <w:rPr>
          <w:rFonts w:ascii="Times New Roman" w:hAnsi="Times New Roman" w:cs="Times New Roman" w:eastAsia="Times New Roman" w:hint="default"/>
        </w:rPr>
        <w:t>”</w:t>
      </w:r>
      <w:r>
        <w:rPr/>
        <w:t>等线上活动。同时，公司积极发起或参与</w:t>
      </w:r>
      <w:r>
        <w:rPr>
          <w:rFonts w:ascii="Times New Roman" w:hAnsi="Times New Roman" w:cs="Times New Roman" w:eastAsia="Times New Roman" w:hint="default"/>
        </w:rPr>
        <w:t>“</w:t>
      </w:r>
      <w:r>
        <w:rPr/>
        <w:t>安全可靠技术和产业联盟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国家网信安全生态建设联盟</w:t>
      </w:r>
      <w:r>
        <w:rPr>
          <w:rFonts w:ascii="Times New Roman" w:hAnsi="Times New Roman" w:cs="Times New Roman" w:eastAsia="Times New Roman" w:hint="default"/>
        </w:rPr>
        <w:t>”</w:t>
      </w:r>
      <w:r>
        <w:rPr/>
        <w:t>等联 盟建设和品牌活动，向用户、合作伙伴传递公司的品牌价值和品牌理念。</w:t>
      </w:r>
    </w:p>
    <w:p>
      <w:pPr>
        <w:pStyle w:val="BodyText"/>
        <w:spacing w:line="319" w:lineRule="auto" w:before="68"/>
        <w:ind w:right="1033" w:firstLine="360"/>
        <w:jc w:val="left"/>
      </w:pPr>
      <w:r>
        <w:rPr>
          <w:spacing w:val="-2"/>
        </w:rPr>
        <w:t>在行业市场上，公司进一步细分市场并积极拓展。在金融、交通、电子政务、社保、电子检务、卫生等多个行业领域组</w:t>
      </w:r>
      <w:r>
        <w:rPr/>
        <w:t> 织和参与市场活动</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余场，累计覆盖各行业用户</w:t>
      </w:r>
      <w:r>
        <w:rPr>
          <w:spacing w:val="-46"/>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
        </w:rPr>
        <w:t> </w:t>
      </w:r>
      <w:r>
        <w:rPr/>
        <w:t>人以上。</w:t>
      </w:r>
    </w:p>
    <w:p>
      <w:pPr>
        <w:spacing w:line="240" w:lineRule="auto" w:before="12"/>
        <w:rPr>
          <w:rFonts w:ascii="宋体" w:hAnsi="宋体" w:cs="宋体" w:eastAsia="宋体" w:hint="default"/>
          <w:sz w:val="18"/>
          <w:szCs w:val="18"/>
        </w:rPr>
      </w:pPr>
    </w:p>
    <w:p>
      <w:pPr>
        <w:pStyle w:val="Heading2"/>
        <w:spacing w:line="240" w:lineRule="auto"/>
        <w:ind w:right="1033"/>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033"/>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973"/>
        <w:jc w:val="left"/>
      </w:pPr>
      <w:r>
        <w:rPr/>
        <w:t>公司是否需要遵守光伏产业链相关业的披露要求 否</w:t>
      </w:r>
    </w:p>
    <w:p>
      <w:pPr>
        <w:pStyle w:val="BodyText"/>
        <w:spacing w:line="338" w:lineRule="auto" w:before="26"/>
        <w:ind w:right="1395"/>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4"/>
        <w:ind w:left="1134" w:right="1033"/>
        <w:jc w:val="left"/>
      </w:pPr>
      <w:r>
        <w:rPr/>
        <w:t>营业收入整体情况</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9"/>
        <w:gridCol w:w="1589"/>
        <w:gridCol w:w="1599"/>
        <w:gridCol w:w="1588"/>
        <w:gridCol w:w="1598"/>
      </w:tblGrid>
      <w:tr>
        <w:trPr>
          <w:trHeight w:val="40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292,786,400.27</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325,397,640.15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184,683,138.17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195,181,564.35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57,783,808.11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19.74%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70,995,985.06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16,387,004.93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17,077,755.68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13,306,468.40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15,846,114.71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20,625,980.66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26,296,220.35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软件基础设施</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107,078,781.99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36.57%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130,077,933.93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39.98%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创新应用</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185,707,618.28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195,319,706.22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60.02%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127,839,977.27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43.66%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101,847,561.90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92,434,310.29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31.57%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105,368,706.86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35,822,643.11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32,623,993.16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15,800,072.05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37,647,273.88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9,098,860.33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13,082,836.67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7,201,518.85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14,644,057.60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4,589,018.37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20,183,210.08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-77.26%</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184,683,138.17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58,623,830.90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57,783,808.11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8,417,940.27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软件基础设施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107,078,781.99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9,879,867.86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创新应用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185,707,618.28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64,154,668.02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127,839,977.27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39,108,680.26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92,434,310.29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21,407,134.10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35,822,643.11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7,033,429.20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80.37%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9" w:right="0"/>
              <w:jc w:val="left"/>
              <w:rPr>
                <w:rFonts w:ascii="Times New Roman" w:hAnsi="Times New Roman" w:cs="Times New Roman" w:eastAsia="Times New Roman" w:hint="default"/>
                <w:sz w:val="18"/>
                <w:szCs w:val="18"/>
              </w:rPr>
            </w:pPr>
            <w:r>
              <w:rPr>
                <w:rFonts w:ascii="Times New Roman"/>
                <w:sz w:val="18"/>
              </w:rPr>
              <w:t>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-28.89%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4" w:right="0"/>
              <w:jc w:val="left"/>
              <w:rPr>
                <w:rFonts w:ascii="Times New Roman" w:hAnsi="Times New Roman" w:cs="Times New Roman" w:eastAsia="Times New Roman" w:hint="default"/>
                <w:sz w:val="18"/>
                <w:szCs w:val="18"/>
              </w:rPr>
            </w:pPr>
            <w:r>
              <w:rPr>
                <w:rFonts w:ascii="Times New Roman"/>
                <w:sz w:val="18"/>
              </w:rPr>
              <w:t>10.69%</w:t>
            </w:r>
          </w:p>
        </w:tc>
      </w:tr>
    </w:tbl>
    <w:p>
      <w:pPr>
        <w:pStyle w:val="BodyText"/>
        <w:spacing w:line="240" w:lineRule="auto" w:before="51"/>
        <w:ind w:left="1134" w:right="10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1033"/>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58,623,830.90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58,550,618.41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8,417,940.27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4,931,348.61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2,551,463.19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3,433,493.40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656,333.99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900,919.81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3,784,967.53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4,307,472.06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软件基础设施</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9,879,867.86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12,735,231.98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创新应用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64,154,668.02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59,388,620.31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w:t>
            </w:r>
          </w:p>
        </w:tc>
      </w:tr>
    </w:tbl>
    <w:p>
      <w:pPr>
        <w:pStyle w:val="BodyText"/>
        <w:spacing w:line="240" w:lineRule="auto" w:before="51"/>
        <w:ind w:left="1134" w:right="1033"/>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134" w:right="1033"/>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1033"/>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678"/>
        <w:gridCol w:w="4890"/>
      </w:tblGrid>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168,913,384.88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57.69%</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103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85,922,983.47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39,863,550.64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21,606,568.74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16,867,376.96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4,652,905.07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168,913,384.88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57.69%</w:t>
            </w:r>
          </w:p>
        </w:tc>
      </w:tr>
    </w:tbl>
    <w:p>
      <w:pPr>
        <w:pStyle w:val="BodyText"/>
        <w:spacing w:line="240" w:lineRule="auto" w:before="51"/>
        <w:ind w:left="1134" w:right="1033"/>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963"/>
        <w:gridCol w:w="4606"/>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54,161,330.87</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1033"/>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26,556,388.04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13,557,600.50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7,159,308.14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4,752,136.75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2,135,897.44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54,161,330.87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59.38%</w:t>
            </w:r>
          </w:p>
        </w:tc>
      </w:tr>
    </w:tbl>
    <w:p>
      <w:pPr>
        <w:pStyle w:val="BodyText"/>
        <w:spacing w:line="240" w:lineRule="auto" w:before="51"/>
        <w:ind w:left="1134" w:right="1033"/>
        <w:jc w:val="left"/>
      </w:pPr>
      <w:r>
        <w:rPr/>
        <w:t>主要供应商其他情况说明</w:t>
      </w:r>
    </w:p>
    <w:p>
      <w:pPr>
        <w:pStyle w:val="BodyText"/>
        <w:spacing w:line="240" w:lineRule="auto" w:before="117"/>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23"/>
        <w:gridCol w:w="1996"/>
        <w:gridCol w:w="1702"/>
        <w:gridCol w:w="1417"/>
        <w:gridCol w:w="3330"/>
      </w:tblGrid>
      <w:tr>
        <w:trPr>
          <w:trHeight w:val="401"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16" w:right="0"/>
              <w:jc w:val="left"/>
              <w:rPr>
                <w:rFonts w:ascii="Times New Roman" w:hAnsi="Times New Roman" w:cs="Times New Roman" w:eastAsia="Times New Roman" w:hint="default"/>
                <w:sz w:val="18"/>
                <w:szCs w:val="18"/>
              </w:rPr>
            </w:pPr>
            <w:r>
              <w:rPr>
                <w:rFonts w:ascii="Times New Roman"/>
                <w:sz w:val="18"/>
              </w:rPr>
              <w:t>43,818,066.20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4" w:right="0"/>
              <w:jc w:val="left"/>
              <w:rPr>
                <w:rFonts w:ascii="Times New Roman" w:hAnsi="Times New Roman" w:cs="Times New Roman" w:eastAsia="Times New Roman" w:hint="default"/>
                <w:sz w:val="18"/>
                <w:szCs w:val="18"/>
              </w:rPr>
            </w:pPr>
            <w:r>
              <w:rPr>
                <w:rFonts w:ascii="Times New Roman"/>
                <w:sz w:val="18"/>
              </w:rPr>
              <w:t>55,760,893.86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9" w:right="0"/>
              <w:jc w:val="left"/>
              <w:rPr>
                <w:rFonts w:ascii="Times New Roman" w:hAnsi="Times New Roman" w:cs="Times New Roman" w:eastAsia="Times New Roman" w:hint="default"/>
                <w:sz w:val="18"/>
                <w:szCs w:val="18"/>
              </w:rPr>
            </w:pPr>
            <w:r>
              <w:rPr>
                <w:rFonts w:ascii="Times New Roman"/>
                <w:sz w:val="18"/>
              </w:rPr>
              <w:t>-21.42%</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3"/>
              <w:jc w:val="center"/>
              <w:rPr>
                <w:rFonts w:ascii="宋体" w:hAnsi="宋体" w:cs="宋体" w:eastAsia="宋体" w:hint="default"/>
                <w:sz w:val="18"/>
                <w:szCs w:val="18"/>
              </w:rPr>
            </w:pPr>
            <w:r>
              <w:rPr>
                <w:rFonts w:ascii="宋体" w:hAnsi="宋体" w:cs="宋体" w:eastAsia="宋体" w:hint="default"/>
                <w:sz w:val="18"/>
                <w:szCs w:val="18"/>
              </w:rPr>
              <w:t>报告期内公司加强内部管理，对销售体系</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34"/>
        <w:gridCol w:w="1985"/>
        <w:gridCol w:w="1702"/>
        <w:gridCol w:w="1417"/>
        <w:gridCol w:w="3330"/>
      </w:tblGrid>
      <w:tr>
        <w:trPr>
          <w:trHeight w:val="36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进行了内部整合，销售费用同比下降</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113,595,732.73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100,484,382.36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13.05%</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报告期内研发支出增加</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-9,157,046.92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-5,078,387.28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80.31%</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报告期内利息收入增加</w:t>
            </w:r>
          </w:p>
        </w:tc>
      </w:tr>
    </w:tbl>
    <w:p>
      <w:pPr>
        <w:spacing w:line="240" w:lineRule="auto" w:before="3"/>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415" w:lineRule="auto"/>
        <w:ind w:left="1494" w:right="1033"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）基础软件方向</w:t>
      </w:r>
      <w:r>
        <w:rPr>
          <w:rFonts w:ascii="宋体" w:hAnsi="宋体" w:cs="宋体" w:eastAsia="宋体" w:hint="default"/>
          <w:b/>
          <w:bCs/>
          <w:w w:val="99"/>
        </w:rPr>
        <w:t> </w:t>
      </w:r>
      <w:r>
        <w:rPr>
          <w:spacing w:val="-2"/>
        </w:rPr>
        <w:t>标准中间件产品线：报告期内各产品线进行产品的升级与改进，基于细分市场需求推出了多个产品的新版本，包括：应</w:t>
      </w:r>
    </w:p>
    <w:p>
      <w:pPr>
        <w:pStyle w:val="BodyText"/>
        <w:spacing w:line="194" w:lineRule="exact"/>
        <w:ind w:right="0"/>
        <w:jc w:val="left"/>
      </w:pPr>
      <w:r>
        <w:rPr/>
        <w:t>用服务器</w:t>
      </w:r>
      <w:r>
        <w:rPr>
          <w:spacing w:val="-60"/>
        </w:rPr>
        <w:t> </w:t>
      </w:r>
      <w:r>
        <w:rPr>
          <w:rFonts w:ascii="Times New Roman" w:hAnsi="Times New Roman" w:cs="Times New Roman" w:eastAsia="Times New Roman" w:hint="default"/>
          <w:spacing w:val="-4"/>
        </w:rPr>
        <w:t>TongWeb</w:t>
      </w:r>
      <w:r>
        <w:rPr>
          <w:rFonts w:ascii="Times New Roman" w:hAnsi="Times New Roman" w:cs="Times New Roman" w:eastAsia="Times New Roman" w:hint="default"/>
          <w:spacing w:val="-15"/>
        </w:rPr>
        <w:t> </w:t>
      </w:r>
      <w:r>
        <w:rPr/>
        <w:t>产品进行的产品升级研发，更加适应市场需求；消息中间件</w:t>
      </w:r>
      <w:r>
        <w:rPr>
          <w:spacing w:val="-60"/>
        </w:rPr>
        <w:t> </w:t>
      </w:r>
      <w:r>
        <w:rPr>
          <w:rFonts w:ascii="Times New Roman" w:hAnsi="Times New Roman" w:cs="Times New Roman" w:eastAsia="Times New Roman" w:hint="default"/>
        </w:rPr>
        <w:t>TongLINK/Q</w:t>
      </w:r>
      <w:r>
        <w:rPr>
          <w:rFonts w:ascii="Times New Roman" w:hAnsi="Times New Roman" w:cs="Times New Roman" w:eastAsia="Times New Roman" w:hint="default"/>
          <w:spacing w:val="-15"/>
        </w:rPr>
        <w:t> </w:t>
      </w:r>
      <w:r>
        <w:rPr/>
        <w:t>完成一系列的技术升级与改造，</w:t>
      </w:r>
    </w:p>
    <w:p>
      <w:pPr>
        <w:pStyle w:val="BodyText"/>
        <w:spacing w:line="307" w:lineRule="auto" w:before="63"/>
        <w:ind w:right="1033"/>
        <w:jc w:val="left"/>
      </w:pPr>
      <w:r>
        <w:rPr>
          <w:spacing w:val="-5"/>
        </w:rPr>
        <w:t>进一步夯实产品的质量和稳定性，将产品打造成更安全、适应新技术业务场景的功能更强的拳头产品；交易中间件</w:t>
      </w:r>
      <w:r>
        <w:rPr>
          <w:spacing w:val="-43"/>
        </w:rPr>
        <w:t> </w:t>
      </w:r>
      <w:r>
        <w:rPr>
          <w:rFonts w:ascii="Times New Roman" w:hAnsi="Times New Roman" w:cs="Times New Roman" w:eastAsia="Times New Roman" w:hint="default"/>
          <w:spacing w:val="-2"/>
          <w:w w:val="99"/>
        </w:rPr>
        <w:t>TongEASY</w:t>
      </w:r>
      <w:r>
        <w:rPr>
          <w:rFonts w:ascii="Times New Roman" w:hAnsi="Times New Roman" w:cs="Times New Roman" w:eastAsia="Times New Roman" w:hint="default"/>
          <w:spacing w:val="-40"/>
          <w:w w:val="99"/>
        </w:rPr>
        <w:t> </w:t>
      </w:r>
      <w:r>
        <w:rPr>
          <w:rFonts w:ascii="Times New Roman" w:hAnsi="Times New Roman" w:cs="Times New Roman" w:eastAsia="Times New Roman" w:hint="default"/>
          <w:spacing w:val="-40"/>
          <w:w w:val="99"/>
        </w:rPr>
      </w:r>
      <w:r>
        <w:rPr>
          <w:spacing w:val="-4"/>
        </w:rPr>
        <w:t>基于重点客户需求实现并发布最新版本，开发了动态名字服务和集中管理平台，提供了云环境下的动态部署及动态适应能力，</w:t>
      </w:r>
      <w:r>
        <w:rPr>
          <w:spacing w:val="-44"/>
        </w:rPr>
        <w:t> </w:t>
      </w:r>
      <w:r>
        <w:rPr>
          <w:spacing w:val="-44"/>
        </w:rPr>
      </w:r>
      <w:r>
        <w:rPr/>
        <w:t>可适应云计算环境下新一代实时交易系统的需求；负载均衡软件</w:t>
      </w:r>
      <w:r>
        <w:rPr>
          <w:spacing w:val="-61"/>
        </w:rPr>
        <w:t> </w:t>
      </w:r>
      <w:r>
        <w:rPr>
          <w:rFonts w:ascii="Times New Roman" w:hAnsi="Times New Roman" w:cs="Times New Roman" w:eastAsia="Times New Roman" w:hint="default"/>
        </w:rPr>
        <w:t>TongLB</w:t>
      </w:r>
      <w:r>
        <w:rPr>
          <w:rFonts w:ascii="Times New Roman" w:hAnsi="Times New Roman" w:cs="Times New Roman" w:eastAsia="Times New Roman" w:hint="default"/>
          <w:spacing w:val="-16"/>
        </w:rPr>
        <w:t> </w:t>
      </w:r>
      <w:r>
        <w:rPr/>
        <w:t>产品发布全新版本，可满足用户对负载均衡服务的 需求，提升系统整体的可靠性、高效性、可扩展性及资源利用率，更好适应高性能负载均衡应用方案。</w:t>
      </w:r>
    </w:p>
    <w:p>
      <w:pPr>
        <w:pStyle w:val="BodyText"/>
        <w:spacing w:line="304" w:lineRule="auto" w:before="64"/>
        <w:ind w:right="1033" w:firstLine="360"/>
        <w:jc w:val="left"/>
      </w:pPr>
      <w:r>
        <w:rPr/>
        <w:t>平台中间件产品线方向：报告期内，</w:t>
      </w:r>
      <w:r>
        <w:rPr>
          <w:rFonts w:ascii="Times New Roman" w:hAnsi="Times New Roman" w:cs="Times New Roman" w:eastAsia="Times New Roman" w:hint="default"/>
        </w:rPr>
        <w:t>TongDXP</w:t>
      </w:r>
      <w:r>
        <w:rPr>
          <w:rFonts w:ascii="Times New Roman" w:hAnsi="Times New Roman" w:cs="Times New Roman" w:eastAsia="Times New Roman" w:hint="default"/>
          <w:spacing w:val="-6"/>
        </w:rPr>
        <w:t> </w:t>
      </w:r>
      <w:r>
        <w:rPr/>
        <w:t>产品优化了交换机制，提高了稳定性和易用性，增加了交换流程监控、 交换对账、平台级联及多服务器静态负载功能，完善了监控统计，进行了安全加固等，为政府和企业实现多层级、跨地域、 多部门间的数据交换共享和业务协同提供了更加安全可靠的支撑平台；</w:t>
      </w:r>
      <w:r>
        <w:rPr>
          <w:rFonts w:ascii="Times New Roman" w:hAnsi="Times New Roman" w:cs="Times New Roman" w:eastAsia="Times New Roman" w:hint="default"/>
        </w:rPr>
        <w:t>TongETL</w:t>
      </w:r>
      <w:r>
        <w:rPr>
          <w:rFonts w:ascii="Times New Roman" w:hAnsi="Times New Roman" w:cs="Times New Roman" w:eastAsia="Times New Roman" w:hint="default"/>
          <w:spacing w:val="-4"/>
        </w:rPr>
        <w:t> </w:t>
      </w:r>
      <w:r>
        <w:rPr/>
        <w:t>产品重点加强了传输加密安全，增加对触 发器双向同步的支持，增加支持空间数据类型，对</w:t>
      </w:r>
      <w:r>
        <w:rPr>
          <w:spacing w:val="-47"/>
        </w:rPr>
        <w:t> </w:t>
      </w:r>
      <w:r>
        <w:rPr>
          <w:rFonts w:ascii="Times New Roman" w:hAnsi="Times New Roman" w:cs="Times New Roman" w:eastAsia="Times New Roman" w:hint="default"/>
        </w:rPr>
        <w:t>CDC</w:t>
      </w:r>
      <w:r>
        <w:rPr>
          <w:rFonts w:ascii="Times New Roman" w:hAnsi="Times New Roman" w:cs="Times New Roman" w:eastAsia="Times New Roman" w:hint="default"/>
          <w:spacing w:val="-2"/>
        </w:rPr>
        <w:t> </w:t>
      </w:r>
      <w:r>
        <w:rPr/>
        <w:t>模式的功能及性能进行了优化，对集成开发工具界面做了进一步完 善和功能增强，进一步增加平台产品线的整体竞争力。</w:t>
      </w:r>
    </w:p>
    <w:p>
      <w:pPr>
        <w:pStyle w:val="BodyText"/>
        <w:spacing w:line="432" w:lineRule="exact" w:before="12"/>
        <w:ind w:left="1493" w:right="1163" w:firstLine="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）大数据安全方向</w:t>
      </w:r>
      <w:r>
        <w:rPr>
          <w:rFonts w:ascii="宋体" w:hAnsi="宋体" w:cs="宋体" w:eastAsia="宋体" w:hint="default"/>
          <w:b/>
          <w:bCs/>
          <w:w w:val="99"/>
        </w:rPr>
        <w:t> </w:t>
      </w:r>
      <w:r>
        <w:rPr/>
        <w:t>互联网安全方面，针对互联网中危害日益严重的钓鱼</w:t>
      </w:r>
      <w:r>
        <w:rPr>
          <w:rFonts w:ascii="Times New Roman" w:hAnsi="Times New Roman" w:cs="Times New Roman" w:eastAsia="Times New Roman" w:hint="default"/>
        </w:rPr>
        <w:t>/</w:t>
      </w:r>
      <w:r>
        <w:rPr/>
        <w:t>仿冒应用、恶意网址、恶意软件等安全事件，传统的防火墙、入</w:t>
      </w:r>
    </w:p>
    <w:p>
      <w:pPr>
        <w:pStyle w:val="BodyText"/>
        <w:spacing w:line="314" w:lineRule="auto" w:before="15"/>
        <w:ind w:right="1033"/>
        <w:jc w:val="left"/>
      </w:pPr>
      <w:r>
        <w:rPr>
          <w:spacing w:val="-2"/>
        </w:rPr>
        <w:t>侵检测、杀毒软件等很难适应复杂多变的安全威胁及欺诈手段。公司设计并实现了基于大数据技术，结合深度学习算法、贝</w:t>
      </w:r>
      <w:r>
        <w:rPr>
          <w:spacing w:val="-66"/>
        </w:rPr>
        <w:t> </w:t>
      </w:r>
      <w:r>
        <w:rPr>
          <w:spacing w:val="-66"/>
        </w:rPr>
      </w:r>
      <w:r>
        <w:rPr/>
        <w:t>叶斯算法、决策树算法和</w:t>
      </w:r>
      <w:r>
        <w:rPr>
          <w:spacing w:val="-46"/>
        </w:rPr>
        <w:t> </w:t>
      </w:r>
      <w:r>
        <w:rPr>
          <w:rFonts w:ascii="Times New Roman" w:hAnsi="Times New Roman" w:cs="Times New Roman" w:eastAsia="Times New Roman" w:hint="default"/>
        </w:rPr>
        <w:t>SVM</w:t>
      </w:r>
      <w:r>
        <w:rPr>
          <w:rFonts w:ascii="Times New Roman" w:hAnsi="Times New Roman" w:cs="Times New Roman" w:eastAsia="Times New Roman" w:hint="default"/>
          <w:spacing w:val="-1"/>
        </w:rPr>
        <w:t> </w:t>
      </w:r>
      <w:r>
        <w:rPr/>
        <w:t>分类算法与黑白名单技术的恶意</w:t>
      </w:r>
      <w:r>
        <w:rPr>
          <w:spacing w:val="-46"/>
        </w:rPr>
        <w:t> </w:t>
      </w:r>
      <w:r>
        <w:rPr>
          <w:rFonts w:ascii="Times New Roman" w:hAnsi="Times New Roman" w:cs="Times New Roman" w:eastAsia="Times New Roman" w:hint="default"/>
        </w:rPr>
        <w:t>URL</w:t>
      </w:r>
      <w:r>
        <w:rPr>
          <w:rFonts w:ascii="Times New Roman" w:hAnsi="Times New Roman" w:cs="Times New Roman" w:eastAsia="Times New Roman" w:hint="default"/>
          <w:spacing w:val="-1"/>
        </w:rPr>
        <w:t> </w:t>
      </w:r>
      <w:r>
        <w:rPr/>
        <w:t>检测系统。该系统可以有效提升针对移动上网中的钓 </w:t>
      </w:r>
      <w:r>
        <w:rPr>
          <w:spacing w:val="-2"/>
        </w:rPr>
        <w:t>鱼、仿冒、恶意等行为的检测能力，减少移动互联网用户遇到的网络欺诈、手机中毒等网络安全问题，同时有助于互联网企</w:t>
      </w:r>
      <w:r>
        <w:rPr>
          <w:spacing w:val="-66"/>
        </w:rPr>
        <w:t> </w:t>
      </w:r>
      <w:r>
        <w:rPr>
          <w:spacing w:val="-66"/>
        </w:rPr>
      </w:r>
      <w:r>
        <w:rPr>
          <w:spacing w:val="-2"/>
        </w:rPr>
        <w:t>业发现自身应用的威胁及漏洞并采取有效措施进行防范。目前，已经产品化应用于中国电信、中国移动相关部门，并形成了</w:t>
      </w:r>
      <w:r>
        <w:rPr>
          <w:spacing w:val="-66"/>
        </w:rPr>
        <w:t> </w:t>
      </w:r>
      <w:r>
        <w:rPr>
          <w:spacing w:val="-66"/>
        </w:rPr>
      </w:r>
      <w:r>
        <w:rPr/>
        <w:t>和国家相关部门，互联网相关企业的联动。</w:t>
      </w:r>
    </w:p>
    <w:p>
      <w:pPr>
        <w:pStyle w:val="BodyText"/>
        <w:spacing w:line="316" w:lineRule="auto" w:before="60"/>
        <w:ind w:left="1134" w:right="1032" w:firstLine="360"/>
        <w:jc w:val="left"/>
      </w:pPr>
      <w:r>
        <w:rPr>
          <w:spacing w:val="-2"/>
        </w:rPr>
        <w:t>通信网络安全方面，近年来，不良信息的传播呈现出由短信群发向语音外呼转移的趋势，骚扰电话数量显著增加，造成</w:t>
      </w:r>
      <w:r>
        <w:rPr/>
        <w:t> 了恶劣的社会影响，给电信用户带来极大困扰，侵害了广大电信用户的合法权益，甚至可能危害社会稳定和国家信息安全。 </w:t>
      </w:r>
      <w:r>
        <w:rPr>
          <w:spacing w:val="-2"/>
        </w:rPr>
        <w:t>骚扰电话的治理工作一直以来也是政府相关部门和运营商的重要课题，我公司在骚扰电话的治理方面一直有着持续的研发投</w:t>
      </w:r>
      <w:r>
        <w:rPr>
          <w:spacing w:val="-63"/>
        </w:rPr>
        <w:t> </w:t>
      </w:r>
      <w:r>
        <w:rPr>
          <w:spacing w:val="-63"/>
        </w:rPr>
      </w:r>
      <w:r>
        <w:rPr/>
        <w:t>入和相关成果。报告期公司开发实现了</w:t>
      </w:r>
      <w:r>
        <w:rPr>
          <w:spacing w:val="-1"/>
        </w:rPr>
        <w:t> </w:t>
      </w:r>
      <w:r>
        <w:rPr>
          <w:rFonts w:ascii="Times New Roman" w:hAnsi="Times New Roman" w:cs="Times New Roman" w:eastAsia="Times New Roman" w:hint="default"/>
        </w:rPr>
        <w:t>“</w:t>
      </w:r>
      <w:r>
        <w:rPr/>
        <w:t>基于防通讯信息骚扰综合服务平台</w:t>
      </w:r>
      <w:r>
        <w:rPr>
          <w:rFonts w:ascii="Times New Roman" w:hAnsi="Times New Roman" w:cs="Times New Roman" w:eastAsia="Times New Roman" w:hint="default"/>
        </w:rPr>
        <w:t>”</w:t>
      </w:r>
      <w:r>
        <w:rPr/>
        <w:t>，该系统引入语音识别和语义识别的</w:t>
      </w:r>
      <w:r>
        <w:rPr>
          <w:spacing w:val="-47"/>
        </w:rPr>
        <w:t> </w:t>
      </w:r>
      <w:r>
        <w:rPr>
          <w:rFonts w:ascii="Times New Roman" w:hAnsi="Times New Roman" w:cs="Times New Roman" w:eastAsia="Times New Roman" w:hint="default"/>
        </w:rPr>
        <w:t>AI</w:t>
      </w:r>
      <w:r>
        <w:rPr>
          <w:rFonts w:ascii="Times New Roman" w:hAnsi="Times New Roman" w:cs="Times New Roman" w:eastAsia="Times New Roman" w:hint="default"/>
          <w:spacing w:val="-2"/>
        </w:rPr>
        <w:t> </w:t>
      </w:r>
      <w:r>
        <w:rPr/>
        <w:t>技术， </w:t>
      </w:r>
      <w:r>
        <w:rPr>
          <w:spacing w:val="-2"/>
        </w:rPr>
        <w:t>为骚扰电话的智能识别、取证、治理提供了更加智能的方法。同时，系统实现了语料库积累、语音识别模型训练、骚扰电话</w:t>
      </w:r>
      <w:r>
        <w:rPr>
          <w:spacing w:val="-67"/>
        </w:rPr>
        <w:t> </w:t>
      </w:r>
      <w:r>
        <w:rPr>
          <w:spacing w:val="-67"/>
        </w:rPr>
      </w:r>
      <w:r>
        <w:rPr>
          <w:spacing w:val="-2"/>
        </w:rPr>
        <w:t>识别、骚扰电话行为分析等配套功能，形成了异常语音呼叫行为识别、过滤和处置能力，为护用户合法权益，提升电信行业</w:t>
      </w:r>
      <w:r>
        <w:rPr>
          <w:spacing w:val="-66"/>
        </w:rPr>
        <w:t> </w:t>
      </w:r>
      <w:r>
        <w:rPr>
          <w:spacing w:val="-66"/>
        </w:rPr>
      </w:r>
      <w:r>
        <w:rPr>
          <w:spacing w:val="-2"/>
        </w:rPr>
        <w:t>监管提供了有效手段。目前该系已在国家相关部门通讯防骚扰治理研究工作和处置工作中取得了良好的应用效果，为健全和</w:t>
      </w:r>
      <w:r>
        <w:rPr>
          <w:spacing w:val="-64"/>
        </w:rPr>
        <w:t> </w:t>
      </w:r>
      <w:r>
        <w:rPr>
          <w:spacing w:val="-64"/>
        </w:rPr>
      </w:r>
      <w:r>
        <w:rPr>
          <w:spacing w:val="-2"/>
        </w:rPr>
        <w:t>完善骚扰电话等相关法律法规的制定及方案形成起到了积极的推动作用和实践。同时，该系统也应用于中国移动的专线资源</w:t>
      </w:r>
      <w:r>
        <w:rPr>
          <w:spacing w:val="-64"/>
        </w:rPr>
        <w:t> </w:t>
      </w:r>
      <w:r>
        <w:rPr>
          <w:spacing w:val="-64"/>
        </w:rPr>
      </w:r>
      <w:r>
        <w:rPr/>
        <w:t>合规管理和防范骚扰的治理工作中，对可能形成骚扰的通信行为进行及时的发现和管理。</w:t>
      </w:r>
    </w:p>
    <w:p>
      <w:pPr>
        <w:pStyle w:val="BodyText"/>
        <w:spacing w:line="319" w:lineRule="auto" w:before="57"/>
        <w:ind w:left="1134" w:right="1132" w:firstLine="360"/>
        <w:jc w:val="both"/>
      </w:pPr>
      <w:r>
        <w:rPr>
          <w:spacing w:val="-2"/>
        </w:rPr>
        <w:t>在人工智能领域，公司同北京邮电大学建立的联合实验室重点进行人工智能算法在信息安全领域的应用，并开展基于互</w:t>
      </w:r>
      <w:r>
        <w:rPr/>
        <w:t> </w:t>
      </w:r>
      <w:r>
        <w:rPr>
          <w:spacing w:val="-2"/>
        </w:rPr>
        <w:t>联网的大规模安全攻击的预警和防范、面向物联网的新型安全风险防控等技术前沿研究，未来期望这些研究成果在各领域形</w:t>
      </w:r>
      <w:r>
        <w:rPr>
          <w:spacing w:val="-64"/>
        </w:rPr>
        <w:t> </w:t>
      </w:r>
      <w:r>
        <w:rPr>
          <w:spacing w:val="-64"/>
        </w:rPr>
      </w:r>
      <w:r>
        <w:rPr/>
        <w:t>成自主可控和独特的应用，为国家信息安全技术方面做出有益的探索和积极的贡献。</w:t>
      </w:r>
    </w:p>
    <w:p>
      <w:pPr>
        <w:pStyle w:val="Heading4"/>
        <w:spacing w:line="240" w:lineRule="auto" w:before="136"/>
        <w:ind w:right="1033"/>
        <w:jc w:val="left"/>
        <w:rPr>
          <w:b w:val="0"/>
          <w:bCs w:val="0"/>
        </w:rPr>
      </w:pPr>
      <w:r>
        <w:rPr/>
        <w:t>（</w:t>
      </w:r>
      <w:r>
        <w:rPr>
          <w:rFonts w:ascii="Times New Roman" w:hAnsi="Times New Roman" w:cs="Times New Roman" w:eastAsia="Times New Roman" w:hint="default"/>
        </w:rPr>
        <w:t>3</w:t>
      </w:r>
      <w:r>
        <w:rPr/>
        <w:t>）大数据电子政务方向</w:t>
      </w:r>
      <w:r>
        <w:rPr>
          <w:b w:val="0"/>
          <w:bCs w:val="0"/>
        </w:rPr>
      </w:r>
    </w:p>
    <w:p>
      <w:pPr>
        <w:spacing w:line="240" w:lineRule="auto" w:before="13"/>
        <w:rPr>
          <w:rFonts w:ascii="宋体" w:hAnsi="宋体" w:cs="宋体" w:eastAsia="宋体" w:hint="default"/>
          <w:b/>
          <w:bCs/>
          <w:sz w:val="13"/>
          <w:szCs w:val="13"/>
        </w:rPr>
      </w:pPr>
    </w:p>
    <w:p>
      <w:pPr>
        <w:pStyle w:val="BodyText"/>
        <w:spacing w:line="300" w:lineRule="auto"/>
        <w:ind w:right="1033" w:firstLine="360"/>
        <w:jc w:val="left"/>
      </w:pPr>
      <w:r>
        <w:rPr/>
        <w:t>研发团队开发了应用数据化平台 </w:t>
      </w:r>
      <w:r>
        <w:rPr>
          <w:rFonts w:ascii="Times New Roman" w:hAnsi="Times New Roman" w:cs="Times New Roman" w:eastAsia="Times New Roman" w:hint="default"/>
        </w:rPr>
        <w:t>TongA2D</w:t>
      </w:r>
      <w:r>
        <w:rPr>
          <w:rFonts w:ascii="Times New Roman" w:hAnsi="Times New Roman" w:cs="Times New Roman" w:eastAsia="Times New Roman" w:hint="default"/>
          <w:spacing w:val="5"/>
        </w:rPr>
        <w:t> </w:t>
      </w:r>
      <w:r>
        <w:rPr>
          <w:spacing w:val="-3"/>
        </w:rPr>
        <w:t>产品，只需一个应用系统普通账户即可实现数据交换，为跨部门应用数据交</w:t>
      </w:r>
      <w:r>
        <w:rPr/>
        <w:t> 换提供了一种新途径；完成了用户专属数字空间平台 </w:t>
      </w:r>
      <w:r>
        <w:rPr>
          <w:rFonts w:ascii="Times New Roman" w:hAnsi="Times New Roman" w:cs="Times New Roman" w:eastAsia="Times New Roman" w:hint="default"/>
        </w:rPr>
        <w:t>2.0</w:t>
      </w:r>
      <w:r>
        <w:rPr>
          <w:rFonts w:ascii="Times New Roman" w:hAnsi="Times New Roman" w:cs="Times New Roman" w:eastAsia="Times New Roman" w:hint="default"/>
          <w:spacing w:val="44"/>
        </w:rPr>
        <w:t> </w:t>
      </w:r>
      <w:r>
        <w:rPr/>
        <w:t>版本的内核部分以及运维门户的开发实现。完成浙江经济运行监</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033"/>
        <w:jc w:val="left"/>
      </w:pPr>
      <w:r>
        <w:rPr>
          <w:spacing w:val="-2"/>
        </w:rPr>
        <w:t>测平台、无锡市经济运行综合信息服务平台、广东省经济形势预测分析数据库项目终验收。深化数据融合在供给侧经济改革</w:t>
      </w:r>
      <w:r>
        <w:rPr>
          <w:spacing w:val="-66"/>
        </w:rPr>
        <w:t> </w:t>
      </w:r>
      <w:r>
        <w:rPr>
          <w:spacing w:val="-66"/>
        </w:rPr>
      </w:r>
      <w:r>
        <w:rPr/>
        <w:t>大数据决策模型的建立，并在江西省宏观经济预测预警平台、石家庄市供给侧大数据分析决策平台等项目中进行应用验证。</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1033"/>
        <w:jc w:val="left"/>
      </w:pPr>
      <w:r>
        <w:rPr/>
        <w:t>近三年公司研发投入金额及占营业收入的比例</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62,092,582.36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54,819,492.78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49,037,566.04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2,963,136.47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10,278,252.50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14.54%</w:t>
            </w:r>
          </w:p>
        </w:tc>
      </w:tr>
    </w:tbl>
    <w:p>
      <w:pPr>
        <w:pStyle w:val="BodyText"/>
        <w:spacing w:line="240" w:lineRule="auto" w:before="51"/>
        <w:ind w:left="1134" w:right="1033"/>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813"/>
        <w:gridCol w:w="1961"/>
        <w:gridCol w:w="2392"/>
        <w:gridCol w:w="2392"/>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386,610,742.52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459,475,009.61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-15.86%</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277,442,203.59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312,083,752.04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109,168,538.93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147,391,257.57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3,118.00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14,331,391.70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-99.98%</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157,849,992.00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497,117,007.24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-157,846,874.00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-482,785,615.54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14,833,983.82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845,024,383.00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-98.24%</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28,175,733.27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35,409,235.38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-13,341,749.45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809,615,147.62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-101.65%</w:t>
            </w:r>
            <w:r>
              <w:rPr>
                <w:rFonts w:ascii="Times New Roman"/>
                <w:sz w:val="18"/>
              </w:rPr>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-62,020,084.52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474,220,789.65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-113.08%</w:t>
            </w:r>
            <w:r>
              <w:rPr>
                <w:rFonts w:ascii="Times New Roman"/>
                <w:spacing w:val="-1"/>
                <w:sz w:val="18"/>
              </w:rPr>
            </w:r>
          </w:p>
        </w:tc>
      </w:tr>
    </w:tbl>
    <w:p>
      <w:pPr>
        <w:pStyle w:val="BodyText"/>
        <w:spacing w:line="240" w:lineRule="auto" w:before="51"/>
        <w:ind w:left="1134" w:right="1033"/>
        <w:jc w:val="left"/>
      </w:pPr>
      <w:r>
        <w:rPr/>
        <w:t>相关数据同比发生重大变动的主要影响因素说明</w:t>
      </w:r>
    </w:p>
    <w:p>
      <w:pPr>
        <w:pStyle w:val="BodyText"/>
        <w:spacing w:line="240" w:lineRule="auto" w:before="117"/>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134" w:right="1033" w:firstLine="360"/>
        <w:jc w:val="left"/>
      </w:pPr>
      <w:r>
        <w:rPr>
          <w:rFonts w:ascii="Times New Roman" w:hAnsi="Times New Roman" w:cs="Times New Roman" w:eastAsia="Times New Roman" w:hint="default"/>
          <w:spacing w:val="-1"/>
        </w:rPr>
        <w:t>1</w:t>
      </w:r>
      <w:r>
        <w:rPr>
          <w:spacing w:val="-1"/>
        </w:rPr>
        <w:t>、报告期内，经营活动产生的现金流量净额</w:t>
      </w:r>
      <w:r>
        <w:rPr>
          <w:rFonts w:ascii="Times New Roman" w:hAnsi="Times New Roman" w:cs="Times New Roman" w:eastAsia="Times New Roman" w:hint="default"/>
          <w:spacing w:val="-1"/>
        </w:rPr>
        <w:t>10,916.85</w:t>
      </w:r>
      <w:r>
        <w:rPr>
          <w:spacing w:val="-1"/>
        </w:rPr>
        <w:t>万元，比上年同期下降</w:t>
      </w:r>
      <w:r>
        <w:rPr>
          <w:rFonts w:ascii="Times New Roman" w:hAnsi="Times New Roman" w:cs="Times New Roman" w:eastAsia="Times New Roman" w:hint="default"/>
          <w:spacing w:val="-1"/>
        </w:rPr>
        <w:t>25.93%</w:t>
      </w:r>
      <w:r>
        <w:rPr>
          <w:spacing w:val="-1"/>
        </w:rPr>
        <w:t>，主要是因为网优测试业务收入剧</w:t>
      </w:r>
      <w:r>
        <w:rPr/>
        <w:t> 烈下滑，导致经营活动产生现金流量净额下降。</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83" w:firstLine="360"/>
        <w:jc w:val="left"/>
      </w:pPr>
      <w:r>
        <w:rPr>
          <w:rFonts w:ascii="Times New Roman" w:hAnsi="Times New Roman" w:cs="Times New Roman" w:eastAsia="Times New Roman" w:hint="default"/>
        </w:rPr>
        <w:t>2</w:t>
      </w:r>
      <w:r>
        <w:rPr/>
        <w:t>、报告期内，投资活动产生的现金流量净额</w:t>
      </w:r>
      <w:r>
        <w:rPr>
          <w:rFonts w:ascii="Times New Roman" w:hAnsi="Times New Roman" w:cs="Times New Roman" w:eastAsia="Times New Roman" w:hint="default"/>
        </w:rPr>
        <w:t>-15,784.69</w:t>
      </w:r>
      <w:r>
        <w:rPr/>
        <w:t>万元，上年同期</w:t>
      </w:r>
      <w:r>
        <w:rPr>
          <w:rFonts w:ascii="Times New Roman" w:hAnsi="Times New Roman" w:cs="Times New Roman" w:eastAsia="Times New Roman" w:hint="default"/>
        </w:rPr>
        <w:t>-48,278.56</w:t>
      </w:r>
      <w:r>
        <w:rPr/>
        <w:t>万元，原因是报告期内支付股权转让 款尾款</w:t>
      </w:r>
      <w:r>
        <w:rPr>
          <w:rFonts w:ascii="Times New Roman" w:hAnsi="Times New Roman" w:cs="Times New Roman" w:eastAsia="Times New Roman" w:hint="default"/>
        </w:rPr>
        <w:t>9,354.50</w:t>
      </w:r>
      <w:r>
        <w:rPr/>
        <w:t>万元、支付并购基金投资款</w:t>
      </w:r>
      <w:r>
        <w:rPr>
          <w:rFonts w:ascii="Times New Roman" w:hAnsi="Times New Roman" w:cs="Times New Roman" w:eastAsia="Times New Roman" w:hint="default"/>
        </w:rPr>
        <w:t>5,960.00</w:t>
      </w:r>
      <w:r>
        <w:rPr/>
        <w:t>万元，上年同期向北京微智信业科技有限公司原股东支付现金对价 </w:t>
      </w:r>
      <w:r>
        <w:rPr>
          <w:rFonts w:ascii="Times New Roman" w:hAnsi="Times New Roman" w:cs="Times New Roman" w:eastAsia="Times New Roman" w:hint="default"/>
        </w:rPr>
        <w:t>48,645.50</w:t>
      </w:r>
      <w:r>
        <w:rPr/>
        <w:t>万元。</w:t>
      </w:r>
    </w:p>
    <w:p>
      <w:pPr>
        <w:pStyle w:val="BodyText"/>
        <w:spacing w:line="300" w:lineRule="auto" w:before="13"/>
        <w:ind w:right="1033" w:firstLine="360"/>
        <w:jc w:val="left"/>
      </w:pPr>
      <w:r>
        <w:rPr>
          <w:rFonts w:ascii="Times New Roman" w:hAnsi="Times New Roman" w:cs="Times New Roman" w:eastAsia="Times New Roman" w:hint="default"/>
          <w:spacing w:val="-2"/>
        </w:rPr>
        <w:t>3</w:t>
      </w:r>
      <w:r>
        <w:rPr>
          <w:spacing w:val="-2"/>
        </w:rPr>
        <w:t>、报告期内，筹资活动产生的现金流量净额</w:t>
      </w:r>
      <w:r>
        <w:rPr>
          <w:rFonts w:ascii="Times New Roman" w:hAnsi="Times New Roman" w:cs="Times New Roman" w:eastAsia="Times New Roman" w:hint="default"/>
          <w:spacing w:val="-2"/>
        </w:rPr>
        <w:t>-1,334.17</w:t>
      </w:r>
      <w:r>
        <w:rPr>
          <w:spacing w:val="-2"/>
        </w:rPr>
        <w:t>万元，上年同期为</w:t>
      </w:r>
      <w:r>
        <w:rPr>
          <w:rFonts w:ascii="Times New Roman" w:hAnsi="Times New Roman" w:cs="Times New Roman" w:eastAsia="Times New Roman" w:hint="default"/>
          <w:spacing w:val="-2"/>
        </w:rPr>
        <w:t>80,961.51</w:t>
      </w:r>
      <w:r>
        <w:rPr>
          <w:spacing w:val="-2"/>
        </w:rPr>
        <w:t>万元，同比下降</w:t>
      </w:r>
      <w:r>
        <w:rPr>
          <w:rFonts w:ascii="Times New Roman" w:hAnsi="Times New Roman" w:cs="Times New Roman" w:eastAsia="Times New Roman" w:hint="default"/>
          <w:spacing w:val="-2"/>
        </w:rPr>
        <w:t>101.65%</w:t>
      </w:r>
      <w:r>
        <w:rPr>
          <w:spacing w:val="-2"/>
        </w:rPr>
        <w:t>，大幅下降主</w:t>
      </w:r>
      <w:r>
        <w:rPr/>
        <w:t> 要原因是上年同期非公开发行股票募集资金到账。</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right="1033"/>
        <w:jc w:val="left"/>
      </w:pPr>
      <w:r>
        <w:rPr/>
        <w:t>报告期内公司经营活动产生的现金净流量与本年度净利润存在重大差异的原因说明</w:t>
      </w:r>
    </w:p>
    <w:p>
      <w:pPr>
        <w:pStyle w:val="BodyText"/>
        <w:spacing w:line="240" w:lineRule="auto" w:before="116"/>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493" w:right="1033"/>
        <w:jc w:val="left"/>
      </w:pPr>
      <w:r>
        <w:rPr/>
        <w:t>报告期内，经营活动产生的现金流量净额为</w:t>
      </w:r>
      <w:r>
        <w:rPr>
          <w:rFonts w:ascii="Times New Roman" w:hAnsi="Times New Roman" w:cs="Times New Roman" w:eastAsia="Times New Roman" w:hint="default"/>
        </w:rPr>
        <w:t>109,168,538.93</w:t>
      </w:r>
      <w:r>
        <w:rPr/>
        <w:t>元，本年度净利润为</w:t>
      </w:r>
      <w:r>
        <w:rPr>
          <w:rFonts w:ascii="Times New Roman" w:hAnsi="Times New Roman" w:cs="Times New Roman" w:eastAsia="Times New Roman" w:hint="default"/>
        </w:rPr>
        <w:t>-307,286,709.04</w:t>
      </w:r>
      <w:r>
        <w:rPr/>
        <w:t>元，计提商誉减值准备</w:t>
      </w:r>
    </w:p>
    <w:p>
      <w:pPr>
        <w:pStyle w:val="BodyText"/>
        <w:spacing w:line="240" w:lineRule="auto" w:before="63"/>
        <w:ind w:right="1033"/>
        <w:jc w:val="left"/>
      </w:pPr>
      <w:r>
        <w:rPr>
          <w:rFonts w:ascii="Times New Roman" w:hAnsi="Times New Roman" w:cs="Times New Roman" w:eastAsia="Times New Roman" w:hint="default"/>
        </w:rPr>
        <w:t>384,817,297.98</w:t>
      </w:r>
      <w:r>
        <w:rPr/>
        <w:t>元，计提坏账准备</w:t>
      </w:r>
      <w:r>
        <w:rPr>
          <w:rFonts w:ascii="Times New Roman" w:hAnsi="Times New Roman" w:cs="Times New Roman" w:eastAsia="Times New Roman" w:hint="default"/>
        </w:rPr>
        <w:t>21,963,903.12</w:t>
      </w:r>
      <w:r>
        <w:rPr/>
        <w:t>元。</w:t>
      </w:r>
    </w:p>
    <w:p>
      <w:pPr>
        <w:spacing w:line="240" w:lineRule="auto" w:before="1"/>
        <w:rPr>
          <w:rFonts w:ascii="宋体" w:hAnsi="宋体" w:cs="宋体" w:eastAsia="宋体" w:hint="default"/>
          <w:sz w:val="24"/>
          <w:szCs w:val="24"/>
        </w:rPr>
      </w:pPr>
    </w:p>
    <w:p>
      <w:pPr>
        <w:pStyle w:val="Heading2"/>
        <w:spacing w:line="240" w:lineRule="auto"/>
        <w:ind w:left="1134" w:right="1033"/>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3"/>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265"/>
        <w:gridCol w:w="1256"/>
        <w:gridCol w:w="1154"/>
        <w:gridCol w:w="1276"/>
        <w:gridCol w:w="1276"/>
        <w:gridCol w:w="851"/>
        <w:gridCol w:w="2480"/>
      </w:tblGrid>
      <w:tr>
        <w:trPr>
          <w:trHeight w:val="206"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4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265" w:type="dxa"/>
            <w:vMerge w:val="restart"/>
            <w:tcBorders>
              <w:top w:val="nil" w:sz="6" w:space="0" w:color="auto"/>
              <w:left w:val="single" w:sz="4" w:space="0" w:color="000000"/>
              <w:right w:val="single" w:sz="4" w:space="0" w:color="000000"/>
            </w:tcBorders>
            <w:shd w:val="clear" w:color="auto" w:fill="D2D2D2"/>
          </w:tcPr>
          <w:p>
            <w:pPr/>
          </w:p>
        </w:tc>
        <w:tc>
          <w:tcPr>
            <w:tcW w:w="2411" w:type="dxa"/>
            <w:gridSpan w:val="2"/>
            <w:vMerge/>
            <w:tcBorders>
              <w:left w:val="single" w:sz="4" w:space="0" w:color="000000"/>
              <w:bottom w:val="single" w:sz="4" w:space="0" w:color="000000"/>
              <w:right w:val="single" w:sz="4" w:space="0" w:color="000000"/>
            </w:tcBorders>
            <w:shd w:val="clear" w:color="auto" w:fill="D2D2D2"/>
          </w:tcPr>
          <w:p>
            <w:pPr/>
          </w:p>
        </w:tc>
        <w:tc>
          <w:tcPr>
            <w:tcW w:w="2552" w:type="dxa"/>
            <w:gridSpan w:val="2"/>
            <w:vMerge/>
            <w:tcBorders>
              <w:left w:val="single" w:sz="4" w:space="0" w:color="000000"/>
              <w:bottom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4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1"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851" w:type="dxa"/>
            <w:vMerge/>
            <w:tcBorders>
              <w:left w:val="single" w:sz="4" w:space="0" w:color="000000"/>
              <w:bottom w:val="nil" w:sz="6" w:space="0" w:color="auto"/>
              <w:right w:val="single" w:sz="4" w:space="0" w:color="000000"/>
            </w:tcBorders>
            <w:shd w:val="clear" w:color="auto" w:fill="D2D2D2"/>
          </w:tcPr>
          <w:p>
            <w:pPr/>
          </w:p>
        </w:tc>
        <w:tc>
          <w:tcPr>
            <w:tcW w:w="248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4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598,624,131.70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659,577,756.98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301,033,038.49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308,787,491.67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33,248,823.40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16,079,020.04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55,906,246.82</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6" w:right="0"/>
              <w:jc w:val="left"/>
              <w:rPr>
                <w:rFonts w:ascii="Times New Roman" w:hAnsi="Times New Roman" w:cs="Times New Roman" w:eastAsia="Times New Roman" w:hint="default"/>
                <w:sz w:val="18"/>
                <w:szCs w:val="18"/>
              </w:rPr>
            </w:pPr>
            <w:r>
              <w:rPr>
                <w:rFonts w:ascii="Times New Roman"/>
                <w:sz w:val="18"/>
              </w:rPr>
              <w:t>3.58%</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261,257.58</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0.01%</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3.57%</w:t>
            </w:r>
          </w:p>
        </w:tc>
        <w:tc>
          <w:tcPr>
            <w:tcW w:w="2480"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报告期内投资设立杭州清响投 资管理合伙企业（有限合伙）</w:t>
            </w:r>
          </w:p>
        </w:tc>
      </w:tr>
      <w:tr>
        <w:trPr>
          <w:trHeight w:val="392"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56" w:type="dxa"/>
            <w:vMerge/>
            <w:tcBorders>
              <w:left w:val="single" w:sz="9" w:space="0" w:color="D2D2D2"/>
              <w:right w:val="single" w:sz="4" w:space="0" w:color="000000"/>
            </w:tcBorders>
          </w:tcPr>
          <w:p>
            <w:pPr/>
          </w:p>
        </w:tc>
        <w:tc>
          <w:tcPr>
            <w:tcW w:w="115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2480"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2480" w:type="dxa"/>
            <w:vMerge/>
            <w:tcBorders>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3,927,937.46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4,917,422.64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522,182,172.42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906,999,470.40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报告期内计提商誉减值准备</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line="544" w:lineRule="auto" w:before="0"/>
        <w:ind w:left="1133" w:right="727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截至报告期末的资产权利受限情况" w:id="43"/>
      <w:bookmarkEnd w:id="4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spacing w:after="0" w:line="544"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1033"/>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21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杭州清 响投资 管理合 伙企业</w:t>
            </w:r>
          </w:p>
          <w:p>
            <w:pPr>
              <w:pStyle w:val="TableParagraph"/>
              <w:spacing w:line="319" w:lineRule="auto" w:before="19"/>
              <w:ind w:left="22" w:right="119"/>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投资管 </w:t>
            </w:r>
            <w:r>
              <w:rPr>
                <w:rFonts w:ascii="宋体" w:hAnsi="宋体" w:cs="宋体" w:eastAsia="宋体" w:hint="default"/>
                <w:spacing w:val="-21"/>
                <w:sz w:val="18"/>
                <w:szCs w:val="18"/>
              </w:rPr>
              <w:t>理、投资</w:t>
            </w:r>
            <w:r>
              <w:rPr>
                <w:rFonts w:ascii="宋体" w:hAnsi="宋体" w:cs="宋体" w:eastAsia="宋体" w:hint="default"/>
                <w:sz w:val="18"/>
                <w:szCs w:val="18"/>
              </w:rPr>
              <w:t> </w:t>
            </w:r>
            <w:r>
              <w:rPr>
                <w:rFonts w:ascii="宋体" w:hAnsi="宋体" w:cs="宋体" w:eastAsia="宋体" w:hint="default"/>
                <w:spacing w:val="-21"/>
                <w:sz w:val="18"/>
                <w:szCs w:val="18"/>
              </w:rPr>
              <w:t>咨询、实</w:t>
            </w:r>
            <w:r>
              <w:rPr>
                <w:rFonts w:ascii="宋体" w:hAnsi="宋体" w:cs="宋体" w:eastAsia="宋体" w:hint="default"/>
                <w:sz w:val="18"/>
                <w:szCs w:val="18"/>
              </w:rPr>
              <w:t> 业投资 资产管 理</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195"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88" w:right="0"/>
              <w:jc w:val="left"/>
              <w:rPr>
                <w:rFonts w:ascii="Times New Roman" w:hAnsi="Times New Roman" w:cs="Times New Roman" w:eastAsia="Times New Roman" w:hint="default"/>
                <w:sz w:val="18"/>
                <w:szCs w:val="18"/>
              </w:rPr>
            </w:pPr>
            <w:r>
              <w:rPr>
                <w:rFonts w:ascii="Times New Roman"/>
                <w:sz w:val="18"/>
              </w:rPr>
              <w:t>59,600,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99.00%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88"/>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83"/>
              <w:jc w:val="both"/>
              <w:rPr>
                <w:rFonts w:ascii="宋体" w:hAnsi="宋体" w:cs="宋体" w:eastAsia="宋体" w:hint="default"/>
                <w:sz w:val="18"/>
                <w:szCs w:val="18"/>
              </w:rPr>
            </w:pPr>
            <w:r>
              <w:rPr>
                <w:rFonts w:ascii="宋体" w:hAnsi="宋体" w:cs="宋体" w:eastAsia="宋体" w:hint="default"/>
                <w:sz w:val="18"/>
                <w:szCs w:val="18"/>
              </w:rPr>
              <w:t>杭州海 枫投资 管理有 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306"/>
              <w:jc w:val="righ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81" w:right="0"/>
              <w:jc w:val="center"/>
              <w:rPr>
                <w:rFonts w:ascii="Times New Roman" w:hAnsi="Times New Roman" w:cs="Times New Roman" w:eastAsia="Times New Roman" w:hint="default"/>
                <w:sz w:val="18"/>
                <w:szCs w:val="18"/>
              </w:rPr>
            </w:pPr>
            <w:r>
              <w:rPr>
                <w:rFonts w:ascii="Times New Roman"/>
                <w:sz w:val="18"/>
              </w:rPr>
              <w:t>-3,948,8</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22.70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巨潮资 </w:t>
            </w:r>
            <w:r>
              <w:rPr>
                <w:rFonts w:ascii="宋体" w:hAnsi="宋体" w:cs="宋体" w:eastAsia="宋体" w:hint="default"/>
                <w:spacing w:val="-14"/>
                <w:sz w:val="18"/>
                <w:szCs w:val="18"/>
              </w:rPr>
              <w:t>讯网《关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于出资 设立产 业基金 暨关联 交易的 公告》</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sz w:val="18"/>
              </w:rPr>
              <w:t>(2016-05</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59,600,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-3,948,8</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22.70</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r>
        <w:rPr/>
        <w:pict>
          <v:group style="position:absolute;margin-left:126.32pt;margin-top:-139.156342pt;width:32.6pt;height:90.45pt;mso-position-horizontal-relative:page;mso-position-vertical-relative:paragraph;z-index:-1031728" coordorigin="2526,-2783" coordsize="652,1809">
            <v:group style="position:absolute;left:2538;top:-2772;width:2;height:393" coordorigin="2538,-2772" coordsize="2,393">
              <v:shape style="position:absolute;left:2538;top:-2772;width:2;height:393" coordorigin="2538,-2772" coordsize="0,393" path="m2538,-2772l2538,-2379e" filled="false" stroked="true" strokeweight="1.140pt" strokecolor="#ffffff">
                <v:path arrowok="t"/>
              </v:shape>
            </v:group>
            <v:group style="position:absolute;left:2526;top:-2379;width:652;height:1405" coordorigin="2526,-2379" coordsize="652,1405">
              <v:shape style="position:absolute;left:2526;top:-2379;width:652;height:1405" coordorigin="2526,-2379" coordsize="652,1405" path="m2526,-975l3178,-975,3178,-2379,2526,-2379,2526,-975xe" filled="true" fillcolor="#ffffff" stroked="false">
                <v:path arrowok="t"/>
                <v:fill type="solid"/>
              </v:shape>
            </v:group>
            <v:group style="position:absolute;left:2549;top:-2772;width:606;height:393" coordorigin="2549,-2772" coordsize="606,393">
              <v:shape style="position:absolute;left:2549;top:-2772;width:606;height:393" coordorigin="2549,-2772" coordsize="606,393" path="m2549,-2379l3155,-2379,3155,-2772,2549,-2772,2549,-2379xe" filled="true" fillcolor="#ffffff" stroked="false">
                <v:path arrowok="t"/>
                <v:fill type="solid"/>
              </v:shape>
            </v:group>
            <w10:wrap type="none"/>
          </v:group>
        </w:pict>
      </w: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0" w:right="1157"/>
        <w:jc w:val="right"/>
      </w:pPr>
      <w:r>
        <w:rPr/>
        <w:pict>
          <v:shape style="position:absolute;margin-left:56.459999pt;margin-top:-161.498291pt;width:478.95pt;height:241.4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非公开发 行股票募 集资金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81,451.63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32,085.04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81,451.63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81,451.63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center"/>
                          <w:rPr>
                            <w:rFonts w:ascii="Times New Roman" w:hAnsi="Times New Roman" w:cs="Times New Roman" w:eastAsia="Times New Roman" w:hint="default"/>
                            <w:sz w:val="18"/>
                            <w:szCs w:val="18"/>
                          </w:rPr>
                        </w:pPr>
                        <w:r>
                          <w:rPr>
                            <w:rFonts w:ascii="Times New Roman"/>
                            <w:sz w:val="18"/>
                          </w:rPr>
                          <w:t>32,085.04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center"/>
                          <w:rPr>
                            <w:rFonts w:ascii="Times New Roman" w:hAnsi="Times New Roman" w:cs="Times New Roman" w:eastAsia="Times New Roman" w:hint="default"/>
                            <w:sz w:val="18"/>
                            <w:szCs w:val="18"/>
                          </w:rPr>
                        </w:pPr>
                        <w:r>
                          <w:rPr>
                            <w:rFonts w:ascii="Times New Roman"/>
                            <w:sz w:val="18"/>
                          </w:rPr>
                          <w:t>81,451.63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1"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3" w:firstLine="27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号《关于核准北京东方通科技股份有限公司非公开发行股票的批复 批准，以非公开发行的方式发行股份，募集资金总额为人民币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825,426,760.00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元，扣除各项发行费用人民币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10,910,481.91</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元，实际募集资金净额人民币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814,516,278.09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元，上述募集资金已于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日到达公司募集资金专项账户。  截</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日，募集资金已全部使用，其中支付收购微智信业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581,000,000.00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元，补充上市公司流动资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233,516,278.09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3"/>
        <w:spacing w:line="240" w:lineRule="auto" w:before="35"/>
        <w:ind w:left="1134" w:right="1033"/>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z w:val="18"/>
                <w:szCs w:val="18"/>
              </w:rPr>
              <w:t>收购微智信业</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7,219.86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23,351.63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23,351.63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22,630.54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23,351.63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81,451.63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81,451.63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32,085.04</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81,451.63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7,219.86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81,451.63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81,451.63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32,085.04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81,451.63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7,219.86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474"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0" w:lineRule="auto" w:before="52"/>
              <w:ind w:left="16" w:right="21" w:firstLine="27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经中国证券监督管理委员会证监许可【</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805</w:t>
            </w:r>
            <w:r>
              <w:rPr>
                <w:rFonts w:ascii="Times New Roman" w:hAnsi="Times New Roman" w:cs="Times New Roman" w:eastAsia="Times New Roman" w:hint="default"/>
                <w:spacing w:val="16"/>
                <w:sz w:val="18"/>
                <w:szCs w:val="18"/>
              </w:rPr>
              <w:t> </w:t>
            </w:r>
            <w:r>
              <w:rPr>
                <w:rFonts w:ascii="宋体" w:hAnsi="宋体" w:cs="宋体" w:eastAsia="宋体" w:hint="default"/>
                <w:spacing w:val="-1"/>
                <w:sz w:val="18"/>
                <w:szCs w:val="18"/>
              </w:rPr>
              <w:t>号《关于核准北京东方通科技股份有限公司非</w:t>
            </w:r>
            <w:r>
              <w:rPr>
                <w:rFonts w:ascii="宋体" w:hAnsi="宋体" w:cs="宋体" w:eastAsia="宋体" w:hint="default"/>
                <w:sz w:val="18"/>
                <w:szCs w:val="18"/>
              </w:rPr>
              <w:t> </w:t>
            </w:r>
            <w:r>
              <w:rPr>
                <w:rFonts w:ascii="宋体" w:hAnsi="宋体" w:cs="宋体" w:eastAsia="宋体" w:hint="default"/>
                <w:spacing w:val="-3"/>
                <w:sz w:val="18"/>
                <w:szCs w:val="18"/>
              </w:rPr>
              <w:t>公开发行股票的批复》批准，以非公开发行的方式发行股份，募集资金总额为人民币</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825,426,760.00</w:t>
            </w:r>
          </w:p>
          <w:p>
            <w:pPr>
              <w:pStyle w:val="TableParagraph"/>
              <w:spacing w:line="240" w:lineRule="auto" w:before="13"/>
              <w:ind w:left="16" w:right="0"/>
              <w:jc w:val="left"/>
              <w:rPr>
                <w:rFonts w:ascii="宋体" w:hAnsi="宋体" w:cs="宋体" w:eastAsia="宋体" w:hint="default"/>
                <w:sz w:val="18"/>
                <w:szCs w:val="18"/>
              </w:rPr>
            </w:pPr>
            <w:r>
              <w:rPr>
                <w:rFonts w:ascii="宋体" w:hAnsi="宋体" w:cs="宋体" w:eastAsia="宋体" w:hint="default"/>
                <w:sz w:val="18"/>
                <w:szCs w:val="18"/>
              </w:rPr>
              <w:t>元，扣除各项发行费用人民币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10,910,481.91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元，实际募集资金净额人民币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814,516,278.09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元，上述</w:t>
            </w:r>
          </w:p>
          <w:p>
            <w:pPr>
              <w:pStyle w:val="TableParagraph"/>
              <w:spacing w:line="300" w:lineRule="auto" w:before="63"/>
              <w:ind w:left="16" w:right="22"/>
              <w:jc w:val="left"/>
              <w:rPr>
                <w:rFonts w:ascii="宋体" w:hAnsi="宋体" w:cs="宋体" w:eastAsia="宋体" w:hint="default"/>
                <w:sz w:val="18"/>
                <w:szCs w:val="18"/>
              </w:rPr>
            </w:pPr>
            <w:r>
              <w:rPr>
                <w:rFonts w:ascii="宋体" w:hAnsi="宋体" w:cs="宋体" w:eastAsia="宋体" w:hint="default"/>
                <w:sz w:val="18"/>
                <w:szCs w:val="18"/>
              </w:rPr>
              <w:t>募集资金已于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日到达公司募集资金专项账户。</w:t>
            </w:r>
            <w:r>
              <w:rPr>
                <w:rFonts w:ascii="宋体" w:hAnsi="宋体" w:cs="宋体" w:eastAsia="宋体" w:hint="default"/>
                <w:spacing w:val="46"/>
                <w:sz w:val="18"/>
                <w:szCs w:val="18"/>
              </w:rPr>
              <w:t> </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日，募集资金</w:t>
            </w:r>
            <w:r>
              <w:rPr>
                <w:rFonts w:ascii="宋体" w:hAnsi="宋体" w:cs="宋体" w:eastAsia="宋体" w:hint="default"/>
                <w:sz w:val="18"/>
                <w:szCs w:val="18"/>
              </w:rPr>
              <w:t> 已全部使用，其中支付收购微智信业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581,000,000.00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元，补充上市公司流动资金 </w:t>
            </w:r>
            <w:r>
              <w:rPr>
                <w:rFonts w:ascii="Times New Roman" w:hAnsi="Times New Roman" w:cs="Times New Roman" w:eastAsia="Times New Roman" w:hint="default"/>
                <w:sz w:val="18"/>
                <w:szCs w:val="18"/>
              </w:rPr>
              <w:t>233,516,278.09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473"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项目可行性发生重大</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变化的情况说明</w:t>
            </w: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募集资金已使用完毕，专户余额是银行结息。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1033"/>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1033"/>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北京微智信 业科技有限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大数据信息 安全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113,000,000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327,309,311.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162,671,613.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158,894,394.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80,114,234.6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72,198,632.0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134" w:right="1033"/>
        <w:jc w:val="left"/>
      </w:pPr>
      <w:r>
        <w:rPr/>
        <w:t>报告期内取得和处置子公司的情况</w:t>
      </w:r>
    </w:p>
    <w:p>
      <w:pPr>
        <w:pStyle w:val="BodyText"/>
        <w:spacing w:line="348" w:lineRule="auto" w:before="117"/>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 北京微智信业科技有限公司：</w:t>
      </w:r>
    </w:p>
    <w:p>
      <w:pPr>
        <w:pStyle w:val="BodyText"/>
        <w:spacing w:line="231" w:lineRule="exact"/>
        <w:ind w:left="1493" w:right="0"/>
        <w:jc w:val="left"/>
      </w:pPr>
      <w:r>
        <w:rPr/>
        <w:t>公司属于信息内容安全领域。主要从事信息安全产品的研发、销售和相关技术服务。法定住所为北京市海淀区龙翔路甲</w:t>
      </w:r>
    </w:p>
    <w:p>
      <w:pPr>
        <w:pStyle w:val="BodyText"/>
        <w:spacing w:line="240" w:lineRule="auto" w:before="76"/>
        <w:ind w:right="1033"/>
        <w:jc w:val="left"/>
      </w:pPr>
      <w:r>
        <w:rPr>
          <w:rFonts w:ascii="Times New Roman" w:hAnsi="Times New Roman" w:cs="Times New Roman" w:eastAsia="Times New Roman" w:hint="default"/>
        </w:rPr>
        <w:t>1</w:t>
      </w:r>
      <w:r>
        <w:rPr/>
        <w:t>号泰翔商务楼二层</w:t>
      </w:r>
      <w:r>
        <w:rPr>
          <w:rFonts w:ascii="Times New Roman" w:hAnsi="Times New Roman" w:cs="Times New Roman" w:eastAsia="Times New Roman" w:hint="default"/>
        </w:rPr>
        <w:t>207</w:t>
      </w:r>
      <w:r>
        <w:rPr/>
        <w:t>、</w:t>
      </w:r>
      <w:r>
        <w:rPr>
          <w:rFonts w:ascii="Times New Roman" w:hAnsi="Times New Roman" w:cs="Times New Roman" w:eastAsia="Times New Roman" w:hint="default"/>
        </w:rPr>
        <w:t>208</w:t>
      </w:r>
      <w:r>
        <w:rPr/>
        <w:t>室，法定代表人黄永军。</w:t>
      </w:r>
    </w:p>
    <w:p>
      <w:pPr>
        <w:spacing w:line="240" w:lineRule="auto" w:before="1"/>
        <w:rPr>
          <w:rFonts w:ascii="宋体" w:hAnsi="宋体" w:cs="宋体" w:eastAsia="宋体" w:hint="default"/>
          <w:sz w:val="24"/>
          <w:szCs w:val="24"/>
        </w:rPr>
      </w:pPr>
    </w:p>
    <w:p>
      <w:pPr>
        <w:pStyle w:val="Heading2"/>
        <w:spacing w:line="240" w:lineRule="auto"/>
        <w:ind w:left="1134" w:right="1033"/>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3"/>
        <w:jc w:val="left"/>
        <w:rPr>
          <w:b w:val="0"/>
          <w:bCs w:val="0"/>
        </w:rPr>
      </w:pPr>
      <w:bookmarkStart w:name="九、公司未来发展的展望" w:id="58"/>
      <w:bookmarkEnd w:id="58"/>
      <w:r>
        <w:rPr>
          <w:b w:val="0"/>
          <w:bCs w:val="0"/>
        </w:rPr>
      </w:r>
      <w:r>
        <w:rPr/>
        <w:t>九、公司未来发展的展望</w:t>
      </w:r>
      <w:r>
        <w:rPr>
          <w:b w:val="0"/>
          <w:bCs w:val="0"/>
        </w:rPr>
      </w:r>
    </w:p>
    <w:p>
      <w:pPr>
        <w:pStyle w:val="Heading4"/>
        <w:spacing w:line="470" w:lineRule="atLeast" w:before="112"/>
        <w:ind w:left="1491" w:right="8516" w:hanging="92"/>
        <w:jc w:val="center"/>
        <w:rPr>
          <w:b w:val="0"/>
          <w:bCs w:val="0"/>
        </w:rPr>
      </w:pPr>
      <w:r>
        <w:rPr/>
        <w:t>（一）行业格局和趋势</w:t>
      </w:r>
      <w:r>
        <w:rPr>
          <w:w w:val="99"/>
        </w:rPr>
        <w:t> </w:t>
      </w:r>
      <w:r>
        <w:rPr>
          <w:rFonts w:ascii="宋体" w:hAnsi="宋体" w:cs="宋体" w:eastAsia="宋体" w:hint="default"/>
        </w:rPr>
        <w:t>1</w:t>
      </w:r>
      <w:r>
        <w:rPr/>
        <w:t>、自主可控与信息安全</w:t>
      </w:r>
      <w:r>
        <w:rPr>
          <w:b w:val="0"/>
          <w:bCs w:val="0"/>
        </w:rPr>
      </w:r>
    </w:p>
    <w:p>
      <w:pPr>
        <w:pStyle w:val="BodyText"/>
        <w:spacing w:line="316" w:lineRule="auto" w:before="116"/>
        <w:ind w:right="1131" w:firstLine="360"/>
        <w:jc w:val="both"/>
      </w:pPr>
      <w:r>
        <w:rPr>
          <w:spacing w:val="-2"/>
        </w:rPr>
        <w:t>随着云计算、大数据、物联网等新技术的推广应用，软件基础设施产品和技术正发生巨大的变化，传统中间件软件正逐</w:t>
      </w:r>
      <w:r>
        <w:rPr/>
        <w:t> </w:t>
      </w:r>
      <w:r>
        <w:rPr>
          <w:spacing w:val="-2"/>
        </w:rPr>
        <w:t>渐发展成为软件基础设施。同时，国家网络空间安全战略也让关键核心技术的自主可控、安全可靠受到越来越多的关注，大</w:t>
      </w:r>
      <w:r>
        <w:rPr>
          <w:spacing w:val="-66"/>
        </w:rPr>
        <w:t> </w:t>
      </w:r>
      <w:r>
        <w:rPr>
          <w:spacing w:val="-66"/>
        </w:rPr>
      </w:r>
      <w:r>
        <w:rPr/>
        <w:t>力推进安全、可信国产软件基础设施在政府、金融、电信、能源、交通、军工等关键领域应用，将成为大势所趋</w:t>
      </w:r>
      <w:r>
        <w:rPr>
          <w:rFonts w:ascii="宋体" w:hAnsi="宋体" w:cs="宋体" w:eastAsia="宋体" w:hint="default"/>
        </w:rPr>
        <w:t>,</w:t>
      </w:r>
      <w:r>
        <w:rPr/>
        <w:t>市场规模 处于持续增长的态势。在整个基础软件市场竞争格局中，外资厂商</w:t>
      </w:r>
      <w:r>
        <w:rPr>
          <w:rFonts w:ascii="宋体" w:hAnsi="宋体" w:cs="宋体" w:eastAsia="宋体" w:hint="default"/>
        </w:rPr>
        <w:t>IBM</w:t>
      </w:r>
      <w:r>
        <w:rPr/>
        <w:t>、</w:t>
      </w:r>
      <w:r>
        <w:rPr>
          <w:rFonts w:ascii="宋体" w:hAnsi="宋体" w:cs="宋体" w:eastAsia="宋体" w:hint="default"/>
        </w:rPr>
        <w:t>Oracle</w:t>
      </w:r>
      <w:r>
        <w:rPr/>
        <w:t>在市场中仍占有较大的份额，还处于主导地 </w:t>
      </w:r>
      <w:r>
        <w:rPr>
          <w:spacing w:val="-2"/>
        </w:rPr>
        <w:t>位，但在军民融合、国产化的大背景下，自主、可控、安全的理念逐步深入人心，国产信息技术保障国家信息安全，自主可</w:t>
      </w:r>
      <w:r>
        <w:rPr>
          <w:spacing w:val="-72"/>
        </w:rPr>
        <w:t> </w:t>
      </w:r>
      <w:r>
        <w:rPr>
          <w:spacing w:val="-72"/>
        </w:rPr>
      </w:r>
      <w:r>
        <w:rPr/>
        <w:t>控助推民族</w:t>
      </w:r>
      <w:r>
        <w:rPr>
          <w:rFonts w:ascii="宋体" w:hAnsi="宋体" w:cs="宋体" w:eastAsia="宋体" w:hint="default"/>
        </w:rPr>
        <w:t>IT</w:t>
      </w:r>
      <w:r>
        <w:rPr/>
        <w:t>产业腾飞</w:t>
      </w:r>
      <w:r>
        <w:rPr>
          <w:rFonts w:ascii="宋体" w:hAnsi="宋体" w:cs="宋体" w:eastAsia="宋体" w:hint="default"/>
        </w:rPr>
        <w:t>,</w:t>
      </w:r>
      <w:r>
        <w:rPr/>
        <w:t>强力推进国产自主化建设应用，是国家和国防信息化发展战略的大势所趋，也是全面深化改革的潮 流所向。</w:t>
      </w:r>
    </w:p>
    <w:p>
      <w:pPr>
        <w:pStyle w:val="BodyText"/>
        <w:spacing w:line="316" w:lineRule="auto" w:before="19"/>
        <w:ind w:right="1033" w:firstLine="360"/>
        <w:jc w:val="left"/>
      </w:pPr>
      <w:r>
        <w:rPr>
          <w:spacing w:val="-2"/>
        </w:rPr>
        <w:t>受“棱镜门”事件爆发催化</w:t>
      </w:r>
      <w:r>
        <w:rPr>
          <w:rFonts w:ascii="宋体" w:hAnsi="宋体" w:cs="宋体" w:eastAsia="宋体" w:hint="default"/>
          <w:spacing w:val="-2"/>
        </w:rPr>
        <w:t>,</w:t>
      </w:r>
      <w:r>
        <w:rPr>
          <w:spacing w:val="-2"/>
        </w:rPr>
        <w:t>以及近年来国内网络安全事件地频繁发生，我国现已掀起了建设自主信息安全体系的浪潮</w:t>
      </w:r>
      <w:r>
        <w:rPr>
          <w:rFonts w:ascii="宋体" w:hAnsi="宋体" w:cs="宋体" w:eastAsia="宋体" w:hint="default"/>
          <w:spacing w:val="-2"/>
        </w:rPr>
        <w:t>,</w:t>
      </w:r>
      <w:r>
        <w:rPr>
          <w:rFonts w:ascii="宋体" w:hAnsi="宋体" w:cs="宋体" w:eastAsia="宋体" w:hint="default"/>
        </w:rPr>
        <w:t> </w:t>
      </w:r>
      <w:r>
        <w:rPr>
          <w:spacing w:val="-2"/>
        </w:rPr>
        <w:t>对于信息安全防护建设的政策支持力度不断上升，其中网络信息安全与自主可控将构成国防信息安全市场的两大基石。中信</w:t>
      </w:r>
      <w:r>
        <w:rPr>
          <w:spacing w:val="-64"/>
        </w:rPr>
        <w:t> </w:t>
      </w:r>
      <w:r>
        <w:rPr>
          <w:spacing w:val="-64"/>
        </w:rPr>
      </w:r>
      <w:r>
        <w:rPr/>
        <w:t>建投证券研究所预测</w:t>
      </w:r>
      <w:r>
        <w:rPr>
          <w:rFonts w:ascii="宋体" w:hAnsi="宋体" w:cs="宋体" w:eastAsia="宋体" w:hint="default"/>
        </w:rPr>
        <w:t>,</w:t>
      </w:r>
      <w:r>
        <w:rPr/>
        <w:t>中国信息安全市场规模将由</w:t>
      </w:r>
      <w:r>
        <w:rPr>
          <w:rFonts w:ascii="宋体" w:hAnsi="宋体" w:cs="宋体" w:eastAsia="宋体" w:hint="default"/>
        </w:rPr>
        <w:t>2015</w:t>
      </w:r>
      <w:r>
        <w:rPr/>
        <w:t>年的</w:t>
      </w:r>
      <w:r>
        <w:rPr>
          <w:rFonts w:ascii="宋体" w:hAnsi="宋体" w:cs="宋体" w:eastAsia="宋体" w:hint="default"/>
        </w:rPr>
        <w:t>2367</w:t>
      </w:r>
      <w:r>
        <w:rPr/>
        <w:t>亿元增长至</w:t>
      </w:r>
      <w:r>
        <w:rPr>
          <w:rFonts w:ascii="宋体" w:hAnsi="宋体" w:cs="宋体" w:eastAsia="宋体" w:hint="default"/>
        </w:rPr>
        <w:t>2025</w:t>
      </w:r>
      <w:r>
        <w:rPr/>
        <w:t>年的</w:t>
      </w:r>
      <w:r>
        <w:rPr>
          <w:rFonts w:ascii="宋体" w:hAnsi="宋体" w:cs="宋体" w:eastAsia="宋体" w:hint="default"/>
        </w:rPr>
        <w:t>7320</w:t>
      </w:r>
      <w:r>
        <w:rPr/>
        <w:t>亿元</w:t>
      </w:r>
      <w:r>
        <w:rPr>
          <w:rFonts w:ascii="宋体" w:hAnsi="宋体" w:cs="宋体" w:eastAsia="宋体" w:hint="default"/>
        </w:rPr>
        <w:t>,</w:t>
      </w:r>
      <w:r>
        <w:rPr/>
        <w:t>十年增长两倍</w:t>
      </w:r>
      <w:r>
        <w:rPr>
          <w:rFonts w:ascii="宋体" w:hAnsi="宋体" w:cs="宋体" w:eastAsia="宋体" w:hint="default"/>
        </w:rPr>
        <w:t>,</w:t>
      </w:r>
      <w:r>
        <w:rPr/>
        <w:t>复合增长率达 </w:t>
      </w:r>
      <w:r>
        <w:rPr>
          <w:rFonts w:ascii="宋体" w:hAnsi="宋体" w:cs="宋体" w:eastAsia="宋体" w:hint="default"/>
          <w:spacing w:val="-2"/>
        </w:rPr>
        <w:t>11%</w:t>
      </w:r>
      <w:r>
        <w:rPr>
          <w:spacing w:val="-2"/>
        </w:rPr>
        <w:t>。匹配国家层面的战略规划，各项信息安全建设的落实支持政策陆续出台，《网络安全法》、《国家网络空间安全战略》</w:t>
      </w:r>
      <w:r>
        <w:rPr>
          <w:spacing w:val="-64"/>
        </w:rPr>
        <w:t> </w:t>
      </w:r>
      <w:r>
        <w:rPr>
          <w:spacing w:val="-64"/>
        </w:rPr>
      </w:r>
      <w:r>
        <w:rPr/>
        <w:t>等多项重磅政策密集出台，加速推动信息安全产品需求释放。</w:t>
      </w:r>
    </w:p>
    <w:p>
      <w:pPr>
        <w:pStyle w:val="BodyText"/>
        <w:spacing w:line="316" w:lineRule="auto" w:before="19"/>
        <w:ind w:right="1129" w:firstLine="360"/>
        <w:jc w:val="both"/>
      </w:pPr>
      <w:r>
        <w:rPr>
          <w:spacing w:val="-2"/>
        </w:rPr>
        <w:t>随着德国“工业</w:t>
      </w:r>
      <w:r>
        <w:rPr>
          <w:rFonts w:ascii="宋体" w:hAnsi="宋体" w:cs="宋体" w:eastAsia="宋体" w:hint="default"/>
          <w:spacing w:val="-2"/>
        </w:rPr>
        <w:t>4.0</w:t>
      </w:r>
      <w:r>
        <w:rPr>
          <w:spacing w:val="-2"/>
        </w:rPr>
        <w:t>”、英国“高值制造”、美国“先进制造”以及“中国制造</w:t>
      </w:r>
      <w:r>
        <w:rPr>
          <w:spacing w:val="3"/>
        </w:rPr>
        <w:t> </w:t>
      </w:r>
      <w:r>
        <w:rPr>
          <w:rFonts w:ascii="宋体" w:hAnsi="宋体" w:cs="宋体" w:eastAsia="宋体" w:hint="default"/>
          <w:spacing w:val="-1"/>
        </w:rPr>
        <w:t>2025</w:t>
      </w:r>
      <w:r>
        <w:rPr>
          <w:spacing w:val="-1"/>
        </w:rPr>
        <w:t>”战略的陆续推出，工业领域设备</w:t>
      </w:r>
      <w:r>
        <w:rPr/>
        <w:t> </w:t>
      </w:r>
      <w:r>
        <w:rPr>
          <w:spacing w:val="-2"/>
        </w:rPr>
        <w:t>联网实现智能化将成为必然的趋势。相应的，工控领域的信息安全威胁也将迅速上升，而目前工控系统的安全防护主要以边</w:t>
      </w:r>
      <w:r>
        <w:rPr>
          <w:spacing w:val="-66"/>
        </w:rPr>
        <w:t> </w:t>
      </w:r>
      <w:r>
        <w:rPr>
          <w:spacing w:val="-66"/>
        </w:rPr>
      </w:r>
      <w:r>
        <w:rPr>
          <w:spacing w:val="-2"/>
        </w:rPr>
        <w:t>界防护为主，在漏洞监测、安全审计、未知威胁检测、综合预警等方面存在较大的市场空白，产业具备大规模商业扩张的基</w:t>
      </w:r>
      <w:r>
        <w:rPr>
          <w:spacing w:val="-66"/>
        </w:rPr>
        <w:t> </w:t>
      </w:r>
      <w:r>
        <w:rPr>
          <w:spacing w:val="-66"/>
        </w:rPr>
      </w:r>
      <w:r>
        <w:rPr/>
        <w:t>础。</w:t>
      </w:r>
    </w:p>
    <w:p>
      <w:pPr>
        <w:pStyle w:val="BodyText"/>
        <w:spacing w:line="319" w:lineRule="auto" w:before="19"/>
        <w:ind w:left="1134" w:right="1131" w:firstLine="360"/>
        <w:jc w:val="both"/>
      </w:pPr>
      <w:r>
        <w:rPr>
          <w:spacing w:val="-2"/>
        </w:rPr>
        <w:t>同时，伴随着国内云计算、大数据等新兴领域的快速发展，具有深厚攻防等核心技术积累及完整解决方案的龙头公司将</w:t>
      </w:r>
      <w:r>
        <w:rPr/>
        <w:t> </w:t>
      </w:r>
      <w:r>
        <w:rPr>
          <w:spacing w:val="-2"/>
        </w:rPr>
        <w:t>拥有更为成熟可信的综合实力，市场份额将自然地向龙头集中。当前我国信息安全细分领域众多、厂商集中度差，但信息安</w:t>
      </w:r>
      <w:r>
        <w:rPr>
          <w:spacing w:val="-66"/>
        </w:rPr>
        <w:t> </w:t>
      </w:r>
      <w:r>
        <w:rPr>
          <w:spacing w:val="-66"/>
        </w:rPr>
      </w:r>
      <w:r>
        <w:rPr>
          <w:spacing w:val="-2"/>
        </w:rPr>
        <w:t>全是一个全方位的防护建设工程，拥有完整软硬件解决方案及系统集成能力的厂商将拥有更强的竞争优势，行业集中度提升</w:t>
      </w:r>
      <w:r>
        <w:rPr>
          <w:spacing w:val="-64"/>
        </w:rPr>
        <w:t> </w:t>
      </w:r>
      <w:r>
        <w:rPr>
          <w:spacing w:val="-64"/>
        </w:rPr>
      </w:r>
      <w:r>
        <w:rPr/>
        <w:t>是必然趋势。</w:t>
      </w:r>
    </w:p>
    <w:p>
      <w:pPr>
        <w:pStyle w:val="BodyText"/>
        <w:spacing w:line="316" w:lineRule="auto" w:before="17"/>
        <w:ind w:right="1050" w:firstLine="360"/>
        <w:jc w:val="both"/>
      </w:pPr>
      <w:r>
        <w:rPr/>
        <w:t>匹配国家层面的战略规划，各项信息安全建设的落实支持政策陆续出台，《网络安全法》、《国家网络空间安全战略》 </w:t>
      </w:r>
      <w:r>
        <w:rPr>
          <w:spacing w:val="-2"/>
        </w:rPr>
        <w:t>等多项重磅政策密集出台，加速推动信息安全产品需求释放。从政策趋势来看，未来政府对信息安全建设的支持力度有望持</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33"/>
        <w:jc w:val="left"/>
      </w:pPr>
      <w:r>
        <w:rPr/>
        <w:t>续提升。</w:t>
      </w:r>
    </w:p>
    <w:p>
      <w:pPr>
        <w:pStyle w:val="BodyText"/>
        <w:spacing w:line="316" w:lineRule="auto" w:before="76"/>
        <w:ind w:right="1033" w:firstLine="360"/>
        <w:jc w:val="left"/>
      </w:pPr>
      <w:r>
        <w:rPr>
          <w:spacing w:val="-2"/>
        </w:rPr>
        <w:t>作为中国基础软件和信息安全的领先企业，母公司的基础软件业务与微智信业的信息安全业务，在国家自主可控、安全</w:t>
      </w:r>
      <w:r>
        <w:rPr/>
        <w:t> 可靠的理念指引与政策导向下， 将进一步受益，在未来市场竞争中继续保持优势，赢得更多发展机遇。</w:t>
      </w:r>
    </w:p>
    <w:p>
      <w:pPr>
        <w:pStyle w:val="Heading4"/>
        <w:spacing w:line="240" w:lineRule="auto" w:before="59"/>
        <w:ind w:left="1491" w:right="1033"/>
        <w:jc w:val="left"/>
        <w:rPr>
          <w:b w:val="0"/>
          <w:bCs w:val="0"/>
        </w:rPr>
      </w:pPr>
      <w:r>
        <w:rPr>
          <w:rFonts w:ascii="宋体" w:hAnsi="宋体" w:cs="宋体" w:eastAsia="宋体" w:hint="default"/>
        </w:rPr>
        <w:t>2</w:t>
      </w:r>
      <w:r>
        <w:rPr/>
        <w:t>、大数据电子政务行业</w:t>
      </w:r>
      <w:r>
        <w:rPr>
          <w:b w:val="0"/>
          <w:bCs w:val="0"/>
        </w:rPr>
      </w:r>
    </w:p>
    <w:p>
      <w:pPr>
        <w:pStyle w:val="BodyText"/>
        <w:spacing w:line="316" w:lineRule="auto" w:before="116"/>
        <w:ind w:right="1033" w:firstLine="360"/>
        <w:jc w:val="left"/>
      </w:pPr>
      <w:r>
        <w:rPr>
          <w:spacing w:val="-2"/>
        </w:rPr>
        <w:t>《十三五规划纲要》提出，要牢牢把握信息技术变革趋势，实施网络强国战略，加快建设数字中国，推动信息技术与经</w:t>
      </w:r>
      <w:r>
        <w:rPr/>
        <w:t> 济社会发展深度融合，加快推动信息经济发展壮大。电子政务作为“互联网</w:t>
      </w:r>
      <w:r>
        <w:rPr>
          <w:rFonts w:ascii="宋体" w:hAnsi="宋体" w:cs="宋体" w:eastAsia="宋体" w:hint="default"/>
        </w:rPr>
        <w:t>+</w:t>
      </w:r>
      <w:r>
        <w:rPr/>
        <w:t>”技术的优先覆盖领域，不仅创新了政府便民 </w:t>
      </w:r>
      <w:r>
        <w:rPr>
          <w:spacing w:val="-2"/>
        </w:rPr>
        <w:t>利民的工作方式，而且优化了行政资源，提高了行政效率，为我国传统的行政服务模式注入了新的活力。新时期的电子政务</w:t>
      </w:r>
      <w:r>
        <w:rPr>
          <w:spacing w:val="-66"/>
        </w:rPr>
        <w:t> </w:t>
      </w:r>
      <w:r>
        <w:rPr>
          <w:spacing w:val="-66"/>
        </w:rPr>
      </w:r>
      <w:r>
        <w:rPr/>
        <w:t>将与“互联网</w:t>
      </w:r>
      <w:r>
        <w:rPr>
          <w:rFonts w:ascii="宋体" w:hAnsi="宋体" w:cs="宋体" w:eastAsia="宋体" w:hint="default"/>
        </w:rPr>
        <w:t>+</w:t>
      </w:r>
      <w:r>
        <w:rPr/>
        <w:t>”技术实现更为创新与具有突破性的结合，赋予电子政务发展更为全新的内涵，推进“互联网</w:t>
      </w:r>
      <w:r>
        <w:rPr>
          <w:rFonts w:ascii="宋体" w:hAnsi="宋体" w:cs="宋体" w:eastAsia="宋体" w:hint="default"/>
        </w:rPr>
        <w:t>+</w:t>
      </w:r>
      <w:r>
        <w:rPr/>
        <w:t>公共服务”， 促进部门间信息共享，对深化简政放权、放管结合、优化服务改革起到重要推动作用。</w:t>
      </w:r>
    </w:p>
    <w:p>
      <w:pPr>
        <w:pStyle w:val="BodyText"/>
        <w:spacing w:line="316" w:lineRule="auto" w:before="19"/>
        <w:ind w:right="1130" w:firstLine="360"/>
        <w:jc w:val="both"/>
      </w:pPr>
      <w:r>
        <w:rPr>
          <w:spacing w:val="-2"/>
        </w:rPr>
        <w:t>新时期电子政务发展在新政策与新理念的指导下，体现出了与社会经济现状相融合的发展，在节约行政资源的同时也更</w:t>
      </w:r>
      <w:r>
        <w:rPr/>
        <w:t> </w:t>
      </w:r>
      <w:r>
        <w:rPr>
          <w:spacing w:val="-2"/>
        </w:rPr>
        <w:t>好地增进了社会福祉。随着生产力水平的提高与信息技术的飞速发展，新时期的电子政务发展将进一步与云计算、移动互联</w:t>
      </w:r>
      <w:r>
        <w:rPr>
          <w:spacing w:val="-66"/>
        </w:rPr>
        <w:t> </w:t>
      </w:r>
      <w:r>
        <w:rPr>
          <w:spacing w:val="-66"/>
        </w:rPr>
      </w:r>
      <w:r>
        <w:rPr>
          <w:spacing w:val="-2"/>
        </w:rPr>
        <w:t>网、大数据、智慧经济等先进技术与先进产业紧密结合，更好地实现其服务功能。“需求导向”推动电子政务服务的个性化</w:t>
      </w:r>
      <w:r>
        <w:rPr>
          <w:spacing w:val="-66"/>
        </w:rPr>
        <w:t> </w:t>
      </w:r>
      <w:r>
        <w:rPr>
          <w:spacing w:val="-66"/>
        </w:rPr>
      </w:r>
      <w:r>
        <w:rPr>
          <w:spacing w:val="-2"/>
        </w:rPr>
        <w:t>发展，“共享共建”促进公共服务均等化供给，“整体服务”推动一体化公共服务政府的形成。国内政务大数据发展进入以</w:t>
      </w:r>
      <w:r>
        <w:rPr>
          <w:spacing w:val="-69"/>
        </w:rPr>
        <w:t> </w:t>
      </w:r>
      <w:r>
        <w:rPr>
          <w:spacing w:val="-69"/>
        </w:rPr>
      </w:r>
      <w:r>
        <w:rPr/>
        <w:t>“互联网</w:t>
      </w:r>
      <w:r>
        <w:rPr>
          <w:rFonts w:ascii="宋体" w:hAnsi="宋体" w:cs="宋体" w:eastAsia="宋体" w:hint="default"/>
        </w:rPr>
        <w:t>+</w:t>
      </w:r>
      <w:r>
        <w:rPr/>
        <w:t>政务服务”、“优化营商环境”为目标的跨部门协同、数据整合共享发展阶段，以经济发展决策和市场主体为服 </w:t>
      </w:r>
      <w:r>
        <w:rPr>
          <w:spacing w:val="-2"/>
        </w:rPr>
        <w:t>务对象的政务大数据产品具有市场领先、需求广泛的发展前景。东方通泰作为公司重点培育的新兴业务板块，致力于围绕政</w:t>
      </w:r>
      <w:r>
        <w:rPr>
          <w:spacing w:val="-66"/>
        </w:rPr>
        <w:t> </w:t>
      </w:r>
      <w:r>
        <w:rPr>
          <w:spacing w:val="-66"/>
        </w:rPr>
      </w:r>
      <w:r>
        <w:rPr/>
        <w:t>务大数据的创新服务和运营业务，希望抓住机遇，在大数据电子政务领域为实现国家“互联网</w:t>
      </w:r>
      <w:r>
        <w:rPr>
          <w:rFonts w:ascii="宋体" w:hAnsi="宋体" w:cs="宋体" w:eastAsia="宋体" w:hint="default"/>
        </w:rPr>
        <w:t>+</w:t>
      </w:r>
      <w:r>
        <w:rPr/>
        <w:t>政务服务”做出贡献，取得 良好经营业绩。</w:t>
      </w:r>
    </w:p>
    <w:p>
      <w:pPr>
        <w:pStyle w:val="BodyText"/>
        <w:spacing w:line="357" w:lineRule="auto" w:before="59"/>
        <w:ind w:left="1493" w:right="1033" w:hanging="3"/>
        <w:jc w:val="left"/>
      </w:pPr>
      <w:r>
        <w:rPr>
          <w:rFonts w:ascii="宋体" w:hAnsi="宋体" w:cs="宋体" w:eastAsia="宋体" w:hint="default"/>
          <w:b/>
          <w:bCs/>
        </w:rPr>
        <w:t>3</w:t>
      </w:r>
      <w:r>
        <w:rPr>
          <w:rFonts w:ascii="宋体" w:hAnsi="宋体" w:cs="宋体" w:eastAsia="宋体" w:hint="default"/>
          <w:b/>
          <w:bCs/>
        </w:rPr>
        <w:t>、国防军工信息化领域</w:t>
      </w:r>
      <w:r>
        <w:rPr>
          <w:rFonts w:ascii="宋体" w:hAnsi="宋体" w:cs="宋体" w:eastAsia="宋体" w:hint="default"/>
          <w:b/>
          <w:bCs/>
          <w:w w:val="99"/>
        </w:rPr>
        <w:t> </w:t>
      </w:r>
      <w:r>
        <w:rPr>
          <w:spacing w:val="-2"/>
        </w:rPr>
        <w:t>习总书记在十九大报告提出，坚持走中国特色强军之路，全面推进国防和军队现代化。适应世界新军事革命发展趋势和</w:t>
      </w:r>
    </w:p>
    <w:p>
      <w:pPr>
        <w:pStyle w:val="BodyText"/>
        <w:spacing w:line="224" w:lineRule="exact"/>
        <w:ind w:right="1033"/>
        <w:jc w:val="left"/>
      </w:pPr>
      <w:r>
        <w:rPr>
          <w:spacing w:val="-4"/>
        </w:rPr>
        <w:t>国家安全需求，提高建设质量和效益，确保到二〇二〇年基本实现机械化，信息化建设取得重大进展，战略能力有大的提升。</w:t>
      </w:r>
    </w:p>
    <w:p>
      <w:pPr>
        <w:pStyle w:val="BodyText"/>
        <w:spacing w:line="319" w:lineRule="auto" w:before="76"/>
        <w:ind w:right="1130"/>
        <w:jc w:val="both"/>
      </w:pPr>
      <w:r>
        <w:rPr>
          <w:spacing w:val="-2"/>
        </w:rPr>
        <w:t>树立科技是核心战斗力的思想，建设世界一流军队，就是全面提高国防和军队现代化水平，构建能够打赢信息化战争、有效</w:t>
      </w:r>
      <w:r>
        <w:rPr>
          <w:spacing w:val="-65"/>
        </w:rPr>
        <w:t> </w:t>
      </w:r>
      <w:r>
        <w:rPr>
          <w:spacing w:val="-65"/>
        </w:rPr>
      </w:r>
      <w:r>
        <w:rPr>
          <w:spacing w:val="-2"/>
        </w:rPr>
        <w:t>履行使命任务的中国特色现代军事力量体系。尽管我国国防信息化建设已全面开展，但由于产业基础薄弱，未来仍有非常大</w:t>
      </w:r>
      <w:r>
        <w:rPr>
          <w:spacing w:val="-66"/>
        </w:rPr>
        <w:t> </w:t>
      </w:r>
      <w:r>
        <w:rPr>
          <w:spacing w:val="-66"/>
        </w:rPr>
      </w:r>
      <w:r>
        <w:rPr>
          <w:spacing w:val="-2"/>
        </w:rPr>
        <w:t>的提升空间。根据据前瞻产业研究院提供的《中国军工产业深度市场调研与投资战略规划分析报告》数据，</w:t>
      </w:r>
      <w:r>
        <w:rPr>
          <w:rFonts w:ascii="宋体" w:hAnsi="宋体" w:cs="宋体" w:eastAsia="宋体" w:hint="default"/>
          <w:spacing w:val="-2"/>
        </w:rPr>
        <w:t>2015</w:t>
      </w:r>
      <w:r>
        <w:rPr>
          <w:spacing w:val="-2"/>
        </w:rPr>
        <w:t>年，我国国</w:t>
      </w:r>
      <w:r>
        <w:rPr>
          <w:spacing w:val="-61"/>
        </w:rPr>
        <w:t> </w:t>
      </w:r>
      <w:r>
        <w:rPr>
          <w:spacing w:val="-61"/>
        </w:rPr>
      </w:r>
      <w:r>
        <w:rPr/>
        <w:t>防信息化开支约为</w:t>
      </w:r>
      <w:r>
        <w:rPr>
          <w:rFonts w:ascii="宋体" w:hAnsi="宋体" w:cs="宋体" w:eastAsia="宋体" w:hint="default"/>
        </w:rPr>
        <w:t>875</w:t>
      </w:r>
      <w:r>
        <w:rPr/>
        <w:t>亿元，同比增长</w:t>
      </w:r>
      <w:r>
        <w:rPr>
          <w:rFonts w:ascii="宋体" w:hAnsi="宋体" w:cs="宋体" w:eastAsia="宋体" w:hint="default"/>
        </w:rPr>
        <w:t>17%</w:t>
      </w:r>
      <w:r>
        <w:rPr/>
        <w:t>；预计到</w:t>
      </w:r>
      <w:r>
        <w:rPr>
          <w:rFonts w:ascii="宋体" w:hAnsi="宋体" w:cs="宋体" w:eastAsia="宋体" w:hint="default"/>
        </w:rPr>
        <w:t>2025</w:t>
      </w:r>
      <w:r>
        <w:rPr/>
        <w:t>年，国防信息化开支增至</w:t>
      </w:r>
      <w:r>
        <w:rPr>
          <w:rFonts w:ascii="宋体" w:hAnsi="宋体" w:cs="宋体" w:eastAsia="宋体" w:hint="default"/>
        </w:rPr>
        <w:t>2513</w:t>
      </w:r>
      <w:r>
        <w:rPr/>
        <w:t>亿元，年复合增长率达到</w:t>
      </w:r>
      <w:r>
        <w:rPr>
          <w:rFonts w:ascii="宋体" w:hAnsi="宋体" w:cs="宋体" w:eastAsia="宋体" w:hint="default"/>
        </w:rPr>
        <w:t>11.6%</w:t>
      </w:r>
      <w:r>
        <w:rPr/>
        <w:t>。</w:t>
      </w:r>
    </w:p>
    <w:p>
      <w:pPr>
        <w:pStyle w:val="BodyText"/>
        <w:spacing w:line="316" w:lineRule="auto" w:before="17"/>
        <w:ind w:right="1033" w:firstLine="360"/>
        <w:jc w:val="left"/>
      </w:pPr>
      <w:r>
        <w:rPr>
          <w:spacing w:val="-2"/>
        </w:rPr>
        <w:t>国防信息安全涵盖硬件、软件、数据与管理安全</w:t>
      </w:r>
      <w:r>
        <w:rPr>
          <w:rFonts w:ascii="宋体" w:hAnsi="宋体" w:cs="宋体" w:eastAsia="宋体" w:hint="default"/>
          <w:spacing w:val="-2"/>
        </w:rPr>
        <w:t>,</w:t>
      </w:r>
      <w:r>
        <w:rPr>
          <w:spacing w:val="-2"/>
        </w:rPr>
        <w:t>是国防信息化建设软实力的体现。美军拥有完整的信息安全防护网络</w:t>
      </w:r>
      <w:r>
        <w:rPr>
          <w:rFonts w:ascii="宋体" w:hAnsi="宋体" w:cs="宋体" w:eastAsia="宋体" w:hint="default"/>
          <w:spacing w:val="-2"/>
        </w:rPr>
        <w:t>,</w:t>
      </w:r>
      <w:r>
        <w:rPr>
          <w:rFonts w:ascii="宋体" w:hAnsi="宋体" w:cs="宋体" w:eastAsia="宋体" w:hint="default"/>
        </w:rPr>
        <w:t> </w:t>
      </w:r>
      <w:r>
        <w:rPr>
          <w:spacing w:val="-2"/>
        </w:rPr>
        <w:t>具备高效的信息安全协同作战能力。而我国国防信息安全则面临着核心软硬件自主程度低、信息技术标准遭垄断与网络攻击</w:t>
      </w:r>
      <w:r>
        <w:rPr>
          <w:spacing w:val="-64"/>
        </w:rPr>
        <w:t> </w:t>
      </w:r>
      <w:r>
        <w:rPr>
          <w:spacing w:val="-64"/>
        </w:rPr>
      </w:r>
      <w:r>
        <w:rPr/>
        <w:t>日益增多的严峻形势。随着</w:t>
      </w:r>
      <w:r>
        <w:rPr>
          <w:rFonts w:ascii="宋体" w:hAnsi="宋体" w:cs="宋体" w:eastAsia="宋体" w:hint="default"/>
        </w:rPr>
        <w:t>2016</w:t>
      </w:r>
      <w:r>
        <w:rPr/>
        <w:t>年以来国家军改稳步推进，军品软件市场需求稳步提升，军民融合政策扶持力度逐渐加大， 民参军企业重点受益。</w:t>
      </w:r>
    </w:p>
    <w:p>
      <w:pPr>
        <w:pStyle w:val="BodyText"/>
        <w:spacing w:line="316" w:lineRule="auto" w:before="19"/>
        <w:ind w:left="1134" w:right="1131" w:firstLine="360"/>
        <w:jc w:val="both"/>
      </w:pPr>
      <w:r>
        <w:rPr>
          <w:spacing w:val="-2"/>
        </w:rPr>
        <w:t>东方通宇作为东方通面向国防，军工领域的平台，立足于军队、国防工业信息化领域，为客户提供全自主可控配套解决</w:t>
      </w:r>
      <w:r>
        <w:rPr/>
        <w:t> </w:t>
      </w:r>
      <w:r>
        <w:rPr>
          <w:spacing w:val="-2"/>
        </w:rPr>
        <w:t>方案为己任，为军队、国防军工企业市场提供一流的软件基础设施支撑平台、信息安全解决方案、移动信息化解决方案为使</w:t>
      </w:r>
      <w:r>
        <w:rPr>
          <w:spacing w:val="-66"/>
        </w:rPr>
        <w:t> </w:t>
      </w:r>
      <w:r>
        <w:rPr>
          <w:spacing w:val="-66"/>
        </w:rPr>
      </w:r>
      <w:r>
        <w:rPr/>
        <w:t>命，贯彻国家“军民融合”、“科技强军”战略，顺应国防科技工业体制改革，势必迎来良好的发展机遇。</w:t>
      </w:r>
    </w:p>
    <w:p>
      <w:pPr>
        <w:pStyle w:val="BodyText"/>
        <w:spacing w:line="468" w:lineRule="exact" w:before="10"/>
        <w:ind w:left="1493" w:right="1033" w:hanging="3"/>
        <w:jc w:val="left"/>
      </w:pPr>
      <w:r>
        <w:rPr>
          <w:rFonts w:ascii="宋体" w:hAnsi="宋体" w:cs="宋体" w:eastAsia="宋体" w:hint="default"/>
          <w:b/>
          <w:bCs/>
        </w:rPr>
        <w:t>（二）公司发展战略</w:t>
      </w:r>
      <w:r>
        <w:rPr>
          <w:rFonts w:ascii="宋体" w:hAnsi="宋体" w:cs="宋体" w:eastAsia="宋体" w:hint="default"/>
          <w:b/>
          <w:bCs/>
          <w:w w:val="99"/>
        </w:rPr>
        <w:t> </w:t>
      </w:r>
      <w:r>
        <w:rPr>
          <w:spacing w:val="-2"/>
        </w:rPr>
        <w:t>公司将继续秉承责任、信任、创新、共赢的核心价值观，坚持“自主、可控、安全”的核心发展理念，做国家安全可控</w:t>
      </w:r>
    </w:p>
    <w:p>
      <w:pPr>
        <w:pStyle w:val="BodyText"/>
        <w:spacing w:line="316" w:lineRule="auto" w:before="8"/>
        <w:ind w:left="1493" w:right="1033" w:hanging="360"/>
        <w:jc w:val="left"/>
      </w:pPr>
      <w:r>
        <w:rPr/>
        <w:t>事业的积极践行者，努力提高在信息安全业领域的市场覆盖率，保持公司在国产基础软件、信息安全领域的领先地位。 </w:t>
      </w:r>
      <w:r>
        <w:rPr>
          <w:spacing w:val="-2"/>
        </w:rPr>
        <w:t>基础软件方面，在市场方面，进一步聚焦做强政务、金融、电信、交通等优势行业，持续提升公司在重点行业的品牌优</w:t>
      </w:r>
    </w:p>
    <w:p>
      <w:pPr>
        <w:pStyle w:val="BodyText"/>
        <w:spacing w:line="316" w:lineRule="auto" w:before="19"/>
        <w:ind w:right="1028"/>
        <w:jc w:val="left"/>
      </w:pPr>
      <w:r>
        <w:rPr>
          <w:spacing w:val="-2"/>
        </w:rPr>
        <w:t>势地位；同时将加大在能源、军工等行业领域的市场投入，快速扩大市场份额。此外，加大对渠道合作伙伴拓展的投入，与</w:t>
      </w:r>
      <w:r>
        <w:rPr>
          <w:spacing w:val="-67"/>
        </w:rPr>
        <w:t> </w:t>
      </w:r>
      <w:r>
        <w:rPr>
          <w:spacing w:val="-67"/>
        </w:rPr>
      </w:r>
      <w:r>
        <w:rPr/>
        <w:t>更多的企业应用软件厂商及集成商合作，共同为用户提供更好的完整解决方案，形成市场协同效应，加速公司的业务发展。</w:t>
      </w:r>
      <w:r>
        <w:rPr/>
        <w:t> </w:t>
      </w:r>
      <w:r>
        <w:rPr>
          <w:spacing w:val="-2"/>
        </w:rPr>
        <w:t>在产品方面，继续增强中间件产品的功能、性能，在可靠性、稳定性、安全性等多方面进行提升，通过传统中间件的解决方</w:t>
      </w:r>
      <w:r>
        <w:rPr>
          <w:spacing w:val="-68"/>
        </w:rPr>
        <w:t> </w:t>
      </w:r>
      <w:r>
        <w:rPr>
          <w:spacing w:val="-68"/>
        </w:rPr>
      </w:r>
      <w:r>
        <w:rPr>
          <w:spacing w:val="-2"/>
        </w:rPr>
        <w:t>案拓展，进一步提高中间件产品的竞争力及盈利能力。同时，紧随技术的发展，依托现有核心技术作为软件基础设施，加快</w:t>
      </w:r>
      <w:r>
        <w:rPr>
          <w:spacing w:val="-66"/>
        </w:rPr>
        <w:t> </w:t>
      </w:r>
      <w:r>
        <w:rPr>
          <w:spacing w:val="-66"/>
        </w:rPr>
      </w:r>
      <w:r>
        <w:rPr/>
        <w:t>中间件技术的升级换代</w:t>
      </w:r>
      <w:r>
        <w:rPr>
          <w:rFonts w:ascii="宋体" w:hAnsi="宋体" w:cs="宋体" w:eastAsia="宋体" w:hint="default"/>
        </w:rPr>
        <w:t>,</w:t>
      </w:r>
      <w:r>
        <w:rPr>
          <w:rFonts w:ascii="宋体" w:hAnsi="宋体" w:cs="宋体" w:eastAsia="宋体" w:hint="default"/>
          <w:spacing w:val="1"/>
        </w:rPr>
        <w:t> </w:t>
      </w:r>
      <w:r>
        <w:rPr>
          <w:spacing w:val="-4"/>
        </w:rPr>
        <w:t>加大在安全可靠技术体系以及云计算、大数据等技术应用上的投入，适应云计算、大数据技术要求，</w:t>
      </w:r>
      <w:r>
        <w:rPr/>
        <w:t> 为用户提供新一代软件基础设施，进一步加强国产基础软件领导厂商地位。</w:t>
      </w:r>
    </w:p>
    <w:p>
      <w:pPr>
        <w:pStyle w:val="BodyText"/>
        <w:spacing w:line="316" w:lineRule="auto" w:before="19"/>
        <w:ind w:right="1033" w:firstLine="360"/>
        <w:jc w:val="left"/>
      </w:pPr>
      <w:r>
        <w:rPr>
          <w:spacing w:val="-4"/>
        </w:rPr>
        <w:t>信息安全方面，未来三年总体目标成为覆盖多个重点行业的信息安全综合解决方案提供商，在信息安全系统建设的质量、</w:t>
      </w:r>
      <w:r>
        <w:rPr/>
        <w:t> </w:t>
      </w:r>
      <w:r>
        <w:rPr>
          <w:spacing w:val="-2"/>
        </w:rPr>
        <w:t>成本、进度、技术等方面达到国内一流水平，树立国内一流信息安全技术品牌。联合国内其它具有信息安全综合解决方案提</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供能力的专业厂商，形成同业联盟，加强技术交流和协作，共同促进国家信息安全产业的发展和壮大。利用电信运营商信息</w:t>
      </w:r>
      <w:r>
        <w:rPr>
          <w:spacing w:val="-66"/>
        </w:rPr>
        <w:t> </w:t>
      </w:r>
      <w:r>
        <w:rPr>
          <w:spacing w:val="-66"/>
        </w:rPr>
      </w:r>
      <w:r>
        <w:rPr>
          <w:spacing w:val="-2"/>
        </w:rPr>
        <w:t>安全建设先行一步的优势，在党政军信息安全建设、工控信息安全建设等领域发挥重要的作用。并且，在信息安全产业链上</w:t>
      </w:r>
      <w:r>
        <w:rPr>
          <w:spacing w:val="-66"/>
        </w:rPr>
        <w:t> </w:t>
      </w:r>
      <w:r>
        <w:rPr>
          <w:spacing w:val="-66"/>
        </w:rPr>
      </w:r>
      <w:r>
        <w:rPr/>
        <w:t>进行有限外延，在确保上述目标实现的同时，进入新兴的重点行业，扩大经营效益，争取形成产业支柱。</w:t>
      </w:r>
    </w:p>
    <w:p>
      <w:pPr>
        <w:pStyle w:val="BodyText"/>
        <w:spacing w:line="319" w:lineRule="auto" w:before="19"/>
        <w:ind w:right="1132" w:firstLine="360"/>
        <w:jc w:val="both"/>
      </w:pPr>
      <w:r>
        <w:rPr/>
        <w:t>大数据电子政务方面，国内政务大数据发展进入以“互联网</w:t>
      </w:r>
      <w:r>
        <w:rPr>
          <w:rFonts w:ascii="宋体" w:hAnsi="宋体" w:cs="宋体" w:eastAsia="宋体" w:hint="default"/>
        </w:rPr>
        <w:t>+</w:t>
      </w:r>
      <w:r>
        <w:rPr/>
        <w:t>政务服务”、“优化营商环境”为目标的跨部门协同、数 </w:t>
      </w:r>
      <w:r>
        <w:rPr>
          <w:spacing w:val="-2"/>
        </w:rPr>
        <w:t>据整合共享发展阶段，以经济发展决策和市场主体为服务对象的政务大数据产品具有市场领先、需求广泛的发展前景。未来</w:t>
      </w:r>
      <w:r>
        <w:rPr>
          <w:spacing w:val="-66"/>
        </w:rPr>
        <w:t> </w:t>
      </w:r>
      <w:r>
        <w:rPr>
          <w:spacing w:val="-66"/>
        </w:rPr>
      </w:r>
      <w:r>
        <w:rPr>
          <w:spacing w:val="-2"/>
        </w:rPr>
        <w:t>几年，公司以供给侧大数据分析决策和企业专属数字服务空间为抓手，将政务大数据服务持续在国内政务大数据机制和体制</w:t>
      </w:r>
      <w:r>
        <w:rPr>
          <w:spacing w:val="-64"/>
        </w:rPr>
        <w:t> </w:t>
      </w:r>
      <w:r>
        <w:rPr>
          <w:spacing w:val="-64"/>
        </w:rPr>
      </w:r>
      <w:r>
        <w:rPr/>
        <w:t>改革发展较快的省、市落地。</w:t>
      </w:r>
    </w:p>
    <w:p>
      <w:pPr>
        <w:pStyle w:val="Heading4"/>
        <w:spacing w:line="470" w:lineRule="exact" w:before="7"/>
        <w:ind w:left="1491" w:right="9039"/>
        <w:jc w:val="left"/>
        <w:rPr>
          <w:b w:val="0"/>
          <w:bCs w:val="0"/>
        </w:rPr>
      </w:pPr>
      <w:r>
        <w:rPr/>
        <w:t>（三）经营计划</w:t>
      </w:r>
      <w:r>
        <w:rPr>
          <w:w w:val="99"/>
        </w:rPr>
        <w:t> </w:t>
      </w:r>
      <w:r>
        <w:rPr>
          <w:rFonts w:ascii="宋体" w:hAnsi="宋体" w:cs="宋体" w:eastAsia="宋体" w:hint="default"/>
        </w:rPr>
        <w:t>1</w:t>
      </w:r>
      <w:r>
        <w:rPr/>
        <w:t>、基础软件业务</w:t>
      </w:r>
      <w:r>
        <w:rPr>
          <w:b w:val="0"/>
          <w:bCs w:val="0"/>
        </w:rPr>
      </w:r>
    </w:p>
    <w:p>
      <w:pPr>
        <w:pStyle w:val="BodyText"/>
        <w:spacing w:line="316" w:lineRule="auto" w:before="46"/>
        <w:ind w:right="1130" w:firstLine="360"/>
        <w:jc w:val="both"/>
      </w:pPr>
      <w:r>
        <w:rPr>
          <w:spacing w:val="-2"/>
        </w:rPr>
        <w:t>总体目标为积极把握国产化、安全可靠机遇，通过加大市场拓展力度、引进人才、战略合作等举措，重点布局政务、金</w:t>
      </w:r>
      <w:r>
        <w:rPr/>
        <w:t> 融、电信、交通、能源、军工等领域，推进在核心业务系统进一步突破。</w:t>
      </w:r>
    </w:p>
    <w:p>
      <w:pPr>
        <w:pStyle w:val="BodyText"/>
        <w:spacing w:line="316" w:lineRule="auto" w:before="19"/>
        <w:ind w:left="1134" w:right="1033" w:firstLine="360"/>
        <w:jc w:val="left"/>
      </w:pPr>
      <w:r>
        <w:rPr/>
        <w:t>（</w:t>
      </w:r>
      <w:r>
        <w:rPr>
          <w:rFonts w:ascii="宋体" w:hAnsi="宋体" w:cs="宋体" w:eastAsia="宋体" w:hint="default"/>
        </w:rPr>
        <w:t>1</w:t>
      </w:r>
      <w:r>
        <w:rPr/>
        <w:t>）持续研发创新与升级。结合当前行业状况和发展趋势，基础软件标准产品线研发要基于市场需求和技术方向持续 </w:t>
      </w:r>
      <w:r>
        <w:rPr>
          <w:spacing w:val="-2"/>
        </w:rPr>
        <w:t>进行产品的增量开发与改进，进行产品升级，同时面向国产化替代市场进行针对性的研发，巩固和拓展已有中间件产品市场</w:t>
      </w:r>
      <w:r>
        <w:rPr>
          <w:spacing w:val="-66"/>
        </w:rPr>
        <w:t> </w:t>
      </w:r>
      <w:r>
        <w:rPr>
          <w:spacing w:val="-66"/>
        </w:rPr>
      </w:r>
      <w:r>
        <w:rPr>
          <w:spacing w:val="-2"/>
        </w:rPr>
        <w:t>份额。基础软件平台产品线进行功能改进，支撑更大规模的平台应用，并在整体解决方案方向上，积极拓展新市场，大力推</w:t>
      </w:r>
      <w:r>
        <w:rPr>
          <w:spacing w:val="-66"/>
        </w:rPr>
        <w:t> </w:t>
      </w:r>
      <w:r>
        <w:rPr>
          <w:spacing w:val="-66"/>
        </w:rPr>
      </w:r>
      <w:r>
        <w:rPr>
          <w:spacing w:val="-4"/>
        </w:rPr>
        <w:t>广数据类整体解决方案项目的实施落地；适应大数据业务场景，推出高性能大数据处理平台产品的新版本，提升产品竞争力，</w:t>
      </w:r>
      <w:r>
        <w:rPr>
          <w:spacing w:val="-44"/>
        </w:rPr>
        <w:t> </w:t>
      </w:r>
      <w:r>
        <w:rPr>
          <w:spacing w:val="-44"/>
        </w:rPr>
      </w:r>
      <w:r>
        <w:rPr/>
        <w:t>提升基础软件的整体业绩收入。</w:t>
      </w:r>
    </w:p>
    <w:p>
      <w:pPr>
        <w:pStyle w:val="BodyText"/>
        <w:spacing w:line="316" w:lineRule="auto" w:before="19"/>
        <w:ind w:left="1134" w:right="1032" w:firstLine="360"/>
        <w:jc w:val="left"/>
      </w:pPr>
      <w:r>
        <w:rPr/>
        <w:t>（</w:t>
      </w:r>
      <w:r>
        <w:rPr>
          <w:rFonts w:ascii="宋体" w:hAnsi="宋体" w:cs="宋体" w:eastAsia="宋体" w:hint="default"/>
        </w:rPr>
        <w:t>2</w:t>
      </w:r>
      <w:r>
        <w:rPr/>
        <w:t>）推进产品云化。计划在云计算市场领域进行进一步探索，推进中间件产品的云化工作，首先在现有产品的基础上 </w:t>
      </w:r>
      <w:r>
        <w:rPr>
          <w:spacing w:val="-2"/>
        </w:rPr>
        <w:t>进行创新升级，推出满足云计算市场需求的云化版中间件产品，包括云版应用服务器、云版消息中间件等；公司还计划根据</w:t>
      </w:r>
      <w:r>
        <w:rPr>
          <w:spacing w:val="-66"/>
        </w:rPr>
        <w:t> </w:t>
      </w:r>
      <w:r>
        <w:rPr>
          <w:spacing w:val="-66"/>
        </w:rPr>
      </w:r>
      <w:r>
        <w:rPr/>
        <w:t>市场实际需要后续进一步打造云中间件系列产品，努力开拓云计算市场，为业务应用提供全面、系统的基础软件支撑能力， 为用户及合作伙伴提供专业优质的产品和服务。</w:t>
      </w:r>
    </w:p>
    <w:p>
      <w:pPr>
        <w:pStyle w:val="BodyText"/>
        <w:spacing w:line="319" w:lineRule="auto" w:before="19"/>
        <w:ind w:left="1134" w:right="1141" w:firstLine="360"/>
        <w:jc w:val="both"/>
      </w:pPr>
      <w:r>
        <w:rPr/>
        <w:t>（</w:t>
      </w:r>
      <w:r>
        <w:rPr>
          <w:rFonts w:ascii="宋体" w:hAnsi="宋体" w:cs="宋体" w:eastAsia="宋体" w:hint="default"/>
        </w:rPr>
        <w:t>3</w:t>
      </w:r>
      <w:r>
        <w:rPr/>
        <w:t>）强化人才是第一生产力。在人才队伍方面，继续加强培养、引进优秀人才，扩充销售团队，提高区域市场覆盖， 提高公司核心竞争力，以获得持续快速发展。</w:t>
      </w:r>
    </w:p>
    <w:p>
      <w:pPr>
        <w:pStyle w:val="Heading4"/>
        <w:spacing w:line="240" w:lineRule="auto" w:before="58"/>
        <w:ind w:left="1491" w:right="1033"/>
        <w:jc w:val="left"/>
        <w:rPr>
          <w:b w:val="0"/>
          <w:bCs w:val="0"/>
        </w:rPr>
      </w:pPr>
      <w:r>
        <w:rPr>
          <w:rFonts w:ascii="宋体" w:hAnsi="宋体" w:cs="宋体" w:eastAsia="宋体" w:hint="default"/>
        </w:rPr>
        <w:t>2</w:t>
      </w:r>
      <w:r>
        <w:rPr/>
        <w:t>、信息安全业务</w:t>
      </w:r>
      <w:r>
        <w:rPr>
          <w:b w:val="0"/>
          <w:bCs w:val="0"/>
        </w:rPr>
      </w:r>
    </w:p>
    <w:p>
      <w:pPr>
        <w:pStyle w:val="BodyText"/>
        <w:spacing w:line="316" w:lineRule="auto" w:before="116"/>
        <w:ind w:left="1134" w:right="1139" w:firstLine="360"/>
        <w:jc w:val="both"/>
      </w:pPr>
      <w:r>
        <w:rPr/>
        <w:t>（</w:t>
      </w:r>
      <w:r>
        <w:rPr>
          <w:rFonts w:ascii="宋体" w:hAnsi="宋体" w:cs="宋体" w:eastAsia="宋体" w:hint="default"/>
        </w:rPr>
        <w:t>1</w:t>
      </w:r>
      <w:r>
        <w:rPr/>
        <w:t>）持续研发创新投入。持续加大核心技术研发投入，联合科研机构形成多个技术创新平台；通过信息安全标准建设 加强对行业及资源的控制。</w:t>
      </w:r>
    </w:p>
    <w:p>
      <w:pPr>
        <w:pStyle w:val="BodyText"/>
        <w:spacing w:line="240" w:lineRule="auto" w:before="19"/>
        <w:ind w:left="1494" w:right="1033"/>
        <w:jc w:val="left"/>
      </w:pPr>
      <w:r>
        <w:rPr/>
        <w:t>（</w:t>
      </w:r>
      <w:r>
        <w:rPr>
          <w:rFonts w:ascii="宋体" w:hAnsi="宋体" w:cs="宋体" w:eastAsia="宋体" w:hint="default"/>
        </w:rPr>
        <w:t>2</w:t>
      </w:r>
      <w:r>
        <w:rPr/>
        <w:t>）拓宽市场空间。继续巩固和开拓现有电信运营商客户资源，并在其他领域有中突破。</w:t>
      </w:r>
    </w:p>
    <w:p>
      <w:pPr>
        <w:pStyle w:val="BodyText"/>
        <w:spacing w:line="316" w:lineRule="auto" w:before="76"/>
        <w:ind w:left="1134" w:right="1141" w:firstLine="360"/>
        <w:jc w:val="both"/>
      </w:pPr>
      <w:r>
        <w:rPr/>
        <w:t>（</w:t>
      </w:r>
      <w:r>
        <w:rPr>
          <w:rFonts w:ascii="宋体" w:hAnsi="宋体" w:cs="宋体" w:eastAsia="宋体" w:hint="default"/>
        </w:rPr>
        <w:t>3</w:t>
      </w:r>
      <w:r>
        <w:rPr/>
        <w:t>）完善项目管理体系。建立和完善集约化的管理体系与精细化的运作机制，简化流程，提高运营效率，支撑精约化 的管理体系。</w:t>
      </w:r>
    </w:p>
    <w:p>
      <w:pPr>
        <w:pStyle w:val="BodyText"/>
        <w:spacing w:line="357" w:lineRule="auto" w:before="59"/>
        <w:ind w:left="1494" w:right="1033" w:hanging="3"/>
        <w:jc w:val="left"/>
      </w:pPr>
      <w:r>
        <w:rPr>
          <w:rFonts w:ascii="宋体" w:hAnsi="宋体" w:cs="宋体" w:eastAsia="宋体" w:hint="default"/>
          <w:b/>
          <w:bCs/>
        </w:rPr>
        <w:t>3</w:t>
      </w:r>
      <w:r>
        <w:rPr>
          <w:rFonts w:ascii="宋体" w:hAnsi="宋体" w:cs="宋体" w:eastAsia="宋体" w:hint="default"/>
          <w:b/>
          <w:bCs/>
        </w:rPr>
        <w:t>、军工信息化业务</w:t>
      </w:r>
      <w:r>
        <w:rPr>
          <w:rFonts w:ascii="宋体" w:hAnsi="宋体" w:cs="宋体" w:eastAsia="宋体" w:hint="default"/>
          <w:b/>
          <w:bCs/>
          <w:w w:val="99"/>
        </w:rPr>
        <w:t> </w:t>
      </w:r>
      <w:r>
        <w:rPr>
          <w:spacing w:val="-2"/>
        </w:rPr>
        <w:t>整体目标是，希望通过如下协同努力，</w:t>
      </w:r>
      <w:r>
        <w:rPr>
          <w:rFonts w:ascii="宋体" w:hAnsi="宋体" w:cs="宋体" w:eastAsia="宋体" w:hint="default"/>
          <w:spacing w:val="-2"/>
        </w:rPr>
        <w:t>2018</w:t>
      </w:r>
      <w:r>
        <w:rPr>
          <w:spacing w:val="-2"/>
        </w:rPr>
        <w:t>年度军工业务板块的营业收入和净利润相比本报告期提升</w:t>
      </w:r>
      <w:r>
        <w:rPr>
          <w:rFonts w:ascii="宋体" w:hAnsi="宋体" w:cs="宋体" w:eastAsia="宋体" w:hint="default"/>
          <w:spacing w:val="-2"/>
        </w:rPr>
        <w:t>100%</w:t>
      </w:r>
      <w:r>
        <w:rPr>
          <w:spacing w:val="-2"/>
        </w:rPr>
        <w:t>以上，实现翻</w:t>
      </w:r>
    </w:p>
    <w:p>
      <w:pPr>
        <w:pStyle w:val="BodyText"/>
        <w:spacing w:line="224" w:lineRule="exact"/>
        <w:ind w:right="0"/>
        <w:jc w:val="both"/>
      </w:pPr>
      <w:r>
        <w:rPr/>
        <w:t>番。</w:t>
      </w:r>
    </w:p>
    <w:p>
      <w:pPr>
        <w:pStyle w:val="BodyText"/>
        <w:spacing w:line="316" w:lineRule="auto" w:before="76"/>
        <w:ind w:left="1134" w:right="1132" w:firstLine="360"/>
        <w:jc w:val="both"/>
      </w:pPr>
      <w:r>
        <w:rPr/>
        <w:t>（</w:t>
      </w:r>
      <w:r>
        <w:rPr>
          <w:rFonts w:ascii="宋体" w:hAnsi="宋体" w:cs="宋体" w:eastAsia="宋体" w:hint="default"/>
        </w:rPr>
        <w:t>1</w:t>
      </w:r>
      <w:r>
        <w:rPr/>
        <w:t>）在取得国防武器装备科研生产单位保密资格审查认证委员会颁发的《二级保密资格单位证书》的基础上，申请国 </w:t>
      </w:r>
      <w:r>
        <w:rPr>
          <w:spacing w:val="-2"/>
        </w:rPr>
        <w:t>军标质量管理体系认证、装备承制单位资格证书等相关资质，计划</w:t>
      </w:r>
      <w:r>
        <w:rPr>
          <w:rFonts w:ascii="宋体" w:hAnsi="宋体" w:cs="宋体" w:eastAsia="宋体" w:hint="default"/>
          <w:spacing w:val="-2"/>
        </w:rPr>
        <w:t>2018</w:t>
      </w:r>
      <w:r>
        <w:rPr>
          <w:spacing w:val="-2"/>
        </w:rPr>
        <w:t>年内落地。本年度还拟启动计算机信息系统集成资质</w:t>
      </w:r>
      <w:r>
        <w:rPr>
          <w:spacing w:val="-62"/>
        </w:rPr>
        <w:t> </w:t>
      </w:r>
      <w:r>
        <w:rPr>
          <w:spacing w:val="-62"/>
        </w:rPr>
      </w:r>
      <w:r>
        <w:rPr/>
        <w:t>申请。另外，公司拟对东方通宇进行大规模增资，充实其资本能力，提升在军工国防领域的综合竞争力。</w:t>
      </w:r>
    </w:p>
    <w:p>
      <w:pPr>
        <w:pStyle w:val="BodyText"/>
        <w:spacing w:line="316" w:lineRule="auto" w:before="19"/>
        <w:ind w:left="1134" w:right="1130" w:firstLine="360"/>
        <w:jc w:val="both"/>
      </w:pPr>
      <w:r>
        <w:rPr/>
        <w:t>（</w:t>
      </w:r>
      <w:r>
        <w:rPr>
          <w:rFonts w:ascii="宋体" w:hAnsi="宋体" w:cs="宋体" w:eastAsia="宋体" w:hint="default"/>
        </w:rPr>
        <w:t>2</w:t>
      </w:r>
      <w:r>
        <w:rPr/>
        <w:t>）引进行业专才，继续扩充销售团队，加强产品和业务培训，同时培育专属的实施团队，努力开拓军工市场，提高 </w:t>
      </w:r>
      <w:r>
        <w:rPr>
          <w:spacing w:val="-2"/>
        </w:rPr>
        <w:t>市场覆盖面。创新商业模式，改变以往较为单一的中间件产品销售方式，探索技术服务、定制开发。整合集团内资源，将信</w:t>
      </w:r>
      <w:r>
        <w:rPr>
          <w:spacing w:val="-68"/>
        </w:rPr>
        <w:t> </w:t>
      </w:r>
      <w:r>
        <w:rPr>
          <w:spacing w:val="-68"/>
        </w:rPr>
      </w:r>
      <w:r>
        <w:rPr/>
        <w:t>息安全、移动互联网相关产品和解决方案向国防军工领域推广，力争</w:t>
      </w:r>
      <w:r>
        <w:rPr>
          <w:rFonts w:ascii="宋体" w:hAnsi="宋体" w:cs="宋体" w:eastAsia="宋体" w:hint="default"/>
        </w:rPr>
        <w:t>2018</w:t>
      </w:r>
      <w:r>
        <w:rPr/>
        <w:t>年内取得示范案例。</w:t>
      </w:r>
    </w:p>
    <w:p>
      <w:pPr>
        <w:spacing w:line="360" w:lineRule="auto" w:before="19"/>
        <w:ind w:left="1491" w:right="3103" w:firstLine="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）进一步加深与军工各大科研院所、行业内主流系统集成商的合作，建立战略伙伴关系。 </w:t>
      </w:r>
      <w:r>
        <w:rPr>
          <w:rFonts w:ascii="宋体" w:hAnsi="宋体" w:cs="宋体" w:eastAsia="宋体" w:hint="default"/>
          <w:b/>
          <w:bCs/>
          <w:sz w:val="18"/>
          <w:szCs w:val="18"/>
        </w:rPr>
        <w:t>4</w:t>
      </w:r>
      <w:r>
        <w:rPr>
          <w:rFonts w:ascii="宋体" w:hAnsi="宋体" w:cs="宋体" w:eastAsia="宋体" w:hint="default"/>
          <w:b/>
          <w:bCs/>
          <w:sz w:val="18"/>
          <w:szCs w:val="18"/>
        </w:rPr>
        <w:t>、大数据电子政务业务</w:t>
      </w:r>
      <w:r>
        <w:rPr>
          <w:rFonts w:ascii="宋体" w:hAnsi="宋体" w:cs="宋体" w:eastAsia="宋体" w:hint="default"/>
          <w:sz w:val="18"/>
          <w:szCs w:val="18"/>
        </w:rPr>
      </w:r>
    </w:p>
    <w:p>
      <w:pPr>
        <w:pStyle w:val="BodyText"/>
        <w:spacing w:line="316" w:lineRule="auto" w:before="25"/>
        <w:ind w:right="1133" w:firstLine="360"/>
        <w:jc w:val="both"/>
      </w:pPr>
      <w:r>
        <w:rPr>
          <w:spacing w:val="-2"/>
        </w:rPr>
        <w:t>整体目标是，持续在国内各级省市政府、园区的政务大数据应用中推广经济运行及数字空间解决方案。推进与业内多家</w:t>
      </w:r>
      <w:r>
        <w:rPr/>
        <w:t> 企业建立长期稳定、优势互补的战略合作伙伴关系。</w:t>
      </w:r>
      <w:r>
        <w:rPr>
          <w:rFonts w:ascii="宋体" w:hAnsi="宋体" w:cs="宋体" w:eastAsia="宋体" w:hint="default"/>
        </w:rPr>
        <w:t>2018</w:t>
      </w:r>
      <w:r>
        <w:rPr/>
        <w:t>年度起为公司贡献利润，成为新的利润增长点。</w:t>
      </w:r>
    </w:p>
    <w:p>
      <w:pPr>
        <w:pStyle w:val="Heading4"/>
        <w:spacing w:line="240" w:lineRule="auto" w:before="59"/>
        <w:ind w:left="1491" w:right="1033"/>
        <w:jc w:val="left"/>
        <w:rPr>
          <w:b w:val="0"/>
          <w:bCs w:val="0"/>
        </w:rPr>
      </w:pPr>
      <w:r>
        <w:rPr>
          <w:rFonts w:ascii="宋体" w:hAnsi="宋体" w:cs="宋体" w:eastAsia="宋体" w:hint="default"/>
        </w:rPr>
        <w:t>5</w:t>
      </w:r>
      <w:r>
        <w:rPr/>
        <w:t>、网络优化业务</w:t>
      </w:r>
      <w:r>
        <w:rPr>
          <w:b w:val="0"/>
          <w:bCs w:val="0"/>
        </w:rPr>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b/>
          <w:bCs/>
          <w:sz w:val="25"/>
          <w:szCs w:val="25"/>
        </w:rPr>
      </w:pPr>
    </w:p>
    <w:p>
      <w:pPr>
        <w:pStyle w:val="BodyText"/>
        <w:spacing w:line="240" w:lineRule="auto" w:before="44"/>
        <w:ind w:left="1493" w:right="1033"/>
        <w:jc w:val="left"/>
      </w:pPr>
      <w:r>
        <w:rPr/>
        <w:t>整体目标是保持惠捷朗持续经营能力：</w:t>
      </w:r>
    </w:p>
    <w:p>
      <w:pPr>
        <w:pStyle w:val="BodyText"/>
        <w:spacing w:line="316" w:lineRule="auto" w:before="76"/>
        <w:ind w:left="1134" w:right="1122" w:firstLine="360"/>
        <w:jc w:val="left"/>
      </w:pPr>
      <w:r>
        <w:rPr/>
        <w:t>（</w:t>
      </w:r>
      <w:r>
        <w:rPr>
          <w:rFonts w:ascii="宋体" w:hAnsi="宋体" w:cs="宋体" w:eastAsia="宋体" w:hint="default"/>
        </w:rPr>
        <w:t>1</w:t>
      </w:r>
      <w:r>
        <w:rPr/>
        <w:t>）营销团队与微智信业深度整合。由于主要最终客户均为电信运营商，市场营销与微智信业深度融合可加强协同， 以保持销售团队的稳定性，重新激发销售人员的工作热情，给予相应的激励政策，引进或内部挖掘市场营销带头人。</w:t>
      </w:r>
    </w:p>
    <w:p>
      <w:pPr>
        <w:pStyle w:val="BodyText"/>
        <w:spacing w:line="319" w:lineRule="auto" w:before="19"/>
        <w:ind w:right="1131" w:firstLine="360"/>
        <w:jc w:val="both"/>
      </w:pPr>
      <w:r>
        <w:rPr/>
        <w:t>（</w:t>
      </w:r>
      <w:r>
        <w:rPr>
          <w:rFonts w:ascii="宋体" w:hAnsi="宋体" w:cs="宋体" w:eastAsia="宋体" w:hint="default"/>
        </w:rPr>
        <w:t>2</w:t>
      </w:r>
      <w:r>
        <w:rPr/>
        <w:t>）技术上引进行业内优秀的产品和研发人才。与现有技术团队充分融合，同时与行业里其它的技术团队开展合作， 取长补短，保持</w:t>
      </w:r>
      <w:r>
        <w:rPr>
          <w:rFonts w:ascii="宋体" w:hAnsi="宋体" w:cs="宋体" w:eastAsia="宋体" w:hint="default"/>
        </w:rPr>
        <w:t>CDS</w:t>
      </w:r>
      <w:r>
        <w:rPr/>
        <w:t>网优路测软件产品在现阶段的先进性，同时加强技术服务力度，增强用户满意度，维护健康市场环境； 在</w:t>
      </w:r>
      <w:r>
        <w:rPr>
          <w:rFonts w:ascii="宋体" w:hAnsi="宋体" w:cs="宋体" w:eastAsia="宋体" w:hint="default"/>
        </w:rPr>
        <w:t>5G</w:t>
      </w:r>
      <w:r>
        <w:rPr/>
        <w:t>时代全面开启之前</w:t>
      </w:r>
      <w:r>
        <w:rPr>
          <w:rFonts w:ascii="宋体" w:hAnsi="宋体" w:cs="宋体" w:eastAsia="宋体" w:hint="default"/>
        </w:rPr>
        <w:t>,</w:t>
      </w:r>
      <w:r>
        <w:rPr>
          <w:rFonts w:ascii="宋体" w:hAnsi="宋体" w:cs="宋体" w:eastAsia="宋体" w:hint="default"/>
          <w:spacing w:val="10"/>
        </w:rPr>
        <w:t> </w:t>
      </w:r>
      <w:r>
        <w:rPr>
          <w:spacing w:val="-2"/>
        </w:rPr>
        <w:t>重点开发</w:t>
      </w:r>
      <w:r>
        <w:rPr>
          <w:rFonts w:ascii="宋体" w:hAnsi="宋体" w:cs="宋体" w:eastAsia="宋体" w:hint="default"/>
          <w:spacing w:val="-2"/>
        </w:rPr>
        <w:t>NB-IoT(</w:t>
      </w:r>
      <w:r>
        <w:rPr>
          <w:spacing w:val="-2"/>
        </w:rPr>
        <w:t>窄带物联网</w:t>
      </w:r>
      <w:r>
        <w:rPr>
          <w:rFonts w:ascii="宋体" w:hAnsi="宋体" w:cs="宋体" w:eastAsia="宋体" w:hint="default"/>
          <w:spacing w:val="-2"/>
        </w:rPr>
        <w:t>)</w:t>
      </w:r>
      <w:r>
        <w:rPr>
          <w:spacing w:val="-2"/>
        </w:rPr>
        <w:t>，以继续保持市场份额领先优势。公司计划在</w:t>
      </w:r>
      <w:r>
        <w:rPr>
          <w:rFonts w:ascii="宋体" w:hAnsi="宋体" w:cs="宋体" w:eastAsia="宋体" w:hint="default"/>
          <w:spacing w:val="-2"/>
        </w:rPr>
        <w:t>5G</w:t>
      </w:r>
      <w:r>
        <w:rPr>
          <w:spacing w:val="-2"/>
        </w:rPr>
        <w:t>研发上加大投入，期</w:t>
      </w:r>
      <w:r>
        <w:rPr/>
        <w:t> 望在</w:t>
      </w:r>
      <w:r>
        <w:rPr>
          <w:rFonts w:ascii="宋体" w:hAnsi="宋体" w:cs="宋体" w:eastAsia="宋体" w:hint="default"/>
        </w:rPr>
        <w:t>5G</w:t>
      </w:r>
      <w:r>
        <w:rPr/>
        <w:t>的前期和正式商用阶段赢得市场先机。</w:t>
      </w:r>
    </w:p>
    <w:p>
      <w:pPr>
        <w:pStyle w:val="BodyText"/>
        <w:spacing w:line="360" w:lineRule="auto" w:before="17"/>
        <w:ind w:left="1491" w:right="3735" w:firstLine="2"/>
        <w:jc w:val="left"/>
      </w:pPr>
      <w:r>
        <w:rPr/>
        <w:t>（</w:t>
      </w:r>
      <w:r>
        <w:rPr>
          <w:rFonts w:ascii="宋体" w:hAnsi="宋体" w:cs="宋体" w:eastAsia="宋体" w:hint="default"/>
        </w:rPr>
        <w:t>3</w:t>
      </w:r>
      <w:r>
        <w:rPr/>
        <w:t>）支撑管理体系全部纳入母公司，如综合运营、财务、商务由母公司统一管理。 </w:t>
      </w:r>
      <w:r>
        <w:rPr>
          <w:rFonts w:ascii="宋体" w:hAnsi="宋体" w:cs="宋体" w:eastAsia="宋体" w:hint="default"/>
          <w:b/>
          <w:bCs/>
        </w:rPr>
        <w:t>6</w:t>
      </w:r>
      <w:r>
        <w:rPr>
          <w:rFonts w:ascii="宋体" w:hAnsi="宋体" w:cs="宋体" w:eastAsia="宋体" w:hint="default"/>
          <w:b/>
          <w:bCs/>
        </w:rPr>
        <w:t>、移动信息化业务</w:t>
      </w:r>
      <w:r>
        <w:rPr>
          <w:rFonts w:ascii="宋体" w:hAnsi="宋体" w:cs="宋体" w:eastAsia="宋体" w:hint="default"/>
          <w:b/>
          <w:bCs/>
          <w:w w:val="99"/>
        </w:rPr>
        <w:t> </w:t>
      </w:r>
      <w:r>
        <w:rPr/>
        <w:t>整体目标为通过集团内业务整合与协同，</w:t>
      </w:r>
      <w:r>
        <w:rPr>
          <w:rFonts w:ascii="宋体" w:hAnsi="宋体" w:cs="宋体" w:eastAsia="宋体" w:hint="default"/>
        </w:rPr>
        <w:t>2018</w:t>
      </w:r>
      <w:r>
        <w:rPr/>
        <w:t>年度实现扭亏为盈，为公司贡献利润：</w:t>
      </w:r>
    </w:p>
    <w:p>
      <w:pPr>
        <w:pStyle w:val="BodyText"/>
        <w:spacing w:line="222" w:lineRule="exact"/>
        <w:ind w:left="1493" w:right="1033"/>
        <w:jc w:val="left"/>
      </w:pPr>
      <w:r>
        <w:rPr/>
        <w:t>（</w:t>
      </w:r>
      <w:r>
        <w:rPr>
          <w:rFonts w:ascii="宋体" w:hAnsi="宋体" w:cs="宋体" w:eastAsia="宋体" w:hint="default"/>
        </w:rPr>
        <w:t>1</w:t>
      </w:r>
      <w:r>
        <w:rPr/>
        <w:t>）</w:t>
      </w:r>
      <w:r>
        <w:rPr>
          <w:rFonts w:ascii="宋体" w:hAnsi="宋体" w:cs="宋体" w:eastAsia="宋体" w:hint="default"/>
        </w:rPr>
        <w:t>2018</w:t>
      </w:r>
      <w:r>
        <w:rPr/>
        <w:t>年起，数字天堂深度融入微智信业业务，发挥团队在解决方案上的优势，进入微智信业擅长的运营商定制解</w:t>
      </w:r>
    </w:p>
    <w:p>
      <w:pPr>
        <w:pStyle w:val="BodyText"/>
        <w:spacing w:line="240" w:lineRule="auto" w:before="76"/>
        <w:ind w:right="1033"/>
        <w:jc w:val="left"/>
      </w:pPr>
      <w:r>
        <w:rPr/>
        <w:t>决方案市场。</w:t>
      </w:r>
    </w:p>
    <w:p>
      <w:pPr>
        <w:pStyle w:val="BodyText"/>
        <w:spacing w:line="240" w:lineRule="auto" w:before="76"/>
        <w:ind w:left="1493" w:right="1033"/>
        <w:jc w:val="left"/>
      </w:pPr>
      <w:r>
        <w:rPr/>
        <w:t>（</w:t>
      </w:r>
      <w:r>
        <w:rPr>
          <w:rFonts w:ascii="宋体" w:hAnsi="宋体" w:cs="宋体" w:eastAsia="宋体" w:hint="default"/>
        </w:rPr>
        <w:t>2</w:t>
      </w:r>
      <w:r>
        <w:rPr/>
        <w:t>）服务于既有行业的新华社、汉能、中核建等重点客户，关注重点客户的需求并持续挖掘商机，增强客户粘度。</w:t>
      </w:r>
    </w:p>
    <w:p>
      <w:pPr>
        <w:pStyle w:val="BodyText"/>
        <w:spacing w:line="316" w:lineRule="auto" w:before="76"/>
        <w:ind w:left="1134" w:right="1122" w:firstLine="360"/>
        <w:jc w:val="left"/>
      </w:pPr>
      <w:r>
        <w:rPr/>
        <w:t>（</w:t>
      </w:r>
      <w:r>
        <w:rPr>
          <w:rFonts w:ascii="宋体" w:hAnsi="宋体" w:cs="宋体" w:eastAsia="宋体" w:hint="default"/>
        </w:rPr>
        <w:t>3</w:t>
      </w:r>
      <w:r>
        <w:rPr/>
        <w:t>）聚焦中国移动集团中移在线解决方案。与微智信业协作，集中优质资源投入该新兴用户的移动信息化解决方案， 目前具有一定的先发优势，已参与了</w:t>
      </w:r>
      <w:r>
        <w:rPr>
          <w:rFonts w:ascii="宋体" w:hAnsi="宋体" w:cs="宋体" w:eastAsia="宋体" w:hint="default"/>
        </w:rPr>
        <w:t>APP</w:t>
      </w:r>
      <w:r>
        <w:rPr/>
        <w:t>等三大模块内容，项目在良好推进中。</w:t>
      </w:r>
    </w:p>
    <w:p>
      <w:pPr>
        <w:pStyle w:val="BodyText"/>
        <w:spacing w:line="357" w:lineRule="auto" w:before="19"/>
        <w:ind w:left="1491" w:right="3735" w:firstLine="2"/>
        <w:jc w:val="left"/>
      </w:pPr>
      <w:r>
        <w:rPr/>
        <w:t>（</w:t>
      </w:r>
      <w:r>
        <w:rPr>
          <w:rFonts w:ascii="宋体" w:hAnsi="宋体" w:cs="宋体" w:eastAsia="宋体" w:hint="default"/>
        </w:rPr>
        <w:t>4</w:t>
      </w:r>
      <w:r>
        <w:rPr/>
        <w:t>）</w:t>
      </w:r>
      <w:r>
        <w:rPr>
          <w:spacing w:val="-60"/>
        </w:rPr>
        <w:t> </w:t>
      </w:r>
      <w:r>
        <w:rPr/>
        <w:t>严格控制人力成本，将业务规模与人员扩张相匹配，保持团队稳定性。</w:t>
      </w:r>
      <w:r>
        <w:rPr/>
        <w:t> </w:t>
      </w:r>
      <w:r>
        <w:rPr>
          <w:rFonts w:ascii="宋体" w:hAnsi="宋体" w:cs="宋体" w:eastAsia="宋体" w:hint="default"/>
          <w:b/>
          <w:bCs/>
        </w:rPr>
        <w:t>7</w:t>
      </w:r>
      <w:r>
        <w:rPr>
          <w:rFonts w:ascii="宋体" w:hAnsi="宋体" w:cs="宋体" w:eastAsia="宋体" w:hint="default"/>
          <w:b/>
          <w:bCs/>
        </w:rPr>
        <w:t>、集团管理重点工作</w:t>
      </w:r>
      <w:r>
        <w:rPr>
          <w:rFonts w:ascii="宋体" w:hAnsi="宋体" w:cs="宋体" w:eastAsia="宋体" w:hint="default"/>
          <w:b/>
          <w:bCs/>
          <w:w w:val="99"/>
        </w:rPr>
        <w:t> </w:t>
      </w:r>
      <w:r>
        <w:rPr/>
        <w:t>整体目标为支撑管理体系进一步整合，提升管理效率，为业务版块提供服务和支撑：</w:t>
      </w:r>
    </w:p>
    <w:p>
      <w:pPr>
        <w:pStyle w:val="BodyText"/>
        <w:spacing w:line="224" w:lineRule="exact"/>
        <w:ind w:left="1134" w:right="1033" w:firstLine="360"/>
        <w:jc w:val="left"/>
      </w:pPr>
      <w:r>
        <w:rPr/>
        <w:t>（</w:t>
      </w:r>
      <w:r>
        <w:rPr>
          <w:rFonts w:ascii="宋体" w:hAnsi="宋体" w:cs="宋体" w:eastAsia="宋体" w:hint="default"/>
        </w:rPr>
        <w:t>1</w:t>
      </w:r>
      <w:r>
        <w:rPr/>
        <w:t>）促进各业务板块的协同和业务整合。依托在电信运营商领域的客户资源，加速微智信业与惠捷朗和数字天堂的营</w:t>
      </w:r>
    </w:p>
    <w:p>
      <w:pPr>
        <w:pStyle w:val="BodyText"/>
        <w:spacing w:line="316" w:lineRule="auto" w:before="76"/>
        <w:ind w:left="1134" w:right="1033"/>
        <w:jc w:val="left"/>
      </w:pPr>
      <w:r>
        <w:rPr>
          <w:spacing w:val="-2"/>
        </w:rPr>
        <w:t>销团队深度融合。公司围绕“自主可控、信息安全”核心发展理念整合形成四大板块，即基础软件、信息安全、大数据电子</w:t>
      </w:r>
      <w:r>
        <w:rPr>
          <w:spacing w:val="-72"/>
        </w:rPr>
        <w:t> </w:t>
      </w:r>
      <w:r>
        <w:rPr>
          <w:spacing w:val="-72"/>
        </w:rPr>
      </w:r>
      <w:r>
        <w:rPr/>
        <w:t>政务和军工信息化。</w:t>
      </w:r>
    </w:p>
    <w:p>
      <w:pPr>
        <w:pStyle w:val="BodyText"/>
        <w:spacing w:line="319" w:lineRule="auto" w:before="19"/>
        <w:ind w:left="1134" w:right="1122" w:firstLine="360"/>
        <w:jc w:val="left"/>
      </w:pPr>
      <w:r>
        <w:rPr/>
        <w:t>（</w:t>
      </w:r>
      <w:r>
        <w:rPr>
          <w:rFonts w:ascii="宋体" w:hAnsi="宋体" w:cs="宋体" w:eastAsia="宋体" w:hint="default"/>
        </w:rPr>
        <w:t>2</w:t>
      </w:r>
      <w:r>
        <w:rPr/>
        <w:t>）全面预算、提升整体效率。以建设财务共享为目标，加快公司财务体系的整合；以全面预算为基础，在公司范围 内贯彻成本效益理念；以销售回款为核心，修订业务考核指标。</w:t>
      </w:r>
    </w:p>
    <w:p>
      <w:pPr>
        <w:pStyle w:val="BodyText"/>
        <w:spacing w:line="316" w:lineRule="auto" w:before="17"/>
        <w:ind w:right="1123" w:firstLine="360"/>
        <w:jc w:val="left"/>
      </w:pPr>
      <w:r>
        <w:rPr/>
        <w:t>（</w:t>
      </w:r>
      <w:r>
        <w:rPr>
          <w:rFonts w:ascii="宋体" w:hAnsi="宋体" w:cs="宋体" w:eastAsia="宋体" w:hint="default"/>
        </w:rPr>
        <w:t>3</w:t>
      </w:r>
      <w:r>
        <w:rPr/>
        <w:t>）完善激励机制。计划于</w:t>
      </w:r>
      <w:r>
        <w:rPr>
          <w:rFonts w:ascii="宋体" w:hAnsi="宋体" w:cs="宋体" w:eastAsia="宋体" w:hint="default"/>
        </w:rPr>
        <w:t>2018</w:t>
      </w:r>
      <w:r>
        <w:rPr/>
        <w:t>年度推出新一期股票期权激励计划或员工持股计划，为管理层、核心员工提供多维度 的薪酬福利空间，留住和吸引优秀人才，员工利益与公司未来发展经营成果相结合。</w:t>
      </w:r>
    </w:p>
    <w:p>
      <w:pPr>
        <w:pStyle w:val="BodyText"/>
        <w:spacing w:line="316" w:lineRule="auto" w:before="19"/>
        <w:ind w:right="1033" w:firstLine="360"/>
        <w:jc w:val="left"/>
      </w:pPr>
      <w:r>
        <w:rPr/>
        <w:t>（</w:t>
      </w:r>
      <w:r>
        <w:rPr>
          <w:rFonts w:ascii="宋体" w:hAnsi="宋体" w:cs="宋体" w:eastAsia="宋体" w:hint="default"/>
        </w:rPr>
        <w:t>4</w:t>
      </w:r>
      <w:r>
        <w:rPr/>
        <w:t>）深化品牌战略。集中优势资源在基础软件、信息安全领域进行品牌再塑，打造行业领军者的品牌形象；同时，对 </w:t>
      </w:r>
      <w:r>
        <w:rPr>
          <w:spacing w:val="-2"/>
        </w:rPr>
        <w:t>政务大数据、军工信息化等新兴业务板块进行品牌区隔，助力新兴业务板块的快速成长，提升认知度。与此同时，公司将组</w:t>
      </w:r>
      <w:r>
        <w:rPr>
          <w:spacing w:val="-66"/>
        </w:rPr>
        <w:t> </w:t>
      </w:r>
      <w:r>
        <w:rPr>
          <w:spacing w:val="-66"/>
        </w:rPr>
      </w:r>
      <w:r>
        <w:rPr>
          <w:spacing w:val="-4"/>
        </w:rPr>
        <w:t>织或参与一系列品牌及行业市场活动，继续推进“安全可靠技术和产业联盟”、“国家网信安全生态建设联盟”等联盟建设，</w:t>
      </w:r>
      <w:r>
        <w:rPr>
          <w:spacing w:val="-44"/>
        </w:rPr>
        <w:t> </w:t>
      </w:r>
      <w:r>
        <w:rPr>
          <w:spacing w:val="-44"/>
        </w:rPr>
      </w:r>
      <w:r>
        <w:rPr/>
        <w:t>与行业用户、合作伙伴等各方传递公司的品牌价值，持续塑造专业、专注、领先、可信赖的品牌形象。</w:t>
      </w:r>
    </w:p>
    <w:p>
      <w:pPr>
        <w:spacing w:line="319" w:lineRule="auto" w:before="130"/>
        <w:ind w:left="1134" w:right="1134" w:firstLine="616"/>
        <w:jc w:val="both"/>
        <w:rPr>
          <w:rFonts w:ascii="宋体" w:hAnsi="宋体" w:cs="宋体" w:eastAsia="宋体" w:hint="default"/>
          <w:sz w:val="36"/>
          <w:szCs w:val="36"/>
        </w:rPr>
      </w:pPr>
      <w:r>
        <w:rPr>
          <w:rFonts w:ascii="宋体" w:hAnsi="宋体" w:cs="宋体" w:eastAsia="宋体" w:hint="default"/>
          <w:b/>
          <w:bCs/>
          <w:color w:val="FF0000"/>
          <w:w w:val="95"/>
          <w:sz w:val="36"/>
          <w:szCs w:val="36"/>
        </w:rPr>
        <w:t>上述经营计划并不构成公司对投资者的业绩承诺，投资者</w:t>
      </w:r>
      <w:r>
        <w:rPr>
          <w:rFonts w:ascii="宋体" w:hAnsi="宋体" w:cs="宋体" w:eastAsia="宋体" w:hint="default"/>
          <w:b/>
          <w:bCs/>
          <w:color w:val="FF0000"/>
          <w:w w:val="99"/>
          <w:sz w:val="36"/>
          <w:szCs w:val="36"/>
        </w:rPr>
        <w:t> </w:t>
      </w:r>
      <w:r>
        <w:rPr>
          <w:rFonts w:ascii="宋体" w:hAnsi="宋体" w:cs="宋体" w:eastAsia="宋体" w:hint="default"/>
          <w:b/>
          <w:bCs/>
          <w:color w:val="FF0000"/>
          <w:spacing w:val="-4"/>
          <w:w w:val="95"/>
          <w:sz w:val="36"/>
          <w:szCs w:val="36"/>
        </w:rPr>
        <w:t>对此应保持足够的风险意识，并且应当理解经营计划与业绩承</w:t>
      </w:r>
      <w:r>
        <w:rPr>
          <w:rFonts w:ascii="宋体" w:hAnsi="宋体" w:cs="宋体" w:eastAsia="宋体" w:hint="default"/>
          <w:b/>
          <w:bCs/>
          <w:color w:val="FF0000"/>
          <w:spacing w:val="123"/>
          <w:w w:val="95"/>
          <w:sz w:val="36"/>
          <w:szCs w:val="36"/>
        </w:rPr>
        <w:t> </w:t>
      </w:r>
      <w:r>
        <w:rPr>
          <w:rFonts w:ascii="宋体" w:hAnsi="宋体" w:cs="宋体" w:eastAsia="宋体" w:hint="default"/>
          <w:b/>
          <w:bCs/>
          <w:color w:val="FF0000"/>
          <w:spacing w:val="123"/>
          <w:w w:val="95"/>
          <w:sz w:val="36"/>
          <w:szCs w:val="36"/>
        </w:rPr>
      </w:r>
      <w:r>
        <w:rPr>
          <w:rFonts w:ascii="宋体" w:hAnsi="宋体" w:cs="宋体" w:eastAsia="宋体" w:hint="default"/>
          <w:b/>
          <w:bCs/>
          <w:color w:val="FF0000"/>
          <w:sz w:val="36"/>
          <w:szCs w:val="36"/>
        </w:rPr>
        <w:t>诺之间的差异。</w:t>
      </w:r>
      <w:r>
        <w:rPr>
          <w:rFonts w:ascii="宋体" w:hAnsi="宋体" w:cs="宋体" w:eastAsia="宋体" w:hint="default"/>
          <w:sz w:val="36"/>
          <w:szCs w:val="36"/>
        </w:rPr>
      </w:r>
    </w:p>
    <w:p>
      <w:pPr>
        <w:pStyle w:val="Heading2"/>
        <w:spacing w:line="240" w:lineRule="auto" w:before="274"/>
        <w:ind w:right="1033"/>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3"/>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584"/>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1493" w:right="10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依据《公司法》、《公司章程》的规定，公司的利润分配政策为：保持连续性和稳定性，重视对投资者的合理投资回报，</w:t>
      </w:r>
    </w:p>
    <w:p>
      <w:pPr>
        <w:pStyle w:val="BodyText"/>
        <w:spacing w:line="316" w:lineRule="auto" w:before="2"/>
        <w:ind w:right="1130"/>
        <w:jc w:val="both"/>
      </w:pPr>
      <w:r>
        <w:rPr>
          <w:spacing w:val="-2"/>
        </w:rPr>
        <w:t>兼顾全体股东的整体利益及公司的可持续发展。公司当年度实现盈利，在依法提取法定公积金、盈余公积金，在满足公司正</w:t>
      </w:r>
      <w:r>
        <w:rPr>
          <w:spacing w:val="-66"/>
        </w:rPr>
        <w:t> </w:t>
      </w:r>
      <w:r>
        <w:rPr>
          <w:spacing w:val="-66"/>
        </w:rPr>
      </w:r>
      <w:r>
        <w:rPr>
          <w:spacing w:val="-2"/>
        </w:rPr>
        <w:t>常生产经营资金需求和无重大资金支出的情况下后进行利润分配。除公司章程另有约定外，公司每年以现金形式分配的利润</w:t>
      </w:r>
      <w:r>
        <w:rPr>
          <w:spacing w:val="-63"/>
        </w:rPr>
        <w:t> </w:t>
      </w:r>
      <w:r>
        <w:rPr>
          <w:spacing w:val="-63"/>
        </w:rPr>
      </w:r>
      <w:r>
        <w:rPr/>
        <w:t>不少于当年实现的可供分配利润的</w:t>
      </w:r>
      <w:r>
        <w:rPr>
          <w:rFonts w:ascii="宋体" w:hAnsi="宋体" w:cs="宋体" w:eastAsia="宋体" w:hint="default"/>
        </w:rPr>
        <w:t>20%</w:t>
      </w:r>
      <w:r>
        <w:rPr/>
        <w:t>。</w:t>
      </w:r>
    </w:p>
    <w:p>
      <w:pPr>
        <w:pStyle w:val="BodyText"/>
        <w:spacing w:line="316" w:lineRule="auto" w:before="19"/>
        <w:ind w:right="1131" w:firstLine="360"/>
        <w:jc w:val="both"/>
      </w:pP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30</w:t>
      </w:r>
      <w:r>
        <w:rPr/>
        <w:t>日第三届董事会第三次会议审议通过《关于公司</w:t>
      </w:r>
      <w:r>
        <w:rPr>
          <w:rFonts w:ascii="宋体" w:hAnsi="宋体" w:cs="宋体" w:eastAsia="宋体" w:hint="default"/>
        </w:rPr>
        <w:t>2016</w:t>
      </w:r>
      <w:r>
        <w:rPr/>
        <w:t>年度利润分配预案的议案》：以公司董事会审议</w:t>
      </w:r>
      <w:r>
        <w:rPr>
          <w:rFonts w:ascii="宋体" w:hAnsi="宋体" w:cs="宋体" w:eastAsia="宋体" w:hint="default"/>
        </w:rPr>
        <w:t>2016 </w:t>
      </w:r>
      <w:r>
        <w:rPr>
          <w:spacing w:val="-2"/>
        </w:rPr>
        <w:t>年度利润分配方案前一交易日（</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日）收盘的总股本</w:t>
      </w:r>
      <w:r>
        <w:rPr>
          <w:rFonts w:ascii="宋体" w:hAnsi="宋体" w:cs="宋体" w:eastAsia="宋体" w:hint="default"/>
          <w:spacing w:val="-2"/>
        </w:rPr>
        <w:t>138,515,854</w:t>
      </w:r>
      <w:r>
        <w:rPr>
          <w:spacing w:val="-2"/>
        </w:rPr>
        <w:t>股为基数，向全体股东每</w:t>
      </w:r>
      <w:r>
        <w:rPr>
          <w:rFonts w:ascii="宋体" w:hAnsi="宋体" w:cs="宋体" w:eastAsia="宋体" w:hint="default"/>
          <w:spacing w:val="-2"/>
        </w:rPr>
        <w:t>10</w:t>
      </w:r>
      <w:r>
        <w:rPr>
          <w:spacing w:val="-2"/>
        </w:rPr>
        <w:t>股派发现金股利人民</w:t>
      </w:r>
      <w:r>
        <w:rPr>
          <w:spacing w:val="-46"/>
        </w:rPr>
        <w:t> </w:t>
      </w:r>
      <w:r>
        <w:rPr/>
        <w:t>币</w:t>
      </w:r>
      <w:r>
        <w:rPr>
          <w:rFonts w:ascii="宋体" w:hAnsi="宋体" w:cs="宋体" w:eastAsia="宋体" w:hint="default"/>
        </w:rPr>
        <w:t>1.80</w:t>
      </w:r>
      <w:r>
        <w:rPr/>
        <w:t>元（含税），共计派发现金股利</w:t>
      </w:r>
      <w:r>
        <w:rPr>
          <w:rFonts w:ascii="宋体" w:hAnsi="宋体" w:cs="宋体" w:eastAsia="宋体" w:hint="default"/>
        </w:rPr>
        <w:t>24,932,853.72</w:t>
      </w:r>
      <w:r>
        <w:rPr/>
        <w:t>元（含税）。同时，以资本公积金向全体股东每</w:t>
      </w:r>
      <w:r>
        <w:rPr>
          <w:rFonts w:ascii="宋体" w:hAnsi="宋体" w:cs="宋体" w:eastAsia="宋体" w:hint="default"/>
        </w:rPr>
        <w:t>10</w:t>
      </w:r>
      <w:r>
        <w:rPr/>
        <w:t>股转增</w:t>
      </w:r>
      <w:r>
        <w:rPr>
          <w:rFonts w:ascii="宋体" w:hAnsi="宋体" w:cs="宋体" w:eastAsia="宋体" w:hint="default"/>
        </w:rPr>
        <w:t>30</w:t>
      </w:r>
      <w:r>
        <w:rPr/>
        <w:t>股，合计 </w:t>
      </w:r>
      <w:r>
        <w:rPr>
          <w:spacing w:val="-2"/>
        </w:rPr>
        <w:t>转增</w:t>
      </w:r>
      <w:r>
        <w:rPr>
          <w:rFonts w:ascii="宋体" w:hAnsi="宋体" w:cs="宋体" w:eastAsia="宋体" w:hint="default"/>
          <w:spacing w:val="-2"/>
        </w:rPr>
        <w:t>415,547,562</w:t>
      </w:r>
      <w:r>
        <w:rPr>
          <w:spacing w:val="-2"/>
        </w:rPr>
        <w:t>股，转增后公司总股本为</w:t>
      </w:r>
      <w:r>
        <w:rPr>
          <w:rFonts w:ascii="宋体" w:hAnsi="宋体" w:cs="宋体" w:eastAsia="宋体" w:hint="default"/>
          <w:spacing w:val="-2"/>
        </w:rPr>
        <w:t>554,063,416</w:t>
      </w:r>
      <w:r>
        <w:rPr>
          <w:spacing w:val="-2"/>
        </w:rPr>
        <w:t>股。该权益分派预案尚需提交公司</w:t>
      </w:r>
      <w:r>
        <w:rPr>
          <w:rFonts w:ascii="宋体" w:hAnsi="宋体" w:cs="宋体" w:eastAsia="宋体" w:hint="default"/>
          <w:spacing w:val="-2"/>
        </w:rPr>
        <w:t>2016</w:t>
      </w:r>
      <w:r>
        <w:rPr>
          <w:spacing w:val="-2"/>
        </w:rPr>
        <w:t>年度股东大会审议通过。独立</w:t>
      </w:r>
      <w:r>
        <w:rPr>
          <w:spacing w:val="-41"/>
        </w:rPr>
        <w:t> </w:t>
      </w:r>
      <w:r>
        <w:rPr>
          <w:spacing w:val="-41"/>
        </w:rPr>
      </w:r>
      <w:r>
        <w:rPr/>
        <w:t>董事、监事会对以上事项发表了同意的意见。</w:t>
      </w:r>
    </w:p>
    <w:p>
      <w:pPr>
        <w:pStyle w:val="BodyText"/>
        <w:spacing w:line="316" w:lineRule="auto" w:before="19"/>
        <w:ind w:right="1131" w:firstLine="360"/>
        <w:jc w:val="both"/>
      </w:pPr>
      <w:r>
        <w:rPr>
          <w:spacing w:val="-2"/>
        </w:rPr>
        <w:t>为强化上市公司责任意识，积极响应监管部门的监管理念和监管导向，公司时任控股股东、实际控制人张齐春女士、朱</w:t>
      </w:r>
      <w:r>
        <w:rPr/>
        <w:t> 海东先生、朱曼女士经慎重考虑，提议变更《</w:t>
      </w:r>
      <w:r>
        <w:rPr>
          <w:rFonts w:ascii="宋体" w:hAnsi="宋体" w:cs="宋体" w:eastAsia="宋体" w:hint="default"/>
        </w:rPr>
        <w:t>2016</w:t>
      </w:r>
      <w:r>
        <w:rPr/>
        <w:t>年度利润分配及资本公积金转增股本预案》相关内容。</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13</w:t>
      </w:r>
      <w:r>
        <w:rPr/>
        <w:t>日收 </w:t>
      </w:r>
      <w:r>
        <w:rPr>
          <w:spacing w:val="-2"/>
        </w:rPr>
        <w:t>到《关于变更</w:t>
      </w:r>
      <w:r>
        <w:rPr>
          <w:rFonts w:ascii="宋体" w:hAnsi="宋体" w:cs="宋体" w:eastAsia="宋体" w:hint="default"/>
          <w:spacing w:val="-2"/>
        </w:rPr>
        <w:t>2016</w:t>
      </w:r>
      <w:r>
        <w:rPr>
          <w:spacing w:val="-2"/>
        </w:rPr>
        <w:t>年度利润分配及资本公积金转增股本预案的提议》。以公司</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日收盘的总股本</w:t>
      </w:r>
      <w:r>
        <w:rPr>
          <w:rFonts w:ascii="宋体" w:hAnsi="宋体" w:cs="宋体" w:eastAsia="宋体" w:hint="default"/>
          <w:spacing w:val="-2"/>
        </w:rPr>
        <w:t>138,515,854</w:t>
      </w:r>
      <w:r>
        <w:rPr>
          <w:spacing w:val="-2"/>
        </w:rPr>
        <w:t>股为</w:t>
      </w:r>
      <w:r>
        <w:rPr>
          <w:spacing w:val="-44"/>
        </w:rPr>
        <w:t> </w:t>
      </w:r>
      <w:r>
        <w:rPr/>
        <w:t>基数，向全体股东每</w:t>
      </w:r>
      <w:r>
        <w:rPr>
          <w:rFonts w:ascii="宋体" w:hAnsi="宋体" w:cs="宋体" w:eastAsia="宋体" w:hint="default"/>
        </w:rPr>
        <w:t>10</w:t>
      </w:r>
      <w:r>
        <w:rPr/>
        <w:t>股派发现金股利人民币</w:t>
      </w:r>
      <w:r>
        <w:rPr>
          <w:rFonts w:ascii="宋体" w:hAnsi="宋体" w:cs="宋体" w:eastAsia="宋体" w:hint="default"/>
        </w:rPr>
        <w:t>2.00</w:t>
      </w:r>
      <w:r>
        <w:rPr/>
        <w:t>元（含税），共计派发现金股利</w:t>
      </w:r>
      <w:r>
        <w:rPr>
          <w:rFonts w:ascii="宋体" w:hAnsi="宋体" w:cs="宋体" w:eastAsia="宋体" w:hint="default"/>
        </w:rPr>
        <w:t>27,703,170.80</w:t>
      </w:r>
      <w:r>
        <w:rPr/>
        <w:t>元（含税）。同时，以资 本公积金向全体股东每</w:t>
      </w:r>
      <w:r>
        <w:rPr>
          <w:rFonts w:ascii="宋体" w:hAnsi="宋体" w:cs="宋体" w:eastAsia="宋体" w:hint="default"/>
        </w:rPr>
        <w:t>10</w:t>
      </w:r>
      <w:r>
        <w:rPr/>
        <w:t>股转增</w:t>
      </w:r>
      <w:r>
        <w:rPr>
          <w:rFonts w:ascii="宋体" w:hAnsi="宋体" w:cs="宋体" w:eastAsia="宋体" w:hint="default"/>
        </w:rPr>
        <w:t>10</w:t>
      </w:r>
      <w:r>
        <w:rPr/>
        <w:t>股，合计转增</w:t>
      </w:r>
      <w:r>
        <w:rPr>
          <w:rFonts w:ascii="宋体" w:hAnsi="宋体" w:cs="宋体" w:eastAsia="宋体" w:hint="default"/>
        </w:rPr>
        <w:t>138,515,854</w:t>
      </w:r>
      <w:r>
        <w:rPr/>
        <w:t>股，转增后公司总股本为</w:t>
      </w:r>
      <w:r>
        <w:rPr>
          <w:rFonts w:ascii="宋体" w:hAnsi="宋体" w:cs="宋体" w:eastAsia="宋体" w:hint="default"/>
        </w:rPr>
        <w:t>277,031,708</w:t>
      </w:r>
      <w:r>
        <w:rPr/>
        <w:t>股。公司于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13 </w:t>
      </w:r>
      <w:r>
        <w:rPr/>
        <w:t>日召开了第三届董事会第四次会议、第三届监事会第四次会议，董事会、监事会同意取消原</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30</w:t>
      </w:r>
      <w:r>
        <w:rPr/>
        <w:t>日审议通过的</w:t>
      </w:r>
      <w:r>
        <w:rPr>
          <w:rFonts w:ascii="宋体" w:hAnsi="宋体" w:cs="宋体" w:eastAsia="宋体" w:hint="default"/>
        </w:rPr>
        <w:t>2016 </w:t>
      </w:r>
      <w:r>
        <w:rPr>
          <w:spacing w:val="-2"/>
        </w:rPr>
        <w:t>年度利润分配及资本公积金转增股本预案，审议通过调整后的</w:t>
      </w:r>
      <w:r>
        <w:rPr>
          <w:rFonts w:ascii="宋体" w:hAnsi="宋体" w:cs="宋体" w:eastAsia="宋体" w:hint="default"/>
          <w:spacing w:val="-2"/>
        </w:rPr>
        <w:t>2016</w:t>
      </w:r>
      <w:r>
        <w:rPr>
          <w:spacing w:val="-2"/>
        </w:rPr>
        <w:t>年度利润分配及资本公积金转增股本方案，董事会同意将</w:t>
      </w:r>
      <w:r>
        <w:rPr>
          <w:spacing w:val="-60"/>
        </w:rPr>
        <w:t> </w:t>
      </w:r>
      <w:r>
        <w:rPr>
          <w:spacing w:val="-60"/>
        </w:rPr>
      </w:r>
      <w:r>
        <w:rPr/>
        <w:t>上述新方案提交</w:t>
      </w:r>
      <w:r>
        <w:rPr>
          <w:rFonts w:ascii="宋体" w:hAnsi="宋体" w:cs="宋体" w:eastAsia="宋体" w:hint="default"/>
        </w:rPr>
        <w:t>2016</w:t>
      </w:r>
      <w:r>
        <w:rPr/>
        <w:t>年度股东大会审议，独立董事也发表了相关意见。</w:t>
      </w:r>
    </w:p>
    <w:p>
      <w:pPr>
        <w:pStyle w:val="BodyText"/>
        <w:spacing w:line="316" w:lineRule="auto" w:before="19"/>
        <w:ind w:right="1139" w:firstLine="360"/>
        <w:jc w:val="both"/>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5</w:t>
      </w:r>
      <w:r>
        <w:rPr/>
        <w:t>日召开的</w:t>
      </w:r>
      <w:r>
        <w:rPr>
          <w:rFonts w:ascii="宋体" w:hAnsi="宋体" w:cs="宋体" w:eastAsia="宋体" w:hint="default"/>
        </w:rPr>
        <w:t>2016</w:t>
      </w:r>
      <w:r>
        <w:rPr/>
        <w:t>年度股东大会审议通过</w:t>
      </w:r>
      <w:r>
        <w:rPr>
          <w:rFonts w:ascii="宋体" w:hAnsi="宋体" w:cs="宋体" w:eastAsia="宋体" w:hint="default"/>
        </w:rPr>
        <w:t>2016</w:t>
      </w:r>
      <w:r>
        <w:rPr/>
        <w:t>年度权益分派方案，以公司总股本</w:t>
      </w:r>
      <w:r>
        <w:rPr>
          <w:rFonts w:ascii="宋体" w:hAnsi="宋体" w:cs="宋体" w:eastAsia="宋体" w:hint="default"/>
        </w:rPr>
        <w:t>138,515,854</w:t>
      </w:r>
      <w:r>
        <w:rPr/>
        <w:t>股为基数，向全体 股东每</w:t>
      </w:r>
      <w:r>
        <w:rPr>
          <w:rFonts w:ascii="宋体" w:hAnsi="宋体" w:cs="宋体" w:eastAsia="宋体" w:hint="default"/>
        </w:rPr>
        <w:t>10</w:t>
      </w:r>
      <w:r>
        <w:rPr/>
        <w:t>股派</w:t>
      </w:r>
      <w:r>
        <w:rPr>
          <w:rFonts w:ascii="宋体" w:hAnsi="宋体" w:cs="宋体" w:eastAsia="宋体" w:hint="default"/>
        </w:rPr>
        <w:t>2</w:t>
      </w:r>
      <w:r>
        <w:rPr/>
        <w:t>元人民币现金（含税）；同时，以资本公积金向全体股东每</w:t>
      </w:r>
      <w:r>
        <w:rPr>
          <w:rFonts w:ascii="宋体" w:hAnsi="宋体" w:cs="宋体" w:eastAsia="宋体" w:hint="default"/>
        </w:rPr>
        <w:t>10</w:t>
      </w:r>
      <w:r>
        <w:rPr/>
        <w:t>股转增</w:t>
      </w:r>
      <w:r>
        <w:rPr>
          <w:rFonts w:ascii="宋体" w:hAnsi="宋体" w:cs="宋体" w:eastAsia="宋体" w:hint="default"/>
        </w:rPr>
        <w:t>10</w:t>
      </w:r>
      <w:r>
        <w:rPr/>
        <w:t>股。</w:t>
      </w:r>
      <w:r>
        <w:rPr>
          <w:rFonts w:ascii="宋体" w:hAnsi="宋体" w:cs="宋体" w:eastAsia="宋体" w:hint="default"/>
        </w:rPr>
        <w:t>2016</w:t>
      </w:r>
      <w:r>
        <w:rPr/>
        <w:t>年度股东大会为中小股东提 供了充分表达意见诉求的机会，其合法权益得到充分维护。</w:t>
      </w:r>
    </w:p>
    <w:p>
      <w:pPr>
        <w:pStyle w:val="BodyText"/>
        <w:spacing w:line="240" w:lineRule="auto" w:before="19"/>
        <w:ind w:left="1494" w:right="1033"/>
        <w:jc w:val="left"/>
      </w:pPr>
      <w:r>
        <w:rPr/>
        <w:t>截止</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17</w:t>
      </w:r>
      <w:r>
        <w:rPr/>
        <w:t>日，</w:t>
      </w:r>
      <w:r>
        <w:rPr>
          <w:rFonts w:ascii="宋体" w:hAnsi="宋体" w:cs="宋体" w:eastAsia="宋体" w:hint="default"/>
        </w:rPr>
        <w:t>2016</w:t>
      </w:r>
      <w:r>
        <w:rPr/>
        <w:t>年度利润分配及资本公积金转增股本方案已实施完毕。</w:t>
      </w:r>
    </w:p>
    <w:p>
      <w:pPr>
        <w:spacing w:line="240" w:lineRule="auto" w:before="11"/>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1033"/>
        <w:jc w:val="left"/>
      </w:pPr>
      <w:r>
        <w:rPr/>
        <w:t>公司报告期利润分配预案及资本公积金转增股本预案与公司章程和分红管理办法等的相关规定一致</w:t>
      </w:r>
    </w:p>
    <w:p>
      <w:pPr>
        <w:pStyle w:val="BodyText"/>
        <w:spacing w:line="240" w:lineRule="auto" w:before="117"/>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4273"/>
        <w:jc w:val="left"/>
      </w:pPr>
      <w:r>
        <w:rPr/>
        <w:t>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277,031,708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本次不分配现金红利，不送股且不进行资本公积金转增股本。</w:t>
            </w:r>
          </w:p>
        </w:tc>
      </w:tr>
    </w:tbl>
    <w:p>
      <w:pPr>
        <w:pStyle w:val="BodyText"/>
        <w:spacing w:line="240" w:lineRule="auto" w:before="68"/>
        <w:ind w:left="1134" w:right="1033"/>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16" w:lineRule="auto" w:before="102"/>
        <w:ind w:right="1132" w:firstLine="360"/>
        <w:jc w:val="both"/>
      </w:pPr>
      <w:r>
        <w:rPr>
          <w:rFonts w:ascii="宋体" w:hAnsi="宋体" w:cs="宋体" w:eastAsia="宋体" w:hint="default"/>
          <w:spacing w:val="-3"/>
        </w:rPr>
        <w:t>1</w:t>
      </w:r>
      <w:r>
        <w:rPr>
          <w:spacing w:val="-3"/>
        </w:rPr>
        <w:t>、经</w:t>
      </w:r>
      <w:r>
        <w:rPr>
          <w:rFonts w:ascii="宋体" w:hAnsi="宋体" w:cs="宋体" w:eastAsia="宋体" w:hint="default"/>
          <w:spacing w:val="-3"/>
        </w:rPr>
        <w:t>2016</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16</w:t>
      </w:r>
      <w:r>
        <w:rPr>
          <w:spacing w:val="-3"/>
        </w:rPr>
        <w:t>日召开的</w:t>
      </w:r>
      <w:r>
        <w:rPr>
          <w:rFonts w:ascii="宋体" w:hAnsi="宋体" w:cs="宋体" w:eastAsia="宋体" w:hint="default"/>
          <w:spacing w:val="-3"/>
        </w:rPr>
        <w:t>2015</w:t>
      </w:r>
      <w:r>
        <w:rPr>
          <w:spacing w:val="-3"/>
        </w:rPr>
        <w:t>年度股东大会审议通过的</w:t>
      </w:r>
      <w:r>
        <w:rPr>
          <w:rFonts w:ascii="宋体" w:hAnsi="宋体" w:cs="宋体" w:eastAsia="宋体" w:hint="default"/>
          <w:spacing w:val="-3"/>
        </w:rPr>
        <w:t>2015</w:t>
      </w:r>
      <w:r>
        <w:rPr>
          <w:spacing w:val="-3"/>
        </w:rPr>
        <w:t>年度权益分配方案：以</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日总股本</w:t>
      </w:r>
      <w:r>
        <w:rPr>
          <w:rFonts w:ascii="宋体" w:hAnsi="宋体" w:cs="宋体" w:eastAsia="宋体" w:hint="default"/>
          <w:spacing w:val="-3"/>
        </w:rPr>
        <w:t>115,220,300</w:t>
      </w:r>
      <w:r>
        <w:rPr>
          <w:rFonts w:ascii="宋体" w:hAnsi="宋体" w:cs="宋体" w:eastAsia="宋体" w:hint="default"/>
        </w:rPr>
        <w:t> </w:t>
      </w:r>
      <w:r>
        <w:rPr/>
        <w:t>股为基数，向全体股东每</w:t>
      </w:r>
      <w:r>
        <w:rPr>
          <w:rFonts w:ascii="宋体" w:hAnsi="宋体" w:cs="宋体" w:eastAsia="宋体" w:hint="default"/>
        </w:rPr>
        <w:t>10</w:t>
      </w:r>
      <w:r>
        <w:rPr/>
        <w:t>股派发现金股利</w:t>
      </w:r>
      <w:r>
        <w:rPr>
          <w:rFonts w:ascii="宋体" w:hAnsi="宋体" w:cs="宋体" w:eastAsia="宋体" w:hint="default"/>
        </w:rPr>
        <w:t>1.25</w:t>
      </w:r>
      <w:r>
        <w:rPr/>
        <w:t>元（含税），共计派发现金红利</w:t>
      </w:r>
      <w:r>
        <w:rPr>
          <w:rFonts w:ascii="宋体" w:hAnsi="宋体" w:cs="宋体" w:eastAsia="宋体" w:hint="default"/>
        </w:rPr>
        <w:t>14,402,537.50</w:t>
      </w:r>
      <w:r>
        <w:rPr/>
        <w:t>元（含税）；累计剩余未分 配利润</w:t>
      </w:r>
      <w:r>
        <w:rPr>
          <w:rFonts w:ascii="宋体" w:hAnsi="宋体" w:cs="宋体" w:eastAsia="宋体" w:hint="default"/>
        </w:rPr>
        <w:t>79,746,806.69</w:t>
      </w:r>
      <w:r>
        <w:rPr/>
        <w:t>元。本次利润不送股、不转增。</w:t>
      </w:r>
    </w:p>
    <w:p>
      <w:pPr>
        <w:pStyle w:val="BodyText"/>
        <w:spacing w:line="240" w:lineRule="auto" w:before="19"/>
        <w:ind w:left="1494" w:right="1033"/>
        <w:jc w:val="left"/>
      </w:pPr>
      <w:r>
        <w:rPr>
          <w:rFonts w:ascii="宋体" w:hAnsi="宋体" w:cs="宋体" w:eastAsia="宋体" w:hint="default"/>
        </w:rPr>
        <w:t>2</w:t>
      </w:r>
      <w:r>
        <w:rPr/>
        <w:t>、经</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5</w:t>
      </w:r>
      <w:r>
        <w:rPr/>
        <w:t>日召开的</w:t>
      </w:r>
      <w:r>
        <w:rPr>
          <w:rFonts w:ascii="宋体" w:hAnsi="宋体" w:cs="宋体" w:eastAsia="宋体" w:hint="default"/>
        </w:rPr>
        <w:t>2016</w:t>
      </w:r>
      <w:r>
        <w:rPr/>
        <w:t>年度股东大会审议通过的</w:t>
      </w:r>
      <w:r>
        <w:rPr>
          <w:rFonts w:ascii="宋体" w:hAnsi="宋体" w:cs="宋体" w:eastAsia="宋体" w:hint="default"/>
        </w:rPr>
        <w:t>2016</w:t>
      </w:r>
      <w:r>
        <w:rPr/>
        <w:t>年度权益分配方案：以公司</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29</w:t>
      </w:r>
      <w:r>
        <w:rPr/>
        <w:t>日收盘的总股本</w:t>
      </w:r>
    </w:p>
    <w:p>
      <w:pPr>
        <w:pStyle w:val="BodyText"/>
        <w:spacing w:line="316" w:lineRule="auto" w:before="77"/>
        <w:ind w:right="1028"/>
        <w:jc w:val="left"/>
      </w:pPr>
      <w:r>
        <w:rPr>
          <w:rFonts w:ascii="宋体" w:hAnsi="宋体" w:cs="宋体" w:eastAsia="宋体" w:hint="default"/>
          <w:spacing w:val="-5"/>
        </w:rPr>
        <w:t>138,515,854</w:t>
      </w:r>
      <w:r>
        <w:rPr>
          <w:spacing w:val="-5"/>
        </w:rPr>
        <w:t>股为基数，向全体股东每</w:t>
      </w:r>
      <w:r>
        <w:rPr>
          <w:rFonts w:ascii="宋体" w:hAnsi="宋体" w:cs="宋体" w:eastAsia="宋体" w:hint="default"/>
          <w:spacing w:val="-5"/>
        </w:rPr>
        <w:t>10</w:t>
      </w:r>
      <w:r>
        <w:rPr>
          <w:spacing w:val="-5"/>
        </w:rPr>
        <w:t>股派发现金股利人民币</w:t>
      </w:r>
      <w:r>
        <w:rPr>
          <w:rFonts w:ascii="宋体" w:hAnsi="宋体" w:cs="宋体" w:eastAsia="宋体" w:hint="default"/>
          <w:spacing w:val="-5"/>
        </w:rPr>
        <w:t>2.00</w:t>
      </w:r>
      <w:r>
        <w:rPr>
          <w:spacing w:val="-5"/>
        </w:rPr>
        <w:t>元（含税），共计派发现金股利</w:t>
      </w:r>
      <w:r>
        <w:rPr>
          <w:rFonts w:ascii="宋体" w:hAnsi="宋体" w:cs="宋体" w:eastAsia="宋体" w:hint="default"/>
          <w:spacing w:val="-5"/>
        </w:rPr>
        <w:t>27,703,170.80</w:t>
      </w:r>
      <w:r>
        <w:rPr>
          <w:spacing w:val="-5"/>
        </w:rPr>
        <w:t>元（含税）。</w:t>
      </w:r>
      <w:r>
        <w:rPr/>
        <w:t> 同时，以资本公积金向全体股东每</w:t>
      </w:r>
      <w:r>
        <w:rPr>
          <w:rFonts w:ascii="宋体" w:hAnsi="宋体" w:cs="宋体" w:eastAsia="宋体" w:hint="default"/>
        </w:rPr>
        <w:t>10</w:t>
      </w:r>
      <w:r>
        <w:rPr/>
        <w:t>股转增</w:t>
      </w:r>
      <w:r>
        <w:rPr>
          <w:rFonts w:ascii="宋体" w:hAnsi="宋体" w:cs="宋体" w:eastAsia="宋体" w:hint="default"/>
        </w:rPr>
        <w:t>10</w:t>
      </w:r>
      <w:r>
        <w:rPr/>
        <w:t>股，合计转增</w:t>
      </w:r>
      <w:r>
        <w:rPr>
          <w:rFonts w:ascii="宋体" w:hAnsi="宋体" w:cs="宋体" w:eastAsia="宋体" w:hint="default"/>
        </w:rPr>
        <w:t>138,515,854</w:t>
      </w:r>
      <w:r>
        <w:rPr/>
        <w:t>股，转增后公司总股本为</w:t>
      </w:r>
      <w:r>
        <w:rPr>
          <w:rFonts w:ascii="宋体" w:hAnsi="宋体" w:cs="宋体" w:eastAsia="宋体" w:hint="default"/>
        </w:rPr>
        <w:t>277,031,708</w:t>
      </w:r>
      <w:r>
        <w:rPr/>
        <w:t>股。</w:t>
      </w:r>
    </w:p>
    <w:p>
      <w:pPr>
        <w:pStyle w:val="BodyText"/>
        <w:spacing w:line="316" w:lineRule="auto" w:before="19"/>
        <w:ind w:right="1131" w:firstLine="360"/>
        <w:jc w:val="both"/>
      </w:pPr>
      <w:r>
        <w:rPr>
          <w:rFonts w:ascii="宋体" w:hAnsi="宋体" w:cs="宋体" w:eastAsia="宋体" w:hint="default"/>
          <w:spacing w:val="-2"/>
        </w:rPr>
        <w:t>3</w:t>
      </w:r>
      <w:r>
        <w:rPr>
          <w:spacing w:val="-2"/>
        </w:rPr>
        <w:t>、经</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11</w:t>
      </w:r>
      <w:r>
        <w:rPr>
          <w:spacing w:val="-2"/>
        </w:rPr>
        <w:t>日召开的第三届董事会第十三次会议审议通过《关于公司</w:t>
      </w:r>
      <w:r>
        <w:rPr>
          <w:rFonts w:ascii="宋体" w:hAnsi="宋体" w:cs="宋体" w:eastAsia="宋体" w:hint="default"/>
          <w:spacing w:val="-2"/>
        </w:rPr>
        <w:t>2017</w:t>
      </w:r>
      <w:r>
        <w:rPr>
          <w:spacing w:val="-2"/>
        </w:rPr>
        <w:t>年度利润分配方案的议案》，公司计划</w:t>
      </w:r>
      <w:r>
        <w:rPr/>
        <w:t> 不派发现金红利，不送红股，不以公积金转增股本。</w:t>
      </w:r>
    </w:p>
    <w:p>
      <w:pPr>
        <w:spacing w:line="240" w:lineRule="auto" w:before="0"/>
        <w:rPr>
          <w:rFonts w:ascii="宋体" w:hAnsi="宋体" w:cs="宋体" w:eastAsia="宋体" w:hint="default"/>
          <w:sz w:val="25"/>
          <w:szCs w:val="25"/>
        </w:rPr>
      </w:pPr>
    </w:p>
    <w:p>
      <w:pPr>
        <w:pStyle w:val="BodyText"/>
        <w:spacing w:line="240" w:lineRule="auto" w:before="44"/>
        <w:ind w:left="1134" w:right="1033"/>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23"/>
        <w:gridCol w:w="1843"/>
        <w:gridCol w:w="1808"/>
        <w:gridCol w:w="1736"/>
        <w:gridCol w:w="1451"/>
        <w:gridCol w:w="1595"/>
      </w:tblGrid>
      <w:tr>
        <w:trPr>
          <w:trHeight w:val="161" w:hRule="exact"/>
        </w:trPr>
        <w:tc>
          <w:tcPr>
            <w:tcW w:w="1123" w:type="dxa"/>
            <w:vMerge w:val="restart"/>
            <w:tcBorders>
              <w:top w:val="single" w:sz="4" w:space="0" w:color="000000"/>
              <w:left w:val="single" w:sz="4" w:space="0" w:color="000000"/>
              <w:right w:val="single" w:sz="4" w:space="0" w:color="000000"/>
            </w:tcBorders>
            <w:shd w:val="clear" w:color="auto" w:fill="D2D2D2"/>
          </w:tcPr>
          <w:p>
            <w:pPr/>
          </w:p>
        </w:tc>
        <w:tc>
          <w:tcPr>
            <w:tcW w:w="1843" w:type="dxa"/>
            <w:vMerge w:val="restart"/>
            <w:tcBorders>
              <w:top w:val="single" w:sz="4" w:space="0" w:color="000000"/>
              <w:left w:val="single" w:sz="4" w:space="0" w:color="000000"/>
              <w:right w:val="single" w:sz="4" w:space="0" w:color="000000"/>
            </w:tcBorders>
            <w:shd w:val="clear" w:color="auto" w:fill="D2D2D2"/>
          </w:tcPr>
          <w:p>
            <w:pPr/>
          </w:p>
        </w:tc>
        <w:tc>
          <w:tcPr>
            <w:tcW w:w="1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7" w:right="88"/>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2" w:right="53"/>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4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123" w:type="dxa"/>
            <w:vMerge/>
            <w:tcBorders>
              <w:left w:val="single" w:sz="4" w:space="0" w:color="000000"/>
              <w:bottom w:val="nil" w:sz="6" w:space="0" w:color="auto"/>
              <w:right w:val="single" w:sz="4" w:space="0" w:color="000000"/>
            </w:tcBorders>
            <w:shd w:val="clear" w:color="auto" w:fill="D2D2D2"/>
          </w:tcPr>
          <w:p>
            <w:pPr/>
          </w:p>
        </w:tc>
        <w:tc>
          <w:tcPr>
            <w:tcW w:w="1843" w:type="dxa"/>
            <w:vMerge/>
            <w:tcBorders>
              <w:left w:val="single" w:sz="4" w:space="0" w:color="000000"/>
              <w:bottom w:val="nil" w:sz="6" w:space="0" w:color="auto"/>
              <w:right w:val="single" w:sz="4" w:space="0" w:color="000000"/>
            </w:tcBorders>
            <w:shd w:val="clear" w:color="auto" w:fill="D2D2D2"/>
          </w:tcPr>
          <w:p>
            <w:pPr/>
          </w:p>
        </w:tc>
        <w:tc>
          <w:tcPr>
            <w:tcW w:w="1808" w:type="dxa"/>
            <w:vMerge/>
            <w:tcBorders>
              <w:left w:val="single" w:sz="4" w:space="0" w:color="000000"/>
              <w:right w:val="single" w:sz="4" w:space="0" w:color="000000"/>
            </w:tcBorders>
            <w:shd w:val="clear" w:color="auto" w:fill="D2D2D2"/>
          </w:tcPr>
          <w:p>
            <w:pPr/>
          </w:p>
        </w:tc>
        <w:tc>
          <w:tcPr>
            <w:tcW w:w="1736" w:type="dxa"/>
            <w:vMerge/>
            <w:tcBorders>
              <w:left w:val="single" w:sz="4" w:space="0" w:color="000000"/>
              <w:right w:val="single" w:sz="4" w:space="0" w:color="000000"/>
            </w:tcBorders>
            <w:shd w:val="clear" w:color="auto" w:fill="D2D2D2"/>
          </w:tcPr>
          <w:p>
            <w:pPr/>
          </w:p>
        </w:tc>
        <w:tc>
          <w:tcPr>
            <w:tcW w:w="145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69" w:right="89"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1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8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
              <w:jc w:val="righ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808" w:type="dxa"/>
            <w:vMerge/>
            <w:tcBorders>
              <w:left w:val="single" w:sz="4" w:space="0" w:color="000000"/>
              <w:right w:val="single" w:sz="4" w:space="0" w:color="000000"/>
            </w:tcBorders>
            <w:shd w:val="clear" w:color="auto" w:fill="D2D2D2"/>
          </w:tcPr>
          <w:p>
            <w:pPr/>
          </w:p>
        </w:tc>
        <w:tc>
          <w:tcPr>
            <w:tcW w:w="1736" w:type="dxa"/>
            <w:vMerge/>
            <w:tcBorders>
              <w:left w:val="single" w:sz="4" w:space="0" w:color="000000"/>
              <w:right w:val="single" w:sz="4" w:space="0" w:color="000000"/>
            </w:tcBorders>
            <w:shd w:val="clear" w:color="auto" w:fill="D2D2D2"/>
          </w:tcPr>
          <w:p>
            <w:pPr/>
          </w:p>
        </w:tc>
        <w:tc>
          <w:tcPr>
            <w:tcW w:w="1451"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123" w:type="dxa"/>
            <w:vMerge w:val="restart"/>
            <w:tcBorders>
              <w:top w:val="nil" w:sz="6" w:space="0" w:color="auto"/>
              <w:left w:val="single" w:sz="4" w:space="0" w:color="000000"/>
              <w:right w:val="single" w:sz="4" w:space="0" w:color="000000"/>
            </w:tcBorders>
            <w:shd w:val="clear" w:color="auto" w:fill="D2D2D2"/>
          </w:tcPr>
          <w:p>
            <w:pPr/>
          </w:p>
        </w:tc>
        <w:tc>
          <w:tcPr>
            <w:tcW w:w="1843" w:type="dxa"/>
            <w:vMerge w:val="restart"/>
            <w:tcBorders>
              <w:top w:val="nil" w:sz="6" w:space="0" w:color="auto"/>
              <w:left w:val="single" w:sz="4" w:space="0" w:color="000000"/>
              <w:right w:val="single" w:sz="4" w:space="0" w:color="000000"/>
            </w:tcBorders>
            <w:shd w:val="clear" w:color="auto" w:fill="D2D2D2"/>
          </w:tcPr>
          <w:p>
            <w:pPr/>
          </w:p>
        </w:tc>
        <w:tc>
          <w:tcPr>
            <w:tcW w:w="1808" w:type="dxa"/>
            <w:vMerge/>
            <w:tcBorders>
              <w:left w:val="single" w:sz="4" w:space="0" w:color="000000"/>
              <w:right w:val="single" w:sz="4" w:space="0" w:color="000000"/>
            </w:tcBorders>
            <w:shd w:val="clear" w:color="auto" w:fill="D2D2D2"/>
          </w:tcPr>
          <w:p>
            <w:pPr/>
          </w:p>
        </w:tc>
        <w:tc>
          <w:tcPr>
            <w:tcW w:w="1736" w:type="dxa"/>
            <w:vMerge/>
            <w:tcBorders>
              <w:left w:val="single" w:sz="4" w:space="0" w:color="000000"/>
              <w:right w:val="single" w:sz="4" w:space="0" w:color="000000"/>
            </w:tcBorders>
            <w:shd w:val="clear" w:color="auto" w:fill="D2D2D2"/>
          </w:tcPr>
          <w:p>
            <w:pPr/>
          </w:p>
        </w:tc>
        <w:tc>
          <w:tcPr>
            <w:tcW w:w="1451"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123"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808" w:type="dxa"/>
            <w:vMerge/>
            <w:tcBorders>
              <w:left w:val="single" w:sz="4" w:space="0" w:color="000000"/>
              <w:bottom w:val="single" w:sz="4" w:space="0" w:color="000000"/>
              <w:right w:val="single" w:sz="4" w:space="0" w:color="000000"/>
            </w:tcBorders>
            <w:shd w:val="clear" w:color="auto" w:fill="D2D2D2"/>
          </w:tcPr>
          <w:p>
            <w:pPr/>
          </w:p>
        </w:tc>
        <w:tc>
          <w:tcPr>
            <w:tcW w:w="1736" w:type="dxa"/>
            <w:vMerge/>
            <w:tcBorders>
              <w:left w:val="single" w:sz="4" w:space="0" w:color="000000"/>
              <w:bottom w:val="single" w:sz="4" w:space="0" w:color="000000"/>
              <w:right w:val="single" w:sz="4" w:space="0" w:color="000000"/>
            </w:tcBorders>
            <w:shd w:val="clear" w:color="auto" w:fill="D2D2D2"/>
          </w:tcPr>
          <w:p>
            <w:pPr/>
          </w:p>
        </w:tc>
        <w:tc>
          <w:tcPr>
            <w:tcW w:w="14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-307,286,709.04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27,703,170.80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111,363,644.76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24.88%</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14,402,537.50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70,686,419.86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20.38%</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1033"/>
        <w:jc w:val="left"/>
      </w:pPr>
      <w:r>
        <w:rPr/>
        <w:t>公司报告期内盈利且母公司可供普通股股东分配利润为正但未提出普通股现金红利分配预案</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1033"/>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1033"/>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7"/>
        </w:rPr>
        <w:t> </w:t>
      </w:r>
      <w:r>
        <w:rPr>
          <w:spacing w:val="-67"/>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253"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7" w:right="10"/>
              <w:jc w:val="left"/>
              <w:rPr>
                <w:rFonts w:ascii="宋体" w:hAnsi="宋体" w:cs="宋体" w:eastAsia="宋体" w:hint="default"/>
                <w:sz w:val="18"/>
                <w:szCs w:val="18"/>
              </w:rPr>
            </w:pPr>
            <w:r>
              <w:rPr>
                <w:rFonts w:ascii="宋体" w:hAnsi="宋体" w:cs="宋体" w:eastAsia="宋体" w:hint="default"/>
                <w:sz w:val="18"/>
                <w:szCs w:val="18"/>
              </w:rPr>
              <w:t>李健，王晋 敏，王熙春， 李飚</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为增强盈利 预测补偿的 操作性和可 </w:t>
            </w:r>
            <w:r>
              <w:rPr>
                <w:rFonts w:ascii="宋体" w:hAnsi="宋体" w:cs="宋体" w:eastAsia="宋体" w:hint="default"/>
                <w:spacing w:val="-2"/>
                <w:sz w:val="18"/>
                <w:szCs w:val="18"/>
              </w:rPr>
              <w:t>实现性，交易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对方各方承 诺在本次交 易中取得的 </w:t>
            </w:r>
            <w:r>
              <w:rPr>
                <w:rFonts w:ascii="宋体" w:hAnsi="宋体" w:cs="宋体" w:eastAsia="宋体" w:hint="default"/>
                <w:spacing w:val="-2"/>
                <w:sz w:val="18"/>
                <w:szCs w:val="18"/>
              </w:rPr>
              <w:t>股份，分三期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解除锁定：</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2017-01-12</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253"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729"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02" w:lineRule="auto"/>
              <w:ind w:left="17" w:right="141"/>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02" w:lineRule="auto"/>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公司上市后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年内若公司</w:t>
            </w:r>
          </w:p>
          <w:p>
            <w:pPr>
              <w:pStyle w:val="TableParagraph"/>
              <w:spacing w:line="312" w:lineRule="auto" w:before="13"/>
              <w:ind w:left="22" w:right="12"/>
              <w:jc w:val="left"/>
              <w:rPr>
                <w:rFonts w:ascii="宋体" w:hAnsi="宋体" w:cs="宋体" w:eastAsia="宋体" w:hint="default"/>
                <w:sz w:val="18"/>
                <w:szCs w:val="18"/>
              </w:rPr>
            </w:pPr>
            <w:r>
              <w:rPr>
                <w:rFonts w:ascii="宋体" w:hAnsi="宋体" w:cs="宋体" w:eastAsia="宋体" w:hint="default"/>
                <w:sz w:val="18"/>
                <w:szCs w:val="18"/>
              </w:rPr>
              <w:t>股价持续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个交易日低 于最近一期 每股净资产 时，将于该情 形出现</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 易日内拟定 增持计划，明 确增持数量、 方式和期限， 对外公告，并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日内完成增 </w:t>
            </w:r>
            <w:r>
              <w:rPr>
                <w:rFonts w:ascii="宋体" w:hAnsi="宋体" w:cs="宋体" w:eastAsia="宋体" w:hint="default"/>
                <w:spacing w:val="-13"/>
                <w:sz w:val="18"/>
                <w:szCs w:val="18"/>
              </w:rPr>
              <w:t>持计划。（</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 增持目的：对</w:t>
            </w:r>
            <w:r>
              <w:rPr>
                <w:rFonts w:ascii="宋体" w:hAnsi="宋体" w:cs="宋体" w:eastAsia="宋体" w:hint="default"/>
                <w:sz w:val="18"/>
                <w:szCs w:val="18"/>
              </w:rPr>
              <w:t> 公司未来发 展前景的信 心及稳定股 </w:t>
            </w:r>
            <w:r>
              <w:rPr>
                <w:rFonts w:ascii="宋体" w:hAnsi="宋体" w:cs="宋体" w:eastAsia="宋体" w:hint="default"/>
                <w:spacing w:val="-15"/>
                <w:sz w:val="18"/>
                <w:szCs w:val="18"/>
              </w:rPr>
              <w:t>价；（</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）增持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方式：集中竞</w:t>
            </w:r>
            <w:r>
              <w:rPr>
                <w:rFonts w:ascii="宋体" w:hAnsi="宋体" w:cs="宋体" w:eastAsia="宋体" w:hint="default"/>
                <w:sz w:val="18"/>
                <w:szCs w:val="18"/>
              </w:rPr>
              <w:t> </w:t>
            </w:r>
            <w:r>
              <w:rPr>
                <w:rFonts w:ascii="宋体" w:hAnsi="宋体" w:cs="宋体" w:eastAsia="宋体" w:hint="default"/>
                <w:spacing w:val="-13"/>
                <w:sz w:val="18"/>
                <w:szCs w:val="18"/>
              </w:rPr>
              <w:t>价交易；（</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w:t>
            </w:r>
            <w:r>
              <w:rPr>
                <w:rFonts w:ascii="宋体" w:hAnsi="宋体" w:cs="宋体" w:eastAsia="宋体" w:hint="default"/>
                <w:sz w:val="18"/>
                <w:szCs w:val="18"/>
              </w:rPr>
              <w:t> 增持股份数 量及比例：计</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2017-01-28</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729"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20013pt;margin-top:72.47998pt;width:62.1pt;height:392.1pt;mso-position-horizontal-relative:page;mso-position-vertical-relative:page;z-index:-10316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8"/>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85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划增持股份 数量不高于 公司股份总 数的</w:t>
            </w:r>
            <w:r>
              <w:rPr>
                <w:rFonts w:ascii="宋体" w:hAnsi="宋体" w:cs="宋体" w:eastAsia="宋体" w:hint="default"/>
                <w:spacing w:val="-45"/>
                <w:sz w:val="18"/>
                <w:szCs w:val="18"/>
              </w:rPr>
              <w:t> </w:t>
            </w:r>
            <w:r>
              <w:rPr>
                <w:rFonts w:ascii="Times New Roman" w:hAnsi="Times New Roman" w:cs="Times New Roman" w:eastAsia="Times New Roman" w:hint="default"/>
                <w:spacing w:val="-24"/>
                <w:sz w:val="18"/>
                <w:szCs w:val="18"/>
              </w:rPr>
              <w:t>2%</w:t>
            </w:r>
            <w:r>
              <w:rPr>
                <w:rFonts w:ascii="宋体" w:hAnsi="宋体" w:cs="宋体" w:eastAsia="宋体" w:hint="default"/>
                <w:spacing w:val="-24"/>
                <w:sz w:val="18"/>
                <w:szCs w:val="18"/>
              </w:rPr>
              <w:t>；（</w:t>
            </w:r>
            <w:r>
              <w:rPr>
                <w:rFonts w:ascii="Times New Roman" w:hAnsi="Times New Roman" w:cs="Times New Roman" w:eastAsia="Times New Roman" w:hint="default"/>
                <w:spacing w:val="-24"/>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其他事项：增 持行为严格 遵守《证券 </w:t>
            </w:r>
            <w:r>
              <w:rPr>
                <w:rFonts w:ascii="宋体" w:hAnsi="宋体" w:cs="宋体" w:eastAsia="宋体" w:hint="default"/>
                <w:spacing w:val="-30"/>
                <w:sz w:val="18"/>
                <w:szCs w:val="18"/>
              </w:rPr>
              <w:t>法》、《公司</w:t>
            </w:r>
            <w:r>
              <w:rPr>
                <w:rFonts w:ascii="宋体" w:hAnsi="宋体" w:cs="宋体" w:eastAsia="宋体" w:hint="default"/>
                <w:sz w:val="18"/>
                <w:szCs w:val="18"/>
              </w:rPr>
              <w:t> 法》以及其他 法律法规的 相关规定，在 增持期间及 法定期限内 不减持其所 持有的公司 股份。如未履 行上述承诺 事项，归属于 控股股东和 实际控制人 的当年上市 公司现金分 红收益归上 市公司所有。</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784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6"/>
                <w:sz w:val="20"/>
                <w:szCs w:val="20"/>
              </w:rPr>
              <w:pict>
                <v:group style="width:55.85pt;height:392.1pt;mso-position-horizontal-relative:char;mso-position-vertical-relative:line" coordorigin="0,0" coordsize="1117,7842">
                  <v:group style="position:absolute;left:0;top:0;width:1117;height:7842" coordorigin="0,0" coordsize="1117,7842">
                    <v:shape style="position:absolute;left:0;top:0;width:1117;height:7842" coordorigin="0,0" coordsize="1117,7842" path="m0,7842l1116,7842,1116,0,0,0,0,7842xe" filled="true" fillcolor="#ffffff" stroked="false">
                      <v:path arrowok="t"/>
                      <v:fill type="solid"/>
                    </v:shape>
                  </v:group>
                </v:group>
              </w:pict>
            </w:r>
            <w:r>
              <w:rPr>
                <w:rFonts w:ascii="Times New Roman" w:hAnsi="Times New Roman" w:cs="Times New Roman" w:eastAsia="Times New Roman" w:hint="default"/>
                <w:position w:val="-156"/>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北京东方通 科技股份有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02" w:lineRule="auto"/>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控股股东、实</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际控制人增 持公司股票 的计划实施 </w:t>
            </w:r>
            <w:r>
              <w:rPr>
                <w:rFonts w:ascii="宋体" w:hAnsi="宋体" w:cs="宋体" w:eastAsia="宋体" w:hint="default"/>
                <w:spacing w:val="-2"/>
                <w:sz w:val="18"/>
                <w:szCs w:val="18"/>
              </w:rPr>
              <w:t>完毕，公司股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价仍低于最 近一期每股 </w:t>
            </w:r>
            <w:r>
              <w:rPr>
                <w:rFonts w:ascii="宋体" w:hAnsi="宋体" w:cs="宋体" w:eastAsia="宋体" w:hint="default"/>
                <w:spacing w:val="-2"/>
                <w:sz w:val="18"/>
                <w:szCs w:val="18"/>
              </w:rPr>
              <w:t>净资产时，董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事会应在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交易日内参 照公司股价 表现并结合 公司经营状 况确定回购 价格和数量 </w:t>
            </w:r>
            <w:r>
              <w:rPr>
                <w:rFonts w:ascii="宋体" w:hAnsi="宋体" w:cs="宋体" w:eastAsia="宋体" w:hint="default"/>
                <w:spacing w:val="-2"/>
                <w:sz w:val="18"/>
                <w:szCs w:val="18"/>
              </w:rPr>
              <w:t>区间，拟定回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购股份的方 </w:t>
            </w:r>
            <w:r>
              <w:rPr>
                <w:rFonts w:ascii="宋体" w:hAnsi="宋体" w:cs="宋体" w:eastAsia="宋体" w:hint="default"/>
                <w:spacing w:val="-2"/>
                <w:sz w:val="18"/>
                <w:szCs w:val="18"/>
              </w:rPr>
              <w:t>案，回购方案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经股东大会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2017-01-28</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9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审议通过后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w:t>
            </w:r>
            <w:r>
              <w:rPr>
                <w:rFonts w:ascii="宋体" w:hAnsi="宋体" w:cs="宋体" w:eastAsia="宋体" w:hint="default"/>
                <w:spacing w:val="-2"/>
                <w:sz w:val="18"/>
                <w:szCs w:val="18"/>
              </w:rPr>
              <w:t>内，由公司按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照相关规定 在二级市场 回购公司股 </w:t>
            </w:r>
            <w:r>
              <w:rPr>
                <w:rFonts w:ascii="宋体" w:hAnsi="宋体" w:cs="宋体" w:eastAsia="宋体" w:hint="default"/>
                <w:spacing w:val="-2"/>
                <w:sz w:val="18"/>
                <w:szCs w:val="18"/>
              </w:rPr>
              <w:t>份，回购的股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份将予以注 </w:t>
            </w:r>
            <w:r>
              <w:rPr>
                <w:rFonts w:ascii="宋体" w:hAnsi="宋体" w:cs="宋体" w:eastAsia="宋体" w:hint="default"/>
                <w:spacing w:val="-2"/>
                <w:sz w:val="18"/>
                <w:szCs w:val="18"/>
              </w:rPr>
              <w:t>销。回购结果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应不导致公 司股权分布 及股本规模 不符合上市 </w:t>
            </w:r>
            <w:r>
              <w:rPr>
                <w:rFonts w:ascii="宋体" w:hAnsi="宋体" w:cs="宋体" w:eastAsia="宋体" w:hint="default"/>
                <w:spacing w:val="-2"/>
                <w:sz w:val="18"/>
                <w:szCs w:val="18"/>
              </w:rPr>
              <w:t>条件。回购期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间，如遇除权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除息，回购价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格作相应调 </w:t>
            </w:r>
            <w:r>
              <w:rPr>
                <w:rFonts w:ascii="宋体" w:hAnsi="宋体" w:cs="宋体" w:eastAsia="宋体" w:hint="default"/>
                <w:spacing w:val="-2"/>
                <w:sz w:val="18"/>
                <w:szCs w:val="18"/>
              </w:rPr>
              <w:t>整。如未履行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上述承诺，则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依法赔偿投</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资者的损失。</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陈世英</w:t>
            </w:r>
            <w:r>
              <w:rPr>
                <w:rFonts w:ascii="Times New Roman" w:hAnsi="Times New Roman" w:cs="Times New Roman" w:eastAsia="Times New Roman" w:hint="default"/>
                <w:sz w:val="18"/>
                <w:szCs w:val="18"/>
              </w:rPr>
              <w:t>;</w:t>
            </w:r>
            <w:r>
              <w:rPr>
                <w:rFonts w:ascii="宋体" w:hAnsi="宋体" w:cs="宋体" w:eastAsia="宋体" w:hint="default"/>
                <w:sz w:val="18"/>
                <w:szCs w:val="18"/>
              </w:rPr>
              <w:t>陈旭</w:t>
            </w:r>
            <w:r>
              <w:rPr>
                <w:rFonts w:ascii="Times New Roman" w:hAnsi="Times New Roman" w:cs="Times New Roman" w:eastAsia="Times New Roman" w:hint="default"/>
                <w:sz w:val="18"/>
                <w:szCs w:val="18"/>
              </w:rPr>
              <w:t>; </w:t>
            </w:r>
            <w:r>
              <w:rPr>
                <w:rFonts w:ascii="宋体" w:hAnsi="宋体" w:cs="宋体" w:eastAsia="宋体" w:hint="default"/>
                <w:sz w:val="18"/>
                <w:szCs w:val="18"/>
              </w:rPr>
              <w:t>李春青</w:t>
            </w:r>
            <w:r>
              <w:rPr>
                <w:rFonts w:ascii="Times New Roman" w:hAnsi="Times New Roman" w:cs="Times New Roman" w:eastAsia="Times New Roman" w:hint="default"/>
                <w:sz w:val="18"/>
                <w:szCs w:val="18"/>
              </w:rPr>
              <w:t>;</w:t>
            </w:r>
            <w:r>
              <w:rPr>
                <w:rFonts w:ascii="宋体" w:hAnsi="宋体" w:cs="宋体" w:eastAsia="宋体" w:hint="default"/>
                <w:sz w:val="18"/>
                <w:szCs w:val="18"/>
              </w:rPr>
              <w:t>刘川</w:t>
            </w:r>
            <w:r>
              <w:rPr>
                <w:rFonts w:ascii="Times New Roman" w:hAnsi="Times New Roman" w:cs="Times New Roman" w:eastAsia="Times New Roman" w:hint="default"/>
                <w:sz w:val="18"/>
                <w:szCs w:val="18"/>
              </w:rPr>
              <w:t>; </w:t>
            </w:r>
            <w:r>
              <w:rPr>
                <w:rFonts w:ascii="宋体" w:hAnsi="宋体" w:cs="宋体" w:eastAsia="宋体" w:hint="default"/>
                <w:sz w:val="18"/>
                <w:szCs w:val="18"/>
              </w:rPr>
              <w:t>孙亚明</w:t>
            </w:r>
            <w:r>
              <w:rPr>
                <w:rFonts w:ascii="Times New Roman" w:hAnsi="Times New Roman" w:cs="Times New Roman" w:eastAsia="Times New Roman" w:hint="default"/>
                <w:sz w:val="18"/>
                <w:szCs w:val="18"/>
              </w:rPr>
              <w:t>;</w:t>
            </w:r>
            <w:r>
              <w:rPr>
                <w:rFonts w:ascii="宋体" w:hAnsi="宋体" w:cs="宋体" w:eastAsia="宋体" w:hint="default"/>
                <w:sz w:val="18"/>
                <w:szCs w:val="18"/>
              </w:rPr>
              <w:t>徐少 璞</w:t>
            </w:r>
            <w:r>
              <w:rPr>
                <w:rFonts w:ascii="Times New Roman" w:hAnsi="Times New Roman" w:cs="Times New Roman" w:eastAsia="Times New Roman" w:hint="default"/>
                <w:sz w:val="18"/>
                <w:szCs w:val="18"/>
              </w:rPr>
              <w:t>;</w:t>
            </w:r>
            <w:r>
              <w:rPr>
                <w:rFonts w:ascii="宋体" w:hAnsi="宋体" w:cs="宋体" w:eastAsia="宋体" w:hint="default"/>
                <w:sz w:val="18"/>
                <w:szCs w:val="18"/>
              </w:rPr>
              <w:t>徐志东</w:t>
            </w:r>
            <w:r>
              <w:rPr>
                <w:rFonts w:ascii="Times New Roman" w:hAnsi="Times New Roman" w:cs="Times New Roman" w:eastAsia="Times New Roman" w:hint="default"/>
                <w:sz w:val="18"/>
                <w:szCs w:val="18"/>
              </w:rPr>
              <w:t>;</w:t>
            </w:r>
            <w:r>
              <w:rPr>
                <w:rFonts w:ascii="宋体" w:hAnsi="宋体" w:cs="宋体" w:eastAsia="宋体" w:hint="default"/>
                <w:sz w:val="18"/>
                <w:szCs w:val="18"/>
              </w:rPr>
              <w:t>朱 律玮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02" w:lineRule="auto"/>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控股股东、实</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际控制人增 持公司股票 以及公司回 购股票的计 划实施完毕， 公司股价仍 低于最近一 期每股净资 产时，公司董</w:t>
            </w:r>
            <w:r>
              <w:rPr>
                <w:rFonts w:ascii="宋体" w:hAnsi="宋体" w:cs="宋体" w:eastAsia="宋体" w:hint="default"/>
                <w:sz w:val="18"/>
                <w:szCs w:val="18"/>
              </w:rPr>
              <w:t> 事和高级管 理人员承诺： 该情形出现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个交易日内， 依照公司内 部决策程序， 拟定增持计 划，明确增持 数量、方式和 期限，对外公 告，并于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个交易日内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2017-01-28</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20013pt;margin-top:72.47998pt;width:62.1pt;height:579.3pt;mso-position-horizontal-relative:page;mso-position-vertical-relative:page;z-index:-10316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8"/>
                    <w:ind w:left="0" w:right="0"/>
                    <w:jc w:val="left"/>
                  </w:pPr>
                  <w:r>
                    <w:rPr/>
                    <w:t>）</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5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完成增持计 </w:t>
            </w:r>
            <w:r>
              <w:rPr>
                <w:rFonts w:ascii="宋体" w:hAnsi="宋体" w:cs="宋体" w:eastAsia="宋体" w:hint="default"/>
                <w:spacing w:val="-15"/>
                <w:sz w:val="18"/>
                <w:szCs w:val="18"/>
              </w:rPr>
              <w:t>划。（</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）增持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方式：集中竞</w:t>
            </w:r>
            <w:r>
              <w:rPr>
                <w:rFonts w:ascii="宋体" w:hAnsi="宋体" w:cs="宋体" w:eastAsia="宋体" w:hint="default"/>
                <w:sz w:val="18"/>
                <w:szCs w:val="18"/>
              </w:rPr>
              <w:t> </w:t>
            </w:r>
            <w:r>
              <w:rPr>
                <w:rFonts w:ascii="宋体" w:hAnsi="宋体" w:cs="宋体" w:eastAsia="宋体" w:hint="default"/>
                <w:spacing w:val="-13"/>
                <w:sz w:val="18"/>
                <w:szCs w:val="18"/>
              </w:rPr>
              <w:t>价交易；（</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增持股份数 量及比例：计</w:t>
            </w:r>
            <w:r>
              <w:rPr>
                <w:rFonts w:ascii="宋体" w:hAnsi="宋体" w:cs="宋体" w:eastAsia="宋体" w:hint="default"/>
                <w:sz w:val="18"/>
                <w:szCs w:val="18"/>
              </w:rPr>
              <w:t> 划增持股份 数量不高于 公司股份总 数的</w:t>
            </w:r>
            <w:r>
              <w:rPr>
                <w:rFonts w:ascii="宋体" w:hAnsi="宋体" w:cs="宋体" w:eastAsia="宋体" w:hint="default"/>
                <w:spacing w:val="-45"/>
                <w:sz w:val="18"/>
                <w:szCs w:val="18"/>
              </w:rPr>
              <w:t> </w:t>
            </w:r>
            <w:r>
              <w:rPr>
                <w:rFonts w:ascii="Times New Roman" w:hAnsi="Times New Roman" w:cs="Times New Roman" w:eastAsia="Times New Roman" w:hint="default"/>
                <w:spacing w:val="-24"/>
                <w:sz w:val="18"/>
                <w:szCs w:val="18"/>
              </w:rPr>
              <w:t>2%</w:t>
            </w:r>
            <w:r>
              <w:rPr>
                <w:rFonts w:ascii="宋体" w:hAnsi="宋体" w:cs="宋体" w:eastAsia="宋体" w:hint="default"/>
                <w:spacing w:val="-24"/>
                <w:sz w:val="18"/>
                <w:szCs w:val="18"/>
              </w:rPr>
              <w:t>；（</w:t>
            </w:r>
            <w:r>
              <w:rPr>
                <w:rFonts w:ascii="Times New Roman" w:hAnsi="Times New Roman" w:cs="Times New Roman" w:eastAsia="Times New Roman" w:hint="default"/>
                <w:spacing w:val="-24"/>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其他事项：增 持行为严格 遵守《证券 </w:t>
            </w:r>
            <w:r>
              <w:rPr>
                <w:rFonts w:ascii="宋体" w:hAnsi="宋体" w:cs="宋体" w:eastAsia="宋体" w:hint="default"/>
                <w:spacing w:val="-30"/>
                <w:sz w:val="18"/>
                <w:szCs w:val="18"/>
              </w:rPr>
              <w:t>法》、《公司</w:t>
            </w:r>
            <w:r>
              <w:rPr>
                <w:rFonts w:ascii="宋体" w:hAnsi="宋体" w:cs="宋体" w:eastAsia="宋体" w:hint="default"/>
                <w:sz w:val="18"/>
                <w:szCs w:val="18"/>
              </w:rPr>
              <w:t> 法》以及其他 法律法规的 相关规定，在 增持期间及 法定期限内 不减持其所 持有的公司 股份。上述承 诺对公司上</w:t>
            </w:r>
          </w:p>
          <w:p>
            <w:pPr>
              <w:pStyle w:val="TableParagraph"/>
              <w:spacing w:line="316"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年内新聘 任的董事和 高级管理人 员具有同等 约束力。如未 履行上述承 诺事项，归属 于董事和高 级管理人员 的当年上市 公司现金分 红收益归上 市公司所有。</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158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1"/>
                <w:sz w:val="20"/>
                <w:szCs w:val="20"/>
              </w:rPr>
              <w:pict>
                <v:group style="width:55.85pt;height:579.3pt;mso-position-horizontal-relative:char;mso-position-vertical-relative:line" coordorigin="0,0" coordsize="1117,11586">
                  <v:group style="position:absolute;left:0;top:0;width:1117;height:11586" coordorigin="0,0" coordsize="1117,11586">
                    <v:shape style="position:absolute;left:0;top:0;width:1117;height:11586" coordorigin="0,0" coordsize="1117,11586" path="m0,11586l1116,11586,1116,0,0,0,0,11586xe" filled="true" fillcolor="#ffffff" stroked="false">
                      <v:path arrowok="t"/>
                      <v:fill type="solid"/>
                    </v:shape>
                  </v:group>
                </v:group>
              </w:pict>
            </w:r>
            <w:r>
              <w:rPr>
                <w:rFonts w:ascii="Times New Roman" w:hAnsi="Times New Roman" w:cs="Times New Roman" w:eastAsia="Times New Roman" w:hint="default"/>
                <w:position w:val="-231"/>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东华软件股 份公司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自东方通股 票上市之日 起十二个月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者委托他人 管理我公司 本次发行前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2017-01-28</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53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已持有的东 方通的股份， 也不由东方 通回购我公 司持有的上 述股份。所持 东方通股份 在锁定期满</w:t>
            </w:r>
          </w:p>
          <w:p>
            <w:pPr>
              <w:pStyle w:val="TableParagraph"/>
              <w:spacing w:line="314"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年内减持 的，每年减持 的股份合计 不超过其所 持有的东方 通股份数的 百分之二十 五，减持价格 不低于发行 价（如遇除权 除息，减持价 格进行相应 </w:t>
            </w:r>
            <w:r>
              <w:rPr>
                <w:rFonts w:ascii="宋体" w:hAnsi="宋体" w:cs="宋体" w:eastAsia="宋体" w:hint="default"/>
                <w:spacing w:val="-15"/>
                <w:sz w:val="18"/>
                <w:szCs w:val="18"/>
              </w:rPr>
              <w:t>调整），且将</w:t>
            </w:r>
            <w:r>
              <w:rPr>
                <w:rFonts w:ascii="宋体" w:hAnsi="宋体" w:cs="宋体" w:eastAsia="宋体" w:hint="default"/>
                <w:sz w:val="18"/>
                <w:szCs w:val="18"/>
              </w:rPr>
              <w:t> 提前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 日予以公告。</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牛合庆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自东方通股 票上市之日 起十二个月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者委托他人 管理本人本 次发行前已 持有的东方 </w:t>
            </w:r>
            <w:r>
              <w:rPr>
                <w:rFonts w:ascii="宋体" w:hAnsi="宋体" w:cs="宋体" w:eastAsia="宋体" w:hint="default"/>
                <w:spacing w:val="-2"/>
                <w:sz w:val="18"/>
                <w:szCs w:val="18"/>
              </w:rPr>
              <w:t>通的股份，也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不由东方通 回购本人持 有的上述股 </w:t>
            </w:r>
            <w:r>
              <w:rPr>
                <w:rFonts w:ascii="宋体" w:hAnsi="宋体" w:cs="宋体" w:eastAsia="宋体" w:hint="default"/>
                <w:spacing w:val="-2"/>
                <w:sz w:val="18"/>
                <w:szCs w:val="18"/>
              </w:rPr>
              <w:t>份。所持东方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通股份在锁 定期满后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 </w:t>
            </w:r>
            <w:r>
              <w:rPr>
                <w:rFonts w:ascii="宋体" w:hAnsi="宋体" w:cs="宋体" w:eastAsia="宋体" w:hint="default"/>
                <w:spacing w:val="-2"/>
                <w:sz w:val="18"/>
                <w:szCs w:val="18"/>
              </w:rPr>
              <w:t>内减持的，每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年减持的股 份合计不超 过其所持有 的东方通股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Times New Roman" w:hAnsi="Times New Roman" w:cs="Times New Roman" w:eastAsia="Times New Roman" w:hint="default"/>
                <w:sz w:val="18"/>
                <w:szCs w:val="18"/>
              </w:rPr>
            </w:pPr>
            <w:r>
              <w:rPr>
                <w:rFonts w:ascii="Times New Roman"/>
                <w:sz w:val="18"/>
              </w:rPr>
              <w:t>2017-01-28</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1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份数的百分 之二十五，减 持价格不低 于发行价（如 遇除权除息， 减持价格进 行相应调 </w:t>
            </w:r>
            <w:r>
              <w:rPr>
                <w:rFonts w:ascii="宋体" w:hAnsi="宋体" w:cs="宋体" w:eastAsia="宋体" w:hint="default"/>
                <w:spacing w:val="-15"/>
                <w:sz w:val="18"/>
                <w:szCs w:val="18"/>
              </w:rPr>
              <w:t>整），且将提</w:t>
            </w:r>
            <w:r>
              <w:rPr>
                <w:rFonts w:ascii="宋体" w:hAnsi="宋体" w:cs="宋体" w:eastAsia="宋体" w:hint="default"/>
                <w:sz w:val="18"/>
                <w:szCs w:val="18"/>
              </w:rPr>
              <w:t> 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个交易日 予以公告。</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6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10"/>
              <w:jc w:val="left"/>
              <w:rPr>
                <w:rFonts w:ascii="宋体" w:hAnsi="宋体" w:cs="宋体" w:eastAsia="宋体" w:hint="default"/>
                <w:sz w:val="18"/>
                <w:szCs w:val="18"/>
              </w:rPr>
            </w:pPr>
            <w:r>
              <w:rPr>
                <w:rFonts w:ascii="宋体" w:hAnsi="宋体" w:cs="宋体" w:eastAsia="宋体" w:hint="default"/>
                <w:sz w:val="18"/>
                <w:szCs w:val="18"/>
              </w:rPr>
              <w:t>李春青，徐少 璞，徐志东， 陈旭，陈世 英，刘川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自东方通股 票上市之日 起的三十六 个月内，不转 让或委托他 人管理本人 所直接或间 接持有的东 方通股份，也 不由东方通 回购本人所 直接或间接 持有的东方 通股份；前述 锁定期满后， 在担任东方 通董事（或监 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 人员）期间， 每年转让的 股份不超过 本人所持有 的东方通股 份总数的百 分之二十五； 在申报离职 后半年内不 转让本人所 持有的东方 通股份；所持 东方通股票 在锁定期满 后两年内减 持的，减持价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2017-01-28</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09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格不低于发 行价；东方通 上市后六个 月内如东方 通股票连续 二十个交易 日的收盘价 均低于发行 价，或者上市 后六个月期 末收盘价低 于发行价，持 有东方通股 票的锁定期 限自动延长 六个月。如遇 除权除息，上 述减持价格 及收盘价均 作相应调整。 上述承诺不 因职务变更 或离职等原 因而失效。如 未履行上述 承诺，转让相 关股份所取 得的收益归 东方通所有。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3" w:right="21"/>
              <w:jc w:val="both"/>
              <w:rPr>
                <w:rFonts w:ascii="宋体" w:hAnsi="宋体" w:cs="宋体" w:eastAsia="宋体" w:hint="default"/>
                <w:sz w:val="18"/>
                <w:szCs w:val="18"/>
              </w:rPr>
            </w:pPr>
            <w:r>
              <w:rPr>
                <w:rFonts w:ascii="宋体" w:hAnsi="宋体" w:cs="宋体" w:eastAsia="宋体" w:hint="default"/>
                <w:spacing w:val="-2"/>
                <w:sz w:val="18"/>
                <w:szCs w:val="18"/>
              </w:rPr>
              <w:t>张齐春，朱海</w:t>
            </w:r>
            <w:r>
              <w:rPr>
                <w:rFonts w:ascii="宋体" w:hAnsi="宋体" w:cs="宋体" w:eastAsia="宋体" w:hint="default"/>
                <w:sz w:val="18"/>
                <w:szCs w:val="18"/>
              </w:rPr>
              <w:t> </w:t>
            </w:r>
            <w:r>
              <w:rPr>
                <w:rFonts w:ascii="宋体" w:hAnsi="宋体" w:cs="宋体" w:eastAsia="宋体" w:hint="default"/>
                <w:spacing w:val="-2"/>
                <w:sz w:val="18"/>
                <w:szCs w:val="18"/>
              </w:rPr>
              <w:t>东，朱曼，朱</w:t>
            </w:r>
            <w:r>
              <w:rPr>
                <w:rFonts w:ascii="宋体" w:hAnsi="宋体" w:cs="宋体" w:eastAsia="宋体" w:hint="default"/>
                <w:sz w:val="18"/>
                <w:szCs w:val="18"/>
              </w:rPr>
              <w:t> </w:t>
            </w:r>
            <w:r>
              <w:rPr>
                <w:rFonts w:ascii="宋体" w:hAnsi="宋体" w:cs="宋体" w:eastAsia="宋体" w:hint="default"/>
                <w:spacing w:val="-2"/>
                <w:sz w:val="18"/>
                <w:szCs w:val="18"/>
              </w:rPr>
              <w:t>律玮，孙亚明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自东方通 股票上市之 日起的三十 六个月内，不 转让或委托 他人管理本 人所直接或 间接持有的 东方通股份， 也不由东方 通回购本人 所直接或间 接持有的东 </w:t>
            </w:r>
            <w:r>
              <w:rPr>
                <w:rFonts w:ascii="宋体" w:hAnsi="宋体" w:cs="宋体" w:eastAsia="宋体" w:hint="default"/>
                <w:spacing w:val="-4"/>
                <w:sz w:val="18"/>
                <w:szCs w:val="18"/>
              </w:rPr>
              <w:t>方通股份；前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述锁定期满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2019-01-28</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后，在担任东</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方通董事（或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理人员）期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间，每年转让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的股份不超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过本人所持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百分之二十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五；在申报离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职后半年内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不转让本人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所持有的东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方通股份；所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持东方通股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票在锁定期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满后两年内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减持的，减持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通上市后六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个月内如东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方通股票连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续二十个交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价均低于发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行价，或者上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期限自动延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长六个月。如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遇除权除息，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上述减持价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格及收盘价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均作相应调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不因职务变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更或离职等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原因而失效。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如未履行上</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78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述承诺，转让 相关股份所 取得的收益 归东方通所 有。</w:t>
            </w:r>
            <w:r>
              <w:rPr>
                <w:rFonts w:ascii="Times New Roman" w:hAnsi="Times New Roman" w:cs="Times New Roman" w:eastAsia="Times New Roman" w:hint="default"/>
                <w:sz w:val="18"/>
                <w:szCs w:val="18"/>
              </w:rPr>
              <w:t>2.</w:t>
            </w:r>
            <w:r>
              <w:rPr>
                <w:rFonts w:ascii="宋体" w:hAnsi="宋体" w:cs="宋体" w:eastAsia="宋体" w:hint="default"/>
                <w:sz w:val="18"/>
                <w:szCs w:val="18"/>
              </w:rPr>
              <w:t>所持东 方通股份在 锁定期满后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年内减持的， 每年减持的 股份合计不 超过其所持 有的东方通 股份数的百 分之二十五， 减持价格不 低于发行价</w:t>
            </w:r>
          </w:p>
          <w:p>
            <w:pPr>
              <w:pStyle w:val="TableParagraph"/>
              <w:spacing w:line="316" w:lineRule="auto" w:before="19"/>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（如遇除权 除息，减持价 格进行相应 </w:t>
            </w:r>
            <w:r>
              <w:rPr>
                <w:rFonts w:ascii="宋体" w:hAnsi="宋体" w:cs="宋体" w:eastAsia="宋体" w:hint="default"/>
                <w:spacing w:val="-15"/>
                <w:sz w:val="18"/>
                <w:szCs w:val="18"/>
              </w:rPr>
              <w:t>调整），且将</w:t>
            </w:r>
            <w:r>
              <w:rPr>
                <w:rFonts w:ascii="宋体" w:hAnsi="宋体" w:cs="宋体" w:eastAsia="宋体" w:hint="default"/>
                <w:sz w:val="18"/>
                <w:szCs w:val="18"/>
              </w:rPr>
              <w:t> 提前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 日予以公告。 如未履行上 述承诺，转让 相关股份所 取得的收益 归东方通所 有。</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07" w:lineRule="auto"/>
              <w:ind w:left="23" w:right="22"/>
              <w:jc w:val="left"/>
              <w:rPr>
                <w:rFonts w:ascii="宋体" w:hAnsi="宋体" w:cs="宋体" w:eastAsia="宋体" w:hint="default"/>
                <w:sz w:val="18"/>
                <w:szCs w:val="18"/>
              </w:rPr>
            </w:pPr>
            <w:r>
              <w:rPr>
                <w:rFonts w:ascii="宋体" w:hAnsi="宋体" w:cs="宋体" w:eastAsia="宋体" w:hint="default"/>
                <w:sz w:val="18"/>
                <w:szCs w:val="18"/>
              </w:rPr>
              <w:t>陈世英</w:t>
            </w:r>
            <w:r>
              <w:rPr>
                <w:rFonts w:ascii="Times New Roman" w:hAnsi="Times New Roman" w:cs="Times New Roman" w:eastAsia="Times New Roman" w:hint="default"/>
                <w:sz w:val="18"/>
                <w:szCs w:val="18"/>
              </w:rPr>
              <w:t>;</w:t>
            </w:r>
            <w:r>
              <w:rPr>
                <w:rFonts w:ascii="宋体" w:hAnsi="宋体" w:cs="宋体" w:eastAsia="宋体" w:hint="default"/>
                <w:sz w:val="18"/>
                <w:szCs w:val="18"/>
              </w:rPr>
              <w:t>陈旭</w:t>
            </w:r>
            <w:r>
              <w:rPr>
                <w:rFonts w:ascii="Times New Roman" w:hAnsi="Times New Roman" w:cs="Times New Roman" w:eastAsia="Times New Roman" w:hint="default"/>
                <w:sz w:val="18"/>
                <w:szCs w:val="18"/>
              </w:rPr>
              <w:t>; </w:t>
            </w:r>
            <w:r>
              <w:rPr>
                <w:rFonts w:ascii="宋体" w:hAnsi="宋体" w:cs="宋体" w:eastAsia="宋体" w:hint="default"/>
                <w:sz w:val="18"/>
                <w:szCs w:val="18"/>
              </w:rPr>
              <w:t>东华软件股 份公司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李春 青</w:t>
            </w:r>
            <w:r>
              <w:rPr>
                <w:rFonts w:ascii="Times New Roman" w:hAnsi="Times New Roman" w:cs="Times New Roman" w:eastAsia="Times New Roman" w:hint="default"/>
                <w:sz w:val="18"/>
                <w:szCs w:val="18"/>
              </w:rPr>
              <w:t>;</w:t>
            </w:r>
            <w:r>
              <w:rPr>
                <w:rFonts w:ascii="宋体" w:hAnsi="宋体" w:cs="宋体" w:eastAsia="宋体" w:hint="default"/>
                <w:sz w:val="18"/>
                <w:szCs w:val="18"/>
              </w:rPr>
              <w:t>刘川</w:t>
            </w:r>
            <w:r>
              <w:rPr>
                <w:rFonts w:ascii="Times New Roman" w:hAnsi="Times New Roman" w:cs="Times New Roman" w:eastAsia="Times New Roman" w:hint="default"/>
                <w:sz w:val="18"/>
                <w:szCs w:val="18"/>
              </w:rPr>
              <w:t>;</w:t>
            </w:r>
            <w:r>
              <w:rPr>
                <w:rFonts w:ascii="宋体" w:hAnsi="宋体" w:cs="宋体" w:eastAsia="宋体" w:hint="default"/>
                <w:sz w:val="18"/>
                <w:szCs w:val="18"/>
              </w:rPr>
              <w:t>牛合 庆</w:t>
            </w:r>
            <w:r>
              <w:rPr>
                <w:rFonts w:ascii="Times New Roman" w:hAnsi="Times New Roman" w:cs="Times New Roman" w:eastAsia="Times New Roman" w:hint="default"/>
                <w:sz w:val="18"/>
                <w:szCs w:val="18"/>
              </w:rPr>
              <w:t>;</w:t>
            </w:r>
            <w:r>
              <w:rPr>
                <w:rFonts w:ascii="宋体" w:hAnsi="宋体" w:cs="宋体" w:eastAsia="宋体" w:hint="default"/>
                <w:sz w:val="18"/>
                <w:szCs w:val="18"/>
              </w:rPr>
              <w:t>孙亚明</w:t>
            </w:r>
            <w:r>
              <w:rPr>
                <w:rFonts w:ascii="Times New Roman" w:hAnsi="Times New Roman" w:cs="Times New Roman" w:eastAsia="Times New Roman" w:hint="default"/>
                <w:sz w:val="18"/>
                <w:szCs w:val="18"/>
              </w:rPr>
              <w:t>;</w:t>
            </w:r>
            <w:r>
              <w:rPr>
                <w:rFonts w:ascii="宋体" w:hAnsi="宋体" w:cs="宋体" w:eastAsia="宋体" w:hint="default"/>
                <w:sz w:val="18"/>
                <w:szCs w:val="18"/>
              </w:rPr>
              <w:t>徐 少璞</w:t>
            </w:r>
            <w:r>
              <w:rPr>
                <w:rFonts w:ascii="Times New Roman" w:hAnsi="Times New Roman" w:cs="Times New Roman" w:eastAsia="Times New Roman" w:hint="default"/>
                <w:sz w:val="18"/>
                <w:szCs w:val="18"/>
              </w:rPr>
              <w:t>;</w:t>
            </w:r>
            <w:r>
              <w:rPr>
                <w:rFonts w:ascii="宋体" w:hAnsi="宋体" w:cs="宋体" w:eastAsia="宋体" w:hint="default"/>
                <w:sz w:val="18"/>
                <w:szCs w:val="18"/>
              </w:rPr>
              <w:t>徐志东</w:t>
            </w:r>
            <w:r>
              <w:rPr>
                <w:rFonts w:ascii="Times New Roman" w:hAnsi="Times New Roman" w:cs="Times New Roman" w:eastAsia="Times New Roman" w:hint="default"/>
                <w:sz w:val="18"/>
                <w:szCs w:val="18"/>
              </w:rPr>
              <w:t>; </w:t>
            </w:r>
            <w:r>
              <w:rPr>
                <w:rFonts w:ascii="宋体" w:hAnsi="宋体" w:cs="宋体" w:eastAsia="宋体" w:hint="default"/>
                <w:sz w:val="18"/>
                <w:szCs w:val="18"/>
              </w:rPr>
              <w:t>盈富泰克创 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涌金实 </w:t>
            </w:r>
            <w:r>
              <w:rPr>
                <w:rFonts w:ascii="宋体" w:hAnsi="宋体" w:cs="宋体" w:eastAsia="宋体" w:hint="default"/>
                <w:spacing w:val="-2"/>
                <w:sz w:val="18"/>
                <w:szCs w:val="18"/>
              </w:rPr>
              <w:t>业（集团）有</w:t>
            </w:r>
            <w:r>
              <w:rPr>
                <w:rFonts w:ascii="宋体" w:hAnsi="宋体" w:cs="宋体" w:eastAsia="宋体" w:hint="default"/>
                <w:sz w:val="18"/>
                <w:szCs w:val="18"/>
              </w:rPr>
              <w:t>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张齐 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朱海东</w:t>
            </w:r>
            <w:r>
              <w:rPr>
                <w:rFonts w:ascii="Times New Roman" w:hAnsi="Times New Roman" w:cs="Times New Roman" w:eastAsia="Times New Roman" w:hint="default"/>
                <w:sz w:val="18"/>
                <w:szCs w:val="18"/>
              </w:rPr>
              <w:t>;</w:t>
            </w:r>
            <w:r>
              <w:rPr>
                <w:rFonts w:ascii="宋体" w:hAnsi="宋体" w:cs="宋体" w:eastAsia="宋体" w:hint="default"/>
                <w:sz w:val="18"/>
                <w:szCs w:val="18"/>
              </w:rPr>
              <w:t>朱 律玮</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）在本承 诺函签署之 </w:t>
            </w:r>
            <w:r>
              <w:rPr>
                <w:rFonts w:ascii="宋体" w:hAnsi="宋体" w:cs="宋体" w:eastAsia="宋体" w:hint="default"/>
                <w:spacing w:val="-9"/>
                <w:sz w:val="18"/>
                <w:szCs w:val="18"/>
              </w:rPr>
              <w:t>日，本人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w:t>
            </w:r>
            <w:r>
              <w:rPr>
                <w:rFonts w:ascii="宋体" w:hAnsi="宋体" w:cs="宋体" w:eastAsia="宋体" w:hint="default"/>
                <w:spacing w:val="-88"/>
                <w:sz w:val="18"/>
                <w:szCs w:val="18"/>
              </w:rPr>
              <w:t> </w:t>
            </w:r>
            <w:r>
              <w:rPr>
                <w:rFonts w:ascii="宋体" w:hAnsi="宋体" w:cs="宋体" w:eastAsia="宋体" w:hint="default"/>
                <w:sz w:val="18"/>
                <w:szCs w:val="18"/>
              </w:rPr>
              <w:t>司不存在且 不从事与东 方通及其子 公司主营业 务相同或构 成竞争的业 </w:t>
            </w:r>
            <w:r>
              <w:rPr>
                <w:rFonts w:ascii="宋体" w:hAnsi="宋体" w:cs="宋体" w:eastAsia="宋体" w:hint="default"/>
                <w:spacing w:val="-2"/>
                <w:sz w:val="18"/>
                <w:szCs w:val="18"/>
              </w:rPr>
              <w:t>务，也未直接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或间接经营 任何与东方 通及其子公 司的主营业 </w:t>
            </w:r>
            <w:r>
              <w:rPr>
                <w:rFonts w:ascii="宋体" w:hAnsi="宋体" w:cs="宋体" w:eastAsia="宋体" w:hint="default"/>
                <w:spacing w:val="-2"/>
                <w:sz w:val="18"/>
                <w:szCs w:val="18"/>
              </w:rPr>
              <w:t>务相同、相似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或构成竞争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自本承诺函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签署之日起，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将不以任何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方式从事，包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括与他人合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接从事与东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方通及其子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公司相同、相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似或在任何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）自本承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诺函签署之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一切可能之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努力使本人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其他关联企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业不从事与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东方通及其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类似或在任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何方面构成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）自本承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诺函签署之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日起，本人</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本公司不投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资控股于业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务与东方通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相同、相似或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在任何方面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公司、企业或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其他机构、组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5"/>
                <w:sz w:val="18"/>
                <w:szCs w:val="18"/>
              </w:rPr>
              <w:t>）</w:t>
            </w:r>
            <w:r>
              <w:rPr>
                <w:rFonts w:ascii="宋体" w:hAnsi="宋体" w:cs="宋体" w:eastAsia="宋体" w:hint="default"/>
                <w:sz w:val="18"/>
                <w:szCs w:val="18"/>
              </w:rPr>
              <w:t>自本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承诺函签署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本公司不向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其他业务与</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1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东方通及其 子公司相同、 相似或在任 何方面构成 竞争的公司、 企业或其他 机构、组织或 个人提供专 有技术或提 供销售渠道、 客户信息等 商业秘密；</w:t>
            </w:r>
          </w:p>
          <w:p>
            <w:pPr>
              <w:pStyle w:val="TableParagraph"/>
              <w:spacing w:line="314"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）自本承 诺函签署之 日起，如果未 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司拟从事的 业务可能与 东方通及其 子公司存在 同业竞争，将 本着东方通 及其子公司 优先的原则 与东方通协 </w:t>
            </w:r>
            <w:r>
              <w:rPr>
                <w:rFonts w:ascii="宋体" w:hAnsi="宋体" w:cs="宋体" w:eastAsia="宋体" w:hint="default"/>
                <w:spacing w:val="-13"/>
                <w:sz w:val="18"/>
                <w:szCs w:val="18"/>
              </w:rPr>
              <w:t>商解决。（</w:t>
            </w:r>
            <w:r>
              <w:rPr>
                <w:rFonts w:ascii="Times New Roman" w:hAnsi="Times New Roman" w:cs="Times New Roman" w:eastAsia="Times New Roman" w:hint="default"/>
                <w:spacing w:val="-13"/>
                <w:sz w:val="18"/>
                <w:szCs w:val="18"/>
              </w:rPr>
              <w:t>7</w:t>
            </w:r>
            <w:r>
              <w:rPr>
                <w:rFonts w:ascii="宋体" w:hAnsi="宋体" w:cs="宋体" w:eastAsia="宋体" w:hint="default"/>
                <w:spacing w:val="-13"/>
                <w:sz w:val="18"/>
                <w:szCs w:val="18"/>
              </w:rPr>
              <w:t>）</w:t>
            </w:r>
            <w:r>
              <w:rPr>
                <w:rFonts w:ascii="宋体" w:hAnsi="宋体" w:cs="宋体" w:eastAsia="宋体" w:hint="default"/>
                <w:sz w:val="18"/>
                <w:szCs w:val="18"/>
              </w:rPr>
              <w:t> 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司作为东方 通实际控制 人或关联方 期间，本承诺 函为有效之 承诺。如上述 承诺被证明 是不真实或 未被遵守，本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 向东方通赔 偿一切直接 和间接损失， 并承担相应 的法律责任。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陈世英</w:t>
            </w:r>
            <w:r>
              <w:rPr>
                <w:rFonts w:ascii="Times New Roman" w:hAnsi="Times New Roman" w:cs="Times New Roman" w:eastAsia="Times New Roman" w:hint="default"/>
                <w:sz w:val="18"/>
                <w:szCs w:val="18"/>
              </w:rPr>
              <w:t>;</w:t>
            </w:r>
            <w:r>
              <w:rPr>
                <w:rFonts w:ascii="宋体" w:hAnsi="宋体" w:cs="宋体" w:eastAsia="宋体" w:hint="default"/>
                <w:sz w:val="18"/>
                <w:szCs w:val="18"/>
              </w:rPr>
              <w:t>陈旭</w:t>
            </w:r>
            <w:r>
              <w:rPr>
                <w:rFonts w:ascii="Times New Roman" w:hAnsi="Times New Roman" w:cs="Times New Roman" w:eastAsia="Times New Roman" w:hint="default"/>
                <w:sz w:val="18"/>
                <w:szCs w:val="18"/>
              </w:rPr>
              <w:t>; </w:t>
            </w:r>
            <w:r>
              <w:rPr>
                <w:rFonts w:ascii="宋体" w:hAnsi="宋体" w:cs="宋体" w:eastAsia="宋体" w:hint="default"/>
                <w:sz w:val="18"/>
                <w:szCs w:val="18"/>
              </w:rPr>
              <w:t>李春青</w:t>
            </w:r>
            <w:r>
              <w:rPr>
                <w:rFonts w:ascii="Times New Roman" w:hAnsi="Times New Roman" w:cs="Times New Roman" w:eastAsia="Times New Roman" w:hint="default"/>
                <w:sz w:val="18"/>
                <w:szCs w:val="18"/>
              </w:rPr>
              <w:t>;</w:t>
            </w:r>
            <w:r>
              <w:rPr>
                <w:rFonts w:ascii="宋体" w:hAnsi="宋体" w:cs="宋体" w:eastAsia="宋体" w:hint="default"/>
                <w:sz w:val="18"/>
                <w:szCs w:val="18"/>
              </w:rPr>
              <w:t>刘川</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1"/>
              <w:jc w:val="left"/>
              <w:rPr>
                <w:rFonts w:ascii="宋体" w:hAnsi="宋体" w:cs="宋体" w:eastAsia="宋体" w:hint="default"/>
                <w:sz w:val="18"/>
                <w:szCs w:val="18"/>
              </w:rPr>
            </w:pPr>
            <w:r>
              <w:rPr>
                <w:rFonts w:ascii="宋体" w:hAnsi="宋体" w:cs="宋体" w:eastAsia="宋体" w:hint="default"/>
                <w:sz w:val="18"/>
                <w:szCs w:val="18"/>
              </w:rPr>
              <w:t>关于同业竞 争、关联交</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 诺函出具之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牛合庆</w:t>
            </w:r>
            <w:r>
              <w:rPr>
                <w:rFonts w:ascii="Times New Roman" w:hAnsi="Times New Roman" w:cs="Times New Roman" w:eastAsia="Times New Roman" w:hint="default"/>
                <w:sz w:val="18"/>
                <w:szCs w:val="18"/>
              </w:rPr>
              <w:t>;</w:t>
            </w:r>
            <w:r>
              <w:rPr>
                <w:rFonts w:ascii="宋体" w:hAnsi="宋体" w:cs="宋体" w:eastAsia="宋体" w:hint="default"/>
                <w:sz w:val="18"/>
                <w:szCs w:val="18"/>
              </w:rPr>
              <w:t>孙亚 明</w:t>
            </w:r>
            <w:r>
              <w:rPr>
                <w:rFonts w:ascii="Times New Roman" w:hAnsi="Times New Roman" w:cs="Times New Roman" w:eastAsia="Times New Roman" w:hint="default"/>
                <w:sz w:val="18"/>
                <w:szCs w:val="18"/>
              </w:rPr>
              <w:t>;</w:t>
            </w:r>
            <w:r>
              <w:rPr>
                <w:rFonts w:ascii="宋体" w:hAnsi="宋体" w:cs="宋体" w:eastAsia="宋体" w:hint="default"/>
                <w:sz w:val="18"/>
                <w:szCs w:val="18"/>
              </w:rPr>
              <w:t>徐少璞</w:t>
            </w:r>
            <w:r>
              <w:rPr>
                <w:rFonts w:ascii="Times New Roman" w:hAnsi="Times New Roman" w:cs="Times New Roman" w:eastAsia="Times New Roman" w:hint="default"/>
                <w:sz w:val="18"/>
                <w:szCs w:val="18"/>
              </w:rPr>
              <w:t>;</w:t>
            </w:r>
            <w:r>
              <w:rPr>
                <w:rFonts w:ascii="宋体" w:hAnsi="宋体" w:cs="宋体" w:eastAsia="宋体" w:hint="default"/>
                <w:sz w:val="18"/>
                <w:szCs w:val="18"/>
              </w:rPr>
              <w:t>徐 志东</w:t>
            </w:r>
            <w:r>
              <w:rPr>
                <w:rFonts w:ascii="Times New Roman" w:hAnsi="Times New Roman" w:cs="Times New Roman" w:eastAsia="Times New Roman" w:hint="default"/>
                <w:sz w:val="18"/>
                <w:szCs w:val="18"/>
              </w:rPr>
              <w:t>;</w:t>
            </w:r>
            <w:r>
              <w:rPr>
                <w:rFonts w:ascii="宋体" w:hAnsi="宋体" w:cs="宋体" w:eastAsia="宋体" w:hint="default"/>
                <w:sz w:val="18"/>
                <w:szCs w:val="18"/>
              </w:rPr>
              <w:t>盈富泰 克创业投资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涌 金实业（集 </w:t>
            </w:r>
            <w:r>
              <w:rPr>
                <w:rFonts w:ascii="宋体" w:hAnsi="宋体" w:cs="宋体" w:eastAsia="宋体" w:hint="default"/>
                <w:spacing w:val="-9"/>
                <w:sz w:val="18"/>
                <w:szCs w:val="18"/>
              </w:rPr>
              <w:t>团）有限公司</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朱律玮</w:t>
            </w:r>
            <w:r>
              <w:rPr>
                <w:rFonts w:ascii="Times New Roman" w:hAnsi="Times New Roman" w:cs="Times New Roman" w:eastAsia="Times New Roman" w:hint="default"/>
                <w:sz w:val="18"/>
                <w:szCs w:val="18"/>
              </w:rPr>
              <w:t>;</w:t>
            </w:r>
            <w:r>
              <w:rPr>
                <w:rFonts w:ascii="宋体" w:hAnsi="宋体" w:cs="宋体" w:eastAsia="宋体" w:hint="default"/>
                <w:sz w:val="18"/>
                <w:szCs w:val="18"/>
              </w:rPr>
              <w:t>朱 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日，除已经披 露的情形外， 本人（包括本 人所控制的 公司）与东方 通之间不存 在其他关联 交易。本人不 利用实际控 制人的地位 影响东方通 的独立性、故 意促使东方 通对与本人</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（包括本人 所控制的公 司）的任何关 联交易采取 任何行动、故 意促使东方 通的股东大 会或董事会 作出侵犯其 他股东合法 权益的决议。 如果东方通 必须与本人</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（包括本人 所控制的公 </w:t>
            </w:r>
            <w:r>
              <w:rPr>
                <w:rFonts w:ascii="宋体" w:hAnsi="宋体" w:cs="宋体" w:eastAsia="宋体" w:hint="default"/>
                <w:spacing w:val="-2"/>
                <w:sz w:val="18"/>
                <w:szCs w:val="18"/>
              </w:rPr>
              <w:t>司）发生任何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关联交易，则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本人承诺将 促使上述交 易按照公平 合理和正常 商业交易的 </w:t>
            </w:r>
            <w:r>
              <w:rPr>
                <w:rFonts w:ascii="宋体" w:hAnsi="宋体" w:cs="宋体" w:eastAsia="宋体" w:hint="default"/>
                <w:spacing w:val="-2"/>
                <w:sz w:val="18"/>
                <w:szCs w:val="18"/>
              </w:rPr>
              <w:t>条件进行。本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人（包括本人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所控制的公 </w:t>
            </w:r>
            <w:r>
              <w:rPr>
                <w:rFonts w:ascii="宋体" w:hAnsi="宋体" w:cs="宋体" w:eastAsia="宋体" w:hint="default"/>
                <w:spacing w:val="-2"/>
                <w:sz w:val="18"/>
                <w:szCs w:val="18"/>
              </w:rPr>
              <w:t>司）将不会要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求或接受东 方通给予比 在任何一项 市场公平交</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2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2"/>
              <w:jc w:val="both"/>
              <w:rPr>
                <w:rFonts w:ascii="宋体" w:hAnsi="宋体" w:cs="宋体" w:eastAsia="宋体" w:hint="default"/>
                <w:sz w:val="18"/>
                <w:szCs w:val="18"/>
              </w:rPr>
            </w:pPr>
            <w:r>
              <w:rPr>
                <w:rFonts w:ascii="宋体" w:hAnsi="宋体" w:cs="宋体" w:eastAsia="宋体" w:hint="default"/>
                <w:sz w:val="18"/>
                <w:szCs w:val="18"/>
              </w:rPr>
              <w:t>易中第三者 更优惠的条 件。</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（包括本人 所控制的公 司）将严格和 善意地履行 与东方通签 订的各种关 联交易协议。 本人（包括本 人所控制的 公司）承诺将 不会向东方 通谋求任何 超出上述协 议规定以外 的利益或收 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 对上述承诺 的真实性及 合法性负全 部法律责任， 如果本人（包 括本人所控 制的公司）违 反上述声明、 保证与承诺， 并造成东方 通的经济损 失，本人同意 赔偿相应的 损失。</w:t>
            </w:r>
            <w:r>
              <w:rPr>
                <w:rFonts w:ascii="Times New Roman" w:hAnsi="Times New Roman" w:cs="Times New Roman" w:eastAsia="Times New Roman" w:hint="default"/>
                <w:sz w:val="18"/>
                <w:szCs w:val="18"/>
              </w:rPr>
              <w:t>4</w:t>
            </w:r>
            <w:r>
              <w:rPr>
                <w:rFonts w:ascii="宋体" w:hAnsi="宋体" w:cs="宋体" w:eastAsia="宋体" w:hint="default"/>
                <w:sz w:val="18"/>
                <w:szCs w:val="18"/>
              </w:rPr>
              <w:t>、本 承诺将持续 有效，直至本 人不再作为 东方通的实 际控制人</w:t>
            </w:r>
            <w:r>
              <w:rPr>
                <w:rFonts w:ascii="Times New Roman" w:hAnsi="Times New Roman" w:cs="Times New Roman" w:eastAsia="Times New Roman" w:hint="default"/>
                <w:sz w:val="18"/>
                <w:szCs w:val="18"/>
              </w:rPr>
              <w:t>/</w:t>
            </w:r>
            <w:r>
              <w:rPr>
                <w:rFonts w:ascii="宋体" w:hAnsi="宋体" w:cs="宋体" w:eastAsia="宋体" w:hint="default"/>
                <w:sz w:val="18"/>
                <w:szCs w:val="18"/>
              </w:rPr>
              <w:t>股 东。</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东华软件股 份公司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 诺函出具之 日，除已经披 露的情形外， 本人（包括本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人所控制的 </w:t>
            </w:r>
            <w:r>
              <w:rPr>
                <w:rFonts w:ascii="宋体" w:hAnsi="宋体" w:cs="宋体" w:eastAsia="宋体" w:hint="default"/>
                <w:spacing w:val="-2"/>
                <w:sz w:val="18"/>
                <w:szCs w:val="18"/>
              </w:rPr>
              <w:t>公司）与东方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通之间不存 在其他关联 </w:t>
            </w:r>
            <w:r>
              <w:rPr>
                <w:rFonts w:ascii="宋体" w:hAnsi="宋体" w:cs="宋体" w:eastAsia="宋体" w:hint="default"/>
                <w:spacing w:val="-2"/>
                <w:sz w:val="18"/>
                <w:szCs w:val="18"/>
              </w:rPr>
              <w:t>交易。本人不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利用实际控 制人的地位 影响东方通 </w:t>
            </w:r>
            <w:r>
              <w:rPr>
                <w:rFonts w:ascii="宋体" w:hAnsi="宋体" w:cs="宋体" w:eastAsia="宋体" w:hint="default"/>
                <w:spacing w:val="-2"/>
                <w:sz w:val="18"/>
                <w:szCs w:val="18"/>
              </w:rPr>
              <w:t>的独立性、故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意促使东方 通对与本人</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（包括本人 所控制的公 司）的任何关 联交易采取 任何行动、故 意促使东方 通的股东大 会或董事会 作出侵犯其 他股东合法 权益的决议。 如果东方通 必须与本人</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（包括本人 所控制的公 </w:t>
            </w:r>
            <w:r>
              <w:rPr>
                <w:rFonts w:ascii="宋体" w:hAnsi="宋体" w:cs="宋体" w:eastAsia="宋体" w:hint="default"/>
                <w:spacing w:val="-2"/>
                <w:sz w:val="18"/>
                <w:szCs w:val="18"/>
              </w:rPr>
              <w:t>司）发生任何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关联交易，则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本人承诺将 促使上述交 易按照公平 合理和正常 商业交易的 </w:t>
            </w:r>
            <w:r>
              <w:rPr>
                <w:rFonts w:ascii="宋体" w:hAnsi="宋体" w:cs="宋体" w:eastAsia="宋体" w:hint="default"/>
                <w:spacing w:val="-2"/>
                <w:sz w:val="18"/>
                <w:szCs w:val="18"/>
              </w:rPr>
              <w:t>条件进行。本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人（包括本人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所控制的公 </w:t>
            </w:r>
            <w:r>
              <w:rPr>
                <w:rFonts w:ascii="宋体" w:hAnsi="宋体" w:cs="宋体" w:eastAsia="宋体" w:hint="default"/>
                <w:spacing w:val="-2"/>
                <w:sz w:val="18"/>
                <w:szCs w:val="18"/>
              </w:rPr>
              <w:t>司）将不会要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求或接受东 方通给予比 在任何一项 市场公平交 易中第三者 更优惠的条 件。</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（包括本人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司）将严格和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善意地履行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与东方通签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订的各种关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本人（包括本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人所控制的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公司）承诺将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不会向东方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通谋求任何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超出上述协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议规定以外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的利益或收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的真实性及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合法性负全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部法律责任，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如果本人（包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括本人所控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制的公司）违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反上述声明、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保证与承诺，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并造成东方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通的经济损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失，本人同意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w:t>
            </w:r>
            <w:r>
              <w:rPr>
                <w:rFonts w:ascii="Times New Roman" w:hAnsi="Times New Roman" w:cs="Times New Roman" w:eastAsia="Times New Roman" w:hint="default"/>
                <w:sz w:val="18"/>
                <w:szCs w:val="18"/>
              </w:rPr>
              <w:t>4</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承诺将持续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有效，直至本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人不再作为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东方通的实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东。公司与东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华软件股份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公司作出如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下承诺：公司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不再向东华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司及其控制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的企业销售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任何产品或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提供任何服 务，并不与东 华软件股份 公司及其控 制的企业进 行产品捆绑 投标。东华软 件股份公司 作出如下承 诺：东华软件 股份公司及 其控制的企 业不再向发 行人及发行 人控制的企 业采购任何 产品或任何 服务，并不与 发行人及发 行人控制的 企业进行产 品捆绑投标。</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z w:val="18"/>
                <w:szCs w:val="18"/>
              </w:rPr>
              <w:t>盈富泰克创 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涌金实 </w:t>
            </w:r>
            <w:r>
              <w:rPr>
                <w:rFonts w:ascii="宋体" w:hAnsi="宋体" w:cs="宋体" w:eastAsia="宋体" w:hint="default"/>
                <w:spacing w:val="-2"/>
                <w:sz w:val="18"/>
                <w:szCs w:val="18"/>
              </w:rPr>
              <w:t>业（集团）有</w:t>
            </w:r>
            <w:r>
              <w:rPr>
                <w:rFonts w:ascii="宋体" w:hAnsi="宋体" w:cs="宋体" w:eastAsia="宋体" w:hint="default"/>
                <w:sz w:val="18"/>
                <w:szCs w:val="18"/>
              </w:rPr>
              <w:t>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所持东方通 股份锁定期 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 可减持全部 所持股份，减 持价格不低 于每股净资 产（如遇除权 除息，减持价 格进行相应 </w:t>
            </w:r>
            <w:r>
              <w:rPr>
                <w:rFonts w:ascii="宋体" w:hAnsi="宋体" w:cs="宋体" w:eastAsia="宋体" w:hint="default"/>
                <w:spacing w:val="-15"/>
                <w:sz w:val="18"/>
                <w:szCs w:val="18"/>
              </w:rPr>
              <w:t>调整），且将</w:t>
            </w:r>
            <w:r>
              <w:rPr>
                <w:rFonts w:ascii="宋体" w:hAnsi="宋体" w:cs="宋体" w:eastAsia="宋体" w:hint="default"/>
                <w:sz w:val="18"/>
                <w:szCs w:val="18"/>
              </w:rPr>
              <w:t> 提前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个交易 日予以公告。 如未履行上 述承诺，转让 相关股份所 取得的收益 归东方通所 有。</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2017-01-28</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r>
        <w:trPr>
          <w:trHeight w:val="67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北京东方通 科技股份有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本次公开募 集及上市文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16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件中如有虚 </w:t>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性陈述或者 </w:t>
            </w:r>
            <w:r>
              <w:rPr>
                <w:rFonts w:ascii="宋体" w:hAnsi="宋体" w:cs="宋体" w:eastAsia="宋体" w:hint="default"/>
                <w:spacing w:val="-2"/>
                <w:sz w:val="18"/>
                <w:szCs w:val="18"/>
              </w:rPr>
              <w:t>重大遗漏，对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判断公司是 否符合法律 规定的发行 条件构成重 </w:t>
            </w:r>
            <w:r>
              <w:rPr>
                <w:rFonts w:ascii="宋体" w:hAnsi="宋体" w:cs="宋体" w:eastAsia="宋体" w:hint="default"/>
                <w:spacing w:val="-2"/>
                <w:sz w:val="18"/>
                <w:szCs w:val="18"/>
              </w:rPr>
              <w:t>大、实质影响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的，将依法以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公司股票二 级市场价格 回购首次公 开发行的全 </w:t>
            </w:r>
            <w:r>
              <w:rPr>
                <w:rFonts w:ascii="宋体" w:hAnsi="宋体" w:cs="宋体" w:eastAsia="宋体" w:hint="default"/>
                <w:spacing w:val="-2"/>
                <w:sz w:val="18"/>
                <w:szCs w:val="18"/>
              </w:rPr>
              <w:t>部新股。公司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公开募集及 上市文件中 如存在虚假 </w:t>
            </w:r>
            <w:r>
              <w:rPr>
                <w:rFonts w:ascii="宋体" w:hAnsi="宋体" w:cs="宋体" w:eastAsia="宋体" w:hint="default"/>
                <w:spacing w:val="-2"/>
                <w:sz w:val="18"/>
                <w:szCs w:val="18"/>
              </w:rPr>
              <w:t>记载、误导性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陈述或者重 </w:t>
            </w:r>
            <w:r>
              <w:rPr>
                <w:rFonts w:ascii="宋体" w:hAnsi="宋体" w:cs="宋体" w:eastAsia="宋体" w:hint="default"/>
                <w:spacing w:val="-2"/>
                <w:sz w:val="18"/>
                <w:szCs w:val="18"/>
              </w:rPr>
              <w:t>大遗漏，致使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投资者在证 券交易中遭 </w:t>
            </w:r>
            <w:r>
              <w:rPr>
                <w:rFonts w:ascii="宋体" w:hAnsi="宋体" w:cs="宋体" w:eastAsia="宋体" w:hint="default"/>
                <w:spacing w:val="-2"/>
                <w:sz w:val="18"/>
                <w:szCs w:val="18"/>
              </w:rPr>
              <w:t>受损失的，将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依法赔偿投 资者损失。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2" w:lineRule="auto"/>
              <w:ind w:left="23" w:right="141"/>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公司公开募 集及上市文 件中如有虚 </w:t>
            </w:r>
            <w:r>
              <w:rPr>
                <w:rFonts w:ascii="宋体" w:hAnsi="宋体" w:cs="宋体" w:eastAsia="宋体" w:hint="default"/>
                <w:spacing w:val="-2"/>
                <w:sz w:val="18"/>
                <w:szCs w:val="18"/>
              </w:rPr>
              <w:t>假记载、误导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性陈述或者 </w:t>
            </w:r>
            <w:r>
              <w:rPr>
                <w:rFonts w:ascii="宋体" w:hAnsi="宋体" w:cs="宋体" w:eastAsia="宋体" w:hint="default"/>
                <w:spacing w:val="-2"/>
                <w:sz w:val="18"/>
                <w:szCs w:val="18"/>
              </w:rPr>
              <w:t>重大遗漏，对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判断公司是 否符合法律 规定的发行 条件构成重 </w:t>
            </w:r>
            <w:r>
              <w:rPr>
                <w:rFonts w:ascii="宋体" w:hAnsi="宋体" w:cs="宋体" w:eastAsia="宋体" w:hint="default"/>
                <w:spacing w:val="-2"/>
                <w:sz w:val="18"/>
                <w:szCs w:val="18"/>
              </w:rPr>
              <w:t>大、实质影响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的，将依法以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公司股票二 级市场价格 购回已转让 的原限售股 </w:t>
            </w:r>
            <w:r>
              <w:rPr>
                <w:rFonts w:ascii="宋体" w:hAnsi="宋体" w:cs="宋体" w:eastAsia="宋体" w:hint="default"/>
                <w:spacing w:val="-2"/>
                <w:sz w:val="18"/>
                <w:szCs w:val="18"/>
              </w:rPr>
              <w:t>份。公司公开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募集及上市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文件中如存 在虚假记载、 误导性陈述 或者重大遗 漏，致使投资 者在证券交 易中遭受损 失的，公司控 股股东、实际 控制人将依 法赔偿投资 者损失。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9"/>
              <w:ind w:left="23" w:right="89"/>
              <w:jc w:val="both"/>
              <w:rPr>
                <w:rFonts w:ascii="宋体" w:hAnsi="宋体" w:cs="宋体" w:eastAsia="宋体" w:hint="default"/>
                <w:sz w:val="18"/>
                <w:szCs w:val="18"/>
              </w:rPr>
            </w:pPr>
            <w:r>
              <w:rPr>
                <w:rFonts w:ascii="宋体" w:hAnsi="宋体" w:cs="宋体" w:eastAsia="宋体" w:hint="default"/>
                <w:sz w:val="18"/>
                <w:szCs w:val="18"/>
              </w:rPr>
              <w:t>陈世英</w:t>
            </w:r>
            <w:r>
              <w:rPr>
                <w:rFonts w:ascii="Times New Roman" w:hAnsi="Times New Roman" w:cs="Times New Roman" w:eastAsia="Times New Roman" w:hint="default"/>
                <w:sz w:val="18"/>
                <w:szCs w:val="18"/>
              </w:rPr>
              <w:t>;</w:t>
            </w:r>
            <w:r>
              <w:rPr>
                <w:rFonts w:ascii="宋体" w:hAnsi="宋体" w:cs="宋体" w:eastAsia="宋体" w:hint="default"/>
                <w:sz w:val="18"/>
                <w:szCs w:val="18"/>
              </w:rPr>
              <w:t>陈旭</w:t>
            </w:r>
            <w:r>
              <w:rPr>
                <w:rFonts w:ascii="Times New Roman" w:hAnsi="Times New Roman" w:cs="Times New Roman" w:eastAsia="Times New Roman" w:hint="default"/>
                <w:sz w:val="18"/>
                <w:szCs w:val="18"/>
              </w:rPr>
              <w:t>; </w:t>
            </w:r>
            <w:r>
              <w:rPr>
                <w:rFonts w:ascii="宋体" w:hAnsi="宋体" w:cs="宋体" w:eastAsia="宋体" w:hint="default"/>
                <w:sz w:val="18"/>
                <w:szCs w:val="18"/>
              </w:rPr>
              <w:t>郭峰</w:t>
            </w:r>
            <w:r>
              <w:rPr>
                <w:rFonts w:ascii="Times New Roman" w:hAnsi="Times New Roman" w:cs="Times New Roman" w:eastAsia="Times New Roman" w:hint="default"/>
                <w:sz w:val="18"/>
                <w:szCs w:val="18"/>
              </w:rPr>
              <w:t>;</w:t>
            </w:r>
            <w:r>
              <w:rPr>
                <w:rFonts w:ascii="宋体" w:hAnsi="宋体" w:cs="宋体" w:eastAsia="宋体" w:hint="default"/>
                <w:sz w:val="18"/>
                <w:szCs w:val="18"/>
              </w:rPr>
              <w:t>李春青</w:t>
            </w:r>
            <w:r>
              <w:rPr>
                <w:rFonts w:ascii="Times New Roman" w:hAnsi="Times New Roman" w:cs="Times New Roman" w:eastAsia="Times New Roman" w:hint="default"/>
                <w:sz w:val="18"/>
                <w:szCs w:val="18"/>
              </w:rPr>
              <w:t>; </w:t>
            </w:r>
            <w:r>
              <w:rPr>
                <w:rFonts w:ascii="宋体" w:hAnsi="宋体" w:cs="宋体" w:eastAsia="宋体" w:hint="default"/>
                <w:sz w:val="18"/>
                <w:szCs w:val="18"/>
              </w:rPr>
              <w:t>李琪</w:t>
            </w:r>
            <w:r>
              <w:rPr>
                <w:rFonts w:ascii="Times New Roman" w:hAnsi="Times New Roman" w:cs="Times New Roman" w:eastAsia="Times New Roman" w:hint="default"/>
                <w:sz w:val="18"/>
                <w:szCs w:val="18"/>
              </w:rPr>
              <w:t>;</w:t>
            </w:r>
            <w:r>
              <w:rPr>
                <w:rFonts w:ascii="宋体" w:hAnsi="宋体" w:cs="宋体" w:eastAsia="宋体" w:hint="default"/>
                <w:sz w:val="18"/>
                <w:szCs w:val="18"/>
              </w:rPr>
              <w:t>刘川</w:t>
            </w:r>
            <w:r>
              <w:rPr>
                <w:rFonts w:ascii="Times New Roman" w:hAnsi="Times New Roman" w:cs="Times New Roman" w:eastAsia="Times New Roman" w:hint="default"/>
                <w:sz w:val="18"/>
                <w:szCs w:val="18"/>
              </w:rPr>
              <w:t>;</w:t>
            </w:r>
            <w:r>
              <w:rPr>
                <w:rFonts w:ascii="宋体" w:hAnsi="宋体" w:cs="宋体" w:eastAsia="宋体" w:hint="default"/>
                <w:sz w:val="18"/>
                <w:szCs w:val="18"/>
              </w:rPr>
              <w:t>刘 峥</w:t>
            </w:r>
            <w:r>
              <w:rPr>
                <w:rFonts w:ascii="Times New Roman" w:hAnsi="Times New Roman" w:cs="Times New Roman" w:eastAsia="Times New Roman" w:hint="default"/>
                <w:sz w:val="18"/>
                <w:szCs w:val="18"/>
              </w:rPr>
              <w:t>;</w:t>
            </w:r>
            <w:r>
              <w:rPr>
                <w:rFonts w:ascii="宋体" w:hAnsi="宋体" w:cs="宋体" w:eastAsia="宋体" w:hint="default"/>
                <w:sz w:val="18"/>
                <w:szCs w:val="18"/>
              </w:rPr>
              <w:t>孙亚明</w:t>
            </w:r>
            <w:r>
              <w:rPr>
                <w:rFonts w:ascii="Times New Roman" w:hAnsi="Times New Roman" w:cs="Times New Roman" w:eastAsia="Times New Roman" w:hint="default"/>
                <w:sz w:val="18"/>
                <w:szCs w:val="18"/>
              </w:rPr>
              <w:t>;</w:t>
            </w:r>
            <w:r>
              <w:rPr>
                <w:rFonts w:ascii="宋体" w:hAnsi="宋体" w:cs="宋体" w:eastAsia="宋体" w:hint="default"/>
                <w:sz w:val="18"/>
                <w:szCs w:val="18"/>
              </w:rPr>
              <w:t>徐 少璞</w:t>
            </w:r>
            <w:r>
              <w:rPr>
                <w:rFonts w:ascii="Times New Roman" w:hAnsi="Times New Roman" w:cs="Times New Roman" w:eastAsia="Times New Roman" w:hint="default"/>
                <w:sz w:val="18"/>
                <w:szCs w:val="18"/>
              </w:rPr>
              <w:t>;</w:t>
            </w:r>
            <w:r>
              <w:rPr>
                <w:rFonts w:ascii="宋体" w:hAnsi="宋体" w:cs="宋体" w:eastAsia="宋体" w:hint="default"/>
                <w:sz w:val="18"/>
                <w:szCs w:val="18"/>
              </w:rPr>
              <w:t>徐志东</w:t>
            </w:r>
            <w:r>
              <w:rPr>
                <w:rFonts w:ascii="Times New Roman" w:hAnsi="Times New Roman" w:cs="Times New Roman" w:eastAsia="Times New Roman" w:hint="default"/>
                <w:sz w:val="18"/>
                <w:szCs w:val="18"/>
              </w:rPr>
              <w:t>; </w:t>
            </w:r>
            <w:r>
              <w:rPr>
                <w:rFonts w:ascii="宋体" w:hAnsi="宋体" w:cs="宋体" w:eastAsia="宋体" w:hint="default"/>
                <w:sz w:val="18"/>
                <w:szCs w:val="18"/>
              </w:rPr>
              <w:t>杨桦</w:t>
            </w:r>
            <w:r>
              <w:rPr>
                <w:rFonts w:ascii="Times New Roman" w:hAnsi="Times New Roman" w:cs="Times New Roman" w:eastAsia="Times New Roman" w:hint="default"/>
                <w:sz w:val="18"/>
                <w:szCs w:val="18"/>
              </w:rPr>
              <w:t>;</w:t>
            </w:r>
            <w:r>
              <w:rPr>
                <w:rFonts w:ascii="宋体" w:hAnsi="宋体" w:cs="宋体" w:eastAsia="宋体" w:hint="default"/>
                <w:sz w:val="18"/>
                <w:szCs w:val="18"/>
              </w:rPr>
              <w:t>叶路</w:t>
            </w:r>
            <w:r>
              <w:rPr>
                <w:rFonts w:ascii="Times New Roman" w:hAnsi="Times New Roman" w:cs="Times New Roman" w:eastAsia="Times New Roman" w:hint="default"/>
                <w:sz w:val="18"/>
                <w:szCs w:val="18"/>
              </w:rPr>
              <w:t>;</w:t>
            </w:r>
            <w:r>
              <w:rPr>
                <w:rFonts w:ascii="宋体" w:hAnsi="宋体" w:cs="宋体" w:eastAsia="宋体" w:hint="default"/>
                <w:sz w:val="18"/>
                <w:szCs w:val="18"/>
              </w:rPr>
              <w:t>张 志勇</w:t>
            </w:r>
            <w:r>
              <w:rPr>
                <w:rFonts w:ascii="Times New Roman" w:hAnsi="Times New Roman" w:cs="Times New Roman" w:eastAsia="Times New Roman" w:hint="default"/>
                <w:sz w:val="18"/>
                <w:szCs w:val="18"/>
              </w:rPr>
              <w:t>;</w:t>
            </w:r>
            <w:r>
              <w:rPr>
                <w:rFonts w:ascii="宋体" w:hAnsi="宋体" w:cs="宋体" w:eastAsia="宋体" w:hint="default"/>
                <w:sz w:val="18"/>
                <w:szCs w:val="18"/>
              </w:rPr>
              <w:t>赵小凡</w:t>
            </w:r>
            <w:r>
              <w:rPr>
                <w:rFonts w:ascii="Times New Roman" w:hAnsi="Times New Roman" w:cs="Times New Roman" w:eastAsia="Times New Roman" w:hint="default"/>
                <w:sz w:val="18"/>
                <w:szCs w:val="18"/>
              </w:rPr>
              <w:t>; </w:t>
            </w:r>
            <w:r>
              <w:rPr>
                <w:rFonts w:ascii="宋体" w:hAnsi="宋体" w:cs="宋体" w:eastAsia="宋体" w:hint="default"/>
                <w:sz w:val="18"/>
                <w:szCs w:val="18"/>
              </w:rPr>
              <w:t>周宁</w:t>
            </w:r>
            <w:r>
              <w:rPr>
                <w:rFonts w:ascii="Times New Roman" w:hAnsi="Times New Roman" w:cs="Times New Roman" w:eastAsia="Times New Roman" w:hint="default"/>
                <w:sz w:val="18"/>
                <w:szCs w:val="18"/>
              </w:rPr>
              <w:t>;</w:t>
            </w:r>
            <w:r>
              <w:rPr>
                <w:rFonts w:ascii="宋体" w:hAnsi="宋体" w:cs="宋体" w:eastAsia="宋体" w:hint="default"/>
                <w:sz w:val="18"/>
                <w:szCs w:val="18"/>
              </w:rPr>
              <w:t>朱律玮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公司公开募 集及上市文 件中如存在 虚假记载、误 导性陈述或 者重大遗漏， 致使投资者 在证券交易 中遭受损失 的，公司董 事、监事和高 级管理人员 将依法赔偿 投资者损失。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2" w:lineRule="auto"/>
              <w:ind w:left="23" w:right="141"/>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针对本公司 社会保险金 和住房公积 金存在补缴 的风险作出 承诺：若公司 被追溯到任 何社会保障 法律法规和 住房公积金 执行情况，经 有关主管部 门认定需为 员工补缴社 会保险金或 住房公积金、 以及受到主 管部门处罚、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52.420013pt;margin-top:639.639954pt;width:71.1pt;height:123.8pt;mso-position-horizontal-relative:page;mso-position-vertical-relative:page;z-index:-10315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7"/>
                      <w:szCs w:val="17"/>
                    </w:rPr>
                  </w:pPr>
                </w:p>
                <w:p>
                  <w:pPr>
                    <w:pStyle w:val="BodyText"/>
                    <w:spacing w:line="240" w:lineRule="auto"/>
                    <w:ind w:left="0" w:right="0"/>
                    <w:jc w:val="left"/>
                  </w:pPr>
                  <w:r>
                    <w:rPr/>
                    <w:t>日，</w:t>
                  </w:r>
                </w:p>
              </w:txbxContent>
            </v:textbox>
            <w10:wrap type="none"/>
          </v:shape>
        </w:pict>
      </w:r>
      <w:r>
        <w:rPr/>
        <w:pict>
          <v:group style="position:absolute;margin-left:367.660004pt;margin-top:639.639954pt;width:55.85pt;height:123.8pt;mso-position-horizontal-relative:page;mso-position-vertical-relative:page;z-index:-1031560" coordorigin="7353,12793" coordsize="1117,2476">
            <v:shape style="position:absolute;left:7353;top:12793;width:1117;height:2476" coordorigin="7353,12793" coordsize="1117,2476" path="m7353,15269l8470,15269,8470,12793,7353,12793,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或任何利益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相关方以任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何方式提出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权利要求且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该等要求获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主管部门支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持，本人将无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条件全额承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担相关补缴、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处罚款项和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对利益相关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方的赔偿或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补偿款项，以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及公司因此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所支付的相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关费用。如本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人未能履行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已作出的《公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积金补缴承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90"/>
                <w:sz w:val="18"/>
                <w:szCs w:val="18"/>
              </w:rPr>
              <w:t>》</w:t>
            </w:r>
            <w:r>
              <w:rPr>
                <w:rFonts w:ascii="宋体" w:hAnsi="宋体" w:cs="宋体" w:eastAsia="宋体" w:hint="default"/>
                <w:sz w:val="18"/>
                <w:szCs w:val="18"/>
              </w:rPr>
              <w:t>，本人所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享有的当年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红收益将由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公司直接用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于补缴承诺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所涉公积金。</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就深圳市东</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方通科技有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事宜承诺</w:t>
            </w:r>
            <w:r>
              <w:rPr>
                <w:rFonts w:ascii="宋体" w:hAnsi="宋体" w:cs="宋体" w:eastAsia="宋体" w:hint="default"/>
                <w:spacing w:val="-9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圳东方通自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日起，不再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报告期内，承</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以深圳市东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诺人未有违</w:t>
            </w:r>
          </w:p>
        </w:tc>
      </w:tr>
      <w:tr>
        <w:trPr>
          <w:trHeight w:val="624"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2" w:lineRule="auto" w:before="1"/>
              <w:ind w:left="23" w:right="141"/>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1"/>
              <w:jc w:val="left"/>
              <w:rPr>
                <w:rFonts w:ascii="宋体" w:hAnsi="宋体" w:cs="宋体" w:eastAsia="宋体" w:hint="default"/>
                <w:sz w:val="18"/>
                <w:szCs w:val="18"/>
              </w:rPr>
            </w:pPr>
            <w:r>
              <w:rPr>
                <w:rFonts w:ascii="宋体" w:hAnsi="宋体" w:cs="宋体" w:eastAsia="宋体" w:hint="default"/>
                <w:sz w:val="18"/>
                <w:szCs w:val="18"/>
              </w:rPr>
              <w:t>方通科技有 </w:t>
            </w:r>
            <w:r>
              <w:rPr>
                <w:rFonts w:ascii="宋体" w:hAnsi="宋体" w:cs="宋体" w:eastAsia="宋体" w:hint="default"/>
                <w:spacing w:val="-2"/>
                <w:sz w:val="18"/>
                <w:szCs w:val="18"/>
              </w:rPr>
              <w:t>限公司（以下</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反承诺的情 </w:t>
            </w:r>
            <w:r>
              <w:rPr>
                <w:rFonts w:ascii="宋体" w:hAnsi="宋体" w:cs="宋体" w:eastAsia="宋体" w:hint="default"/>
                <w:spacing w:val="-5"/>
                <w:sz w:val="18"/>
                <w:szCs w:val="18"/>
              </w:rPr>
              <w:t>况，该承诺事</w:t>
            </w:r>
          </w:p>
        </w:tc>
      </w:tr>
      <w:tr>
        <w:trPr>
          <w:trHeight w:val="318"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深圳东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项正在履行</w:t>
            </w:r>
          </w:p>
        </w:tc>
      </w:tr>
      <w:tr>
        <w:trPr>
          <w:trHeight w:val="32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方通</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的名义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开展任何经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营活动；</w:t>
            </w:r>
            <w:r>
              <w:rPr>
                <w:rFonts w:ascii="Times New Roman" w:hAnsi="Times New Roman" w:cs="Times New Roman" w:eastAsia="Times New Roman" w:hint="default"/>
                <w:sz w:val="18"/>
                <w:szCs w:val="18"/>
              </w:rPr>
              <w:t>2001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深圳东方通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的整体资产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（包括债权、</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09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债务）均已进 入北京东方 通科技发展 有限责任公 司，目前不存 在纠纷。深圳 东方通如有 任何在注销 前之尚未清 偿债务或者 潜在的、或有 的债务纠纷， 将由我们全 部承担。如深 圳东方通被 税务部门要 求补缴已免 征、减征的企 业所得税税 款，将由我三 </w:t>
            </w:r>
            <w:r>
              <w:rPr>
                <w:rFonts w:ascii="宋体" w:hAnsi="宋体" w:cs="宋体" w:eastAsia="宋体" w:hint="default"/>
                <w:spacing w:val="-13"/>
                <w:w w:val="100"/>
                <w:sz w:val="18"/>
                <w:szCs w:val="18"/>
              </w:rPr>
              <w:t>人全部承担。</w:t>
            </w:r>
            <w:r>
              <w:rPr>
                <w:rFonts w:ascii="Times New Roman" w:hAnsi="Times New Roman" w:cs="Times New Roman" w:eastAsia="Times New Roman" w:hint="default"/>
                <w:spacing w:val="-13"/>
                <w:w w:val="100"/>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因未履行前 述承诺所获 收益和本人 所享有的上 市公司当年 现金分红收 益归公司所 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02" w:lineRule="auto"/>
              <w:ind w:left="23" w:right="141"/>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朱德 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为保证发行 人控制权的 </w:t>
            </w:r>
            <w:r>
              <w:rPr>
                <w:rFonts w:ascii="宋体" w:hAnsi="宋体" w:cs="宋体" w:eastAsia="宋体" w:hint="default"/>
                <w:spacing w:val="-2"/>
                <w:sz w:val="18"/>
                <w:szCs w:val="18"/>
              </w:rPr>
              <w:t>稳定性，张齐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春与朱德生 夫妇于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共同作出承 </w:t>
            </w:r>
            <w:r>
              <w:rPr>
                <w:rFonts w:ascii="宋体" w:hAnsi="宋体" w:cs="宋体" w:eastAsia="宋体" w:hint="default"/>
                <w:spacing w:val="-2"/>
                <w:sz w:val="18"/>
                <w:szCs w:val="18"/>
              </w:rPr>
              <w:t>诺：张齐春女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士如因个人 健康原因或 任何意外之 情形导致其 </w:t>
            </w:r>
            <w:r>
              <w:rPr>
                <w:rFonts w:ascii="宋体" w:hAnsi="宋体" w:cs="宋体" w:eastAsia="宋体" w:hint="default"/>
                <w:spacing w:val="-2"/>
                <w:sz w:val="18"/>
                <w:szCs w:val="18"/>
              </w:rPr>
              <w:t>不再具备《中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华人民共和 </w:t>
            </w:r>
            <w:r>
              <w:rPr>
                <w:rFonts w:ascii="宋体" w:hAnsi="宋体" w:cs="宋体" w:eastAsia="宋体" w:hint="default"/>
                <w:spacing w:val="-2"/>
                <w:sz w:val="18"/>
                <w:szCs w:val="18"/>
              </w:rPr>
              <w:t>国公司法》规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4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定的公司股 </w:t>
            </w:r>
            <w:r>
              <w:rPr>
                <w:rFonts w:ascii="宋体" w:hAnsi="宋体" w:cs="宋体" w:eastAsia="宋体" w:hint="default"/>
                <w:spacing w:val="-2"/>
                <w:sz w:val="18"/>
                <w:szCs w:val="18"/>
              </w:rPr>
              <w:t>东资格，则张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齐春女士在 东方通的股 东资格由张 齐春女士和 朱德生先生 之子朱海东 </w:t>
            </w:r>
            <w:r>
              <w:rPr>
                <w:rFonts w:ascii="宋体" w:hAnsi="宋体" w:cs="宋体" w:eastAsia="宋体" w:hint="default"/>
                <w:spacing w:val="-2"/>
                <w:sz w:val="18"/>
                <w:szCs w:val="18"/>
              </w:rPr>
              <w:t>先生继承，张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齐春女士在 东方通的全 部股份由朱 海东先生持 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13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李春青</w:t>
            </w:r>
            <w:r>
              <w:rPr>
                <w:rFonts w:ascii="Times New Roman" w:hAnsi="Times New Roman" w:cs="Times New Roman" w:eastAsia="Times New Roman" w:hint="default"/>
                <w:sz w:val="18"/>
                <w:szCs w:val="18"/>
              </w:rPr>
              <w:t>;</w:t>
            </w:r>
            <w:r>
              <w:rPr>
                <w:rFonts w:ascii="宋体" w:hAnsi="宋体" w:cs="宋体" w:eastAsia="宋体" w:hint="default"/>
                <w:sz w:val="18"/>
                <w:szCs w:val="18"/>
              </w:rPr>
              <w:t>李明</w:t>
            </w:r>
            <w:r>
              <w:rPr>
                <w:rFonts w:ascii="Times New Roman" w:hAnsi="Times New Roman" w:cs="Times New Roman" w:eastAsia="Times New Roman" w:hint="default"/>
                <w:sz w:val="18"/>
                <w:szCs w:val="18"/>
              </w:rPr>
              <w:t>; </w:t>
            </w:r>
            <w:r>
              <w:rPr>
                <w:rFonts w:ascii="宋体" w:hAnsi="宋体" w:cs="宋体" w:eastAsia="宋体" w:hint="default"/>
                <w:sz w:val="18"/>
                <w:szCs w:val="18"/>
              </w:rPr>
              <w:t>李彦清</w:t>
            </w:r>
            <w:r>
              <w:rPr>
                <w:rFonts w:ascii="Times New Roman" w:hAnsi="Times New Roman" w:cs="Times New Roman" w:eastAsia="Times New Roman" w:hint="default"/>
                <w:sz w:val="18"/>
                <w:szCs w:val="18"/>
              </w:rPr>
              <w:t>;</w:t>
            </w:r>
            <w:r>
              <w:rPr>
                <w:rFonts w:ascii="宋体" w:hAnsi="宋体" w:cs="宋体" w:eastAsia="宋体" w:hint="default"/>
                <w:sz w:val="18"/>
                <w:szCs w:val="18"/>
              </w:rPr>
              <w:t>刘川</w:t>
            </w:r>
            <w:r>
              <w:rPr>
                <w:rFonts w:ascii="Times New Roman" w:hAnsi="Times New Roman" w:cs="Times New Roman" w:eastAsia="Times New Roman" w:hint="default"/>
                <w:sz w:val="18"/>
                <w:szCs w:val="18"/>
              </w:rPr>
              <w:t>; </w:t>
            </w:r>
            <w:r>
              <w:rPr>
                <w:rFonts w:ascii="宋体" w:hAnsi="宋体" w:cs="宋体" w:eastAsia="宋体" w:hint="default"/>
                <w:sz w:val="18"/>
                <w:szCs w:val="18"/>
              </w:rPr>
              <w:t>任宇</w:t>
            </w:r>
            <w:r>
              <w:rPr>
                <w:rFonts w:ascii="Times New Roman" w:hAnsi="Times New Roman" w:cs="Times New Roman" w:eastAsia="Times New Roman" w:hint="default"/>
                <w:sz w:val="18"/>
                <w:szCs w:val="18"/>
              </w:rPr>
              <w:t>;</w:t>
            </w:r>
            <w:r>
              <w:rPr>
                <w:rFonts w:ascii="宋体" w:hAnsi="宋体" w:cs="宋体" w:eastAsia="宋体" w:hint="default"/>
                <w:sz w:val="18"/>
                <w:szCs w:val="18"/>
              </w:rPr>
              <w:t>严洁</w:t>
            </w:r>
            <w:r>
              <w:rPr>
                <w:rFonts w:ascii="Times New Roman" w:hAnsi="Times New Roman" w:cs="Times New Roman" w:eastAsia="Times New Roman" w:hint="default"/>
                <w:sz w:val="18"/>
                <w:szCs w:val="18"/>
              </w:rPr>
              <w:t>;</w:t>
            </w:r>
            <w:r>
              <w:rPr>
                <w:rFonts w:ascii="宋体" w:hAnsi="宋体" w:cs="宋体" w:eastAsia="宋体" w:hint="default"/>
                <w:sz w:val="18"/>
                <w:szCs w:val="18"/>
              </w:rPr>
              <w:t>朱 律玮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东方通及其 子公司现有 各项专利、软 件著作权、核 心技术，不存 在潜在纠纷 或风险隐患； 本人与曾任 职其他单位 不存在竞业 禁止协议或 保密协议；本 人对东方通 及其子公司 作为现有各 项专利、软件 著作权的申 请人</w:t>
            </w:r>
            <w:r>
              <w:rPr>
                <w:rFonts w:ascii="Times New Roman" w:hAnsi="Times New Roman" w:cs="Times New Roman" w:eastAsia="Times New Roman" w:hint="default"/>
                <w:sz w:val="18"/>
                <w:szCs w:val="18"/>
              </w:rPr>
              <w:t>/</w:t>
            </w:r>
            <w:r>
              <w:rPr>
                <w:rFonts w:ascii="宋体" w:hAnsi="宋体" w:cs="宋体" w:eastAsia="宋体" w:hint="default"/>
                <w:sz w:val="18"/>
                <w:szCs w:val="18"/>
              </w:rPr>
              <w:t>所有人 无任何异议。 如本人未能 履行已作出 的承诺，因未 履行承诺所 获收益和本 人所享有的 上市公司当 年现金分红 收益归公司 所有。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24"/>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038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27"/>
              <w:ind w:left="23" w:right="141"/>
              <w:jc w:val="left"/>
              <w:rPr>
                <w:rFonts w:ascii="宋体" w:hAnsi="宋体" w:cs="宋体" w:eastAsia="宋体" w:hint="default"/>
                <w:sz w:val="18"/>
                <w:szCs w:val="18"/>
              </w:rPr>
            </w:pPr>
            <w:r>
              <w:rPr>
                <w:rFonts w:ascii="宋体" w:hAnsi="宋体" w:cs="宋体" w:eastAsia="宋体" w:hint="default"/>
                <w:sz w:val="18"/>
                <w:szCs w:val="18"/>
              </w:rPr>
              <w:t>张齐春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 东</w:t>
            </w:r>
            <w:r>
              <w:rPr>
                <w:rFonts w:ascii="Times New Roman" w:hAnsi="Times New Roman" w:cs="Times New Roman" w:eastAsia="Times New Roman" w:hint="default"/>
                <w:sz w:val="18"/>
                <w:szCs w:val="18"/>
              </w:rPr>
              <w:t>;</w:t>
            </w:r>
            <w:r>
              <w:rPr>
                <w:rFonts w:ascii="宋体" w:hAnsi="宋体" w:cs="宋体" w:eastAsia="宋体" w:hint="default"/>
                <w:sz w:val="18"/>
                <w:szCs w:val="18"/>
              </w:rPr>
              <w:t>朱曼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如本人未能 履行已作出 </w:t>
            </w:r>
            <w:r>
              <w:rPr>
                <w:rFonts w:ascii="宋体" w:hAnsi="宋体" w:cs="宋体" w:eastAsia="宋体" w:hint="default"/>
                <w:spacing w:val="-2"/>
                <w:sz w:val="18"/>
                <w:szCs w:val="18"/>
              </w:rPr>
              <w:t>的《关于避免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同业竞争的 </w:t>
            </w:r>
            <w:r>
              <w:rPr>
                <w:rFonts w:ascii="宋体" w:hAnsi="宋体" w:cs="宋体" w:eastAsia="宋体" w:hint="default"/>
                <w:spacing w:val="-28"/>
                <w:sz w:val="18"/>
                <w:szCs w:val="18"/>
              </w:rPr>
              <w:t>承诺》、《关于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规范和减少 关联交易的 </w:t>
            </w:r>
            <w:r>
              <w:rPr>
                <w:rFonts w:ascii="宋体" w:hAnsi="宋体" w:cs="宋体" w:eastAsia="宋体" w:hint="default"/>
                <w:spacing w:val="-28"/>
                <w:sz w:val="18"/>
                <w:szCs w:val="18"/>
              </w:rPr>
              <w:t>承诺》、《关于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深圳市东方 通科技有限 公司相关事 </w:t>
            </w:r>
            <w:r>
              <w:rPr>
                <w:rFonts w:ascii="宋体" w:hAnsi="宋体" w:cs="宋体" w:eastAsia="宋体" w:hint="default"/>
                <w:spacing w:val="-15"/>
                <w:sz w:val="18"/>
                <w:szCs w:val="18"/>
              </w:rPr>
              <w:t>宜的承诺》、</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《关于张齐 春所持股份 继承的承 </w:t>
            </w:r>
            <w:r>
              <w:rPr>
                <w:rFonts w:ascii="宋体" w:hAnsi="宋体" w:cs="宋体" w:eastAsia="宋体" w:hint="default"/>
                <w:spacing w:val="-15"/>
                <w:sz w:val="18"/>
                <w:szCs w:val="18"/>
              </w:rPr>
              <w:t>诺》，因未履</w:t>
            </w:r>
            <w:r>
              <w:rPr>
                <w:rFonts w:ascii="宋体" w:hAnsi="宋体" w:cs="宋体" w:eastAsia="宋体" w:hint="default"/>
                <w:sz w:val="18"/>
                <w:szCs w:val="18"/>
              </w:rPr>
              <w:t> 行前述承诺 所获收益和 本人所享有 的上市公司 当年现金分 红收益归公 </w:t>
            </w:r>
            <w:r>
              <w:rPr>
                <w:rFonts w:ascii="宋体" w:hAnsi="宋体" w:cs="宋体" w:eastAsia="宋体" w:hint="default"/>
                <w:spacing w:val="-2"/>
                <w:sz w:val="18"/>
                <w:szCs w:val="18"/>
              </w:rPr>
              <w:t>司所有；如本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人未能履行 </w:t>
            </w:r>
            <w:r>
              <w:rPr>
                <w:rFonts w:ascii="宋体" w:hAnsi="宋体" w:cs="宋体" w:eastAsia="宋体" w:hint="default"/>
                <w:spacing w:val="-2"/>
                <w:sz w:val="18"/>
                <w:szCs w:val="18"/>
              </w:rPr>
              <w:t>已作出的《公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积金补缴承 </w:t>
            </w:r>
            <w:r>
              <w:rPr>
                <w:rFonts w:ascii="宋体" w:hAnsi="宋体" w:cs="宋体" w:eastAsia="宋体" w:hint="default"/>
                <w:spacing w:val="-15"/>
                <w:sz w:val="18"/>
                <w:szCs w:val="18"/>
              </w:rPr>
              <w:t>诺》，本人所</w:t>
            </w:r>
            <w:r>
              <w:rPr>
                <w:rFonts w:ascii="宋体" w:hAnsi="宋体" w:cs="宋体" w:eastAsia="宋体" w:hint="default"/>
                <w:sz w:val="18"/>
                <w:szCs w:val="18"/>
              </w:rPr>
              <w:t> 享有的当年 公司分红收 益将由公司 直接用于补 缴承诺所涉 公积金。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4"/>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陈世英</w:t>
            </w:r>
            <w:r>
              <w:rPr>
                <w:rFonts w:ascii="Times New Roman" w:hAnsi="Times New Roman" w:cs="Times New Roman" w:eastAsia="Times New Roman" w:hint="default"/>
                <w:sz w:val="18"/>
                <w:szCs w:val="18"/>
              </w:rPr>
              <w:t>;</w:t>
            </w:r>
            <w:r>
              <w:rPr>
                <w:rFonts w:ascii="宋体" w:hAnsi="宋体" w:cs="宋体" w:eastAsia="宋体" w:hint="default"/>
                <w:sz w:val="18"/>
                <w:szCs w:val="18"/>
              </w:rPr>
              <w:t>陈旭</w:t>
            </w:r>
            <w:r>
              <w:rPr>
                <w:rFonts w:ascii="Times New Roman" w:hAnsi="Times New Roman" w:cs="Times New Roman" w:eastAsia="Times New Roman" w:hint="default"/>
                <w:sz w:val="18"/>
                <w:szCs w:val="18"/>
              </w:rPr>
              <w:t>; </w:t>
            </w:r>
            <w:r>
              <w:rPr>
                <w:rFonts w:ascii="宋体" w:hAnsi="宋体" w:cs="宋体" w:eastAsia="宋体" w:hint="default"/>
                <w:sz w:val="18"/>
                <w:szCs w:val="18"/>
              </w:rPr>
              <w:t>东华软件股 份公司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李春 青</w:t>
            </w:r>
            <w:r>
              <w:rPr>
                <w:rFonts w:ascii="Times New Roman" w:hAnsi="Times New Roman" w:cs="Times New Roman" w:eastAsia="Times New Roman" w:hint="default"/>
                <w:sz w:val="18"/>
                <w:szCs w:val="18"/>
              </w:rPr>
              <w:t>;</w:t>
            </w:r>
            <w:r>
              <w:rPr>
                <w:rFonts w:ascii="宋体" w:hAnsi="宋体" w:cs="宋体" w:eastAsia="宋体" w:hint="default"/>
                <w:sz w:val="18"/>
                <w:szCs w:val="18"/>
              </w:rPr>
              <w:t>刘川</w:t>
            </w:r>
            <w:r>
              <w:rPr>
                <w:rFonts w:ascii="Times New Roman" w:hAnsi="Times New Roman" w:cs="Times New Roman" w:eastAsia="Times New Roman" w:hint="default"/>
                <w:sz w:val="18"/>
                <w:szCs w:val="18"/>
              </w:rPr>
              <w:t>;</w:t>
            </w:r>
            <w:r>
              <w:rPr>
                <w:rFonts w:ascii="宋体" w:hAnsi="宋体" w:cs="宋体" w:eastAsia="宋体" w:hint="default"/>
                <w:sz w:val="18"/>
                <w:szCs w:val="18"/>
              </w:rPr>
              <w:t>牛合 庆</w:t>
            </w:r>
            <w:r>
              <w:rPr>
                <w:rFonts w:ascii="Times New Roman" w:hAnsi="Times New Roman" w:cs="Times New Roman" w:eastAsia="Times New Roman" w:hint="default"/>
                <w:sz w:val="18"/>
                <w:szCs w:val="18"/>
              </w:rPr>
              <w:t>;</w:t>
            </w:r>
            <w:r>
              <w:rPr>
                <w:rFonts w:ascii="宋体" w:hAnsi="宋体" w:cs="宋体" w:eastAsia="宋体" w:hint="default"/>
                <w:sz w:val="18"/>
                <w:szCs w:val="18"/>
              </w:rPr>
              <w:t>孙亚明</w:t>
            </w:r>
            <w:r>
              <w:rPr>
                <w:rFonts w:ascii="Times New Roman" w:hAnsi="Times New Roman" w:cs="Times New Roman" w:eastAsia="Times New Roman" w:hint="default"/>
                <w:sz w:val="18"/>
                <w:szCs w:val="18"/>
              </w:rPr>
              <w:t>;</w:t>
            </w:r>
            <w:r>
              <w:rPr>
                <w:rFonts w:ascii="宋体" w:hAnsi="宋体" w:cs="宋体" w:eastAsia="宋体" w:hint="default"/>
                <w:sz w:val="18"/>
                <w:szCs w:val="18"/>
              </w:rPr>
              <w:t>徐 少璞</w:t>
            </w:r>
            <w:r>
              <w:rPr>
                <w:rFonts w:ascii="Times New Roman" w:hAnsi="Times New Roman" w:cs="Times New Roman" w:eastAsia="Times New Roman" w:hint="default"/>
                <w:sz w:val="18"/>
                <w:szCs w:val="18"/>
              </w:rPr>
              <w:t>;</w:t>
            </w:r>
            <w:r>
              <w:rPr>
                <w:rFonts w:ascii="宋体" w:hAnsi="宋体" w:cs="宋体" w:eastAsia="宋体" w:hint="default"/>
                <w:sz w:val="18"/>
                <w:szCs w:val="18"/>
              </w:rPr>
              <w:t>徐志东</w:t>
            </w:r>
            <w:r>
              <w:rPr>
                <w:rFonts w:ascii="Times New Roman" w:hAnsi="Times New Roman" w:cs="Times New Roman" w:eastAsia="Times New Roman" w:hint="default"/>
                <w:sz w:val="18"/>
                <w:szCs w:val="18"/>
              </w:rPr>
              <w:t>; </w:t>
            </w:r>
            <w:r>
              <w:rPr>
                <w:rFonts w:ascii="宋体" w:hAnsi="宋体" w:cs="宋体" w:eastAsia="宋体" w:hint="default"/>
                <w:sz w:val="18"/>
                <w:szCs w:val="18"/>
              </w:rPr>
              <w:t>盈富泰克创 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涌金实 </w:t>
            </w:r>
            <w:r>
              <w:rPr>
                <w:rFonts w:ascii="宋体" w:hAnsi="宋体" w:cs="宋体" w:eastAsia="宋体" w:hint="default"/>
                <w:spacing w:val="-2"/>
                <w:sz w:val="18"/>
                <w:szCs w:val="18"/>
              </w:rPr>
              <w:t>业（集团）有</w:t>
            </w:r>
            <w:r>
              <w:rPr>
                <w:rFonts w:ascii="宋体" w:hAnsi="宋体" w:cs="宋体" w:eastAsia="宋体" w:hint="default"/>
                <w:sz w:val="18"/>
                <w:szCs w:val="18"/>
              </w:rPr>
              <w:t>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朱律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如本人未能 履行已作出</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《关于避免 同业竞争的 </w:t>
            </w:r>
            <w:r>
              <w:rPr>
                <w:rFonts w:ascii="宋体" w:hAnsi="宋体" w:cs="宋体" w:eastAsia="宋体" w:hint="default"/>
                <w:spacing w:val="-28"/>
                <w:sz w:val="18"/>
                <w:szCs w:val="18"/>
              </w:rPr>
              <w:t>承诺》、《关于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规范和减少 关联交易的 </w:t>
            </w:r>
            <w:r>
              <w:rPr>
                <w:rFonts w:ascii="宋体" w:hAnsi="宋体" w:cs="宋体" w:eastAsia="宋体" w:hint="default"/>
                <w:spacing w:val="-28"/>
                <w:sz w:val="18"/>
                <w:szCs w:val="18"/>
              </w:rPr>
              <w:t>承诺》、《股份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锁定承诺》等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承诺，因未履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行承诺所获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玮</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收益和本人 所享有公司 当年现金分 红收益归公 司所有。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长安基金－ 工商银行－ 大业信托－ 大业信托</w:t>
            </w:r>
            <w:r>
              <w:rPr>
                <w:rFonts w:ascii="Times New Roman" w:hAnsi="Times New Roman" w:cs="Times New Roman" w:eastAsia="Times New Roman" w:hint="default"/>
                <w:sz w:val="18"/>
                <w:szCs w:val="18"/>
              </w:rPr>
              <w:t>?</w:t>
            </w:r>
            <w:r>
              <w:rPr>
                <w:rFonts w:ascii="宋体" w:hAnsi="宋体" w:cs="宋体" w:eastAsia="宋体" w:hint="default"/>
                <w:sz w:val="18"/>
                <w:szCs w:val="18"/>
              </w:rPr>
              <w:t>平 安富贵东方 通单一资金 信托</w:t>
            </w:r>
            <w:r>
              <w:rPr>
                <w:rFonts w:ascii="Times New Roman" w:hAnsi="Times New Roman" w:cs="Times New Roman" w:eastAsia="Times New Roman" w:hint="default"/>
                <w:sz w:val="18"/>
                <w:szCs w:val="18"/>
              </w:rPr>
              <w:t>;</w:t>
            </w:r>
            <w:r>
              <w:rPr>
                <w:rFonts w:ascii="宋体" w:hAnsi="宋体" w:cs="宋体" w:eastAsia="宋体" w:hint="default"/>
                <w:sz w:val="18"/>
                <w:szCs w:val="18"/>
              </w:rPr>
              <w:t>黄永军</w:t>
            </w:r>
            <w:r>
              <w:rPr>
                <w:rFonts w:ascii="Times New Roman" w:hAnsi="Times New Roman" w:cs="Times New Roman" w:eastAsia="Times New Roman" w:hint="default"/>
                <w:sz w:val="18"/>
                <w:szCs w:val="18"/>
              </w:rPr>
              <w:t>; </w:t>
            </w:r>
            <w:r>
              <w:rPr>
                <w:rFonts w:ascii="宋体" w:hAnsi="宋体" w:cs="宋体" w:eastAsia="宋体" w:hint="default"/>
                <w:sz w:val="18"/>
                <w:szCs w:val="18"/>
              </w:rPr>
              <w:t>深圳平安大 华汇通财富</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－平安银行</w:t>
            </w:r>
          </w:p>
          <w:p>
            <w:pPr>
              <w:pStyle w:val="TableParagraph"/>
              <w:spacing w:line="309" w:lineRule="auto" w:before="76"/>
              <w:ind w:left="23" w:right="21"/>
              <w:jc w:val="left"/>
              <w:rPr>
                <w:rFonts w:ascii="宋体" w:hAnsi="宋体" w:cs="宋体" w:eastAsia="宋体" w:hint="default"/>
                <w:sz w:val="18"/>
                <w:szCs w:val="18"/>
              </w:rPr>
            </w:pPr>
            <w:r>
              <w:rPr>
                <w:rFonts w:ascii="宋体" w:hAnsi="宋体" w:cs="宋体" w:eastAsia="宋体" w:hint="default"/>
                <w:sz w:val="18"/>
                <w:szCs w:val="18"/>
              </w:rPr>
              <w:t>－平安汇通 星通资本定 向投资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 产管理计划</w:t>
            </w:r>
            <w:r>
              <w:rPr>
                <w:rFonts w:ascii="Times New Roman" w:hAnsi="Times New Roman" w:cs="Times New Roman" w:eastAsia="Times New Roman" w:hint="default"/>
                <w:sz w:val="18"/>
                <w:szCs w:val="18"/>
              </w:rPr>
              <w:t>; </w:t>
            </w:r>
            <w:r>
              <w:rPr>
                <w:rFonts w:ascii="宋体" w:hAnsi="宋体" w:cs="宋体" w:eastAsia="宋体" w:hint="default"/>
                <w:sz w:val="18"/>
                <w:szCs w:val="18"/>
              </w:rPr>
              <w:t>兴业全球基 金－招商银 行－沈惠中</w:t>
            </w:r>
            <w:r>
              <w:rPr>
                <w:rFonts w:ascii="Times New Roman" w:hAnsi="Times New Roman" w:cs="Times New Roman" w:eastAsia="Times New Roman" w:hint="default"/>
                <w:sz w:val="18"/>
                <w:szCs w:val="18"/>
              </w:rPr>
              <w:t>; </w:t>
            </w:r>
            <w:r>
              <w:rPr>
                <w:rFonts w:ascii="宋体" w:hAnsi="宋体" w:cs="宋体" w:eastAsia="宋体" w:hint="default"/>
                <w:sz w:val="18"/>
                <w:szCs w:val="18"/>
              </w:rPr>
              <w:t>朱曼</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4" w:lineRule="auto"/>
              <w:ind w:left="22" w:right="21"/>
              <w:jc w:val="left"/>
              <w:rPr>
                <w:rFonts w:ascii="宋体" w:hAnsi="宋体" w:cs="宋体" w:eastAsia="宋体" w:hint="default"/>
                <w:sz w:val="18"/>
                <w:szCs w:val="18"/>
              </w:rPr>
            </w:pPr>
            <w:r>
              <w:rPr>
                <w:rFonts w:ascii="宋体" w:hAnsi="宋体" w:cs="宋体" w:eastAsia="宋体" w:hint="default"/>
                <w:sz w:val="18"/>
                <w:szCs w:val="18"/>
              </w:rPr>
              <w:t>本次非公开 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w:t>
            </w:r>
            <w:r>
              <w:rPr>
                <w:rFonts w:ascii="宋体" w:hAnsi="宋体" w:cs="宋体" w:eastAsia="宋体" w:hint="default"/>
                <w:spacing w:val="-2"/>
                <w:sz w:val="18"/>
                <w:szCs w:val="18"/>
              </w:rPr>
              <w:t>票完成后，所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有发行对象 认购的股份 均自本次发 行结束之日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不得转让。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2019-07-26</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r>
        <w:trPr>
          <w:trHeight w:val="570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3" w:right="190"/>
              <w:jc w:val="both"/>
              <w:rPr>
                <w:rFonts w:ascii="宋体" w:hAnsi="宋体" w:cs="宋体" w:eastAsia="宋体" w:hint="default"/>
                <w:sz w:val="18"/>
                <w:szCs w:val="18"/>
              </w:rPr>
            </w:pPr>
            <w:r>
              <w:rPr>
                <w:rFonts w:ascii="宋体" w:hAnsi="宋体" w:cs="宋体" w:eastAsia="宋体" w:hint="default"/>
                <w:sz w:val="18"/>
                <w:szCs w:val="18"/>
              </w:rPr>
              <w:t>北京微智信 业科技有限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根据盈利承 诺补偿协议， 微智信业股 东黄永军、曲 涛、吴志辉、 江敏承诺微 智信业</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102"/>
              <w:jc w:val="left"/>
              <w:rPr>
                <w:rFonts w:ascii="宋体" w:hAnsi="宋体" w:cs="宋体" w:eastAsia="宋体" w:hint="default"/>
                <w:sz w:val="18"/>
                <w:szCs w:val="18"/>
              </w:rPr>
            </w:pPr>
            <w:r>
              <w:rPr>
                <w:rFonts w:ascii="宋体" w:hAnsi="宋体" w:cs="宋体" w:eastAsia="宋体" w:hint="default"/>
                <w:sz w:val="18"/>
                <w:szCs w:val="18"/>
              </w:rPr>
              <w:t>实现的扣除 非经常性损 益后归属于 母公司股东 的净利润分 别不低于 </w:t>
            </w:r>
            <w:r>
              <w:rPr>
                <w:rFonts w:ascii="Times New Roman" w:hAnsi="Times New Roman" w:cs="Times New Roman" w:eastAsia="Times New Roman" w:hint="default"/>
                <w:sz w:val="18"/>
                <w:szCs w:val="18"/>
              </w:rPr>
              <w:t>4,150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90"/>
              <w:jc w:val="left"/>
              <w:rPr>
                <w:rFonts w:ascii="宋体" w:hAnsi="宋体" w:cs="宋体" w:eastAsia="宋体" w:hint="default"/>
                <w:sz w:val="18"/>
                <w:szCs w:val="18"/>
              </w:rPr>
            </w:pPr>
            <w:r>
              <w:rPr>
                <w:rFonts w:ascii="宋体" w:hAnsi="宋体" w:cs="宋体" w:eastAsia="宋体" w:hint="default"/>
                <w:sz w:val="18"/>
                <w:szCs w:val="18"/>
              </w:rPr>
              <w:t>北京东方通 科技股份有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2"/>
              <w:jc w:val="left"/>
              <w:rPr>
                <w:rFonts w:ascii="宋体" w:hAnsi="宋体" w:cs="宋体" w:eastAsia="宋体" w:hint="default"/>
                <w:sz w:val="18"/>
                <w:szCs w:val="18"/>
              </w:rPr>
            </w:pPr>
            <w:r>
              <w:rPr>
                <w:rFonts w:ascii="宋体" w:hAnsi="宋体" w:cs="宋体" w:eastAsia="宋体" w:hint="default"/>
                <w:sz w:val="18"/>
                <w:szCs w:val="18"/>
              </w:rPr>
              <w:t>公司承诺不 为激励对象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2019-09-07</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54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依本激励计 划获取有关 权益提供贷 款以及其他 任何形式的 </w:t>
            </w:r>
            <w:r>
              <w:rPr>
                <w:rFonts w:ascii="宋体" w:hAnsi="宋体" w:cs="宋体" w:eastAsia="宋体" w:hint="default"/>
                <w:spacing w:val="-2"/>
                <w:sz w:val="18"/>
                <w:szCs w:val="18"/>
              </w:rPr>
              <w:t>财务资助，包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括为其贷款 提供担保。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项正在履行 中。</w:t>
            </w:r>
          </w:p>
        </w:tc>
      </w:tr>
      <w:tr>
        <w:trPr>
          <w:trHeight w:val="1721"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00" w:lineRule="auto"/>
              <w:ind w:left="17" w:right="89"/>
              <w:jc w:val="both"/>
              <w:rPr>
                <w:rFonts w:ascii="宋体" w:hAnsi="宋体" w:cs="宋体" w:eastAsia="宋体" w:hint="default"/>
                <w:sz w:val="18"/>
                <w:szCs w:val="18"/>
              </w:rPr>
            </w:pPr>
            <w:r>
              <w:rPr>
                <w:rFonts w:ascii="宋体" w:hAnsi="宋体" w:cs="宋体" w:eastAsia="宋体" w:hint="default"/>
                <w:sz w:val="18"/>
                <w:szCs w:val="18"/>
              </w:rPr>
              <w:t>徐少璞</w:t>
            </w:r>
            <w:r>
              <w:rPr>
                <w:rFonts w:ascii="Times New Roman" w:hAnsi="Times New Roman" w:cs="Times New Roman" w:eastAsia="Times New Roman" w:hint="default"/>
                <w:sz w:val="18"/>
                <w:szCs w:val="18"/>
              </w:rPr>
              <w:t>;</w:t>
            </w:r>
            <w:r>
              <w:rPr>
                <w:rFonts w:ascii="宋体" w:hAnsi="宋体" w:cs="宋体" w:eastAsia="宋体" w:hint="default"/>
                <w:sz w:val="18"/>
                <w:szCs w:val="18"/>
              </w:rPr>
              <w:t>张齐 春</w:t>
            </w:r>
            <w:r>
              <w:rPr>
                <w:rFonts w:ascii="Times New Roman" w:hAnsi="Times New Roman" w:cs="Times New Roman" w:eastAsia="Times New Roman" w:hint="default"/>
                <w:sz w:val="18"/>
                <w:szCs w:val="18"/>
              </w:rPr>
              <w:t>;</w:t>
            </w:r>
            <w:r>
              <w:rPr>
                <w:rFonts w:ascii="宋体" w:hAnsi="宋体" w:cs="宋体" w:eastAsia="宋体" w:hint="default"/>
                <w:sz w:val="18"/>
                <w:szCs w:val="18"/>
              </w:rPr>
              <w:t>朱海东</w:t>
            </w:r>
            <w:r>
              <w:rPr>
                <w:rFonts w:ascii="Times New Roman" w:hAnsi="Times New Roman" w:cs="Times New Roman" w:eastAsia="Times New Roman" w:hint="default"/>
                <w:sz w:val="18"/>
                <w:szCs w:val="18"/>
              </w:rPr>
              <w:t>;</w:t>
            </w:r>
            <w:r>
              <w:rPr>
                <w:rFonts w:ascii="宋体" w:hAnsi="宋体" w:cs="宋体" w:eastAsia="宋体" w:hint="default"/>
                <w:sz w:val="18"/>
                <w:szCs w:val="18"/>
              </w:rPr>
              <w:t>朱 曼</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309" w:lineRule="auto" w:before="61"/>
              <w:ind w:left="22" w:right="10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日起半 年内（即至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5"/>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日）不减持</w:t>
            </w:r>
            <w:r>
              <w:rPr>
                <w:rFonts w:ascii="宋体" w:hAnsi="宋体" w:cs="宋体" w:eastAsia="宋体" w:hint="default"/>
                <w:sz w:val="18"/>
                <w:szCs w:val="18"/>
              </w:rPr>
              <w:t> 本人直接或 间接持有的 </w:t>
            </w:r>
            <w:r>
              <w:rPr>
                <w:rFonts w:ascii="宋体" w:hAnsi="宋体" w:cs="宋体" w:eastAsia="宋体" w:hint="default"/>
                <w:spacing w:val="-2"/>
                <w:sz w:val="18"/>
                <w:szCs w:val="18"/>
              </w:rPr>
              <w:t>公司股票，若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违反上述承 </w:t>
            </w:r>
            <w:r>
              <w:rPr>
                <w:rFonts w:ascii="宋体" w:hAnsi="宋体" w:cs="宋体" w:eastAsia="宋体" w:hint="default"/>
                <w:spacing w:val="-2"/>
                <w:sz w:val="18"/>
                <w:szCs w:val="18"/>
              </w:rPr>
              <w:t>诺，减持股份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所得全部归 公司所有。</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sz w:val="18"/>
              </w:rPr>
              <w:t>2017-08-13</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3"/>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诺人未有违 反承诺的情 </w:t>
            </w:r>
            <w:r>
              <w:rPr>
                <w:rFonts w:ascii="宋体" w:hAnsi="宋体" w:cs="宋体" w:eastAsia="宋体" w:hint="default"/>
                <w:spacing w:val="-5"/>
                <w:sz w:val="18"/>
                <w:szCs w:val="18"/>
              </w:rPr>
              <w:t>况，该承诺事</w:t>
            </w:r>
            <w:r>
              <w:rPr>
                <w:rFonts w:ascii="宋体" w:hAnsi="宋体" w:cs="宋体" w:eastAsia="宋体" w:hint="default"/>
                <w:sz w:val="18"/>
                <w:szCs w:val="18"/>
              </w:rPr>
              <w:t> 项已履行完 毕。</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721"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134" w:right="1033"/>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4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5"/>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6"/>
              <w:ind w:left="22" w:right="111" w:firstLine="120"/>
              <w:jc w:val="left"/>
              <w:rPr>
                <w:rFonts w:ascii="宋体" w:hAnsi="宋体" w:cs="宋体" w:eastAsia="宋体" w:hint="default"/>
                <w:sz w:val="18"/>
                <w:szCs w:val="18"/>
              </w:rPr>
            </w:pPr>
            <w:r>
              <w:rPr>
                <w:rFonts w:ascii="宋体" w:hAnsi="宋体" w:cs="宋体" w:eastAsia="宋体" w:hint="default"/>
                <w:sz w:val="18"/>
                <w:szCs w:val="18"/>
              </w:rPr>
              <w:t>未达预测的 </w:t>
            </w:r>
            <w:r>
              <w:rPr>
                <w:rFonts w:ascii="宋体" w:hAnsi="宋体" w:cs="宋体" w:eastAsia="宋体" w:hint="default"/>
                <w:spacing w:val="-6"/>
                <w:sz w:val="18"/>
                <w:szCs w:val="18"/>
              </w:rPr>
              <w:t>原因（如适用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45" w:right="0"/>
              <w:jc w:val="left"/>
              <w:rPr>
                <w:rFonts w:ascii="宋体" w:hAnsi="宋体" w:cs="宋体" w:eastAsia="宋体" w:hint="default"/>
                <w:sz w:val="18"/>
                <w:szCs w:val="18"/>
              </w:rPr>
            </w:pPr>
            <w:r>
              <w:rPr>
                <w:rFonts w:ascii="宋体" w:hAnsi="宋体" w:cs="宋体" w:eastAsia="宋体" w:hint="default"/>
                <w:sz w:val="18"/>
                <w:szCs w:val="18"/>
              </w:rPr>
              <w:t>原预测披露</w:t>
            </w:r>
          </w:p>
          <w:p>
            <w:pPr>
              <w:pStyle w:val="TableParagraph"/>
              <w:tabs>
                <w:tab w:pos="415" w:val="left" w:leader="none"/>
              </w:tabs>
              <w:spacing w:line="240" w:lineRule="auto" w:before="116"/>
              <w:ind w:left="-123" w:right="0"/>
              <w:jc w:val="left"/>
              <w:rPr>
                <w:rFonts w:ascii="宋体" w:hAnsi="宋体" w:cs="宋体" w:eastAsia="宋体" w:hint="default"/>
                <w:sz w:val="18"/>
                <w:szCs w:val="18"/>
              </w:rPr>
            </w:pPr>
            <w:r>
              <w:rPr>
                <w:rFonts w:ascii="宋体" w:hAnsi="宋体" w:cs="宋体" w:eastAsia="宋体" w:hint="default"/>
                <w:sz w:val="18"/>
                <w:szCs w:val="18"/>
              </w:rPr>
              <w:t>）</w:t>
              <w:tab/>
              <w:t>日期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6"/>
              <w:ind w:left="412" w:right="140" w:hanging="270"/>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1967" w:hRule="exact"/>
        </w:trPr>
        <w:tc>
          <w:tcPr>
            <w:tcW w:w="119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北京微智信业 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760" w:right="0"/>
              <w:jc w:val="left"/>
              <w:rPr>
                <w:rFonts w:ascii="Times New Roman" w:hAnsi="Times New Roman" w:cs="Times New Roman" w:eastAsia="Times New Roman" w:hint="default"/>
                <w:sz w:val="18"/>
                <w:szCs w:val="18"/>
              </w:rPr>
            </w:pPr>
            <w:r>
              <w:rPr>
                <w:rFonts w:ascii="Times New Roman"/>
                <w:sz w:val="18"/>
              </w:rPr>
              <w:t>7,000</w:t>
            </w:r>
          </w:p>
        </w:tc>
        <w:tc>
          <w:tcPr>
            <w:tcW w:w="119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532" w:right="0"/>
              <w:jc w:val="left"/>
              <w:rPr>
                <w:rFonts w:ascii="Times New Roman" w:hAnsi="Times New Roman" w:cs="Times New Roman" w:eastAsia="Times New Roman" w:hint="default"/>
                <w:sz w:val="18"/>
                <w:szCs w:val="18"/>
              </w:rPr>
            </w:pPr>
            <w:r>
              <w:rPr>
                <w:rFonts w:ascii="Times New Roman"/>
                <w:sz w:val="18"/>
              </w:rPr>
              <w:t>7,219.86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5"/>
              <w:ind w:left="22"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p>
            <w:pPr>
              <w:pStyle w:val="TableParagraph"/>
              <w:spacing w:line="319" w:lineRule="auto" w:before="13"/>
              <w:ind w:left="22" w:right="80"/>
              <w:jc w:val="both"/>
              <w:rPr>
                <w:rFonts w:ascii="宋体" w:hAnsi="宋体" w:cs="宋体" w:eastAsia="宋体" w:hint="default"/>
                <w:sz w:val="18"/>
                <w:szCs w:val="18"/>
              </w:rPr>
            </w:pPr>
            <w:r>
              <w:rPr>
                <w:rFonts w:ascii="宋体" w:hAnsi="宋体" w:cs="宋体" w:eastAsia="宋体" w:hint="default"/>
                <w:sz w:val="18"/>
                <w:szCs w:val="18"/>
              </w:rPr>
              <w:t>《东方通：非 公开发行股票 预案》</w:t>
            </w:r>
          </w:p>
        </w:tc>
      </w:tr>
    </w:tbl>
    <w:p>
      <w:pPr>
        <w:pStyle w:val="BodyText"/>
        <w:spacing w:line="240" w:lineRule="auto" w:before="51"/>
        <w:ind w:left="1134" w:right="1033"/>
        <w:jc w:val="left"/>
      </w:pPr>
      <w:r>
        <w:rPr/>
        <w:t>公司股东、交易对手方对公司或相关资产年度经营业绩作出的承诺情况</w:t>
      </w:r>
    </w:p>
    <w:p>
      <w:pPr>
        <w:pStyle w:val="BodyText"/>
        <w:spacing w:line="338" w:lineRule="auto" w:before="117"/>
        <w:ind w:left="1493" w:right="10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根据公司与微智信业的原主要股东黄永军、曲涛、吴志辉、江敏签定的《盈利承诺补偿协议》及《盈利承诺补偿协议之</w:t>
      </w:r>
    </w:p>
    <w:p>
      <w:pPr>
        <w:pStyle w:val="BodyText"/>
        <w:spacing w:line="302" w:lineRule="auto" w:before="3"/>
        <w:ind w:left="1134" w:right="1033"/>
        <w:jc w:val="left"/>
      </w:pPr>
      <w:r>
        <w:rPr>
          <w:spacing w:val="-1"/>
        </w:rPr>
        <w:t>补充协议》，交易对方承诺微智信业</w:t>
      </w:r>
      <w:r>
        <w:rPr>
          <w:rFonts w:ascii="Times New Roman" w:hAnsi="Times New Roman" w:cs="Times New Roman" w:eastAsia="Times New Roman" w:hint="default"/>
          <w:spacing w:val="-1"/>
        </w:rPr>
        <w:t>2015-2018</w:t>
      </w:r>
      <w:r>
        <w:rPr>
          <w:spacing w:val="-1"/>
        </w:rPr>
        <w:t>年实现的扣除非经常性损益后归属于母公司股东的净利润分别不低于</w:t>
      </w:r>
      <w:r>
        <w:rPr>
          <w:rFonts w:ascii="Times New Roman" w:hAnsi="Times New Roman" w:cs="Times New Roman" w:eastAsia="Times New Roman" w:hint="default"/>
          <w:spacing w:val="-1"/>
        </w:rPr>
        <w:t>4,150</w:t>
      </w:r>
      <w:r>
        <w:rPr>
          <w:spacing w:val="-1"/>
        </w:rPr>
        <w:t>万</w:t>
      </w:r>
      <w:r>
        <w:rPr>
          <w:spacing w:val="-37"/>
        </w:rPr>
        <w:t> </w:t>
      </w:r>
      <w:r>
        <w:rPr/>
        <w:t>元、</w:t>
      </w:r>
      <w:r>
        <w:rPr>
          <w:rFonts w:ascii="Times New Roman" w:hAnsi="Times New Roman" w:cs="Times New Roman" w:eastAsia="Times New Roman" w:hint="default"/>
        </w:rPr>
        <w:t>5,400</w:t>
      </w:r>
      <w:r>
        <w:rPr/>
        <w:t>万元、</w:t>
      </w:r>
      <w:r>
        <w:rPr>
          <w:rFonts w:ascii="Times New Roman" w:hAnsi="Times New Roman" w:cs="Times New Roman" w:eastAsia="Times New Roman" w:hint="default"/>
        </w:rPr>
        <w:t>7,000</w:t>
      </w:r>
      <w:r>
        <w:rPr/>
        <w:t>万元和</w:t>
      </w:r>
      <w:r>
        <w:rPr>
          <w:rFonts w:ascii="Times New Roman" w:hAnsi="Times New Roman" w:cs="Times New Roman" w:eastAsia="Times New Roman" w:hint="default"/>
        </w:rPr>
        <w:t>7,000</w:t>
      </w:r>
      <w:r>
        <w:rPr/>
        <w:t>万元。</w:t>
      </w:r>
    </w:p>
    <w:p>
      <w:pPr>
        <w:pStyle w:val="BodyText"/>
        <w:spacing w:line="319" w:lineRule="auto" w:before="49"/>
        <w:ind w:right="1123" w:firstLine="360"/>
        <w:jc w:val="left"/>
      </w:pPr>
      <w:r>
        <w:rPr>
          <w:rFonts w:ascii="宋体" w:hAnsi="宋体" w:cs="宋体" w:eastAsia="宋体" w:hint="default"/>
        </w:rPr>
        <w:t>2017</w:t>
      </w:r>
      <w:r>
        <w:rPr/>
        <w:t>年度微智信业经审计的扣除非经常性损益后实现的归属于母公司股东的净利润为</w:t>
      </w:r>
      <w:r>
        <w:rPr>
          <w:rFonts w:ascii="宋体" w:hAnsi="宋体" w:cs="宋体" w:eastAsia="宋体" w:hint="default"/>
        </w:rPr>
        <w:t>71,153,565.62</w:t>
      </w:r>
      <w:r>
        <w:rPr/>
        <w:t>元，承诺的归属母 公司所有者的净利润为</w:t>
      </w:r>
      <w:r>
        <w:rPr>
          <w:rFonts w:ascii="宋体" w:hAnsi="宋体" w:cs="宋体" w:eastAsia="宋体" w:hint="default"/>
        </w:rPr>
        <w:t>70,000,000.00</w:t>
      </w:r>
      <w:r>
        <w:rPr/>
        <w:t>元，实现数高于承诺数</w:t>
      </w:r>
      <w:r>
        <w:rPr>
          <w:rFonts w:ascii="宋体" w:hAnsi="宋体" w:cs="宋体" w:eastAsia="宋体" w:hint="default"/>
        </w:rPr>
        <w:t>1,153,565.62</w:t>
      </w:r>
      <w:r>
        <w:rPr/>
        <w:t>元，实现率为</w:t>
      </w:r>
      <w:r>
        <w:rPr>
          <w:rFonts w:ascii="宋体" w:hAnsi="宋体" w:cs="宋体" w:eastAsia="宋体" w:hint="default"/>
        </w:rPr>
        <w:t>101.65%</w:t>
      </w:r>
      <w:r>
        <w:rPr/>
        <w:t>。</w:t>
      </w:r>
    </w:p>
    <w:p>
      <w:pPr>
        <w:spacing w:after="0" w:line="319"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1033"/>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1033"/>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3"/>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493" w:right="103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28 </w:t>
      </w:r>
      <w:r>
        <w:rPr/>
        <w:t>日，财政部颁布《关于印发</w:t>
      </w:r>
      <w:r>
        <w:rPr>
          <w:rFonts w:ascii="Times New Roman" w:hAnsi="Times New Roman" w:cs="Times New Roman" w:eastAsia="Times New Roman" w:hint="default"/>
        </w:rPr>
        <w:t>&lt;</w:t>
      </w:r>
      <w:r>
        <w:rPr/>
        <w:t>企业会计准则第</w:t>
      </w:r>
      <w:r>
        <w:rPr>
          <w:spacing w:val="-46"/>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&gt;</w:t>
      </w:r>
      <w:r>
        <w:rPr/>
        <w:t>的</w:t>
      </w:r>
    </w:p>
    <w:p>
      <w:pPr>
        <w:pStyle w:val="BodyText"/>
        <w:spacing w:line="240" w:lineRule="auto" w:before="64"/>
        <w:ind w:left="1134" w:right="1033"/>
        <w:jc w:val="left"/>
      </w:pPr>
      <w:r>
        <w:rPr/>
        <w:t>通知</w:t>
      </w:r>
      <w:r>
        <w:rPr>
          <w:spacing w:val="-90"/>
        </w:rPr>
        <w:t>》</w:t>
      </w:r>
      <w:r>
        <w:rPr/>
        <w:t>（财会</w:t>
      </w:r>
      <w:r>
        <w:rPr>
          <w:rFonts w:ascii="Times New Roman" w:hAnsi="Times New Roman" w:cs="Times New Roman" w:eastAsia="Times New Roman" w:hint="default"/>
        </w:rPr>
        <w:t>[2017</w:t>
      </w:r>
      <w:r>
        <w:rPr>
          <w:rFonts w:ascii="Times New Roman" w:hAnsi="Times New Roman" w:cs="Times New Roman" w:eastAsia="Times New Roman" w:hint="default"/>
          <w:spacing w:val="-2"/>
        </w:rPr>
        <w:t>]</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号</w:t>
      </w:r>
      <w:r>
        <w:rPr>
          <w:spacing w:val="-90"/>
        </w:rPr>
        <w:t>）</w:t>
      </w:r>
      <w:r>
        <w:rPr>
          <w:spacing w:val="1"/>
        </w:rPr>
        <w:t>，</w:t>
      </w:r>
      <w:r>
        <w:rPr/>
        <w:t>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日起施行。</w:t>
      </w:r>
    </w:p>
    <w:p>
      <w:pPr>
        <w:pStyle w:val="BodyText"/>
        <w:spacing w:line="240" w:lineRule="auto" w:before="101"/>
        <w:ind w:left="1493" w:right="103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10 </w:t>
      </w:r>
      <w:r>
        <w:rPr/>
        <w:t>日，财政部颁布《关于印发修订</w:t>
      </w:r>
      <w:r>
        <w:rPr>
          <w:rFonts w:ascii="Times New Roman" w:hAnsi="Times New Roman" w:cs="Times New Roman" w:eastAsia="Times New Roman" w:hint="default"/>
        </w:rPr>
        <w:t>&lt;</w:t>
      </w:r>
      <w:r>
        <w:rPr/>
        <w:t>企业会计准则第</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spacing w:val="1"/>
        </w:rPr>
        <w:t>—</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&gt;</w:t>
      </w:r>
      <w:r>
        <w:rPr/>
        <w:t>的通知</w:t>
      </w:r>
      <w:r>
        <w:rPr>
          <w:spacing w:val="-90"/>
        </w:rPr>
        <w:t>》</w:t>
      </w:r>
      <w:r>
        <w:rPr/>
        <w:t>（财会</w:t>
      </w:r>
      <w:r>
        <w:rPr>
          <w:rFonts w:ascii="Times New Roman" w:hAnsi="Times New Roman" w:cs="Times New Roman" w:eastAsia="Times New Roman" w:hint="default"/>
        </w:rPr>
        <w:t>[2017</w:t>
      </w:r>
      <w:r>
        <w:rPr>
          <w:rFonts w:ascii="Times New Roman" w:hAnsi="Times New Roman" w:cs="Times New Roman" w:eastAsia="Times New Roman" w:hint="default"/>
          <w:spacing w:val="-2"/>
        </w:rPr>
        <w:t>]</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w:t>
      </w:r>
      <w:r>
        <w:rPr>
          <w:spacing w:val="-90"/>
        </w:rPr>
        <w:t>）</w:t>
      </w:r>
      <w:r>
        <w:rPr/>
        <w:t>，自</w:t>
      </w:r>
    </w:p>
    <w:p>
      <w:pPr>
        <w:pStyle w:val="BodyText"/>
        <w:spacing w:line="340" w:lineRule="auto" w:before="64"/>
        <w:ind w:left="1494" w:right="4092" w:hanging="360"/>
        <w:jc w:val="left"/>
      </w:pPr>
      <w:r>
        <w:rPr>
          <w:rFonts w:ascii="Times New Roman" w:hAnsi="Times New Roman" w:cs="Times New Roman" w:eastAsia="Times New Roman" w:hint="default"/>
        </w:rPr>
        <w:t>2017</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12 </w:t>
      </w:r>
      <w:r>
        <w:rPr/>
        <w:t>日起施行。 由于上述会计准则的颁布及修订，公司需对原会计政策相关内容进行相应调整。</w:t>
      </w:r>
    </w:p>
    <w:p>
      <w:pPr>
        <w:pStyle w:val="BodyText"/>
        <w:spacing w:line="240" w:lineRule="auto" w:before="39"/>
        <w:ind w:left="1493" w:right="1033"/>
        <w:jc w:val="left"/>
      </w:pPr>
      <w:r>
        <w:rPr/>
        <w:t>《企业会计准则第</w:t>
      </w:r>
      <w:r>
        <w:rPr>
          <w:spacing w:val="-46"/>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持有待售的非流动资产、处置组和终止经营》自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日开始执行，对于该准则</w:t>
      </w:r>
    </w:p>
    <w:p>
      <w:pPr>
        <w:pStyle w:val="BodyText"/>
        <w:spacing w:line="240" w:lineRule="auto" w:before="63"/>
        <w:ind w:left="1134" w:right="0"/>
        <w:jc w:val="left"/>
      </w:pPr>
      <w:r>
        <w:rPr/>
        <w:t>施行日存在的持有待售的非流动资产</w:t>
      </w:r>
      <w:r>
        <w:rPr>
          <w:spacing w:val="-58"/>
        </w:rPr>
        <w:t>、</w:t>
      </w:r>
      <w:r>
        <w:rPr/>
        <w:t>处置组和终止经营</w:t>
      </w:r>
      <w:r>
        <w:rPr>
          <w:spacing w:val="-58"/>
        </w:rPr>
        <w:t>，</w:t>
      </w:r>
      <w:r>
        <w:rPr/>
        <w:t>应当采用未来适用法处理</w:t>
      </w:r>
      <w:r>
        <w:rPr>
          <w:spacing w:val="-148"/>
        </w:rPr>
        <w:t>；</w:t>
      </w:r>
      <w:r>
        <w:rPr/>
        <w:t>《企业会计准则第</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1"/>
        </w:rPr>
        <w:t>政</w:t>
      </w:r>
      <w:r>
        <w:rPr/>
        <w:t>府补助》</w:t>
      </w:r>
    </w:p>
    <w:p>
      <w:pPr>
        <w:pStyle w:val="BodyText"/>
        <w:spacing w:line="240" w:lineRule="auto" w:before="64"/>
        <w:ind w:right="1033"/>
        <w:jc w:val="left"/>
      </w:pPr>
      <w:r>
        <w:rPr/>
        <w:t>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日开始执行，对</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日起存在的政府补助采用未来适用法处理。</w:t>
      </w:r>
    </w:p>
    <w:p>
      <w:pPr>
        <w:spacing w:line="240" w:lineRule="auto" w:before="12"/>
        <w:rPr>
          <w:rFonts w:ascii="宋体" w:hAnsi="宋体" w:cs="宋体" w:eastAsia="宋体" w:hint="default"/>
          <w:sz w:val="23"/>
          <w:szCs w:val="23"/>
        </w:rPr>
      </w:pPr>
    </w:p>
    <w:p>
      <w:pPr>
        <w:pStyle w:val="Heading2"/>
        <w:spacing w:line="240" w:lineRule="auto"/>
        <w:ind w:left="1134" w:right="1033"/>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6"/>
        <w:rPr>
          <w:rFonts w:ascii="宋体" w:hAnsi="宋体" w:cs="宋体" w:eastAsia="宋体" w:hint="default"/>
          <w:sz w:val="19"/>
          <w:szCs w:val="19"/>
        </w:rPr>
      </w:pPr>
    </w:p>
    <w:p>
      <w:pPr>
        <w:pStyle w:val="Heading2"/>
        <w:spacing w:line="240" w:lineRule="auto"/>
        <w:ind w:right="1033"/>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刘文豪，徐银行</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spacing w:line="240" w:lineRule="auto" w:before="7"/>
        <w:rPr>
          <w:rFonts w:ascii="宋体" w:hAnsi="宋体" w:cs="宋体" w:eastAsia="宋体" w:hint="default"/>
          <w:sz w:val="27"/>
          <w:szCs w:val="27"/>
        </w:rPr>
      </w:pPr>
    </w:p>
    <w:p>
      <w:pPr>
        <w:pStyle w:val="BodyText"/>
        <w:spacing w:line="240" w:lineRule="auto" w:before="44"/>
        <w:ind w:left="1134" w:right="1033"/>
        <w:jc w:val="left"/>
      </w:pPr>
      <w:r>
        <w:rPr/>
        <w:t>是否改聘会计师事务所</w:t>
      </w:r>
    </w:p>
    <w:p>
      <w:pPr>
        <w:pStyle w:val="BodyText"/>
        <w:spacing w:line="338"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033"/>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1033"/>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033"/>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33"/>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left="1134" w:right="1142" w:firstLine="422"/>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19</w:t>
      </w:r>
      <w:r>
        <w:rPr/>
        <w:t>日第二届董事会第二十次会议审议通过了《关于公司</w:t>
      </w:r>
      <w:r>
        <w:rPr>
          <w:rFonts w:ascii="Times New Roman" w:hAnsi="Times New Roman" w:cs="Times New Roman" w:eastAsia="Times New Roman" w:hint="default"/>
        </w:rPr>
        <w:t>&lt;</w:t>
      </w:r>
      <w:r>
        <w:rPr/>
        <w:t>第一期股票期权激励计划（草案）及其摘要</w:t>
      </w:r>
      <w:r>
        <w:rPr>
          <w:rFonts w:ascii="Times New Roman" w:hAnsi="Times New Roman" w:cs="Times New Roman" w:eastAsia="Times New Roman" w:hint="default"/>
        </w:rPr>
        <w:t>&gt;</w:t>
      </w:r>
      <w:r>
        <w:rPr/>
        <w:t>的 议案》，并经公司</w:t>
      </w:r>
      <w:r>
        <w:rPr>
          <w:rFonts w:ascii="Times New Roman" w:hAnsi="Times New Roman" w:cs="Times New Roman" w:eastAsia="Times New Roman" w:hint="default"/>
        </w:rPr>
        <w:t>2015</w:t>
      </w:r>
      <w:r>
        <w:rPr/>
        <w:t>年第二次临时股东大会审议通过。</w:t>
      </w:r>
    </w:p>
    <w:p>
      <w:pPr>
        <w:pStyle w:val="BodyText"/>
        <w:spacing w:line="300" w:lineRule="auto" w:before="49"/>
        <w:ind w:right="1131" w:firstLine="422"/>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8</w:t>
      </w:r>
      <w:r>
        <w:rPr>
          <w:spacing w:val="-2"/>
        </w:rPr>
        <w:t>日，公司第二届董事会第二十一次会议审议通过了《关于公司</w:t>
      </w:r>
      <w:r>
        <w:rPr>
          <w:rFonts w:ascii="Times New Roman" w:hAnsi="Times New Roman" w:cs="Times New Roman" w:eastAsia="Times New Roman" w:hint="default"/>
          <w:spacing w:val="-2"/>
        </w:rPr>
        <w:t>&lt;</w:t>
      </w:r>
      <w:r>
        <w:rPr>
          <w:spacing w:val="-2"/>
        </w:rPr>
        <w:t>第一期股票期权激励计划</w:t>
      </w:r>
      <w:r>
        <w:rPr>
          <w:rFonts w:ascii="Times New Roman" w:hAnsi="Times New Roman" w:cs="Times New Roman" w:eastAsia="Times New Roman" w:hint="default"/>
          <w:spacing w:val="-2"/>
        </w:rPr>
        <w:t>&gt;</w:t>
      </w:r>
      <w:r>
        <w:rPr>
          <w:spacing w:val="-2"/>
        </w:rPr>
        <w:t>首次授予期权</w:t>
      </w:r>
      <w:r>
        <w:rPr/>
        <w:t> 相关事项的议案》，同意授予</w:t>
      </w:r>
      <w:r>
        <w:rPr>
          <w:rFonts w:ascii="Times New Roman" w:hAnsi="Times New Roman" w:cs="Times New Roman" w:eastAsia="Times New Roman" w:hint="default"/>
        </w:rPr>
        <w:t>261</w:t>
      </w:r>
      <w:r>
        <w:rPr/>
        <w:t>名激励对象</w:t>
      </w:r>
      <w:r>
        <w:rPr>
          <w:spacing w:val="-37"/>
        </w:rPr>
        <w:t> </w:t>
      </w:r>
      <w:r>
        <w:rPr>
          <w:rFonts w:ascii="Times New Roman" w:hAnsi="Times New Roman" w:cs="Times New Roman" w:eastAsia="Times New Roman" w:hint="default"/>
        </w:rPr>
        <w:t>433.25</w:t>
      </w:r>
      <w:r>
        <w:rPr/>
        <w:t>万份股票期权，并根据股东大会的授权，董事会确定第一期股票期权激 励计划首次授予期权的授予日为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日。本次授予的股票期权行权价格为</w:t>
      </w:r>
      <w:r>
        <w:rPr>
          <w:rFonts w:ascii="Times New Roman" w:hAnsi="Times New Roman" w:cs="Times New Roman" w:eastAsia="Times New Roman" w:hint="default"/>
        </w:rPr>
        <w:t>63.69</w:t>
      </w:r>
      <w:r>
        <w:rPr/>
        <w:t>元。</w:t>
      </w:r>
    </w:p>
    <w:p>
      <w:pPr>
        <w:pStyle w:val="BodyText"/>
        <w:spacing w:line="300" w:lineRule="auto" w:before="51"/>
        <w:ind w:right="1027" w:firstLine="422"/>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29</w:t>
      </w:r>
      <w:r>
        <w:rPr>
          <w:spacing w:val="-1"/>
        </w:rPr>
        <w:t>日，公司第二届董事会第二十七次会议审议通过了《关于调整公司第一期股票期权激励计划激励对象、</w:t>
      </w:r>
      <w:r>
        <w:rPr/>
        <w:t> 期权数量及行权价格的议案》，公司第一期股票期权激励计划激励对象由</w:t>
      </w:r>
      <w:r>
        <w:rPr>
          <w:rFonts w:ascii="Times New Roman" w:hAnsi="Times New Roman" w:cs="Times New Roman" w:eastAsia="Times New Roman" w:hint="default"/>
        </w:rPr>
        <w:t>261</w:t>
      </w:r>
      <w:r>
        <w:rPr/>
        <w:t>名调整为</w:t>
      </w:r>
      <w:r>
        <w:rPr>
          <w:rFonts w:ascii="Times New Roman" w:hAnsi="Times New Roman" w:cs="Times New Roman" w:eastAsia="Times New Roman" w:hint="default"/>
        </w:rPr>
        <w:t>215</w:t>
      </w:r>
      <w:r>
        <w:rPr/>
        <w:t>名，首次授予的股票期权数量由 </w:t>
      </w:r>
      <w:r>
        <w:rPr>
          <w:rFonts w:ascii="Times New Roman" w:hAnsi="Times New Roman" w:cs="Times New Roman" w:eastAsia="Times New Roman" w:hint="default"/>
        </w:rPr>
        <w:t>433.25</w:t>
      </w:r>
      <w:r>
        <w:rPr/>
        <w:t>万份调整为</w:t>
      </w:r>
      <w:r>
        <w:rPr>
          <w:rFonts w:ascii="Times New Roman" w:hAnsi="Times New Roman" w:cs="Times New Roman" w:eastAsia="Times New Roman" w:hint="default"/>
        </w:rPr>
        <w:t>400.8</w:t>
      </w:r>
      <w:r>
        <w:rPr/>
        <w:t>万份。因实施</w:t>
      </w:r>
      <w:r>
        <w:rPr>
          <w:rFonts w:ascii="Times New Roman" w:hAnsi="Times New Roman" w:cs="Times New Roman" w:eastAsia="Times New Roman" w:hint="default"/>
        </w:rPr>
        <w:t>2015</w:t>
      </w:r>
      <w:r>
        <w:rPr/>
        <w:t>年度权益分派，行权价格由</w:t>
      </w:r>
      <w:r>
        <w:rPr>
          <w:rFonts w:ascii="Times New Roman" w:hAnsi="Times New Roman" w:cs="Times New Roman" w:eastAsia="Times New Roman" w:hint="default"/>
        </w:rPr>
        <w:t>63.69</w:t>
      </w:r>
      <w:r>
        <w:rPr/>
        <w:t>元调整为</w:t>
      </w:r>
      <w:r>
        <w:rPr>
          <w:rFonts w:ascii="Times New Roman" w:hAnsi="Times New Roman" w:cs="Times New Roman" w:eastAsia="Times New Roman" w:hint="default"/>
        </w:rPr>
        <w:t>63.57</w:t>
      </w:r>
      <w:r>
        <w:rPr/>
        <w:t>元。目前处于第一期股票期权激励 计划的第一个可行权期。</w:t>
      </w:r>
    </w:p>
    <w:p>
      <w:pPr>
        <w:pStyle w:val="BodyText"/>
        <w:spacing w:line="307" w:lineRule="auto" w:before="71"/>
        <w:ind w:right="1133" w:firstLine="422"/>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日，公司第二届董事会第二十八次会议审议通过了《关于公司</w:t>
      </w:r>
      <w:r>
        <w:rPr>
          <w:rFonts w:ascii="Times New Roman" w:hAnsi="Times New Roman" w:cs="Times New Roman" w:eastAsia="Times New Roman" w:hint="default"/>
        </w:rPr>
        <w:t>&lt;</w:t>
      </w:r>
      <w:r>
        <w:rPr/>
        <w:t>第一期股票期权激励计划</w:t>
      </w:r>
      <w:r>
        <w:rPr>
          <w:rFonts w:ascii="Times New Roman" w:hAnsi="Times New Roman" w:cs="Times New Roman" w:eastAsia="Times New Roman" w:hint="default"/>
        </w:rPr>
        <w:t>&gt;</w:t>
      </w:r>
      <w:r>
        <w:rPr/>
        <w:t>首次授予期 权第一个行权期可行权的议案》，首次授予期权的</w:t>
      </w:r>
      <w:r>
        <w:rPr>
          <w:rFonts w:ascii="Times New Roman" w:hAnsi="Times New Roman" w:cs="Times New Roman" w:eastAsia="Times New Roman" w:hint="default"/>
        </w:rPr>
        <w:t>215</w:t>
      </w:r>
      <w:r>
        <w:rPr/>
        <w:t>名激励对象在第一个行权期可行权数量为</w:t>
      </w:r>
      <w:r>
        <w:rPr>
          <w:rFonts w:ascii="Times New Roman" w:hAnsi="Times New Roman" w:cs="Times New Roman" w:eastAsia="Times New Roman" w:hint="default"/>
        </w:rPr>
        <w:t>120.24</w:t>
      </w:r>
      <w:r>
        <w:rPr/>
        <w:t>万份，董事会认为已 </w:t>
      </w:r>
      <w:r>
        <w:rPr>
          <w:spacing w:val="-2"/>
        </w:rPr>
        <w:t>满足第一期股票期权激励计划首次授予期权设定的第一个行权期行权条件。董事会薪酬与考核委员会、独立董事、监事会均</w:t>
      </w:r>
      <w:r>
        <w:rPr>
          <w:spacing w:val="-66"/>
        </w:rPr>
        <w:t> </w:t>
      </w:r>
      <w:r>
        <w:rPr>
          <w:spacing w:val="-66"/>
        </w:rPr>
      </w:r>
      <w:r>
        <w:rPr/>
        <w:t>发表了同意的意见。实际行权期为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w:t>
      </w:r>
    </w:p>
    <w:p>
      <w:pPr>
        <w:pStyle w:val="BodyText"/>
        <w:spacing w:line="300" w:lineRule="auto" w:before="45"/>
        <w:ind w:left="1134" w:right="1133" w:firstLine="422"/>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日，第二届董事会第二十八次会议审议通过了《关于公司</w:t>
      </w:r>
      <w:r>
        <w:rPr>
          <w:rFonts w:ascii="Times New Roman" w:hAnsi="Times New Roman" w:cs="Times New Roman" w:eastAsia="Times New Roman" w:hint="default"/>
        </w:rPr>
        <w:t>&lt;</w:t>
      </w:r>
      <w:r>
        <w:rPr/>
        <w:t>第一期股票期权激励计划</w:t>
      </w:r>
      <w:r>
        <w:rPr>
          <w:rFonts w:ascii="Times New Roman" w:hAnsi="Times New Roman" w:cs="Times New Roman" w:eastAsia="Times New Roman" w:hint="default"/>
        </w:rPr>
        <w:t>&gt;</w:t>
      </w:r>
      <w:r>
        <w:rPr/>
        <w:t>预留股票期权授 予相关事项的议案》，董事会同意向</w:t>
      </w:r>
      <w:r>
        <w:rPr>
          <w:rFonts w:ascii="Times New Roman" w:hAnsi="Times New Roman" w:cs="Times New Roman" w:eastAsia="Times New Roman" w:hint="default"/>
        </w:rPr>
        <w:t>1</w:t>
      </w:r>
      <w:r>
        <w:rPr/>
        <w:t>名激励对象授予</w:t>
      </w:r>
      <w:r>
        <w:rPr>
          <w:rFonts w:ascii="Times New Roman" w:hAnsi="Times New Roman" w:cs="Times New Roman" w:eastAsia="Times New Roman" w:hint="default"/>
        </w:rPr>
        <w:t>26.75</w:t>
      </w:r>
      <w:r>
        <w:rPr/>
        <w:t>万份预留股票期权。授予日为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日，行权价格为</w:t>
      </w:r>
      <w:r>
        <w:rPr>
          <w:rFonts w:ascii="Times New Roman" w:hAnsi="Times New Roman" w:cs="Times New Roman" w:eastAsia="Times New Roman" w:hint="default"/>
        </w:rPr>
        <w:t>69.72 </w:t>
      </w:r>
      <w:r>
        <w:rPr>
          <w:spacing w:val="-2"/>
        </w:rPr>
        <w:t>元。独立董事、监事会均发表了同意的意见。经深圳证券交易所、中国证券登记结算有限公司深圳分公司审核确认，本次预</w:t>
      </w:r>
    </w:p>
    <w:p>
      <w:pPr>
        <w:spacing w:after="0" w:line="300"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留部分期权已于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日完成了授予登记工作。</w:t>
      </w:r>
    </w:p>
    <w:p>
      <w:pPr>
        <w:pStyle w:val="BodyText"/>
        <w:spacing w:line="300" w:lineRule="auto" w:before="101"/>
        <w:ind w:right="1027" w:firstLine="422"/>
        <w:jc w:val="left"/>
      </w:pP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日，第三届董事会第六次会议审议通过了《关于调整股票期权激励计划期权数量和行权价格的议案》，</w:t>
      </w:r>
      <w:r>
        <w:rPr/>
        <w:t> 因公司实施</w:t>
      </w:r>
      <w:r>
        <w:rPr>
          <w:rFonts w:ascii="Times New Roman" w:hAnsi="Times New Roman" w:cs="Times New Roman" w:eastAsia="Times New Roman" w:hint="default"/>
        </w:rPr>
        <w:t>2016</w:t>
      </w:r>
      <w:r>
        <w:rPr/>
        <w:t>年度利润分配及资本公积转增股本方案，公司对第一期股票期权激励计划期权数量和行权价格作出相应调 </w:t>
      </w:r>
      <w:r>
        <w:rPr>
          <w:spacing w:val="-2"/>
        </w:rPr>
        <w:t>整，首次授予股票期权授予数量由</w:t>
      </w:r>
      <w:r>
        <w:rPr>
          <w:rFonts w:ascii="Times New Roman" w:hAnsi="Times New Roman" w:cs="Times New Roman" w:eastAsia="Times New Roman" w:hint="default"/>
          <w:spacing w:val="-2"/>
        </w:rPr>
        <w:t>400.8</w:t>
      </w:r>
      <w:r>
        <w:rPr>
          <w:spacing w:val="-2"/>
        </w:rPr>
        <w:t>万份调整为</w:t>
      </w:r>
      <w:r>
        <w:rPr>
          <w:rFonts w:ascii="Times New Roman" w:hAnsi="Times New Roman" w:cs="Times New Roman" w:eastAsia="Times New Roman" w:hint="default"/>
          <w:spacing w:val="-2"/>
        </w:rPr>
        <w:t>801.6</w:t>
      </w:r>
      <w:r>
        <w:rPr>
          <w:spacing w:val="-2"/>
        </w:rPr>
        <w:t>万份，行权价格由</w:t>
      </w:r>
      <w:r>
        <w:rPr>
          <w:rFonts w:ascii="Times New Roman" w:hAnsi="Times New Roman" w:cs="Times New Roman" w:eastAsia="Times New Roman" w:hint="default"/>
          <w:spacing w:val="-2"/>
        </w:rPr>
        <w:t>63.57</w:t>
      </w:r>
      <w:r>
        <w:rPr>
          <w:spacing w:val="-2"/>
        </w:rPr>
        <w:t>元调整为</w:t>
      </w:r>
      <w:r>
        <w:rPr>
          <w:rFonts w:ascii="Times New Roman" w:hAnsi="Times New Roman" w:cs="Times New Roman" w:eastAsia="Times New Roman" w:hint="default"/>
          <w:spacing w:val="-2"/>
        </w:rPr>
        <w:t>31.69</w:t>
      </w:r>
      <w:r>
        <w:rPr>
          <w:spacing w:val="-2"/>
        </w:rPr>
        <w:t>元。预留部分（已授予）股票</w:t>
      </w:r>
      <w:r>
        <w:rPr>
          <w:spacing w:val="-48"/>
        </w:rPr>
        <w:t> </w:t>
      </w:r>
      <w:r>
        <w:rPr>
          <w:spacing w:val="-48"/>
        </w:rPr>
      </w:r>
      <w:r>
        <w:rPr/>
        <w:t>期权授予数量由</w:t>
      </w:r>
      <w:r>
        <w:rPr>
          <w:rFonts w:ascii="Times New Roman" w:hAnsi="Times New Roman" w:cs="Times New Roman" w:eastAsia="Times New Roman" w:hint="default"/>
        </w:rPr>
        <w:t>26.75</w:t>
      </w:r>
      <w:r>
        <w:rPr/>
        <w:t>万份调整为</w:t>
      </w:r>
      <w:r>
        <w:rPr>
          <w:rFonts w:ascii="Times New Roman" w:hAnsi="Times New Roman" w:cs="Times New Roman" w:eastAsia="Times New Roman" w:hint="default"/>
        </w:rPr>
        <w:t>53.5</w:t>
      </w:r>
      <w:r>
        <w:rPr/>
        <w:t>万份，行权价格由</w:t>
      </w:r>
      <w:r>
        <w:rPr>
          <w:rFonts w:ascii="Times New Roman" w:hAnsi="Times New Roman" w:cs="Times New Roman" w:eastAsia="Times New Roman" w:hint="default"/>
        </w:rPr>
        <w:t>69.72</w:t>
      </w:r>
      <w:r>
        <w:rPr/>
        <w:t>元调整为</w:t>
      </w:r>
      <w:r>
        <w:rPr>
          <w:rFonts w:ascii="Times New Roman" w:hAnsi="Times New Roman" w:cs="Times New Roman" w:eastAsia="Times New Roman" w:hint="default"/>
        </w:rPr>
        <w:t>34.76</w:t>
      </w:r>
      <w:r>
        <w:rPr/>
        <w:t>元。独立董事对本次股票期权激励计划相关事项 发表了同意的独立意见，北京国枫律师事务所出具了相关法律意见书。</w:t>
      </w:r>
    </w:p>
    <w:p>
      <w:pPr>
        <w:pStyle w:val="BodyText"/>
        <w:spacing w:line="300" w:lineRule="auto" w:before="71"/>
        <w:ind w:right="1116" w:firstLine="422"/>
        <w:jc w:val="left"/>
      </w:pPr>
      <w:r>
        <w:rPr>
          <w:rFonts w:ascii="Times New Roman" w:hAnsi="Times New Roman" w:cs="Times New Roman" w:eastAsia="Times New Roman" w:hint="default"/>
          <w:spacing w:val="-1"/>
        </w:rPr>
        <w:t>7</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5</w:t>
      </w:r>
      <w:r>
        <w:rPr>
          <w:spacing w:val="-1"/>
        </w:rPr>
        <w:t>日，第三届董事会第八次会议和第三届监事会第七次会议审议通过了《关于调整公司第一期股票期权激</w:t>
      </w:r>
      <w:r>
        <w:rPr/>
        <w:t> 励计划激励对象和期权数量的议案》。公司第一期股票期权激励计划首次授予期权的第一个行权期为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日，因</w:t>
      </w:r>
      <w:r>
        <w:rPr>
          <w:rFonts w:ascii="Times New Roman" w:hAnsi="Times New Roman" w:cs="Times New Roman" w:eastAsia="Times New Roman" w:hint="default"/>
        </w:rPr>
        <w:t>101</w:t>
      </w:r>
      <w:r>
        <w:rPr/>
        <w:t>名激励对象放弃行权而失效的股票期权合计</w:t>
      </w:r>
      <w:r>
        <w:rPr>
          <w:rFonts w:ascii="Times New Roman" w:hAnsi="Times New Roman" w:cs="Times New Roman" w:eastAsia="Times New Roman" w:hint="default"/>
        </w:rPr>
        <w:t>1,247,800</w:t>
      </w:r>
      <w:r>
        <w:rPr/>
        <w:t>份，按规定应予以注销；因</w:t>
      </w:r>
      <w:r>
        <w:rPr>
          <w:rFonts w:ascii="Times New Roman" w:hAnsi="Times New Roman" w:cs="Times New Roman" w:eastAsia="Times New Roman" w:hint="default"/>
        </w:rPr>
        <w:t>73</w:t>
      </w:r>
      <w:r>
        <w:rPr/>
        <w:t>名激励对象离职，其获 </w:t>
      </w:r>
      <w:r>
        <w:rPr>
          <w:spacing w:val="-2"/>
        </w:rPr>
        <w:t>授但尚未行权的股票期权合计</w:t>
      </w:r>
      <w:r>
        <w:rPr>
          <w:rFonts w:ascii="Times New Roman" w:hAnsi="Times New Roman" w:cs="Times New Roman" w:eastAsia="Times New Roman" w:hint="default"/>
          <w:spacing w:val="-2"/>
        </w:rPr>
        <w:t>1,762,980</w:t>
      </w:r>
      <w:r>
        <w:rPr>
          <w:spacing w:val="-2"/>
        </w:rPr>
        <w:t>份，按规定应予以注销。应注销期权合计</w:t>
      </w:r>
      <w:r>
        <w:rPr>
          <w:rFonts w:ascii="Times New Roman" w:hAnsi="Times New Roman" w:cs="Times New Roman" w:eastAsia="Times New Roman" w:hint="default"/>
          <w:spacing w:val="-2"/>
        </w:rPr>
        <w:t>3,010,780</w:t>
      </w:r>
      <w:r>
        <w:rPr>
          <w:spacing w:val="-2"/>
        </w:rPr>
        <w:t>份。本次调整后，公司第一期股票</w:t>
      </w:r>
      <w:r>
        <w:rPr>
          <w:spacing w:val="-52"/>
        </w:rPr>
        <w:t> </w:t>
      </w:r>
      <w:r>
        <w:rPr>
          <w:spacing w:val="-52"/>
        </w:rPr>
      </w:r>
      <w:r>
        <w:rPr/>
        <w:t>期权激励计划首次授予期权激励对象由</w:t>
      </w:r>
      <w:r>
        <w:rPr>
          <w:rFonts w:ascii="Times New Roman" w:hAnsi="Times New Roman" w:cs="Times New Roman" w:eastAsia="Times New Roman" w:hint="default"/>
        </w:rPr>
        <w:t>215</w:t>
      </w:r>
      <w:r>
        <w:rPr/>
        <w:t>名调整为</w:t>
      </w:r>
      <w:r>
        <w:rPr>
          <w:rFonts w:ascii="Times New Roman" w:hAnsi="Times New Roman" w:cs="Times New Roman" w:eastAsia="Times New Roman" w:hint="default"/>
        </w:rPr>
        <w:t>142</w:t>
      </w:r>
      <w:r>
        <w:rPr/>
        <w:t>人，激励对象获授但尚未行权的期权数量调整为</w:t>
      </w:r>
      <w:r>
        <w:rPr>
          <w:rFonts w:ascii="Times New Roman" w:hAnsi="Times New Roman" w:cs="Times New Roman" w:eastAsia="Times New Roman" w:hint="default"/>
        </w:rPr>
        <w:t>4,118,800</w:t>
      </w:r>
      <w:r>
        <w:rPr/>
        <w:t>份。</w:t>
      </w:r>
    </w:p>
    <w:p>
      <w:pPr>
        <w:pStyle w:val="BodyText"/>
        <w:spacing w:line="309" w:lineRule="auto" w:before="51"/>
        <w:ind w:right="1033" w:firstLine="422"/>
        <w:jc w:val="left"/>
      </w:pPr>
      <w:r>
        <w:rPr>
          <w:spacing w:val="-5"/>
        </w:rPr>
        <w:t>由于预留授予期权的激励对象于冬斌因个人原因离职，不再具备激励对象资格，根据公司《股票期权激励计划（草案）》</w:t>
      </w:r>
      <w:r>
        <w:rPr/>
        <w:t> 的相关规定，对其持有的</w:t>
      </w:r>
      <w:r>
        <w:rPr>
          <w:rFonts w:ascii="Times New Roman" w:hAnsi="Times New Roman" w:cs="Times New Roman" w:eastAsia="Times New Roman" w:hint="default"/>
        </w:rPr>
        <w:t>535,000</w:t>
      </w:r>
      <w:r>
        <w:rPr/>
        <w:t>份预留股票期权予以取消并办理注销手续。本次调整后，公司第一期股票期权激励计划预 留股票期权存量数为</w:t>
      </w:r>
      <w:r>
        <w:rPr>
          <w:rFonts w:ascii="Times New Roman" w:hAnsi="Times New Roman" w:cs="Times New Roman" w:eastAsia="Times New Roman" w:hint="default"/>
        </w:rPr>
        <w:t>0</w:t>
      </w:r>
      <w:r>
        <w:rPr/>
        <w:t>，自行终止。</w:t>
      </w:r>
    </w:p>
    <w:p>
      <w:pPr>
        <w:pStyle w:val="BodyText"/>
        <w:spacing w:line="357" w:lineRule="auto" w:before="44"/>
        <w:ind w:left="1556" w:right="1120"/>
        <w:jc w:val="left"/>
      </w:pPr>
      <w:r>
        <w:rPr/>
        <w:t>独立董事发表了同意的独立意见，北京国枫律师事务所出具了相关法律意见书。 </w:t>
      </w:r>
      <w:r>
        <w:rPr>
          <w:spacing w:val="-1"/>
        </w:rPr>
        <w:t>经中国证券登记结算有限责任公司深圳分公司审核确认，上述</w:t>
      </w:r>
      <w:r>
        <w:rPr>
          <w:rFonts w:ascii="Times New Roman" w:hAnsi="Times New Roman" w:cs="Times New Roman" w:eastAsia="Times New Roman" w:hint="default"/>
          <w:spacing w:val="-1"/>
        </w:rPr>
        <w:t>3,545,780</w:t>
      </w:r>
      <w:r>
        <w:rPr>
          <w:spacing w:val="-1"/>
        </w:rPr>
        <w:t>份股票期权注销事宜已于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12</w:t>
      </w:r>
      <w:r>
        <w:rPr>
          <w:spacing w:val="-1"/>
        </w:rPr>
        <w:t>日办理完</w:t>
      </w:r>
    </w:p>
    <w:p>
      <w:pPr>
        <w:pStyle w:val="BodyText"/>
        <w:spacing w:line="202" w:lineRule="exact"/>
        <w:ind w:right="1033"/>
        <w:jc w:val="left"/>
      </w:pPr>
      <w:r>
        <w:rPr/>
        <w:t>毕。</w:t>
      </w:r>
    </w:p>
    <w:p>
      <w:pPr>
        <w:pStyle w:val="BodyText"/>
        <w:spacing w:line="240" w:lineRule="auto" w:before="115"/>
        <w:ind w:left="1556" w:right="1033"/>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日，第三届董事会第八次会议审议通过了《关于公司第一期股票期权激励计划首次授予期权第二个行权</w:t>
      </w:r>
    </w:p>
    <w:p>
      <w:pPr>
        <w:pStyle w:val="BodyText"/>
        <w:spacing w:line="300" w:lineRule="auto" w:before="63"/>
        <w:ind w:right="1049"/>
        <w:jc w:val="both"/>
      </w:pPr>
      <w:r>
        <w:rPr/>
        <w:t>期可行权的议案》。公司第一期股票期权激励计划首次授予期权第二个行权期的行权条件已满足，同意</w:t>
      </w:r>
      <w:r>
        <w:rPr>
          <w:rFonts w:ascii="Times New Roman" w:hAnsi="Times New Roman" w:cs="Times New Roman" w:eastAsia="Times New Roman" w:hint="default"/>
        </w:rPr>
        <w:t>142</w:t>
      </w:r>
      <w:r>
        <w:rPr/>
        <w:t>名激励对象在第 </w:t>
      </w:r>
      <w:r>
        <w:rPr>
          <w:spacing w:val="-2"/>
        </w:rPr>
        <w:t>二个行权期内以自主行权方式进行行权，第二个行权期可行权股票期权合计</w:t>
      </w:r>
      <w:r>
        <w:rPr>
          <w:rFonts w:ascii="Times New Roman" w:hAnsi="Times New Roman" w:cs="Times New Roman" w:eastAsia="Times New Roman" w:hint="default"/>
          <w:spacing w:val="-2"/>
        </w:rPr>
        <w:t>1,765,200</w:t>
      </w:r>
      <w:r>
        <w:rPr>
          <w:spacing w:val="-2"/>
        </w:rPr>
        <w:t>份。董事会薪酬与考核委员会、独立董</w:t>
      </w:r>
      <w:r>
        <w:rPr>
          <w:spacing w:val="-58"/>
        </w:rPr>
        <w:t> </w:t>
      </w:r>
      <w:r>
        <w:rPr>
          <w:spacing w:val="-58"/>
        </w:rPr>
      </w:r>
      <w:r>
        <w:rPr/>
        <w:t>事、监事会均发表了同意的意见。北京国枫律师事务所出具了相关法律意见书。行权期限为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w:t>
      </w:r>
    </w:p>
    <w:p>
      <w:pPr>
        <w:pStyle w:val="BodyText"/>
        <w:spacing w:line="240" w:lineRule="auto" w:before="53"/>
        <w:ind w:left="1556" w:right="1033"/>
        <w:jc w:val="left"/>
      </w:pPr>
      <w:r>
        <w:rPr>
          <w:rFonts w:ascii="Times New Roman" w:hAnsi="Times New Roman" w:cs="Times New Roman" w:eastAsia="Times New Roman" w:hint="default"/>
        </w:rPr>
        <w:t>2017</w:t>
      </w:r>
      <w:r>
        <w:rPr/>
        <w:t>年，公司第一期股票期权激励计划分摊期权成本</w:t>
      </w:r>
      <w:r>
        <w:rPr>
          <w:rFonts w:ascii="Times New Roman" w:hAnsi="Times New Roman" w:cs="Times New Roman" w:eastAsia="Times New Roman" w:hint="default"/>
        </w:rPr>
        <w:t>264,622.93</w:t>
      </w:r>
      <w:r>
        <w:rPr/>
        <w:t>元。</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五、重大关联交易" w:id="79"/>
      <w:bookmarkEnd w:id="7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left="1134" w:right="0"/>
        <w:jc w:val="both"/>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3"/>
        <w:rPr>
          <w:rFonts w:ascii="宋体" w:hAnsi="宋体" w:cs="宋体" w:eastAsia="宋体" w:hint="default"/>
          <w:sz w:val="20"/>
          <w:szCs w:val="20"/>
        </w:rPr>
      </w:pPr>
    </w:p>
    <w:p>
      <w:pPr>
        <w:pStyle w:val="Heading3"/>
        <w:spacing w:line="240" w:lineRule="auto"/>
        <w:ind w:right="0"/>
        <w:jc w:val="both"/>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公司报告期不存在关联债权债务往来。</w:t>
      </w:r>
    </w:p>
    <w:p>
      <w:pPr>
        <w:spacing w:line="240" w:lineRule="auto" w:before="10"/>
        <w:rPr>
          <w:rFonts w:ascii="宋体" w:hAnsi="宋体" w:cs="宋体" w:eastAsia="宋体" w:hint="default"/>
          <w:sz w:val="26"/>
          <w:szCs w:val="26"/>
        </w:rPr>
      </w:pPr>
    </w:p>
    <w:p>
      <w:pPr>
        <w:pStyle w:val="Heading3"/>
        <w:spacing w:line="240" w:lineRule="auto"/>
        <w:ind w:right="1033"/>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1033"/>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3"/>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1033"/>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1033"/>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3"/>
        <w:spacing w:line="240" w:lineRule="auto"/>
        <w:ind w:right="1033"/>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1033"/>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2"/>
        <w:rPr>
          <w:rFonts w:ascii="宋体" w:hAnsi="宋体" w:cs="宋体" w:eastAsia="宋体" w:hint="default"/>
          <w:sz w:val="20"/>
          <w:szCs w:val="20"/>
        </w:rPr>
      </w:pPr>
    </w:p>
    <w:p>
      <w:pPr>
        <w:pStyle w:val="Heading3"/>
        <w:spacing w:line="240" w:lineRule="auto"/>
        <w:ind w:right="1033"/>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1033"/>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1033"/>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30" w:firstLine="422"/>
        <w:jc w:val="both"/>
      </w:pPr>
      <w:r>
        <w:rPr>
          <w:spacing w:val="-1"/>
        </w:rPr>
        <w:t>公司一直以</w:t>
      </w:r>
      <w:r>
        <w:rPr>
          <w:rFonts w:ascii="Times New Roman" w:hAnsi="Times New Roman" w:cs="Times New Roman" w:eastAsia="Times New Roman" w:hint="default"/>
          <w:spacing w:val="-1"/>
        </w:rPr>
        <w:t>“</w:t>
      </w:r>
      <w:r>
        <w:rPr>
          <w:spacing w:val="-1"/>
        </w:rPr>
        <w:t>发展以中间件为核心的民族基础软件，为客户创造价值、为员工创造幸福、为股东创造利益、为社会做出</w:t>
      </w:r>
      <w:r>
        <w:rPr/>
        <w:t> 贡献</w:t>
      </w:r>
      <w:r>
        <w:rPr>
          <w:rFonts w:ascii="Times New Roman" w:hAnsi="Times New Roman" w:cs="Times New Roman" w:eastAsia="Times New Roman" w:hint="default"/>
        </w:rPr>
        <w:t>”</w:t>
      </w:r>
      <w:r>
        <w:rPr/>
        <w:t>为使命，秉持</w:t>
      </w:r>
      <w:r>
        <w:rPr>
          <w:rFonts w:ascii="Times New Roman" w:hAnsi="Times New Roman" w:cs="Times New Roman" w:eastAsia="Times New Roman" w:hint="default"/>
        </w:rPr>
        <w:t>“</w:t>
      </w:r>
      <w:r>
        <w:rPr/>
        <w:t>责任、信任、创新、共赢</w:t>
      </w:r>
      <w:r>
        <w:rPr>
          <w:rFonts w:ascii="Times New Roman" w:hAnsi="Times New Roman" w:cs="Times New Roman" w:eastAsia="Times New Roman" w:hint="default"/>
        </w:rPr>
        <w:t>”</w:t>
      </w:r>
      <w:r>
        <w:rPr/>
        <w:t>的核心价值观，不断创新、精益求精，追求企业、员工与社会的和谐发展。 积极履行企业应尽的义务，承担社会责任。</w:t>
      </w:r>
    </w:p>
    <w:p>
      <w:pPr>
        <w:pStyle w:val="BodyText"/>
        <w:spacing w:line="314" w:lineRule="auto" w:before="70"/>
        <w:ind w:left="1134" w:right="1032" w:firstLine="422"/>
        <w:jc w:val="left"/>
      </w:pPr>
      <w:r>
        <w:rPr>
          <w:rFonts w:ascii="Times New Roman" w:hAnsi="Times New Roman" w:cs="Times New Roman" w:eastAsia="Times New Roman" w:hint="default"/>
        </w:rPr>
        <w:t>1.</w:t>
      </w:r>
      <w:r>
        <w:rPr/>
        <w:t>公司严格按照坚持《公司法》、《证券法》、《股票上市规则》等法律法规、部门规章、规范性文件和公司章程的 </w:t>
      </w:r>
      <w:r>
        <w:rPr>
          <w:spacing w:val="-2"/>
        </w:rPr>
        <w:t>规定，坚持规范运作，真实、准确、完整、及时公平地向所有股东进行信息披露；依法召开股东大会，积极主动的采取网络</w:t>
      </w:r>
      <w:r>
        <w:rPr>
          <w:spacing w:val="-71"/>
        </w:rPr>
        <w:t> </w:t>
      </w:r>
      <w:r>
        <w:rPr>
          <w:spacing w:val="-71"/>
        </w:rPr>
      </w:r>
      <w:r>
        <w:rPr/>
        <w:t>投票等方式扩大股东参与股东大会的比例，不断完善内控体系和法人治理结构，以维护全体股东，特别是中小股东的利益。 </w:t>
      </w:r>
      <w:r>
        <w:rPr>
          <w:spacing w:val="-2"/>
        </w:rPr>
        <w:t>同时，通过网上业绩说明会、投资者电话专线、电子邮箱和投资者关系互动平台、接待投资者现场调研等多种方式与投资者</w:t>
      </w:r>
      <w:r>
        <w:rPr>
          <w:spacing w:val="-66"/>
        </w:rPr>
        <w:t> </w:t>
      </w:r>
      <w:r>
        <w:rPr>
          <w:spacing w:val="-66"/>
        </w:rPr>
      </w:r>
      <w:r>
        <w:rPr>
          <w:spacing w:val="-2"/>
        </w:rPr>
        <w:t>进行沟通交流，提高了公司的透明度和诚信度。通过回复日常投资者咨询、接受投资者来访与调研、召开业绩说明会等多种</w:t>
      </w:r>
      <w:r>
        <w:rPr>
          <w:spacing w:val="-66"/>
        </w:rPr>
        <w:t> </w:t>
      </w:r>
      <w:r>
        <w:rPr>
          <w:spacing w:val="-66"/>
        </w:rPr>
      </w:r>
      <w:r>
        <w:rPr>
          <w:spacing w:val="-4"/>
        </w:rPr>
        <w:t>形式，不断加深投资者对公司发展战略、运营情况、管理团队、未来发展等情况的了解，增强投资者对公司的认同度。同时，</w:t>
      </w:r>
      <w:r>
        <w:rPr>
          <w:spacing w:val="-44"/>
        </w:rPr>
        <w:t> </w:t>
      </w:r>
      <w:r>
        <w:rPr>
          <w:spacing w:val="-44"/>
        </w:rPr>
      </w:r>
      <w:r>
        <w:rPr/>
        <w:t>公司非常重视对投资者的合理回报，制定了相对稳定的利润分配政策和分红方案以回报股东。</w:t>
      </w:r>
    </w:p>
    <w:p>
      <w:pPr>
        <w:pStyle w:val="BodyText"/>
        <w:spacing w:line="312" w:lineRule="auto" w:before="59"/>
        <w:ind w:right="1033" w:firstLine="422"/>
        <w:jc w:val="left"/>
      </w:pPr>
      <w:r>
        <w:rPr>
          <w:rFonts w:ascii="Times New Roman" w:hAnsi="Times New Roman" w:cs="Times New Roman" w:eastAsia="Times New Roman" w:hint="default"/>
        </w:rPr>
        <w:t>2.</w:t>
      </w:r>
      <w:r>
        <w:rPr/>
        <w:t>公司一直坚持以人为本的人才理念，实施企业人才战略，严格遵守《劳动法》、《劳动合同法》等相关法律法规， </w:t>
      </w:r>
      <w:r>
        <w:rPr>
          <w:spacing w:val="-2"/>
        </w:rPr>
        <w:t>与所有员工签订《劳动合同》，为员工办理医疗、养老、失业、工伤、生育等社会保险，依法为员工缴纳保险费用。公司严</w:t>
      </w:r>
      <w:r>
        <w:rPr>
          <w:spacing w:val="-68"/>
        </w:rPr>
        <w:t> </w:t>
      </w:r>
      <w:r>
        <w:rPr>
          <w:spacing w:val="-68"/>
        </w:rPr>
      </w:r>
      <w:r>
        <w:rPr>
          <w:spacing w:val="-2"/>
        </w:rPr>
        <w:t>格遵守《工会法》，按照有关规定建立工会组织，支持工会依法开展工作，保障员工依法行使民主管理的权利。通过多种途</w:t>
      </w:r>
      <w:r>
        <w:rPr>
          <w:spacing w:val="-68"/>
        </w:rPr>
        <w:t> </w:t>
      </w:r>
      <w:r>
        <w:rPr>
          <w:spacing w:val="-68"/>
        </w:rPr>
      </w:r>
      <w:r>
        <w:rPr/>
        <w:t>径和方式提高员工的生活质量，为员工创造、提供广阔的发展平台和施展个人才华的机会，促进员工与企业的共同进步。</w:t>
      </w:r>
    </w:p>
    <w:p>
      <w:pPr>
        <w:pStyle w:val="BodyText"/>
        <w:spacing w:line="302" w:lineRule="auto" w:before="62"/>
        <w:ind w:right="1033" w:firstLine="422"/>
        <w:jc w:val="left"/>
      </w:pPr>
      <w:r>
        <w:rPr>
          <w:rFonts w:ascii="Times New Roman" w:hAnsi="Times New Roman" w:cs="Times New Roman" w:eastAsia="Times New Roman" w:hint="default"/>
          <w:spacing w:val="-1"/>
        </w:rPr>
        <w:t>3.</w:t>
      </w:r>
      <w:r>
        <w:rPr>
          <w:spacing w:val="-1"/>
        </w:rPr>
        <w:t>公司始终将依法经营作为公司运行的基本原则，注重企业经济效益与社会效益的同步共赢。公司严格遵守国家法律、</w:t>
      </w:r>
      <w:r>
        <w:rPr/>
        <w:t> 法规、政策的规定，及时缴纳各项税款，积极发展就业，促进当地经济的发展。</w:t>
      </w:r>
    </w:p>
    <w:p>
      <w:pPr>
        <w:spacing w:line="240" w:lineRule="auto" w:before="2"/>
        <w:rPr>
          <w:rFonts w:ascii="宋体" w:hAnsi="宋体" w:cs="宋体" w:eastAsia="宋体" w:hint="default"/>
          <w:sz w:val="23"/>
          <w:szCs w:val="23"/>
        </w:rPr>
      </w:pPr>
    </w:p>
    <w:p>
      <w:pPr>
        <w:pStyle w:val="Heading3"/>
        <w:spacing w:line="240" w:lineRule="auto"/>
        <w:ind w:right="1033"/>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1033"/>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5712"/>
        <w:jc w:val="left"/>
      </w:pPr>
      <w:r>
        <w:rPr/>
        <w:t>上市公司及其子公司是否属于环境保护部门公布的重点排污单位 不适用</w:t>
      </w:r>
    </w:p>
    <w:p>
      <w:pPr>
        <w:spacing w:line="240" w:lineRule="auto" w:before="5"/>
        <w:rPr>
          <w:rFonts w:ascii="宋体" w:hAnsi="宋体" w:cs="宋体" w:eastAsia="宋体" w:hint="default"/>
          <w:sz w:val="18"/>
          <w:szCs w:val="18"/>
        </w:rPr>
      </w:pPr>
    </w:p>
    <w:p>
      <w:pPr>
        <w:pStyle w:val="Heading2"/>
        <w:spacing w:line="240" w:lineRule="auto"/>
        <w:ind w:left="1134" w:right="1033"/>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81" w:firstLine="422"/>
        <w:jc w:val="left"/>
      </w:pPr>
      <w:r>
        <w:rPr/>
        <w:t>公司持股</w:t>
      </w:r>
      <w:r>
        <w:rPr>
          <w:rFonts w:ascii="Times New Roman" w:hAnsi="Times New Roman" w:cs="Times New Roman" w:eastAsia="Times New Roman" w:hint="default"/>
        </w:rPr>
        <w:t>5%</w:t>
      </w:r>
      <w:r>
        <w:rPr/>
        <w:t>以上股东张齐春女士与黄永军先生于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日签署了《表决权委托协议》，张齐春女士将其持有的 东方通</w:t>
      </w:r>
      <w:r>
        <w:rPr>
          <w:rFonts w:ascii="Times New Roman" w:hAnsi="Times New Roman" w:cs="Times New Roman" w:eastAsia="Times New Roman" w:hint="default"/>
        </w:rPr>
        <w:t>33,822,218</w:t>
      </w:r>
      <w:r>
        <w:rPr/>
        <w:t>股股份（占总股本的</w:t>
      </w:r>
      <w:r>
        <w:rPr>
          <w:rFonts w:ascii="Times New Roman" w:hAnsi="Times New Roman" w:cs="Times New Roman" w:eastAsia="Times New Roman" w:hint="default"/>
        </w:rPr>
        <w:t>12.2088%</w:t>
      </w:r>
      <w:r>
        <w:rPr/>
        <w:t>）</w:t>
      </w:r>
      <w:r>
        <w:rPr>
          <w:spacing w:val="-23"/>
        </w:rPr>
        <w:t> </w:t>
      </w:r>
      <w:r>
        <w:rPr/>
        <w:t>对应的表决权以及提名和提案权委托给黄永军先生行使。</w:t>
      </w:r>
    </w:p>
    <w:p>
      <w:pPr>
        <w:pStyle w:val="BodyText"/>
        <w:spacing w:line="300" w:lineRule="auto" w:before="51"/>
        <w:ind w:right="1130" w:firstLine="422"/>
        <w:jc w:val="both"/>
      </w:pPr>
      <w:r>
        <w:rPr/>
        <w:t>表决权委托后，张齐春女士享有的表决权股份数量为</w:t>
      </w:r>
      <w:r>
        <w:rPr>
          <w:rFonts w:ascii="Times New Roman" w:hAnsi="Times New Roman" w:cs="Times New Roman" w:eastAsia="Times New Roman" w:hint="default"/>
        </w:rPr>
        <w:t>0</w:t>
      </w:r>
      <w:r>
        <w:rPr/>
        <w:t>股；黄永军先生享有的表决权股份数量为</w:t>
      </w:r>
      <w:r>
        <w:rPr>
          <w:rFonts w:ascii="Times New Roman" w:hAnsi="Times New Roman" w:cs="Times New Roman" w:eastAsia="Times New Roman" w:hint="default"/>
        </w:rPr>
        <w:t>58,439,112</w:t>
      </w:r>
      <w:r>
        <w:rPr/>
        <w:t>股（包括黄 </w:t>
      </w:r>
      <w:r>
        <w:rPr>
          <w:spacing w:val="-2"/>
        </w:rPr>
        <w:t>永军直接持有</w:t>
      </w:r>
      <w:r>
        <w:rPr>
          <w:rFonts w:ascii="Times New Roman" w:hAnsi="Times New Roman" w:cs="Times New Roman" w:eastAsia="Times New Roman" w:hint="default"/>
          <w:spacing w:val="-2"/>
        </w:rPr>
        <w:t>18,615,066</w:t>
      </w:r>
      <w:r>
        <w:rPr>
          <w:spacing w:val="-2"/>
        </w:rPr>
        <w:t>股东方通股票对应的表决权、通过云南国际信托有限公司－招信智赢点山</w:t>
      </w:r>
      <w:r>
        <w:rPr>
          <w:rFonts w:ascii="Times New Roman" w:hAnsi="Times New Roman" w:cs="Times New Roman" w:eastAsia="Times New Roman" w:hint="default"/>
          <w:spacing w:val="-2"/>
        </w:rPr>
        <w:t>1</w:t>
      </w:r>
      <w:r>
        <w:rPr>
          <w:spacing w:val="-2"/>
        </w:rPr>
        <w:t>号集合资金信托计划间接</w:t>
      </w:r>
      <w:r>
        <w:rPr>
          <w:spacing w:val="-54"/>
        </w:rPr>
        <w:t> </w:t>
      </w:r>
      <w:r>
        <w:rPr/>
        <w:t>持有</w:t>
      </w:r>
      <w:r>
        <w:rPr>
          <w:rFonts w:ascii="Times New Roman" w:hAnsi="Times New Roman" w:cs="Times New Roman" w:eastAsia="Times New Roman" w:hint="default"/>
        </w:rPr>
        <w:t>6,001,828</w:t>
      </w:r>
      <w:r>
        <w:rPr/>
        <w:t>股东方通股票对应的表决权及通过表决权委托方式获得的东方通</w:t>
      </w:r>
      <w:r>
        <w:rPr>
          <w:rFonts w:ascii="Times New Roman" w:hAnsi="Times New Roman" w:cs="Times New Roman" w:eastAsia="Times New Roman" w:hint="default"/>
        </w:rPr>
        <w:t>33,822,218</w:t>
      </w:r>
      <w:r>
        <w:rPr/>
        <w:t>股对应的表决权），占公司总股本 的</w:t>
      </w:r>
      <w:r>
        <w:rPr>
          <w:spacing w:val="-19"/>
        </w:rPr>
        <w:t> </w:t>
      </w:r>
      <w:r>
        <w:rPr>
          <w:rFonts w:ascii="Times New Roman" w:hAnsi="Times New Roman" w:cs="Times New Roman" w:eastAsia="Times New Roman" w:hint="default"/>
        </w:rPr>
        <w:t>21.0947%</w:t>
      </w:r>
      <w:r>
        <w:rPr/>
        <w:t>，成为可支配公司最大单一表决权的股东。本次表决权委托将导致公司实际控制人发生变更，公司实际控制人</w:t>
      </w:r>
    </w:p>
    <w:p>
      <w:pPr>
        <w:spacing w:after="0" w:line="300"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left="1556" w:right="2477" w:hanging="423"/>
        <w:jc w:val="left"/>
      </w:pPr>
      <w:r>
        <w:rPr/>
        <w:t>由张齐春女士及其一致行动人变更为黄永军先生。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日披露了《关于股东签署</w:t>
      </w:r>
      <w:r>
        <w:rPr>
          <w:rFonts w:ascii="Times New Roman" w:hAnsi="Times New Roman" w:cs="Times New Roman" w:eastAsia="Times New Roman" w:hint="default"/>
        </w:rPr>
        <w:t>&lt;</w:t>
      </w:r>
      <w:r>
        <w:rPr/>
        <w:t>表决权委托协议</w:t>
      </w:r>
      <w:r>
        <w:rPr>
          <w:rFonts w:ascii="Times New Roman" w:hAnsi="Times New Roman" w:cs="Times New Roman" w:eastAsia="Times New Roman" w:hint="default"/>
        </w:rPr>
        <w:t>&gt;</w:t>
      </w:r>
      <w:r>
        <w:rPr/>
        <w:t>暨实际控制人变更的提示性公告》。</w:t>
      </w:r>
    </w:p>
    <w:p>
      <w:pPr>
        <w:spacing w:line="240" w:lineRule="auto" w:before="7"/>
        <w:rPr>
          <w:rFonts w:ascii="宋体" w:hAnsi="宋体" w:cs="宋体" w:eastAsia="宋体" w:hint="default"/>
          <w:sz w:val="16"/>
          <w:szCs w:val="16"/>
        </w:rPr>
      </w:pPr>
    </w:p>
    <w:p>
      <w:pPr>
        <w:pStyle w:val="Heading2"/>
        <w:spacing w:line="240" w:lineRule="auto"/>
        <w:ind w:left="1134" w:right="1033"/>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1033"/>
        <w:jc w:val="left"/>
        <w:rPr>
          <w:b w:val="0"/>
          <w:bCs w:val="0"/>
        </w:rPr>
      </w:pPr>
      <w:bookmarkStart w:name="_TOC_250006" w:id="101"/>
      <w:bookmarkStart w:name="第六节 股份变动及股东情况" w:id="102"/>
      <w:r>
        <w:rPr>
          <w:b w:val="0"/>
          <w:bCs w:val="0"/>
        </w:rPr>
      </w:r>
      <w:r>
        <w:rPr/>
        <w:t>第六节</w:t>
      </w:r>
      <w:r>
        <w:rPr>
          <w:spacing w:val="-10"/>
        </w:rPr>
        <w:t> </w:t>
      </w:r>
      <w:r>
        <w:rPr/>
        <w:t>股份变动及股东情况</w:t>
      </w:r>
      <w:bookmarkEnd w:id="10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3"/>
        <w:jc w:val="left"/>
        <w:rPr>
          <w:b w:val="0"/>
          <w:bCs w:val="0"/>
        </w:rPr>
      </w:pPr>
      <w:bookmarkStart w:name="一、股份变动情况" w:id="103"/>
      <w:bookmarkEnd w:id="10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73,520,87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53.12%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44,749,13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-28,442,6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16,306,53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89,827,40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32.42%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73,520,87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53.12%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44,749,13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-28,442,6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16,306,53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89,827,40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32.42%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17,725,95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12.81%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12,735,32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-4,990,62</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7,744,701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25,470,65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9.19%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55,794,91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40.32%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32,013,80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-23,451,9</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8,561,832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64,356,75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23.23%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64,872,61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46.88%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12,214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93,766,72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28,552,75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122,331,6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187,204,3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67.58%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64,872,61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46.88%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12,214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93,766,72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28,552,75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122,331,6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187,204,3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67.58%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138,393,4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12,214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138,515,8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110,156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138,638,2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277,031,7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1033"/>
        <w:jc w:val="left"/>
      </w:pPr>
      <w:r>
        <w:rPr/>
        <w:t>股份变动的原因</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30" w:firstLine="360"/>
        <w:jc w:val="left"/>
      </w:pPr>
      <w:r>
        <w:rPr>
          <w:rFonts w:ascii="Times New Roman" w:hAnsi="Times New Roman" w:cs="Times New Roman" w:eastAsia="Times New Roman" w:hint="default"/>
        </w:rPr>
        <w:t>1.</w:t>
      </w:r>
      <w:r>
        <w:rPr/>
        <w:t>经中国证券监督管理委员会《关于核准北京东方通科技股份有限公司向李健等发行股份购买资产并募集配套资金的批 </w:t>
      </w:r>
      <w:r>
        <w:rPr>
          <w:spacing w:val="-3"/>
        </w:rPr>
        <w:t>复》（证监许可〔</w:t>
      </w:r>
      <w:r>
        <w:rPr>
          <w:rFonts w:ascii="Times New Roman" w:hAnsi="Times New Roman" w:cs="Times New Roman" w:eastAsia="Times New Roman" w:hint="default"/>
          <w:spacing w:val="-3"/>
        </w:rPr>
        <w:t>2014</w:t>
      </w:r>
      <w:r>
        <w:rPr>
          <w:spacing w:val="-3"/>
        </w:rPr>
        <w:t>〕</w:t>
      </w:r>
      <w:r>
        <w:rPr>
          <w:rFonts w:ascii="Times New Roman" w:hAnsi="Times New Roman" w:cs="Times New Roman" w:eastAsia="Times New Roman" w:hint="default"/>
          <w:spacing w:val="-3"/>
        </w:rPr>
        <w:t>1354</w:t>
      </w:r>
      <w:r>
        <w:rPr>
          <w:spacing w:val="-3"/>
        </w:rPr>
        <w:t>号）核准，公司实施了发行股份及现金方式购买资产并募集配套资金暨重大资产重组，向李健、</w:t>
      </w:r>
      <w:r>
        <w:rPr/>
        <w:t> 王晋敏、王熙春、李飚共发行</w:t>
      </w:r>
      <w:r>
        <w:rPr>
          <w:rFonts w:ascii="Times New Roman" w:hAnsi="Times New Roman" w:cs="Times New Roman" w:eastAsia="Times New Roman" w:hint="default"/>
        </w:rPr>
        <w:t>4,480,000</w:t>
      </w:r>
      <w:r>
        <w:rPr/>
        <w:t>股股票。根据股份锁定承诺，</w:t>
      </w:r>
      <w:r>
        <w:rPr>
          <w:rFonts w:ascii="Times New Roman" w:hAnsi="Times New Roman" w:cs="Times New Roman" w:eastAsia="Times New Roman" w:hint="default"/>
        </w:rPr>
        <w:t>33%</w:t>
      </w:r>
      <w:r>
        <w:rPr/>
        <w:t>股份于对价股份发行结束满</w:t>
      </w:r>
      <w:r>
        <w:rPr>
          <w:rFonts w:ascii="Times New Roman" w:hAnsi="Times New Roman" w:cs="Times New Roman" w:eastAsia="Times New Roman" w:hint="default"/>
        </w:rPr>
        <w:t>24</w:t>
      </w:r>
      <w:r>
        <w:rPr/>
        <w:t>个月且盈利预测补偿</w:t>
      </w:r>
    </w:p>
    <w:p>
      <w:pPr>
        <w:spacing w:after="0" w:line="30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期第二年的《盈利预测实现情况审核报告》披露后解除限售，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2,956,800</w:t>
      </w:r>
      <w:r>
        <w:rPr/>
        <w:t>股解除限售，并上市流通。</w:t>
      </w:r>
    </w:p>
    <w:p>
      <w:pPr>
        <w:pStyle w:val="BodyText"/>
        <w:spacing w:line="302" w:lineRule="auto" w:before="101"/>
        <w:ind w:right="1033" w:firstLine="360"/>
        <w:jc w:val="left"/>
      </w:pPr>
      <w:r>
        <w:rPr>
          <w:rFonts w:ascii="Times New Roman" w:hAnsi="Times New Roman" w:cs="Times New Roman" w:eastAsia="Times New Roman" w:hint="default"/>
          <w:spacing w:val="-1"/>
        </w:rPr>
        <w:t>2.2017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3</w:t>
      </w:r>
      <w:r>
        <w:rPr>
          <w:spacing w:val="-1"/>
        </w:rPr>
        <w:t>日，公司首次公开发行前已发行股份限售期满，解除限售</w:t>
      </w:r>
      <w:r>
        <w:rPr>
          <w:rFonts w:ascii="Times New Roman" w:hAnsi="Times New Roman" w:cs="Times New Roman" w:eastAsia="Times New Roman" w:hint="default"/>
          <w:spacing w:val="-1"/>
        </w:rPr>
        <w:t>43,947,577</w:t>
      </w:r>
      <w:r>
        <w:rPr>
          <w:spacing w:val="-1"/>
        </w:rPr>
        <w:t>股，根据公司董事、高级管理人员</w:t>
      </w:r>
      <w:r>
        <w:rPr>
          <w:rFonts w:ascii="Times New Roman" w:hAnsi="Times New Roman" w:cs="Times New Roman" w:eastAsia="Times New Roman" w:hint="default"/>
          <w:spacing w:val="-1"/>
        </w:rPr>
        <w:t>“</w:t>
      </w:r>
      <w:r>
        <w:rPr>
          <w:spacing w:val="-1"/>
        </w:rPr>
        <w:t>任</w:t>
      </w:r>
      <w:r>
        <w:rPr/>
        <w:t> 职期间每年转让的股份不超过其持有公司股份总数的</w:t>
      </w:r>
      <w:r>
        <w:rPr>
          <w:rFonts w:ascii="Times New Roman" w:hAnsi="Times New Roman" w:cs="Times New Roman" w:eastAsia="Times New Roman" w:hint="default"/>
        </w:rPr>
        <w:t>25%”</w:t>
      </w:r>
      <w:r>
        <w:rPr/>
        <w:t>的规定，实际解除限售</w:t>
      </w:r>
      <w:r>
        <w:rPr>
          <w:rFonts w:ascii="Times New Roman" w:hAnsi="Times New Roman" w:cs="Times New Roman" w:eastAsia="Times New Roman" w:hint="default"/>
        </w:rPr>
        <w:t>25,814,938</w:t>
      </w:r>
      <w:r>
        <w:rPr/>
        <w:t>股。</w:t>
      </w:r>
    </w:p>
    <w:p>
      <w:pPr>
        <w:pStyle w:val="BodyText"/>
        <w:spacing w:line="300" w:lineRule="auto" w:before="50"/>
        <w:ind w:right="1033" w:firstLine="360"/>
        <w:jc w:val="left"/>
      </w:pPr>
      <w:r>
        <w:rPr>
          <w:rFonts w:ascii="Times New Roman" w:hAnsi="Times New Roman" w:cs="Times New Roman" w:eastAsia="Times New Roman" w:hint="default"/>
          <w:spacing w:val="-3"/>
        </w:rPr>
        <w:t>3.</w:t>
      </w:r>
      <w:r>
        <w:rPr>
          <w:spacing w:val="-3"/>
        </w:rPr>
        <w:t>根据</w:t>
      </w:r>
      <w:r>
        <w:rPr>
          <w:rFonts w:ascii="Times New Roman" w:hAnsi="Times New Roman" w:cs="Times New Roman" w:eastAsia="Times New Roman" w:hint="default"/>
          <w:spacing w:val="-3"/>
        </w:rPr>
        <w:t>2015</w:t>
      </w:r>
      <w:r>
        <w:rPr>
          <w:spacing w:val="-3"/>
        </w:rPr>
        <w:t>年第二次临时股东大会对董事会的授权，</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29</w:t>
      </w:r>
      <w:r>
        <w:rPr>
          <w:spacing w:val="-3"/>
        </w:rPr>
        <w:t>日，公司第二届董事会第二十八次会议审议通过了《关</w:t>
      </w:r>
      <w:r>
        <w:rPr/>
        <w:t> 于公司</w:t>
      </w:r>
      <w:r>
        <w:rPr>
          <w:rFonts w:ascii="Times New Roman" w:hAnsi="Times New Roman" w:cs="Times New Roman" w:eastAsia="Times New Roman" w:hint="default"/>
        </w:rPr>
        <w:t>&lt;</w:t>
      </w:r>
      <w:r>
        <w:rPr/>
        <w:t>第一期股票期权激励计划</w:t>
      </w:r>
      <w:r>
        <w:rPr>
          <w:rFonts w:ascii="Times New Roman" w:hAnsi="Times New Roman" w:cs="Times New Roman" w:eastAsia="Times New Roman" w:hint="default"/>
        </w:rPr>
        <w:t>&gt;</w:t>
      </w:r>
      <w:r>
        <w:rPr/>
        <w:t>首次授予期权第一个行权期可行权的议案》，向股票期权激励对象以定向发行公司股票 的方式进行行权，首次授予期权的</w:t>
      </w:r>
      <w:r>
        <w:rPr>
          <w:rFonts w:ascii="Times New Roman" w:hAnsi="Times New Roman" w:cs="Times New Roman" w:eastAsia="Times New Roman" w:hint="default"/>
        </w:rPr>
        <w:t>215</w:t>
      </w:r>
      <w:r>
        <w:rPr/>
        <w:t>名激励对象在第一个行权期可行权数量为</w:t>
      </w:r>
      <w:r>
        <w:rPr>
          <w:rFonts w:ascii="Times New Roman" w:hAnsi="Times New Roman" w:cs="Times New Roman" w:eastAsia="Times New Roman" w:hint="default"/>
        </w:rPr>
        <w:t>120.24</w:t>
      </w:r>
      <w:r>
        <w:rPr/>
        <w:t>万份。报告期内，激励对象行权数量 合计</w:t>
      </w:r>
      <w:r>
        <w:rPr>
          <w:rFonts w:ascii="Times New Roman" w:hAnsi="Times New Roman" w:cs="Times New Roman" w:eastAsia="Times New Roman" w:hint="default"/>
        </w:rPr>
        <w:t>122,370</w:t>
      </w:r>
      <w:r>
        <w:rPr/>
        <w:t>股，公司股本增加</w:t>
      </w:r>
      <w:r>
        <w:rPr>
          <w:rFonts w:ascii="Times New Roman" w:hAnsi="Times New Roman" w:cs="Times New Roman" w:eastAsia="Times New Roman" w:hint="default"/>
        </w:rPr>
        <w:t>122,370</w:t>
      </w:r>
      <w:r>
        <w:rPr/>
        <w:t>股，变为</w:t>
      </w:r>
      <w:r>
        <w:rPr>
          <w:rFonts w:ascii="Times New Roman" w:hAnsi="Times New Roman" w:cs="Times New Roman" w:eastAsia="Times New Roman" w:hint="default"/>
        </w:rPr>
        <w:t>138,515,854</w:t>
      </w:r>
      <w:r>
        <w:rPr/>
        <w:t>股。</w:t>
      </w:r>
    </w:p>
    <w:p>
      <w:pPr>
        <w:pStyle w:val="BodyText"/>
        <w:spacing w:line="300" w:lineRule="auto" w:before="51"/>
        <w:ind w:right="1033" w:firstLine="362"/>
        <w:jc w:val="left"/>
      </w:pPr>
      <w:r>
        <w:rPr>
          <w:rFonts w:ascii="Times New Roman" w:hAnsi="Times New Roman" w:cs="Times New Roman" w:eastAsia="Times New Roman" w:hint="default"/>
          <w:spacing w:val="-3"/>
        </w:rPr>
        <w:t>4.2017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5</w:t>
      </w:r>
      <w:r>
        <w:rPr>
          <w:spacing w:val="-3"/>
        </w:rPr>
        <w:t>日公司《</w:t>
      </w:r>
      <w:r>
        <w:rPr>
          <w:rFonts w:ascii="Times New Roman" w:hAnsi="Times New Roman" w:cs="Times New Roman" w:eastAsia="Times New Roman" w:hint="default"/>
          <w:spacing w:val="-3"/>
        </w:rPr>
        <w:t>2016</w:t>
      </w:r>
      <w:r>
        <w:rPr>
          <w:spacing w:val="-3"/>
        </w:rPr>
        <w:t>年度股东大会》审议通过</w:t>
      </w:r>
      <w:r>
        <w:rPr>
          <w:rFonts w:ascii="Times New Roman" w:hAnsi="Times New Roman" w:cs="Times New Roman" w:eastAsia="Times New Roman" w:hint="default"/>
          <w:spacing w:val="-3"/>
        </w:rPr>
        <w:t>2016</w:t>
      </w:r>
      <w:r>
        <w:rPr>
          <w:spacing w:val="-3"/>
        </w:rPr>
        <w:t>年年度权益分派方案：以公司现有总股本</w:t>
      </w:r>
      <w:r>
        <w:rPr>
          <w:rFonts w:ascii="Times New Roman" w:hAnsi="Times New Roman" w:cs="Times New Roman" w:eastAsia="Times New Roman" w:hint="default"/>
          <w:spacing w:val="-3"/>
        </w:rPr>
        <w:t>138,515,854</w:t>
      </w:r>
      <w:r>
        <w:rPr>
          <w:spacing w:val="-3"/>
        </w:rPr>
        <w:t>股为基数，</w:t>
      </w:r>
      <w:r>
        <w:rPr/>
        <w:t> 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2.00</w:t>
      </w:r>
      <w:r>
        <w:rPr/>
        <w:t>元人民币现金（含税），同时，以资本公积金向全体股东每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日，本次</w:t>
      </w:r>
      <w:r>
        <w:rPr>
          <w:spacing w:val="-47"/>
        </w:rPr>
        <w:t> </w:t>
      </w:r>
      <w:r>
        <w:rPr>
          <w:spacing w:val="-47"/>
        </w:rPr>
      </w:r>
      <w:r>
        <w:rPr/>
        <w:t>权益分派实施完毕，公司股本变更为</w:t>
      </w:r>
      <w:r>
        <w:rPr>
          <w:rFonts w:ascii="Times New Roman" w:hAnsi="Times New Roman" w:cs="Times New Roman" w:eastAsia="Times New Roman" w:hint="default"/>
        </w:rPr>
        <w:t>277,031,708</w:t>
      </w:r>
      <w:r>
        <w:rPr/>
        <w:t>股。</w:t>
      </w:r>
    </w:p>
    <w:p>
      <w:pPr>
        <w:pStyle w:val="BodyText"/>
        <w:spacing w:line="240" w:lineRule="auto" w:before="52"/>
        <w:ind w:left="1134" w:right="1033"/>
        <w:jc w:val="left"/>
      </w:pPr>
      <w:r>
        <w:rPr/>
        <w:t>股份变动的批准情况</w:t>
      </w:r>
    </w:p>
    <w:p>
      <w:pPr>
        <w:pStyle w:val="BodyText"/>
        <w:spacing w:line="240" w:lineRule="auto" w:before="117"/>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30" w:firstLine="360"/>
        <w:jc w:val="left"/>
      </w:pPr>
      <w:r>
        <w:rPr>
          <w:rFonts w:ascii="Times New Roman" w:hAnsi="Times New Roman" w:cs="Times New Roman" w:eastAsia="Times New Roman" w:hint="default"/>
        </w:rPr>
        <w:t>1.</w:t>
      </w:r>
      <w:r>
        <w:rPr/>
        <w:t>经中国证券监督管理委员会《关于核准北京东方通科技股份有限公司向李健等发行股份购买资产并募集配套资金的批 </w:t>
      </w:r>
      <w:r>
        <w:rPr>
          <w:spacing w:val="-3"/>
        </w:rPr>
        <w:t>复》（证监许可〔</w:t>
      </w:r>
      <w:r>
        <w:rPr>
          <w:rFonts w:ascii="Times New Roman" w:hAnsi="Times New Roman" w:cs="Times New Roman" w:eastAsia="Times New Roman" w:hint="default"/>
          <w:spacing w:val="-3"/>
        </w:rPr>
        <w:t>2014</w:t>
      </w:r>
      <w:r>
        <w:rPr>
          <w:spacing w:val="-3"/>
        </w:rPr>
        <w:t>〕</w:t>
      </w:r>
      <w:r>
        <w:rPr>
          <w:rFonts w:ascii="Times New Roman" w:hAnsi="Times New Roman" w:cs="Times New Roman" w:eastAsia="Times New Roman" w:hint="default"/>
          <w:spacing w:val="-3"/>
        </w:rPr>
        <w:t>1354</w:t>
      </w:r>
      <w:r>
        <w:rPr>
          <w:spacing w:val="-3"/>
        </w:rPr>
        <w:t>号）核准，公司实施了发行股份及现金方式购买资产并募集配套资金暨重大资产重组，向李健、</w:t>
      </w:r>
      <w:r>
        <w:rPr/>
        <w:t> 王晋敏、王熙春、李飚共发行</w:t>
      </w:r>
      <w:r>
        <w:rPr>
          <w:rFonts w:ascii="Times New Roman" w:hAnsi="Times New Roman" w:cs="Times New Roman" w:eastAsia="Times New Roman" w:hint="default"/>
        </w:rPr>
        <w:t>4,480,000</w:t>
      </w:r>
      <w:r>
        <w:rPr/>
        <w:t>股股票。根据股份锁定承诺，</w:t>
      </w:r>
      <w:r>
        <w:rPr>
          <w:rFonts w:ascii="Times New Roman" w:hAnsi="Times New Roman" w:cs="Times New Roman" w:eastAsia="Times New Roman" w:hint="default"/>
        </w:rPr>
        <w:t>33%</w:t>
      </w:r>
      <w:r>
        <w:rPr/>
        <w:t>股份于对价股份发行结束满</w:t>
      </w:r>
      <w:r>
        <w:rPr>
          <w:rFonts w:ascii="Times New Roman" w:hAnsi="Times New Roman" w:cs="Times New Roman" w:eastAsia="Times New Roman" w:hint="default"/>
        </w:rPr>
        <w:t>24</w:t>
      </w:r>
      <w:r>
        <w:rPr/>
        <w:t>个月且盈利预测补偿 期第二年的《盈利预测实现情况审核报告》披露后解除限售，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2,956,800</w:t>
      </w:r>
      <w:r>
        <w:rPr/>
        <w:t>股解除限售，并上市流通。</w:t>
      </w:r>
    </w:p>
    <w:p>
      <w:pPr>
        <w:pStyle w:val="BodyText"/>
        <w:spacing w:line="302" w:lineRule="auto" w:before="51"/>
        <w:ind w:right="1033" w:firstLine="360"/>
        <w:jc w:val="left"/>
      </w:pPr>
      <w:r>
        <w:rPr>
          <w:rFonts w:ascii="Times New Roman" w:hAnsi="Times New Roman" w:cs="Times New Roman" w:eastAsia="Times New Roman" w:hint="default"/>
          <w:spacing w:val="-1"/>
        </w:rPr>
        <w:t>2.2017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3</w:t>
      </w:r>
      <w:r>
        <w:rPr>
          <w:spacing w:val="-1"/>
        </w:rPr>
        <w:t>日，公司首次公开发行前已发行股份限售期满，解除限售</w:t>
      </w:r>
      <w:r>
        <w:rPr>
          <w:rFonts w:ascii="Times New Roman" w:hAnsi="Times New Roman" w:cs="Times New Roman" w:eastAsia="Times New Roman" w:hint="default"/>
          <w:spacing w:val="-1"/>
        </w:rPr>
        <w:t>43,947,577</w:t>
      </w:r>
      <w:r>
        <w:rPr>
          <w:spacing w:val="-1"/>
        </w:rPr>
        <w:t>股，根据公司董事、高级管理人员</w:t>
      </w:r>
      <w:r>
        <w:rPr>
          <w:rFonts w:ascii="Times New Roman" w:hAnsi="Times New Roman" w:cs="Times New Roman" w:eastAsia="Times New Roman" w:hint="default"/>
          <w:spacing w:val="-1"/>
        </w:rPr>
        <w:t>“</w:t>
      </w:r>
      <w:r>
        <w:rPr>
          <w:spacing w:val="-1"/>
        </w:rPr>
        <w:t>任</w:t>
      </w:r>
      <w:r>
        <w:rPr/>
        <w:t> 职期间每年转让的股份不超过其持有公司股份总数的</w:t>
      </w:r>
      <w:r>
        <w:rPr>
          <w:rFonts w:ascii="Times New Roman" w:hAnsi="Times New Roman" w:cs="Times New Roman" w:eastAsia="Times New Roman" w:hint="default"/>
        </w:rPr>
        <w:t>25%”</w:t>
      </w:r>
      <w:r>
        <w:rPr/>
        <w:t>的规定，实际解除限售</w:t>
      </w:r>
      <w:r>
        <w:rPr>
          <w:rFonts w:ascii="Times New Roman" w:hAnsi="Times New Roman" w:cs="Times New Roman" w:eastAsia="Times New Roman" w:hint="default"/>
        </w:rPr>
        <w:t>25,814,938</w:t>
      </w:r>
      <w:r>
        <w:rPr/>
        <w:t>股。</w:t>
      </w:r>
    </w:p>
    <w:p>
      <w:pPr>
        <w:pStyle w:val="BodyText"/>
        <w:spacing w:line="300" w:lineRule="auto" w:before="50"/>
        <w:ind w:right="1033" w:firstLine="360"/>
        <w:jc w:val="left"/>
      </w:pPr>
      <w:r>
        <w:rPr>
          <w:rFonts w:ascii="Times New Roman" w:hAnsi="Times New Roman" w:cs="Times New Roman" w:eastAsia="Times New Roman" w:hint="default"/>
          <w:spacing w:val="-3"/>
        </w:rPr>
        <w:t>3.</w:t>
      </w:r>
      <w:r>
        <w:rPr>
          <w:spacing w:val="-3"/>
        </w:rPr>
        <w:t>根据</w:t>
      </w:r>
      <w:r>
        <w:rPr>
          <w:rFonts w:ascii="Times New Roman" w:hAnsi="Times New Roman" w:cs="Times New Roman" w:eastAsia="Times New Roman" w:hint="default"/>
          <w:spacing w:val="-3"/>
        </w:rPr>
        <w:t>2015</w:t>
      </w:r>
      <w:r>
        <w:rPr>
          <w:spacing w:val="-3"/>
        </w:rPr>
        <w:t>年第二次临时股东大会对董事会的授权，</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29</w:t>
      </w:r>
      <w:r>
        <w:rPr>
          <w:spacing w:val="-3"/>
        </w:rPr>
        <w:t>日，公司第二届董事会第二十八次会议审议通过了《关</w:t>
      </w:r>
      <w:r>
        <w:rPr/>
        <w:t> 于公司</w:t>
      </w:r>
      <w:r>
        <w:rPr>
          <w:rFonts w:ascii="Times New Roman" w:hAnsi="Times New Roman" w:cs="Times New Roman" w:eastAsia="Times New Roman" w:hint="default"/>
        </w:rPr>
        <w:t>&lt;</w:t>
      </w:r>
      <w:r>
        <w:rPr/>
        <w:t>第一期股票期权激励计划</w:t>
      </w:r>
      <w:r>
        <w:rPr>
          <w:rFonts w:ascii="Times New Roman" w:hAnsi="Times New Roman" w:cs="Times New Roman" w:eastAsia="Times New Roman" w:hint="default"/>
        </w:rPr>
        <w:t>&gt;</w:t>
      </w:r>
      <w:r>
        <w:rPr/>
        <w:t>首次授予期权第一个行权期可行权的议案》，向股票期权激励对象以定向发行公司股票 的方式进行行权，首次授予期权的</w:t>
      </w:r>
      <w:r>
        <w:rPr>
          <w:rFonts w:ascii="Times New Roman" w:hAnsi="Times New Roman" w:cs="Times New Roman" w:eastAsia="Times New Roman" w:hint="default"/>
        </w:rPr>
        <w:t>215</w:t>
      </w:r>
      <w:r>
        <w:rPr/>
        <w:t>名激励对象在第一个行权期可行权数量为</w:t>
      </w:r>
      <w:r>
        <w:rPr>
          <w:rFonts w:ascii="Times New Roman" w:hAnsi="Times New Roman" w:cs="Times New Roman" w:eastAsia="Times New Roman" w:hint="default"/>
        </w:rPr>
        <w:t>120.24</w:t>
      </w:r>
      <w:r>
        <w:rPr/>
        <w:t>万份。报告期内，激励对象行权数量 合计</w:t>
      </w:r>
      <w:r>
        <w:rPr>
          <w:rFonts w:ascii="Times New Roman" w:hAnsi="Times New Roman" w:cs="Times New Roman" w:eastAsia="Times New Roman" w:hint="default"/>
        </w:rPr>
        <w:t>122,370</w:t>
      </w:r>
      <w:r>
        <w:rPr/>
        <w:t>股，公司股本增加</w:t>
      </w:r>
      <w:r>
        <w:rPr>
          <w:rFonts w:ascii="Times New Roman" w:hAnsi="Times New Roman" w:cs="Times New Roman" w:eastAsia="Times New Roman" w:hint="default"/>
        </w:rPr>
        <w:t>122,370</w:t>
      </w:r>
      <w:r>
        <w:rPr/>
        <w:t>股，变为</w:t>
      </w:r>
      <w:r>
        <w:rPr>
          <w:rFonts w:ascii="Times New Roman" w:hAnsi="Times New Roman" w:cs="Times New Roman" w:eastAsia="Times New Roman" w:hint="default"/>
        </w:rPr>
        <w:t>138,515,854</w:t>
      </w:r>
      <w:r>
        <w:rPr/>
        <w:t>股。</w:t>
      </w:r>
    </w:p>
    <w:p>
      <w:pPr>
        <w:pStyle w:val="BodyText"/>
        <w:spacing w:line="300" w:lineRule="auto" w:before="51"/>
        <w:ind w:right="1035" w:firstLine="290"/>
        <w:jc w:val="left"/>
      </w:pPr>
      <w:r>
        <w:rPr>
          <w:rFonts w:ascii="Times New Roman" w:hAnsi="Times New Roman" w:cs="Times New Roman" w:eastAsia="Times New Roman" w:hint="default"/>
          <w:spacing w:val="-1"/>
        </w:rPr>
        <w:t>4.2017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5</w:t>
      </w:r>
      <w:r>
        <w:rPr>
          <w:spacing w:val="-1"/>
        </w:rPr>
        <w:t>日公司《</w:t>
      </w:r>
      <w:r>
        <w:rPr>
          <w:rFonts w:ascii="Times New Roman" w:hAnsi="Times New Roman" w:cs="Times New Roman" w:eastAsia="Times New Roman" w:hint="default"/>
          <w:spacing w:val="-1"/>
        </w:rPr>
        <w:t>2016</w:t>
      </w:r>
      <w:r>
        <w:rPr>
          <w:spacing w:val="-1"/>
        </w:rPr>
        <w:t>年度股东大会》审议通过</w:t>
      </w:r>
      <w:r>
        <w:rPr>
          <w:rFonts w:ascii="Times New Roman" w:hAnsi="Times New Roman" w:cs="Times New Roman" w:eastAsia="Times New Roman" w:hint="default"/>
          <w:spacing w:val="-1"/>
        </w:rPr>
        <w:t>2016</w:t>
      </w:r>
      <w:r>
        <w:rPr>
          <w:spacing w:val="-1"/>
        </w:rPr>
        <w:t>年年度权益分派方案：以公司现有总股本</w:t>
      </w:r>
      <w:r>
        <w:rPr>
          <w:rFonts w:ascii="Times New Roman" w:hAnsi="Times New Roman" w:cs="Times New Roman" w:eastAsia="Times New Roman" w:hint="default"/>
          <w:spacing w:val="-1"/>
        </w:rPr>
        <w:t>138,515,854</w:t>
      </w:r>
      <w:r>
        <w:rPr>
          <w:spacing w:val="-1"/>
        </w:rPr>
        <w:t>股为基数，</w:t>
      </w:r>
      <w:r>
        <w:rPr/>
        <w:t> 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2.00</w:t>
      </w:r>
      <w:r>
        <w:rPr/>
        <w:t>元人民币现金（含税），同时，以资本公积金向全体股东每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日，本次</w:t>
      </w:r>
      <w:r>
        <w:rPr>
          <w:spacing w:val="-47"/>
        </w:rPr>
        <w:t> </w:t>
      </w:r>
      <w:r>
        <w:rPr>
          <w:spacing w:val="-47"/>
        </w:rPr>
      </w:r>
      <w:r>
        <w:rPr/>
        <w:t>权益分派实施完毕，公司股本变更为</w:t>
      </w:r>
      <w:r>
        <w:rPr>
          <w:rFonts w:ascii="Times New Roman" w:hAnsi="Times New Roman" w:cs="Times New Roman" w:eastAsia="Times New Roman" w:hint="default"/>
        </w:rPr>
        <w:t>277,031,708</w:t>
      </w:r>
      <w:r>
        <w:rPr/>
        <w:t>股。</w:t>
      </w:r>
    </w:p>
    <w:p>
      <w:pPr>
        <w:pStyle w:val="BodyText"/>
        <w:spacing w:line="240" w:lineRule="auto" w:before="52"/>
        <w:ind w:left="1134" w:right="1033"/>
        <w:jc w:val="left"/>
      </w:pPr>
      <w:r>
        <w:rPr/>
        <w:t>股份变动的过户情况</w:t>
      </w:r>
    </w:p>
    <w:p>
      <w:pPr>
        <w:pStyle w:val="BodyText"/>
        <w:spacing w:line="240" w:lineRule="auto" w:before="117"/>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30" w:firstLine="360"/>
        <w:jc w:val="left"/>
      </w:pPr>
      <w:r>
        <w:rPr>
          <w:rFonts w:ascii="Times New Roman" w:hAnsi="Times New Roman" w:cs="Times New Roman" w:eastAsia="Times New Roman" w:hint="default"/>
        </w:rPr>
        <w:t>1.</w:t>
      </w:r>
      <w:r>
        <w:rPr/>
        <w:t>经中国证券监督管理委员会《关于核准北京东方通科技股份有限公司向李健等发行股份购买资产并募集配套资金的批 </w:t>
      </w:r>
      <w:r>
        <w:rPr>
          <w:spacing w:val="-3"/>
        </w:rPr>
        <w:t>复》（证监许可〔</w:t>
      </w:r>
      <w:r>
        <w:rPr>
          <w:rFonts w:ascii="Times New Roman" w:hAnsi="Times New Roman" w:cs="Times New Roman" w:eastAsia="Times New Roman" w:hint="default"/>
          <w:spacing w:val="-3"/>
        </w:rPr>
        <w:t>2014</w:t>
      </w:r>
      <w:r>
        <w:rPr>
          <w:spacing w:val="-3"/>
        </w:rPr>
        <w:t>〕</w:t>
      </w:r>
      <w:r>
        <w:rPr>
          <w:rFonts w:ascii="Times New Roman" w:hAnsi="Times New Roman" w:cs="Times New Roman" w:eastAsia="Times New Roman" w:hint="default"/>
          <w:spacing w:val="-3"/>
        </w:rPr>
        <w:t>1354</w:t>
      </w:r>
      <w:r>
        <w:rPr>
          <w:spacing w:val="-3"/>
        </w:rPr>
        <w:t>号）核准，公司实施了发行股份及现金方式购买资产并募集配套资金暨重大资产重组，向李健、</w:t>
      </w:r>
      <w:r>
        <w:rPr/>
        <w:t> 王晋敏、王熙春、李飚共发行</w:t>
      </w:r>
      <w:r>
        <w:rPr>
          <w:rFonts w:ascii="Times New Roman" w:hAnsi="Times New Roman" w:cs="Times New Roman" w:eastAsia="Times New Roman" w:hint="default"/>
        </w:rPr>
        <w:t>4,480,000</w:t>
      </w:r>
      <w:r>
        <w:rPr/>
        <w:t>股股票。根据股份锁定承诺，</w:t>
      </w:r>
      <w:r>
        <w:rPr>
          <w:rFonts w:ascii="Times New Roman" w:hAnsi="Times New Roman" w:cs="Times New Roman" w:eastAsia="Times New Roman" w:hint="default"/>
        </w:rPr>
        <w:t>33%</w:t>
      </w:r>
      <w:r>
        <w:rPr/>
        <w:t>股份于对价股份发行结束满</w:t>
      </w:r>
      <w:r>
        <w:rPr>
          <w:rFonts w:ascii="Times New Roman" w:hAnsi="Times New Roman" w:cs="Times New Roman" w:eastAsia="Times New Roman" w:hint="default"/>
        </w:rPr>
        <w:t>24</w:t>
      </w:r>
      <w:r>
        <w:rPr/>
        <w:t>个月且盈利预测补偿 期第二年的《盈利预测实现情况审核报告》披露后解除限售，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2,956,800</w:t>
      </w:r>
      <w:r>
        <w:rPr/>
        <w:t>股解除限售，并上市流通。</w:t>
      </w:r>
    </w:p>
    <w:p>
      <w:pPr>
        <w:pStyle w:val="BodyText"/>
        <w:spacing w:line="302" w:lineRule="auto" w:before="51"/>
        <w:ind w:right="1033" w:firstLine="360"/>
        <w:jc w:val="left"/>
      </w:pPr>
      <w:r>
        <w:rPr>
          <w:rFonts w:ascii="Times New Roman" w:hAnsi="Times New Roman" w:cs="Times New Roman" w:eastAsia="Times New Roman" w:hint="default"/>
          <w:spacing w:val="-1"/>
        </w:rPr>
        <w:t>2.2017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3</w:t>
      </w:r>
      <w:r>
        <w:rPr>
          <w:spacing w:val="-1"/>
        </w:rPr>
        <w:t>日，公司首次公开发行前已发行股份限售期满，解除限售</w:t>
      </w:r>
      <w:r>
        <w:rPr>
          <w:rFonts w:ascii="Times New Roman" w:hAnsi="Times New Roman" w:cs="Times New Roman" w:eastAsia="Times New Roman" w:hint="default"/>
          <w:spacing w:val="-1"/>
        </w:rPr>
        <w:t>43,947,577</w:t>
      </w:r>
      <w:r>
        <w:rPr>
          <w:spacing w:val="-1"/>
        </w:rPr>
        <w:t>股，根据公司董事、高级管理人员</w:t>
      </w:r>
      <w:r>
        <w:rPr>
          <w:rFonts w:ascii="Times New Roman" w:hAnsi="Times New Roman" w:cs="Times New Roman" w:eastAsia="Times New Roman" w:hint="default"/>
          <w:spacing w:val="-1"/>
        </w:rPr>
        <w:t>“</w:t>
      </w:r>
      <w:r>
        <w:rPr>
          <w:spacing w:val="-1"/>
        </w:rPr>
        <w:t>任</w:t>
      </w:r>
      <w:r>
        <w:rPr/>
        <w:t> 职期间每年转让的股份不超过其持有公司股份总数的</w:t>
      </w:r>
      <w:r>
        <w:rPr>
          <w:rFonts w:ascii="Times New Roman" w:hAnsi="Times New Roman" w:cs="Times New Roman" w:eastAsia="Times New Roman" w:hint="default"/>
        </w:rPr>
        <w:t>25%”</w:t>
      </w:r>
      <w:r>
        <w:rPr/>
        <w:t>的规定，实际解除限售</w:t>
      </w:r>
      <w:r>
        <w:rPr>
          <w:rFonts w:ascii="Times New Roman" w:hAnsi="Times New Roman" w:cs="Times New Roman" w:eastAsia="Times New Roman" w:hint="default"/>
        </w:rPr>
        <w:t>25,814,938</w:t>
      </w:r>
      <w:r>
        <w:rPr/>
        <w:t>股。</w:t>
      </w:r>
    </w:p>
    <w:p>
      <w:pPr>
        <w:pStyle w:val="BodyText"/>
        <w:spacing w:line="300" w:lineRule="auto" w:before="50"/>
        <w:ind w:right="1033" w:firstLine="360"/>
        <w:jc w:val="left"/>
      </w:pPr>
      <w:r>
        <w:rPr>
          <w:rFonts w:ascii="Times New Roman" w:hAnsi="Times New Roman" w:cs="Times New Roman" w:eastAsia="Times New Roman" w:hint="default"/>
          <w:spacing w:val="-3"/>
        </w:rPr>
        <w:t>3.</w:t>
      </w:r>
      <w:r>
        <w:rPr>
          <w:spacing w:val="-3"/>
        </w:rPr>
        <w:t>根据</w:t>
      </w:r>
      <w:r>
        <w:rPr>
          <w:rFonts w:ascii="Times New Roman" w:hAnsi="Times New Roman" w:cs="Times New Roman" w:eastAsia="Times New Roman" w:hint="default"/>
          <w:spacing w:val="-3"/>
        </w:rPr>
        <w:t>2015</w:t>
      </w:r>
      <w:r>
        <w:rPr>
          <w:spacing w:val="-3"/>
        </w:rPr>
        <w:t>年第二次临时股东大会对董事会的授权，</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29</w:t>
      </w:r>
      <w:r>
        <w:rPr>
          <w:spacing w:val="-3"/>
        </w:rPr>
        <w:t>日，公司第二届董事会第二十八次会议审议通过了《关</w:t>
      </w:r>
      <w:r>
        <w:rPr/>
        <w:t> 于公司</w:t>
      </w:r>
      <w:r>
        <w:rPr>
          <w:rFonts w:ascii="Times New Roman" w:hAnsi="Times New Roman" w:cs="Times New Roman" w:eastAsia="Times New Roman" w:hint="default"/>
        </w:rPr>
        <w:t>&lt;</w:t>
      </w:r>
      <w:r>
        <w:rPr/>
        <w:t>第一期股票期权激励计划</w:t>
      </w:r>
      <w:r>
        <w:rPr>
          <w:rFonts w:ascii="Times New Roman" w:hAnsi="Times New Roman" w:cs="Times New Roman" w:eastAsia="Times New Roman" w:hint="default"/>
        </w:rPr>
        <w:t>&gt;</w:t>
      </w:r>
      <w:r>
        <w:rPr/>
        <w:t>首次授予期权第一个行权期可行权的议案》，向股票期权激励对象以定向发行公司股票 的方式进行行权，首次授予期权的</w:t>
      </w:r>
      <w:r>
        <w:rPr>
          <w:rFonts w:ascii="Times New Roman" w:hAnsi="Times New Roman" w:cs="Times New Roman" w:eastAsia="Times New Roman" w:hint="default"/>
        </w:rPr>
        <w:t>215</w:t>
      </w:r>
      <w:r>
        <w:rPr/>
        <w:t>名激励对象在第一个行权期可行权数量为</w:t>
      </w:r>
      <w:r>
        <w:rPr>
          <w:rFonts w:ascii="Times New Roman" w:hAnsi="Times New Roman" w:cs="Times New Roman" w:eastAsia="Times New Roman" w:hint="default"/>
        </w:rPr>
        <w:t>120.24</w:t>
      </w:r>
      <w:r>
        <w:rPr/>
        <w:t>万份。报告期内，激励对象行权数量 合计</w:t>
      </w:r>
      <w:r>
        <w:rPr>
          <w:rFonts w:ascii="Times New Roman" w:hAnsi="Times New Roman" w:cs="Times New Roman" w:eastAsia="Times New Roman" w:hint="default"/>
        </w:rPr>
        <w:t>122,370</w:t>
      </w:r>
      <w:r>
        <w:rPr/>
        <w:t>股，公司股本增加</w:t>
      </w:r>
      <w:r>
        <w:rPr>
          <w:rFonts w:ascii="Times New Roman" w:hAnsi="Times New Roman" w:cs="Times New Roman" w:eastAsia="Times New Roman" w:hint="default"/>
        </w:rPr>
        <w:t>122,370</w:t>
      </w:r>
      <w:r>
        <w:rPr/>
        <w:t>股，变为</w:t>
      </w:r>
      <w:r>
        <w:rPr>
          <w:rFonts w:ascii="Times New Roman" w:hAnsi="Times New Roman" w:cs="Times New Roman" w:eastAsia="Times New Roman" w:hint="default"/>
        </w:rPr>
        <w:t>138,515,854</w:t>
      </w:r>
      <w:r>
        <w:rPr/>
        <w:t>股。</w:t>
      </w:r>
    </w:p>
    <w:p>
      <w:pPr>
        <w:pStyle w:val="BodyText"/>
        <w:spacing w:line="302" w:lineRule="auto" w:before="51"/>
        <w:ind w:right="1035" w:firstLine="290"/>
        <w:jc w:val="left"/>
      </w:pPr>
      <w:r>
        <w:rPr>
          <w:rFonts w:ascii="Times New Roman" w:hAnsi="Times New Roman" w:cs="Times New Roman" w:eastAsia="Times New Roman" w:hint="default"/>
          <w:spacing w:val="-1"/>
        </w:rPr>
        <w:t>4.2017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5</w:t>
      </w:r>
      <w:r>
        <w:rPr>
          <w:spacing w:val="-1"/>
        </w:rPr>
        <w:t>日公司《</w:t>
      </w:r>
      <w:r>
        <w:rPr>
          <w:rFonts w:ascii="Times New Roman" w:hAnsi="Times New Roman" w:cs="Times New Roman" w:eastAsia="Times New Roman" w:hint="default"/>
          <w:spacing w:val="-1"/>
        </w:rPr>
        <w:t>2016</w:t>
      </w:r>
      <w:r>
        <w:rPr>
          <w:spacing w:val="-1"/>
        </w:rPr>
        <w:t>年度股东大会》审议通过</w:t>
      </w:r>
      <w:r>
        <w:rPr>
          <w:rFonts w:ascii="Times New Roman" w:hAnsi="Times New Roman" w:cs="Times New Roman" w:eastAsia="Times New Roman" w:hint="default"/>
          <w:spacing w:val="-1"/>
        </w:rPr>
        <w:t>2016</w:t>
      </w:r>
      <w:r>
        <w:rPr>
          <w:spacing w:val="-1"/>
        </w:rPr>
        <w:t>年年度权益分派方案：以公司现有总股本</w:t>
      </w:r>
      <w:r>
        <w:rPr>
          <w:rFonts w:ascii="Times New Roman" w:hAnsi="Times New Roman" w:cs="Times New Roman" w:eastAsia="Times New Roman" w:hint="default"/>
          <w:spacing w:val="-1"/>
        </w:rPr>
        <w:t>138,515,854</w:t>
      </w:r>
      <w:r>
        <w:rPr>
          <w:spacing w:val="-1"/>
        </w:rPr>
        <w:t>股为基数，</w:t>
      </w:r>
      <w:r>
        <w:rPr/>
        <w:t> 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2.00</w:t>
      </w:r>
      <w:r>
        <w:rPr/>
        <w:t>元人民币现金（含税），同时，以资本公积金向全体股东每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日，本次</w:t>
      </w:r>
      <w:r>
        <w:rPr>
          <w:spacing w:val="-48"/>
        </w:rPr>
        <w:t> </w:t>
      </w:r>
      <w:r>
        <w:rPr>
          <w:spacing w:val="-48"/>
        </w:rPr>
      </w:r>
      <w:r>
        <w:rPr/>
        <w:t>权益分派实施完毕，公司股本变更为</w:t>
      </w:r>
      <w:r>
        <w:rPr>
          <w:rFonts w:ascii="Times New Roman" w:hAnsi="Times New Roman" w:cs="Times New Roman" w:eastAsia="Times New Roman" w:hint="default"/>
        </w:rPr>
        <w:t>277,031,708</w:t>
      </w:r>
      <w:r>
        <w:rPr/>
        <w:t>股。</w:t>
      </w:r>
    </w:p>
    <w:p>
      <w:pPr>
        <w:pStyle w:val="BodyText"/>
        <w:spacing w:line="240" w:lineRule="auto" w:before="50"/>
        <w:ind w:left="1134" w:right="1033"/>
        <w:jc w:val="left"/>
      </w:pPr>
      <w:r>
        <w:rPr/>
        <w:t>股份变动对最近一年和最近一期基本每股收益和稀释每股收益、归属于公司普通股股东的每股净资产等财务指标的影响</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86" w:firstLine="360"/>
        <w:jc w:val="both"/>
      </w:pPr>
      <w:r>
        <w:rPr/>
        <w:t>报告期内，总股本从</w:t>
      </w:r>
      <w:r>
        <w:rPr>
          <w:rFonts w:ascii="Times New Roman" w:hAnsi="Times New Roman" w:cs="Times New Roman" w:eastAsia="Times New Roman" w:hint="default"/>
        </w:rPr>
        <w:t>138,393,484</w:t>
      </w:r>
      <w:r>
        <w:rPr/>
        <w:t>股增加到</w:t>
      </w:r>
      <w:r>
        <w:rPr>
          <w:rFonts w:ascii="Times New Roman" w:hAnsi="Times New Roman" w:cs="Times New Roman" w:eastAsia="Times New Roman" w:hint="default"/>
        </w:rPr>
        <w:t>277,031,708</w:t>
      </w:r>
      <w:r>
        <w:rPr/>
        <w:t>股，本报告期基本每股收益</w:t>
      </w:r>
      <w:r>
        <w:rPr>
          <w:rFonts w:ascii="Times New Roman" w:hAnsi="Times New Roman" w:cs="Times New Roman" w:eastAsia="Times New Roman" w:hint="default"/>
        </w:rPr>
        <w:t>-1.1102</w:t>
      </w:r>
      <w:r>
        <w:rPr/>
        <w:t>元，稀释每股收益</w:t>
      </w:r>
      <w:r>
        <w:rPr>
          <w:rFonts w:ascii="Times New Roman" w:hAnsi="Times New Roman" w:cs="Times New Roman" w:eastAsia="Times New Roman" w:hint="default"/>
        </w:rPr>
        <w:t>-1.1102</w:t>
      </w:r>
      <w:r>
        <w:rPr/>
        <w:t>元，</w:t>
      </w:r>
      <w:r>
        <w:rPr>
          <w:spacing w:val="-2"/>
        </w:rPr>
        <w:t> </w:t>
      </w:r>
      <w:r>
        <w:rPr/>
        <w:t>归属于上市公司股东的每股净资产</w:t>
      </w:r>
      <w:r>
        <w:rPr>
          <w:rFonts w:ascii="Times New Roman" w:hAnsi="Times New Roman" w:cs="Times New Roman" w:eastAsia="Times New Roman" w:hint="default"/>
        </w:rPr>
        <w:t>5.22</w:t>
      </w:r>
      <w:r>
        <w:rPr/>
        <w:t>元；上年同期基本每股收益</w:t>
      </w:r>
      <w:r>
        <w:rPr>
          <w:rFonts w:ascii="Times New Roman" w:hAnsi="Times New Roman" w:cs="Times New Roman" w:eastAsia="Times New Roman" w:hint="default"/>
        </w:rPr>
        <w:t>0.4396</w:t>
      </w:r>
      <w:r>
        <w:rPr/>
        <w:t>元，稀释每股收益</w:t>
      </w:r>
      <w:r>
        <w:rPr>
          <w:rFonts w:ascii="Times New Roman" w:hAnsi="Times New Roman" w:cs="Times New Roman" w:eastAsia="Times New Roman" w:hint="default"/>
        </w:rPr>
        <w:t>0.4381</w:t>
      </w:r>
      <w:r>
        <w:rPr/>
        <w:t>元，归属于上市公司股东 的每股净资产</w:t>
      </w:r>
      <w:r>
        <w:rPr>
          <w:rFonts w:ascii="Times New Roman" w:hAnsi="Times New Roman" w:cs="Times New Roman" w:eastAsia="Times New Roman" w:hint="default"/>
        </w:rPr>
        <w:t>12.82</w:t>
      </w:r>
      <w:r>
        <w:rPr/>
        <w:t>元。</w:t>
      </w:r>
    </w:p>
    <w:p>
      <w:pPr>
        <w:pStyle w:val="BodyText"/>
        <w:spacing w:line="240" w:lineRule="auto" w:before="53"/>
        <w:ind w:right="1033"/>
        <w:jc w:val="left"/>
      </w:pPr>
      <w:r>
        <w:rPr/>
        <w:t>公司认为必要或证券监管机构要求披露的其他内容</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979,328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148,744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1,128,072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1,958,656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75"/>
              <w:jc w:val="both"/>
              <w:rPr>
                <w:rFonts w:ascii="宋体" w:hAnsi="宋体" w:cs="宋体" w:eastAsia="宋体" w:hint="default"/>
                <w:sz w:val="18"/>
                <w:szCs w:val="18"/>
              </w:rPr>
            </w:pPr>
            <w:r>
              <w:rPr>
                <w:rFonts w:ascii="宋体" w:hAnsi="宋体" w:cs="宋体" w:eastAsia="宋体" w:hint="default"/>
                <w:sz w:val="18"/>
                <w:szCs w:val="18"/>
              </w:rPr>
              <w:t>参与认购公司非 公开发行股票， 及高管离职后半 年锁定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2019-7-26</w:t>
            </w:r>
            <w:r>
              <w:rPr>
                <w:rFonts w:ascii="宋体" w:hAnsi="宋体" w:cs="宋体" w:eastAsia="宋体" w:hint="default"/>
                <w:sz w:val="18"/>
                <w:szCs w:val="18"/>
              </w:rPr>
              <w:t>；</w:t>
            </w:r>
          </w:p>
          <w:p>
            <w:pPr>
              <w:pStyle w:val="TableParagraph"/>
              <w:spacing w:line="309" w:lineRule="auto" w:before="61"/>
              <w:ind w:left="22" w:right="21"/>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2018-4-9</w:t>
            </w:r>
            <w:r>
              <w:rPr>
                <w:rFonts w:ascii="宋体" w:hAnsi="宋体" w:cs="宋体" w:eastAsia="宋体" w:hint="default"/>
                <w:spacing w:val="-7"/>
                <w:sz w:val="18"/>
                <w:szCs w:val="18"/>
              </w:rPr>
              <w:t>，后每年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按高管上年期末 余额的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解锁 至第三届董事会 届满日</w:t>
            </w:r>
          </w:p>
          <w:p>
            <w:pPr>
              <w:pStyle w:val="TableParagraph"/>
              <w:spacing w:line="240" w:lineRule="auto" w:before="65"/>
              <w:ind w:left="22" w:right="0"/>
              <w:jc w:val="both"/>
              <w:rPr>
                <w:rFonts w:ascii="Times New Roman" w:hAnsi="Times New Roman" w:cs="Times New Roman" w:eastAsia="Times New Roman" w:hint="default"/>
                <w:sz w:val="18"/>
                <w:szCs w:val="18"/>
              </w:rPr>
            </w:pPr>
            <w:r>
              <w:rPr>
                <w:rFonts w:ascii="Times New Roman"/>
                <w:sz w:val="18"/>
              </w:rPr>
              <w:t>2019-11-13</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9,286,433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9,318,083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18,604,516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75"/>
              <w:jc w:val="both"/>
              <w:rPr>
                <w:rFonts w:ascii="宋体" w:hAnsi="宋体" w:cs="宋体" w:eastAsia="宋体" w:hint="default"/>
                <w:sz w:val="18"/>
                <w:szCs w:val="18"/>
              </w:rPr>
            </w:pPr>
            <w:r>
              <w:rPr>
                <w:rFonts w:ascii="宋体" w:hAnsi="宋体" w:cs="宋体" w:eastAsia="宋体" w:hint="default"/>
                <w:sz w:val="18"/>
                <w:szCs w:val="18"/>
              </w:rPr>
              <w:t>参与认购公司非 公开发行股票， 及增持公司股票 后高管锁定股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2019-7-26</w:t>
            </w:r>
            <w:r>
              <w:rPr>
                <w:rFonts w:ascii="宋体" w:hAnsi="宋体" w:cs="宋体" w:eastAsia="宋体" w:hint="default"/>
                <w:sz w:val="18"/>
                <w:szCs w:val="18"/>
              </w:rPr>
              <w:t>；每年</w:t>
            </w:r>
          </w:p>
          <w:p>
            <w:pPr>
              <w:pStyle w:val="TableParagraph"/>
              <w:spacing w:line="319" w:lineRule="auto" w:before="62"/>
              <w:ind w:left="22" w:right="53"/>
              <w:jc w:val="left"/>
              <w:rPr>
                <w:rFonts w:ascii="宋体" w:hAnsi="宋体" w:cs="宋体" w:eastAsia="宋体" w:hint="default"/>
                <w:sz w:val="18"/>
                <w:szCs w:val="18"/>
              </w:rPr>
            </w:pPr>
            <w:r>
              <w:rPr>
                <w:rFonts w:ascii="宋体" w:hAnsi="宋体" w:cs="宋体" w:eastAsia="宋体" w:hint="default"/>
                <w:sz w:val="18"/>
                <w:szCs w:val="18"/>
              </w:rPr>
              <w:t>按高管上年期末 余额的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解锁</w:t>
            </w:r>
          </w:p>
        </w:tc>
      </w:tr>
      <w:tr>
        <w:trPr>
          <w:trHeight w:val="196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69"/>
              <w:jc w:val="both"/>
              <w:rPr>
                <w:rFonts w:ascii="宋体" w:hAnsi="宋体" w:cs="宋体" w:eastAsia="宋体" w:hint="default"/>
                <w:sz w:val="18"/>
                <w:szCs w:val="18"/>
              </w:rPr>
            </w:pPr>
            <w:r>
              <w:rPr>
                <w:rFonts w:ascii="宋体" w:hAnsi="宋体" w:cs="宋体" w:eastAsia="宋体" w:hint="default"/>
                <w:sz w:val="18"/>
                <w:szCs w:val="18"/>
              </w:rPr>
              <w:t>深圳平安大华汇 通财富－平安银 行－平安汇通星 通资本定向投资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 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3,599,114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3,599,114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7,198,228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参与认购公司非 公开发行股票</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2019-7-26</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both"/>
              <w:rPr>
                <w:rFonts w:ascii="宋体" w:hAnsi="宋体" w:cs="宋体" w:eastAsia="宋体" w:hint="default"/>
                <w:sz w:val="18"/>
                <w:szCs w:val="18"/>
              </w:rPr>
            </w:pPr>
            <w:r>
              <w:rPr>
                <w:rFonts w:ascii="宋体" w:hAnsi="宋体" w:cs="宋体" w:eastAsia="宋体" w:hint="default"/>
                <w:sz w:val="18"/>
                <w:szCs w:val="18"/>
              </w:rPr>
              <w:t>兴业全球基金－ 招商银行－沈惠 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2,214,840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2,214,840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4,429,680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参与认购公司非 公开发行股票</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2019-7-26</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left"/>
              <w:rPr>
                <w:rFonts w:ascii="宋体" w:hAnsi="宋体" w:cs="宋体" w:eastAsia="宋体" w:hint="default"/>
                <w:sz w:val="18"/>
                <w:szCs w:val="18"/>
              </w:rPr>
            </w:pPr>
            <w:r>
              <w:rPr>
                <w:rFonts w:ascii="宋体" w:hAnsi="宋体" w:cs="宋体" w:eastAsia="宋体" w:hint="default"/>
                <w:sz w:val="18"/>
                <w:szCs w:val="18"/>
              </w:rPr>
              <w:t>长安基金－工商 银行－大业信托</w:t>
            </w:r>
          </w:p>
          <w:p>
            <w:pPr>
              <w:pStyle w:val="TableParagraph"/>
              <w:spacing w:line="309" w:lineRule="auto" w:before="19"/>
              <w:ind w:left="22" w:right="69"/>
              <w:jc w:val="left"/>
              <w:rPr>
                <w:rFonts w:ascii="宋体" w:hAnsi="宋体" w:cs="宋体" w:eastAsia="宋体" w:hint="default"/>
                <w:sz w:val="18"/>
                <w:szCs w:val="18"/>
              </w:rPr>
            </w:pPr>
            <w:r>
              <w:rPr>
                <w:rFonts w:ascii="宋体" w:hAnsi="宋体" w:cs="宋体" w:eastAsia="宋体" w:hint="default"/>
                <w:sz w:val="18"/>
                <w:szCs w:val="18"/>
              </w:rPr>
              <w:t>－大业信托</w:t>
            </w:r>
            <w:r>
              <w:rPr>
                <w:rFonts w:ascii="Times New Roman" w:hAnsi="Times New Roman" w:cs="Times New Roman" w:eastAsia="Times New Roman" w:hint="default"/>
                <w:sz w:val="18"/>
                <w:szCs w:val="18"/>
              </w:rPr>
              <w:t>·</w:t>
            </w:r>
            <w:r>
              <w:rPr>
                <w:rFonts w:ascii="宋体" w:hAnsi="宋体" w:cs="宋体" w:eastAsia="宋体" w:hint="default"/>
                <w:sz w:val="18"/>
                <w:szCs w:val="18"/>
              </w:rPr>
              <w:t>平 安富贵东方通单 一资金信托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6,921,373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6,921,373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13,842,746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z w:val="18"/>
                <w:szCs w:val="18"/>
              </w:rPr>
              <w:t>参与认购公司非 公开发行股票</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2019-7-26</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3,622,080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1,593,716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2,028,364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4,056,728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3" w:right="75"/>
              <w:jc w:val="left"/>
              <w:rPr>
                <w:rFonts w:ascii="宋体" w:hAnsi="宋体" w:cs="宋体" w:eastAsia="宋体" w:hint="default"/>
                <w:sz w:val="18"/>
                <w:szCs w:val="18"/>
              </w:rPr>
            </w:pPr>
            <w:r>
              <w:rPr>
                <w:rFonts w:ascii="宋体" w:hAnsi="宋体" w:cs="宋体" w:eastAsia="宋体" w:hint="default"/>
                <w:sz w:val="18"/>
                <w:szCs w:val="18"/>
              </w:rPr>
              <w:t>重大资产重组发 行股份</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2018-1-12</w:t>
            </w:r>
          </w:p>
        </w:tc>
      </w:tr>
      <w:tr>
        <w:trPr>
          <w:trHeight w:val="715"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王晋敏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2,963,520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1,303,948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1,659,572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3,319,144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5"/>
              <w:jc w:val="left"/>
              <w:rPr>
                <w:rFonts w:ascii="宋体" w:hAnsi="宋体" w:cs="宋体" w:eastAsia="宋体" w:hint="default"/>
                <w:sz w:val="18"/>
                <w:szCs w:val="18"/>
              </w:rPr>
            </w:pPr>
            <w:r>
              <w:rPr>
                <w:rFonts w:ascii="宋体" w:hAnsi="宋体" w:cs="宋体" w:eastAsia="宋体" w:hint="default"/>
                <w:sz w:val="18"/>
                <w:szCs w:val="18"/>
              </w:rPr>
              <w:t>重大资产重组发 行股份</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2018-1-12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3"/>
              <w:jc w:val="left"/>
              <w:rPr>
                <w:rFonts w:ascii="宋体" w:hAnsi="宋体" w:cs="宋体" w:eastAsia="宋体" w:hint="default"/>
                <w:sz w:val="18"/>
                <w:szCs w:val="18"/>
              </w:rPr>
            </w:pPr>
            <w:r>
              <w:rPr>
                <w:rFonts w:ascii="宋体" w:hAnsi="宋体" w:cs="宋体" w:eastAsia="宋体" w:hint="default"/>
                <w:sz w:val="18"/>
                <w:szCs w:val="18"/>
              </w:rPr>
              <w:t>重大资产重组发 行股份</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7"/>
              <w:jc w:val="right"/>
              <w:rPr>
                <w:rFonts w:ascii="Times New Roman" w:hAnsi="Times New Roman" w:cs="Times New Roman" w:eastAsia="Times New Roman" w:hint="default"/>
                <w:sz w:val="18"/>
                <w:szCs w:val="18"/>
              </w:rPr>
            </w:pPr>
            <w:r>
              <w:rPr>
                <w:rFonts w:ascii="Times New Roman"/>
                <w:sz w:val="18"/>
              </w:rPr>
              <w:t>2018-1-12</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王熙春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75,264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5"/>
              <w:jc w:val="left"/>
              <w:rPr>
                <w:rFonts w:ascii="宋体" w:hAnsi="宋体" w:cs="宋体" w:eastAsia="宋体" w:hint="default"/>
                <w:sz w:val="18"/>
                <w:szCs w:val="18"/>
              </w:rPr>
            </w:pPr>
            <w:r>
              <w:rPr>
                <w:rFonts w:ascii="宋体" w:hAnsi="宋体" w:cs="宋体" w:eastAsia="宋体" w:hint="default"/>
                <w:sz w:val="18"/>
                <w:szCs w:val="18"/>
              </w:rPr>
              <w:t>重大资产重组发 行股份</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77"/>
              <w:jc w:val="right"/>
              <w:rPr>
                <w:rFonts w:ascii="Times New Roman" w:hAnsi="Times New Roman" w:cs="Times New Roman" w:eastAsia="Times New Roman" w:hint="default"/>
                <w:sz w:val="18"/>
                <w:szCs w:val="18"/>
              </w:rPr>
            </w:pPr>
            <w:r>
              <w:rPr>
                <w:rFonts w:ascii="Times New Roman"/>
                <w:sz w:val="18"/>
              </w:rPr>
              <w:t>2018-1-12</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19,249,024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4,812,256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14,436,768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28,873,536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每年按高管上年 期末余额的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解锁</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4,756,670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1,189,168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3,567,502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7,135,004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每年按高管上年 期末余额的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解锁</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172,176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258,638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每年按高管上年 期末余额的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解锁</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53,898,958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9,149,825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45,078,271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89,827,404</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4"/>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3"/>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92"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31.69</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7" w:right="0"/>
              <w:jc w:val="left"/>
              <w:rPr>
                <w:rFonts w:ascii="Times New Roman" w:hAnsi="Times New Roman" w:cs="Times New Roman" w:eastAsia="Times New Roman" w:hint="default"/>
                <w:sz w:val="18"/>
                <w:szCs w:val="18"/>
              </w:rPr>
            </w:pPr>
            <w:r>
              <w:rPr>
                <w:rFonts w:ascii="Times New Roman"/>
                <w:sz w:val="18"/>
              </w:rPr>
              <w:t>122,370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1"/>
        <w:ind w:left="1493" w:right="1123" w:hanging="360"/>
        <w:jc w:val="left"/>
      </w:pPr>
      <w:r>
        <w:rPr/>
        <w:t>报告期内证券发行（不含优先股）情况的说明 根据</w:t>
      </w:r>
      <w:r>
        <w:rPr>
          <w:rFonts w:ascii="Times New Roman" w:hAnsi="Times New Roman" w:cs="Times New Roman" w:eastAsia="Times New Roman" w:hint="default"/>
        </w:rPr>
        <w:t>2015</w:t>
      </w:r>
      <w:r>
        <w:rPr/>
        <w:t>年第二次临时股东大会对董事会的授权，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日，公司第二届董事会第二十八次会议审议通过了《关</w:t>
      </w:r>
    </w:p>
    <w:p>
      <w:pPr>
        <w:pStyle w:val="BodyText"/>
        <w:spacing w:line="214" w:lineRule="exact"/>
        <w:ind w:right="1033"/>
        <w:jc w:val="left"/>
      </w:pPr>
      <w:r>
        <w:rPr/>
        <w:t>于公司</w:t>
      </w:r>
      <w:r>
        <w:rPr>
          <w:rFonts w:ascii="Times New Roman" w:hAnsi="Times New Roman" w:cs="Times New Roman" w:eastAsia="Times New Roman" w:hint="default"/>
        </w:rPr>
        <w:t>&lt;</w:t>
      </w:r>
      <w:r>
        <w:rPr/>
        <w:t>第一期股票期权激励计划</w:t>
      </w:r>
      <w:r>
        <w:rPr>
          <w:rFonts w:ascii="Times New Roman" w:hAnsi="Times New Roman" w:cs="Times New Roman" w:eastAsia="Times New Roman" w:hint="default"/>
        </w:rPr>
        <w:t>&gt;</w:t>
      </w:r>
      <w:r>
        <w:rPr/>
        <w:t>首次授予期权第一个行权期可行权的议案》，向股票期权激励对象以定向发行公司股票</w:t>
      </w:r>
    </w:p>
    <w:p>
      <w:pPr>
        <w:pStyle w:val="BodyText"/>
        <w:spacing w:line="300" w:lineRule="auto" w:before="63"/>
        <w:ind w:left="1134" w:right="1167"/>
        <w:jc w:val="left"/>
      </w:pPr>
      <w:r>
        <w:rPr/>
        <w:t>的方式进行行权，首次授予期权的</w:t>
      </w:r>
      <w:r>
        <w:rPr>
          <w:rFonts w:ascii="Times New Roman" w:hAnsi="Times New Roman" w:cs="Times New Roman" w:eastAsia="Times New Roman" w:hint="default"/>
        </w:rPr>
        <w:t>215</w:t>
      </w:r>
      <w:r>
        <w:rPr/>
        <w:t>名激励对象在第一个行权期可行权数量为</w:t>
      </w:r>
      <w:r>
        <w:rPr>
          <w:rFonts w:ascii="Times New Roman" w:hAnsi="Times New Roman" w:cs="Times New Roman" w:eastAsia="Times New Roman" w:hint="default"/>
        </w:rPr>
        <w:t>120.24</w:t>
      </w:r>
      <w:r>
        <w:rPr/>
        <w:t>万份。报告期内，激励对象行权数量 合计</w:t>
      </w:r>
      <w:r>
        <w:rPr>
          <w:rFonts w:ascii="Times New Roman" w:hAnsi="Times New Roman" w:cs="Times New Roman" w:eastAsia="Times New Roman" w:hint="default"/>
        </w:rPr>
        <w:t>122,370</w:t>
      </w:r>
      <w:r>
        <w:rPr/>
        <w:t>股，公司股本增加</w:t>
      </w:r>
      <w:r>
        <w:rPr>
          <w:rFonts w:ascii="Times New Roman" w:hAnsi="Times New Roman" w:cs="Times New Roman" w:eastAsia="Times New Roman" w:hint="default"/>
        </w:rPr>
        <w:t>122,370</w:t>
      </w:r>
      <w:r>
        <w:rPr/>
        <w:t>股，变为</w:t>
      </w:r>
      <w:r>
        <w:rPr>
          <w:rFonts w:ascii="Times New Roman" w:hAnsi="Times New Roman" w:cs="Times New Roman" w:eastAsia="Times New Roman" w:hint="default"/>
        </w:rPr>
        <w:t>138,515,854</w:t>
      </w:r>
      <w:r>
        <w:rPr/>
        <w:t>股。</w:t>
      </w:r>
    </w:p>
    <w:p>
      <w:pPr>
        <w:spacing w:line="240" w:lineRule="auto" w:before="1"/>
        <w:rPr>
          <w:rFonts w:ascii="宋体" w:hAnsi="宋体" w:cs="宋体" w:eastAsia="宋体" w:hint="default"/>
          <w:sz w:val="22"/>
          <w:szCs w:val="22"/>
        </w:rPr>
      </w:pPr>
    </w:p>
    <w:p>
      <w:pPr>
        <w:pStyle w:val="Heading3"/>
        <w:spacing w:line="240" w:lineRule="auto"/>
        <w:ind w:left="1134" w:right="1033"/>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33" w:firstLine="360"/>
        <w:jc w:val="left"/>
      </w:pPr>
      <w:r>
        <w:rPr>
          <w:rFonts w:ascii="Times New Roman" w:hAnsi="Times New Roman" w:cs="Times New Roman" w:eastAsia="Times New Roman" w:hint="default"/>
          <w:spacing w:val="-3"/>
        </w:rPr>
        <w:t>1.</w:t>
      </w:r>
      <w:r>
        <w:rPr>
          <w:spacing w:val="-3"/>
        </w:rPr>
        <w:t>根据</w:t>
      </w:r>
      <w:r>
        <w:rPr>
          <w:rFonts w:ascii="Times New Roman" w:hAnsi="Times New Roman" w:cs="Times New Roman" w:eastAsia="Times New Roman" w:hint="default"/>
          <w:spacing w:val="-3"/>
        </w:rPr>
        <w:t>2015</w:t>
      </w:r>
      <w:r>
        <w:rPr>
          <w:spacing w:val="-3"/>
        </w:rPr>
        <w:t>年第二次临时股东大会对董事会的授权，</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29</w:t>
      </w:r>
      <w:r>
        <w:rPr>
          <w:spacing w:val="-3"/>
        </w:rPr>
        <w:t>日，公司第二届董事会第二十八次会议审议通过了《关</w:t>
      </w:r>
      <w:r>
        <w:rPr/>
        <w:t> 于公司</w:t>
      </w:r>
      <w:r>
        <w:rPr>
          <w:rFonts w:ascii="Times New Roman" w:hAnsi="Times New Roman" w:cs="Times New Roman" w:eastAsia="Times New Roman" w:hint="default"/>
        </w:rPr>
        <w:t>&lt;</w:t>
      </w:r>
      <w:r>
        <w:rPr/>
        <w:t>第一期股票期权激励计划</w:t>
      </w:r>
      <w:r>
        <w:rPr>
          <w:rFonts w:ascii="Times New Roman" w:hAnsi="Times New Roman" w:cs="Times New Roman" w:eastAsia="Times New Roman" w:hint="default"/>
        </w:rPr>
        <w:t>&gt;</w:t>
      </w:r>
      <w:r>
        <w:rPr/>
        <w:t>首次授予期权第一个行权期可行权的议案》，向股票期权激励对象以定向发行公司股票 的方式进行行权，首次授予期权的</w:t>
      </w:r>
      <w:r>
        <w:rPr>
          <w:rFonts w:ascii="Times New Roman" w:hAnsi="Times New Roman" w:cs="Times New Roman" w:eastAsia="Times New Roman" w:hint="default"/>
        </w:rPr>
        <w:t>215</w:t>
      </w:r>
      <w:r>
        <w:rPr/>
        <w:t>名激励对象在第一个行权期可行权数量为</w:t>
      </w:r>
      <w:r>
        <w:rPr>
          <w:rFonts w:ascii="Times New Roman" w:hAnsi="Times New Roman" w:cs="Times New Roman" w:eastAsia="Times New Roman" w:hint="default"/>
        </w:rPr>
        <w:t>120.24</w:t>
      </w:r>
      <w:r>
        <w:rPr/>
        <w:t>万份。报告期内，激励对象行权数量 合计</w:t>
      </w:r>
      <w:r>
        <w:rPr>
          <w:rFonts w:ascii="Times New Roman" w:hAnsi="Times New Roman" w:cs="Times New Roman" w:eastAsia="Times New Roman" w:hint="default"/>
        </w:rPr>
        <w:t>122,370</w:t>
      </w:r>
      <w:r>
        <w:rPr/>
        <w:t>股，公司股本增加</w:t>
      </w:r>
      <w:r>
        <w:rPr>
          <w:rFonts w:ascii="Times New Roman" w:hAnsi="Times New Roman" w:cs="Times New Roman" w:eastAsia="Times New Roman" w:hint="default"/>
        </w:rPr>
        <w:t>122,370</w:t>
      </w:r>
      <w:r>
        <w:rPr/>
        <w:t>股，变为</w:t>
      </w:r>
      <w:r>
        <w:rPr>
          <w:rFonts w:ascii="Times New Roman" w:hAnsi="Times New Roman" w:cs="Times New Roman" w:eastAsia="Times New Roman" w:hint="default"/>
        </w:rPr>
        <w:t>138,515,854</w:t>
      </w:r>
      <w:r>
        <w:rPr/>
        <w:t>股。</w:t>
      </w:r>
    </w:p>
    <w:p>
      <w:pPr>
        <w:pStyle w:val="BodyText"/>
        <w:spacing w:line="300" w:lineRule="auto" w:before="51"/>
        <w:ind w:right="1032" w:firstLine="360"/>
        <w:jc w:val="left"/>
      </w:pPr>
      <w:r>
        <w:rPr>
          <w:rFonts w:ascii="Times New Roman" w:hAnsi="Times New Roman" w:cs="Times New Roman" w:eastAsia="Times New Roman" w:hint="default"/>
          <w:spacing w:val="-2"/>
        </w:rPr>
        <w:t>2.2017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日公司《</w:t>
      </w:r>
      <w:r>
        <w:rPr>
          <w:rFonts w:ascii="Times New Roman" w:hAnsi="Times New Roman" w:cs="Times New Roman" w:eastAsia="Times New Roman" w:hint="default"/>
          <w:spacing w:val="-2"/>
        </w:rPr>
        <w:t>2016</w:t>
      </w:r>
      <w:r>
        <w:rPr>
          <w:spacing w:val="-2"/>
        </w:rPr>
        <w:t>年度股东大会》审议通过</w:t>
      </w:r>
      <w:r>
        <w:rPr>
          <w:rFonts w:ascii="Times New Roman" w:hAnsi="Times New Roman" w:cs="Times New Roman" w:eastAsia="Times New Roman" w:hint="default"/>
          <w:spacing w:val="-2"/>
        </w:rPr>
        <w:t>2016</w:t>
      </w:r>
      <w:r>
        <w:rPr>
          <w:spacing w:val="-2"/>
        </w:rPr>
        <w:t>年年度权益分派方案：以公司现有总股本</w:t>
      </w:r>
      <w:r>
        <w:rPr>
          <w:rFonts w:ascii="Times New Roman" w:hAnsi="Times New Roman" w:cs="Times New Roman" w:eastAsia="Times New Roman" w:hint="default"/>
          <w:spacing w:val="-2"/>
        </w:rPr>
        <w:t>138,515,854</w:t>
      </w:r>
      <w:r>
        <w:rPr>
          <w:spacing w:val="-2"/>
        </w:rPr>
        <w:t>股为基数，</w:t>
      </w:r>
      <w:r>
        <w:rPr/>
        <w:t> 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2.00</w:t>
      </w:r>
      <w:r>
        <w:rPr/>
        <w:t>元人民币现金（含税），同时，以资本公积金向全体股东每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日，本次</w:t>
      </w:r>
    </w:p>
    <w:p>
      <w:pPr>
        <w:spacing w:after="0" w:line="30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权益分派实施完毕，公司股本变更为</w:t>
      </w:r>
      <w:r>
        <w:rPr>
          <w:rFonts w:ascii="Times New Roman" w:hAnsi="Times New Roman" w:cs="Times New Roman" w:eastAsia="Times New Roman" w:hint="default"/>
        </w:rPr>
        <w:t>277,031,708</w:t>
      </w:r>
      <w:r>
        <w:rPr/>
        <w:t>股。</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3"/>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551712pt;width:85.6pt;height:31.2pt;mso-position-horizontal-relative:page;mso-position-vertical-relative:paragraph;z-index:-1031536"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399994pt;margin-top:70.551712pt;width:52.45pt;height:31.2pt;mso-position-horizontal-relative:page;mso-position-vertical-relative:paragraph;z-index:-1031512" coordorigin="9648,1411" coordsize="1049,624">
            <v:shape style="position:absolute;left:9648;top:1411;width:1049;height:624" coordorigin="9648,1411" coordsize="1049,624" path="m9648,2035l10697,2035,10697,1411,9648,1411,9648,2035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27,495</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24,684</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12.21%</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33,822,21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14573194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28,873,53</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4,948,682</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23,540,000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6.72%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18,615,06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9328633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18,604,51</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10,550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16,990,000</w:t>
            </w: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长安基金－工商 银行－大业信托</w:t>
            </w:r>
          </w:p>
          <w:p>
            <w:pPr>
              <w:pStyle w:val="TableParagraph"/>
              <w:spacing w:line="309" w:lineRule="auto" w:before="19"/>
              <w:ind w:left="22" w:right="114"/>
              <w:jc w:val="left"/>
              <w:rPr>
                <w:rFonts w:ascii="宋体" w:hAnsi="宋体" w:cs="宋体" w:eastAsia="宋体" w:hint="default"/>
                <w:sz w:val="18"/>
                <w:szCs w:val="18"/>
              </w:rPr>
            </w:pPr>
            <w:r>
              <w:rPr>
                <w:rFonts w:ascii="宋体" w:hAnsi="宋体" w:cs="宋体" w:eastAsia="宋体" w:hint="default"/>
                <w:sz w:val="18"/>
                <w:szCs w:val="18"/>
              </w:rPr>
              <w:t>－大业信托</w:t>
            </w:r>
            <w:r>
              <w:rPr>
                <w:rFonts w:ascii="Times New Roman" w:hAnsi="Times New Roman" w:cs="Times New Roman" w:eastAsia="Times New Roman" w:hint="default"/>
                <w:sz w:val="18"/>
                <w:szCs w:val="18"/>
              </w:rPr>
              <w:t>·</w:t>
            </w:r>
            <w:r>
              <w:rPr>
                <w:rFonts w:ascii="宋体" w:hAnsi="宋体" w:cs="宋体" w:eastAsia="宋体" w:hint="default"/>
                <w:sz w:val="18"/>
                <w:szCs w:val="18"/>
              </w:rPr>
              <w:t>平安 富贵东方通单一 资金信托</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13,842,74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6921373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13,842,74</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9,095,140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4338470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7,135,004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1,960,136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4,470,004</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2.78%</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7,706,072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3420634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7,706,072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4,250,000</w:t>
            </w: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深圳平安大华汇 通财富－平安银 行－平安汇通星 通资本定向投资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号资产管理计划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2.60%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7,198,228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3599114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7,198,228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孙亚明</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2.54%</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7,044,332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2474366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7,044,332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6,610,000</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云南国际信托有 限公司－招信智 赢点山</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号集合资 金信托计划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6,001,828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6001828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6,001,828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4,850,444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1228364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4,056,728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793,716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兴业全球基金－ 招商银行－沈惠 中</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4,429,680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2214840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4,429,680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报告期内张齐春与朱海东为母子关系 ，为一致行动人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7,706,072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7,706,072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孙亚明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7,044,332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7,044,332</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云南国际信托有限公司－招信智赢 点山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6,001,828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6,001,828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4,948,682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4,948,682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牛合庆</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3,295,242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3,295,242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李春青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2,313,632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2,313,632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1,960,136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1,960,136</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杨桦</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1,441,892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1,441,892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周威</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899,062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899,062</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 w:right="83" w:firstLine="360"/>
              <w:jc w:val="left"/>
              <w:rPr>
                <w:rFonts w:ascii="宋体" w:hAnsi="宋体" w:cs="宋体" w:eastAsia="宋体" w:hint="default"/>
                <w:sz w:val="18"/>
                <w:szCs w:val="18"/>
              </w:rPr>
            </w:pPr>
            <w:r>
              <w:rPr>
                <w:rFonts w:ascii="宋体" w:hAnsi="宋体" w:cs="宋体" w:eastAsia="宋体" w:hint="default"/>
                <w:sz w:val="18"/>
                <w:szCs w:val="18"/>
              </w:rPr>
              <w:t>报告期内张齐春与朱海东为母子关系 ，为一致行动人，除此公司未知前十大流 通股股东间是否存在关联关系或是否一致行动人</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10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0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1033"/>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4"/>
                <w:sz w:val="18"/>
                <w:szCs w:val="18"/>
              </w:rPr>
              <w:t>张齐春女士，现任公司董事；朱海东先生，</w:t>
            </w:r>
            <w:r>
              <w:rPr>
                <w:rFonts w:ascii="Times New Roman" w:hAnsi="Times New Roman" w:cs="Times New Roman" w:eastAsia="Times New Roman" w:hint="default"/>
                <w:spacing w:val="-4"/>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月起任职于北京长策 天成公关策划有限公司；朱曼女士报告期内任公司董事，副总经理。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1033"/>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1033"/>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朱海东</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4" w:firstLine="360"/>
              <w:jc w:val="left"/>
              <w:rPr>
                <w:rFonts w:ascii="宋体" w:hAnsi="宋体" w:cs="宋体" w:eastAsia="宋体" w:hint="default"/>
                <w:sz w:val="18"/>
                <w:szCs w:val="18"/>
              </w:rPr>
            </w:pPr>
            <w:r>
              <w:rPr>
                <w:rFonts w:ascii="宋体" w:hAnsi="宋体" w:cs="宋体" w:eastAsia="宋体" w:hint="default"/>
                <w:sz w:val="18"/>
                <w:szCs w:val="18"/>
              </w:rPr>
              <w:t>张齐春女士，现任公司董事；朱海东先生，</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月起任职于北京长策 天成公关策划有限公司；朱曼女士报告期内任公司董事，副总经理。</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65"/>
        <w:ind w:left="1134" w:right="1033"/>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1"/>
        <w:rPr>
          <w:rFonts w:ascii="宋体" w:hAnsi="宋体" w:cs="宋体" w:eastAsia="宋体" w:hint="default"/>
          <w:sz w:val="22"/>
          <w:szCs w:val="22"/>
        </w:rPr>
      </w:pPr>
    </w:p>
    <w:p>
      <w:pPr>
        <w:spacing w:line="2572" w:lineRule="exact"/>
        <w:ind w:left="3421"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3214380" cy="1633537"/>
            <wp:effectExtent l="0" t="0" r="0" b="0"/>
            <wp:docPr id="47" name="image21.jpeg" descr=""/>
            <wp:cNvGraphicFramePr>
              <a:graphicFrameLocks noChangeAspect="1"/>
            </wp:cNvGraphicFramePr>
            <a:graphic>
              <a:graphicData uri="http://schemas.openxmlformats.org/drawingml/2006/picture">
                <pic:pic>
                  <pic:nvPicPr>
                    <pic:cNvPr id="48" name="image21.jpeg"/>
                    <pic:cNvPicPr/>
                  </pic:nvPicPr>
                  <pic:blipFill>
                    <a:blip r:embed="rId30" cstate="print"/>
                    <a:stretch>
                      <a:fillRect/>
                    </a:stretch>
                  </pic:blipFill>
                  <pic:spPr>
                    <a:xfrm>
                      <a:off x="0" y="0"/>
                      <a:ext cx="3214380" cy="1633537"/>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5"/>
        <w:rPr>
          <w:rFonts w:ascii="宋体" w:hAnsi="宋体" w:cs="宋体" w:eastAsia="宋体" w:hint="default"/>
          <w:sz w:val="25"/>
          <w:szCs w:val="25"/>
        </w:rPr>
      </w:pPr>
    </w:p>
    <w:p>
      <w:pPr>
        <w:pStyle w:val="Heading4"/>
        <w:spacing w:line="240" w:lineRule="auto"/>
        <w:ind w:left="1133" w:right="1033"/>
        <w:jc w:val="left"/>
        <w:rPr>
          <w:b w:val="0"/>
          <w:bCs w:val="0"/>
        </w:rPr>
      </w:pPr>
      <w:r>
        <w:rPr/>
        <w:t>期后事项：</w:t>
      </w:r>
      <w:r>
        <w:rPr>
          <w:b w:val="0"/>
          <w:bCs w:val="0"/>
        </w:rPr>
      </w:r>
    </w:p>
    <w:p>
      <w:pPr>
        <w:pStyle w:val="BodyText"/>
        <w:spacing w:line="302" w:lineRule="auto" w:before="115"/>
        <w:ind w:left="1134" w:right="1205" w:firstLine="360"/>
        <w:jc w:val="left"/>
      </w:pPr>
      <w:r>
        <w:rPr/>
        <w:t>公司持股</w:t>
      </w:r>
      <w:r>
        <w:rPr>
          <w:spacing w:val="-46"/>
        </w:rPr>
        <w:t> </w:t>
      </w:r>
      <w:r>
        <w:rPr>
          <w:rFonts w:ascii="Times New Roman" w:hAnsi="Times New Roman" w:cs="Times New Roman" w:eastAsia="Times New Roman" w:hint="default"/>
        </w:rPr>
        <w:t>5%</w:t>
      </w:r>
      <w:r>
        <w:rPr/>
        <w:t>以上股东张齐春女士与黄永军先生于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4"/>
        </w:rPr>
        <w:t>日签署了《表决权委托协议》，张齐春女士将其持有</w:t>
      </w:r>
      <w:r>
        <w:rPr/>
        <w:t> 的东方通</w:t>
      </w:r>
      <w:r>
        <w:rPr>
          <w:spacing w:val="-46"/>
        </w:rPr>
        <w:t> </w:t>
      </w:r>
      <w:r>
        <w:rPr>
          <w:rFonts w:ascii="Times New Roman" w:hAnsi="Times New Roman" w:cs="Times New Roman" w:eastAsia="Times New Roman" w:hint="default"/>
        </w:rPr>
        <w:t>33,822,218</w:t>
      </w:r>
      <w:r>
        <w:rPr>
          <w:rFonts w:ascii="Times New Roman" w:hAnsi="Times New Roman" w:cs="Times New Roman" w:eastAsia="Times New Roman" w:hint="default"/>
          <w:spacing w:val="-1"/>
        </w:rPr>
        <w:t> </w:t>
      </w:r>
      <w:r>
        <w:rPr/>
        <w:t>股股份（占总股本的</w:t>
      </w:r>
      <w:r>
        <w:rPr>
          <w:spacing w:val="-46"/>
        </w:rPr>
        <w:t> </w:t>
      </w:r>
      <w:r>
        <w:rPr>
          <w:rFonts w:ascii="Times New Roman" w:hAnsi="Times New Roman" w:cs="Times New Roman" w:eastAsia="Times New Roman" w:hint="default"/>
        </w:rPr>
        <w:t>12.2088%</w:t>
      </w:r>
      <w:r>
        <w:rPr/>
        <w:t>） 对应的表决权以及提名和提案权委托给黄永军先生行使。</w:t>
      </w:r>
    </w:p>
    <w:p>
      <w:pPr>
        <w:pStyle w:val="BodyText"/>
        <w:spacing w:line="240" w:lineRule="auto" w:before="50"/>
        <w:ind w:left="1493" w:right="1033"/>
        <w:jc w:val="left"/>
      </w:pPr>
      <w:r>
        <w:rPr/>
        <w:t>表决权委托后，张齐春女士享有的表决权股份数量为</w:t>
      </w:r>
      <w:r>
        <w:rPr>
          <w:spacing w:val="-60"/>
        </w:rPr>
        <w:t> </w:t>
      </w:r>
      <w:r>
        <w:rPr>
          <w:rFonts w:ascii="Times New Roman" w:hAnsi="Times New Roman" w:cs="Times New Roman" w:eastAsia="Times New Roman" w:hint="default"/>
        </w:rPr>
        <w:t>0</w:t>
      </w:r>
      <w:r>
        <w:rPr>
          <w:rFonts w:ascii="Times New Roman" w:hAnsi="Times New Roman" w:cs="Times New Roman" w:eastAsia="Times New Roman" w:hint="default"/>
          <w:spacing w:val="-15"/>
        </w:rPr>
        <w:t> </w:t>
      </w:r>
      <w:r>
        <w:rPr/>
        <w:t>股；黄永军先生享有的表决权股份数量为</w:t>
      </w:r>
      <w:r>
        <w:rPr>
          <w:spacing w:val="-60"/>
        </w:rPr>
        <w:t> </w:t>
      </w:r>
      <w:r>
        <w:rPr>
          <w:rFonts w:ascii="Times New Roman" w:hAnsi="Times New Roman" w:cs="Times New Roman" w:eastAsia="Times New Roman" w:hint="default"/>
        </w:rPr>
        <w:t>58,439,112</w:t>
      </w:r>
      <w:r>
        <w:rPr>
          <w:rFonts w:ascii="Times New Roman" w:hAnsi="Times New Roman" w:cs="Times New Roman" w:eastAsia="Times New Roman" w:hint="default"/>
          <w:spacing w:val="-15"/>
        </w:rPr>
        <w:t> </w:t>
      </w:r>
      <w:r>
        <w:rPr>
          <w:spacing w:val="-6"/>
        </w:rPr>
        <w:t>股（包括黄</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永军直接持有</w:t>
      </w:r>
      <w:r>
        <w:rPr>
          <w:spacing w:val="-46"/>
        </w:rPr>
        <w:t> </w:t>
      </w:r>
      <w:r>
        <w:rPr>
          <w:rFonts w:ascii="Times New Roman" w:hAnsi="Times New Roman" w:cs="Times New Roman" w:eastAsia="Times New Roman" w:hint="default"/>
        </w:rPr>
        <w:t>18,615,066</w:t>
      </w:r>
      <w:r>
        <w:rPr>
          <w:rFonts w:ascii="Times New Roman" w:hAnsi="Times New Roman" w:cs="Times New Roman" w:eastAsia="Times New Roman" w:hint="default"/>
          <w:spacing w:val="-1"/>
        </w:rPr>
        <w:t> </w:t>
      </w:r>
      <w:r>
        <w:rPr/>
        <w:t>股</w:t>
      </w:r>
      <w:r>
        <w:rPr>
          <w:spacing w:val="-2"/>
        </w:rPr>
        <w:t>东</w:t>
      </w:r>
      <w:r>
        <w:rPr/>
        <w:t>方通股票对应的表决权</w:t>
      </w:r>
      <w:r>
        <w:rPr>
          <w:spacing w:val="-82"/>
        </w:rPr>
        <w:t>、</w:t>
      </w:r>
      <w:r>
        <w:rPr/>
        <w:t>通过云南国际信托有限公司－招信智赢点山</w:t>
      </w:r>
      <w:r>
        <w:rPr>
          <w:spacing w:val="-46"/>
        </w:rPr>
        <w:t> </w:t>
      </w:r>
      <w:r>
        <w:rPr>
          <w:rFonts w:ascii="Times New Roman" w:hAnsi="Times New Roman" w:cs="Times New Roman" w:eastAsia="Times New Roman" w:hint="default"/>
        </w:rPr>
        <w:t>1 </w:t>
      </w:r>
      <w:r>
        <w:rPr/>
        <w:t>号集合资金信托计划间</w:t>
      </w:r>
    </w:p>
    <w:p>
      <w:pPr>
        <w:pStyle w:val="BodyText"/>
        <w:spacing w:line="300" w:lineRule="auto" w:before="63"/>
        <w:ind w:right="1131"/>
        <w:jc w:val="both"/>
      </w:pPr>
      <w:r>
        <w:rPr/>
        <w:t>接持有</w:t>
      </w:r>
      <w:r>
        <w:rPr>
          <w:spacing w:val="-43"/>
        </w:rPr>
        <w:t> </w:t>
      </w:r>
      <w:r>
        <w:rPr>
          <w:rFonts w:ascii="Times New Roman" w:hAnsi="Times New Roman" w:cs="Times New Roman" w:eastAsia="Times New Roman" w:hint="default"/>
          <w:spacing w:val="-1"/>
        </w:rPr>
        <w:t>6,001,828</w:t>
      </w:r>
      <w:r>
        <w:rPr>
          <w:rFonts w:ascii="Times New Roman" w:hAnsi="Times New Roman" w:cs="Times New Roman" w:eastAsia="Times New Roman" w:hint="default"/>
          <w:spacing w:val="2"/>
        </w:rPr>
        <w:t> </w:t>
      </w:r>
      <w:r>
        <w:rPr/>
        <w:t>股东方通股票对应的表决权及通过表决权委托方式获得的东方通</w:t>
      </w:r>
      <w:r>
        <w:rPr>
          <w:spacing w:val="-43"/>
        </w:rPr>
        <w:t> </w:t>
      </w:r>
      <w:r>
        <w:rPr>
          <w:rFonts w:ascii="Times New Roman" w:hAnsi="Times New Roman" w:cs="Times New Roman" w:eastAsia="Times New Roman" w:hint="default"/>
        </w:rPr>
        <w:t>33,822,218</w:t>
      </w:r>
      <w:r>
        <w:rPr>
          <w:rFonts w:ascii="Times New Roman" w:hAnsi="Times New Roman" w:cs="Times New Roman" w:eastAsia="Times New Roman" w:hint="default"/>
          <w:spacing w:val="4"/>
        </w:rPr>
        <w:t> </w:t>
      </w:r>
      <w:r>
        <w:rPr>
          <w:spacing w:val="-13"/>
        </w:rPr>
        <w:t>股对应的表决权），占公司总股</w:t>
      </w:r>
      <w:r>
        <w:rPr/>
        <w:t> 本的</w:t>
      </w:r>
      <w:r>
        <w:rPr>
          <w:spacing w:val="-9"/>
        </w:rPr>
        <w:t> </w:t>
      </w:r>
      <w:r>
        <w:rPr>
          <w:rFonts w:ascii="Times New Roman" w:hAnsi="Times New Roman" w:cs="Times New Roman" w:eastAsia="Times New Roman" w:hint="default"/>
        </w:rPr>
        <w:t>21.0947%</w:t>
      </w:r>
      <w:r>
        <w:rPr/>
        <w:t>，成为可支配公司最大单一表决权的股东。本次表决权委托导致公司实际控制人发生变更，公司实际控制人 已由张齐春女士及其一致行动人变更为黄永军先生。</w:t>
      </w:r>
    </w:p>
    <w:p>
      <w:pPr>
        <w:pStyle w:val="BodyText"/>
        <w:spacing w:line="240" w:lineRule="auto" w:before="71"/>
        <w:ind w:right="1033" w:firstLine="360"/>
        <w:jc w:val="left"/>
      </w:pPr>
      <w:r>
        <w:rPr/>
        <w:t>截止本报告日，实际控制人控制关系图如下：</w:t>
      </w:r>
    </w:p>
    <w:p>
      <w:pPr>
        <w:spacing w:line="240" w:lineRule="auto" w:before="10"/>
        <w:rPr>
          <w:rFonts w:ascii="宋体" w:hAnsi="宋体" w:cs="宋体" w:eastAsia="宋体" w:hint="default"/>
          <w:sz w:val="15"/>
          <w:szCs w:val="15"/>
        </w:rPr>
      </w:pPr>
    </w:p>
    <w:p>
      <w:pPr>
        <w:spacing w:line="2605" w:lineRule="exact"/>
        <w:ind w:left="3149" w:right="0" w:firstLine="0"/>
        <w:rPr>
          <w:rFonts w:ascii="宋体" w:hAnsi="宋体" w:cs="宋体" w:eastAsia="宋体" w:hint="default"/>
          <w:sz w:val="20"/>
          <w:szCs w:val="20"/>
        </w:rPr>
      </w:pPr>
      <w:r>
        <w:rPr>
          <w:rFonts w:ascii="宋体" w:hAnsi="宋体" w:cs="宋体" w:eastAsia="宋体" w:hint="default"/>
          <w:position w:val="-51"/>
          <w:sz w:val="20"/>
          <w:szCs w:val="20"/>
        </w:rPr>
        <w:drawing>
          <wp:inline distT="0" distB="0" distL="0" distR="0">
            <wp:extent cx="3864735" cy="1654682"/>
            <wp:effectExtent l="0" t="0" r="0" b="0"/>
            <wp:docPr id="49" name="image22.jpeg" descr=""/>
            <wp:cNvGraphicFramePr>
              <a:graphicFrameLocks noChangeAspect="1"/>
            </wp:cNvGraphicFramePr>
            <a:graphic>
              <a:graphicData uri="http://schemas.openxmlformats.org/drawingml/2006/picture">
                <pic:pic>
                  <pic:nvPicPr>
                    <pic:cNvPr id="50" name="image22.jpeg"/>
                    <pic:cNvPicPr/>
                  </pic:nvPicPr>
                  <pic:blipFill>
                    <a:blip r:embed="rId31" cstate="print"/>
                    <a:stretch>
                      <a:fillRect/>
                    </a:stretch>
                  </pic:blipFill>
                  <pic:spPr>
                    <a:xfrm>
                      <a:off x="0" y="0"/>
                      <a:ext cx="3864735" cy="1654682"/>
                    </a:xfrm>
                    <a:prstGeom prst="rect">
                      <a:avLst/>
                    </a:prstGeom>
                  </pic:spPr>
                </pic:pic>
              </a:graphicData>
            </a:graphic>
          </wp:inline>
        </w:drawing>
      </w:r>
      <w:r>
        <w:rPr>
          <w:rFonts w:ascii="宋体" w:hAnsi="宋体" w:cs="宋体" w:eastAsia="宋体" w:hint="default"/>
          <w:position w:val="-51"/>
          <w:sz w:val="20"/>
          <w:szCs w:val="20"/>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right="0"/>
        <w:jc w:val="both"/>
      </w:pPr>
      <w:r>
        <w:rPr/>
        <w:t>实际控制人通过信托或其他资产管理方式控制公司</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584"/>
        <w:jc w:val="center"/>
        <w:rPr>
          <w:b w:val="0"/>
          <w:bCs w:val="0"/>
        </w:rPr>
      </w:pPr>
      <w:bookmarkStart w:name="_TOC_250005" w:id="116"/>
      <w:bookmarkStart w:name="第七节 优先股相关情况" w:id="117"/>
      <w:r>
        <w:rPr>
          <w:b w:val="0"/>
          <w:bCs w:val="0"/>
        </w:rPr>
      </w:r>
      <w:r>
        <w:rPr/>
        <w:t>第七节</w:t>
      </w:r>
      <w:r>
        <w:rPr>
          <w:spacing w:val="-8"/>
        </w:rPr>
        <w:t> </w:t>
      </w:r>
      <w:r>
        <w:rPr/>
        <w:t>优先股相关情况</w:t>
      </w:r>
      <w:bookmarkEnd w:id="116"/>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1033"/>
        <w:jc w:val="left"/>
        <w:rPr>
          <w:b w:val="0"/>
          <w:bCs w:val="0"/>
        </w:rPr>
      </w:pPr>
      <w:bookmarkStart w:name="_TOC_250004" w:id="118"/>
      <w:bookmarkStart w:name="第八节 董事、监事、高级管理人员和员工情况" w:id="119"/>
      <w:r>
        <w:rPr>
          <w:b w:val="0"/>
          <w:bCs w:val="0"/>
        </w:rPr>
      </w:r>
      <w:r>
        <w:rPr/>
        <w:t>第八节</w:t>
      </w:r>
      <w:r>
        <w:rPr>
          <w:spacing w:val="-16"/>
        </w:rPr>
        <w:t> </w:t>
      </w:r>
      <w:r>
        <w:rPr/>
        <w:t>董事、监事、高级管理人员和员工情况</w:t>
      </w:r>
      <w:bookmarkEnd w:id="118"/>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33"/>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9,286,433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6,044,028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9,286,433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24,616,89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2,214,840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2,214,840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4,429,680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19,249,02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4,675,830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19,249,02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33,822,21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董事、常 务副总、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172,426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172,426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344,852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4,756,670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4,606,670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9,095,140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田琳燕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郭大勇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武耀辉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曲涛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张春林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979,328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979,328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1,958,656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36,658,72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6,044,028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4,944,030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36,508,72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74,267,44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00" w:lineRule="auto" w:before="10"/>
        <w:ind w:right="1063" w:firstLine="420"/>
        <w:jc w:val="left"/>
      </w:pPr>
      <w:r>
        <w:rPr>
          <w:rFonts w:ascii="宋体" w:hAnsi="宋体" w:cs="宋体" w:eastAsia="宋体" w:hint="default"/>
          <w:b/>
          <w:bCs/>
          <w:spacing w:val="-1"/>
        </w:rPr>
        <w:t>注：</w:t>
      </w:r>
      <w:r>
        <w:rPr>
          <w:spacing w:val="-1"/>
        </w:rPr>
        <w:t>截止报告期末，黄永军本人直接持股</w:t>
      </w:r>
      <w:r>
        <w:rPr>
          <w:rFonts w:ascii="Times New Roman" w:hAnsi="Times New Roman" w:cs="Times New Roman" w:eastAsia="Times New Roman" w:hint="default"/>
          <w:spacing w:val="-1"/>
        </w:rPr>
        <w:t>18,615,066</w:t>
      </w:r>
      <w:r>
        <w:rPr>
          <w:spacing w:val="-1"/>
        </w:rPr>
        <w:t>股，通过</w:t>
      </w:r>
      <w:r>
        <w:rPr>
          <w:rFonts w:ascii="Times New Roman" w:hAnsi="Times New Roman" w:cs="Times New Roman" w:eastAsia="Times New Roman" w:hint="default"/>
          <w:spacing w:val="-1"/>
        </w:rPr>
        <w:t>“</w:t>
      </w:r>
      <w:r>
        <w:rPr>
          <w:spacing w:val="-1"/>
        </w:rPr>
        <w:t>云南国际信托有限公司－招信智赢点山</w:t>
      </w:r>
      <w:r>
        <w:rPr>
          <w:rFonts w:ascii="Times New Roman" w:hAnsi="Times New Roman" w:cs="Times New Roman" w:eastAsia="Times New Roman" w:hint="default"/>
          <w:spacing w:val="-1"/>
        </w:rPr>
        <w:t>1</w:t>
      </w:r>
      <w:r>
        <w:rPr>
          <w:spacing w:val="-1"/>
        </w:rPr>
        <w:t>号集合资金信托</w:t>
      </w:r>
      <w:r>
        <w:rPr/>
        <w:t> 计划</w:t>
      </w:r>
      <w:r>
        <w:rPr>
          <w:rFonts w:ascii="Times New Roman" w:hAnsi="Times New Roman" w:cs="Times New Roman" w:eastAsia="Times New Roman" w:hint="default"/>
        </w:rPr>
        <w:t>”</w:t>
      </w:r>
      <w:r>
        <w:rPr/>
        <w:t>间接持股</w:t>
      </w:r>
      <w:r>
        <w:rPr>
          <w:rFonts w:ascii="Times New Roman" w:hAnsi="Times New Roman" w:cs="Times New Roman" w:eastAsia="Times New Roman" w:hint="default"/>
        </w:rPr>
        <w:t>6,001,828</w:t>
      </w:r>
      <w:r>
        <w:rPr/>
        <w:t>股，合计持有</w:t>
      </w:r>
      <w:r>
        <w:rPr>
          <w:rFonts w:ascii="Times New Roman" w:hAnsi="Times New Roman" w:cs="Times New Roman" w:eastAsia="Times New Roman" w:hint="default"/>
        </w:rPr>
        <w:t>24,616,894</w:t>
      </w:r>
      <w:r>
        <w:rPr/>
        <w:t>股；沈惠中通过</w:t>
      </w:r>
      <w:r>
        <w:rPr>
          <w:rFonts w:ascii="Times New Roman" w:hAnsi="Times New Roman" w:cs="Times New Roman" w:eastAsia="Times New Roman" w:hint="default"/>
        </w:rPr>
        <w:t>“</w:t>
      </w:r>
      <w:r>
        <w:rPr/>
        <w:t>兴业全球基金－招商银行－沈惠中</w:t>
      </w:r>
      <w:r>
        <w:rPr>
          <w:rFonts w:ascii="Times New Roman" w:hAnsi="Times New Roman" w:cs="Times New Roman" w:eastAsia="Times New Roman" w:hint="default"/>
        </w:rPr>
        <w:t>”</w:t>
      </w:r>
      <w:r>
        <w:rPr/>
        <w:t>间接持股</w:t>
      </w:r>
      <w:r>
        <w:rPr>
          <w:rFonts w:ascii="Times New Roman" w:hAnsi="Times New Roman" w:cs="Times New Roman" w:eastAsia="Times New Roman" w:hint="default"/>
        </w:rPr>
        <w:t>4,429,680</w:t>
      </w:r>
      <w:r>
        <w:rPr/>
        <w:t>股。</w:t>
      </w:r>
    </w:p>
    <w:p>
      <w:pPr>
        <w:spacing w:line="240" w:lineRule="auto" w:before="4"/>
        <w:rPr>
          <w:rFonts w:ascii="宋体" w:hAnsi="宋体" w:cs="宋体" w:eastAsia="宋体" w:hint="default"/>
          <w:sz w:val="20"/>
          <w:szCs w:val="20"/>
        </w:rPr>
      </w:pPr>
    </w:p>
    <w:p>
      <w:pPr>
        <w:pStyle w:val="Heading2"/>
        <w:spacing w:line="240" w:lineRule="auto"/>
        <w:ind w:left="1134" w:right="1033"/>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027"/>
        <w:gridCol w:w="1634"/>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因个人原因，辞去公司董事职务。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因公司发展需要调整工作分工的原因申请辞去公司总 经理的职务。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因个人原因，辞去公司董事、副总经理职务。</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3"/>
        <w:jc w:val="left"/>
        <w:rPr>
          <w:b w:val="0"/>
          <w:bCs w:val="0"/>
        </w:rPr>
      </w:pPr>
      <w:bookmarkStart w:name="三、任职情况" w:id="122"/>
      <w:bookmarkEnd w:id="122"/>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公司现任董事、监事、高级管理人员专业背景、主要工作经历以及目前在公司的主要职责</w:t>
      </w:r>
    </w:p>
    <w:p>
      <w:pPr>
        <w:pStyle w:val="BodyText"/>
        <w:spacing w:line="240" w:lineRule="auto" w:before="115"/>
        <w:ind w:right="1033"/>
        <w:jc w:val="left"/>
      </w:pPr>
      <w:r>
        <w:rPr/>
        <w:t>（一）董事会成员：</w:t>
      </w:r>
    </w:p>
    <w:p>
      <w:pPr>
        <w:pStyle w:val="BodyText"/>
        <w:spacing w:line="300" w:lineRule="auto" w:before="76"/>
        <w:ind w:right="1123" w:firstLine="420"/>
        <w:jc w:val="left"/>
      </w:pPr>
      <w:r>
        <w:rPr>
          <w:rFonts w:ascii="Times New Roman" w:hAnsi="Times New Roman" w:cs="Times New Roman" w:eastAsia="Times New Roman" w:hint="default"/>
          <w:spacing w:val="-1"/>
        </w:rPr>
        <w:t>1.</w:t>
      </w:r>
      <w:r>
        <w:rPr>
          <w:spacing w:val="-1"/>
        </w:rPr>
        <w:t>黄永军先生，男，</w:t>
      </w:r>
      <w:r>
        <w:rPr>
          <w:rFonts w:ascii="Times New Roman" w:hAnsi="Times New Roman" w:cs="Times New Roman" w:eastAsia="Times New Roman" w:hint="default"/>
          <w:spacing w:val="-1"/>
        </w:rPr>
        <w:t>1974</w:t>
      </w:r>
      <w:r>
        <w:rPr>
          <w:spacing w:val="-1"/>
        </w:rPr>
        <w:t>年</w:t>
      </w:r>
      <w:r>
        <w:rPr>
          <w:rFonts w:ascii="Times New Roman" w:hAnsi="Times New Roman" w:cs="Times New Roman" w:eastAsia="Times New Roman" w:hint="default"/>
          <w:spacing w:val="-1"/>
        </w:rPr>
        <w:t>5</w:t>
      </w:r>
      <w:r>
        <w:rPr>
          <w:spacing w:val="-1"/>
        </w:rPr>
        <w:t>月出生，中国国籍，无境外永久居留权，毕业于北京邮电大学图像传输与处理专业，本科</w:t>
      </w:r>
      <w:r>
        <w:rPr/>
        <w:t> 学历，学士学位。</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月，任公司全资子公司北京微智信业科技有限公司董事长兼总经理，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月起任公</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33"/>
        <w:jc w:val="left"/>
      </w:pPr>
      <w:r>
        <w:rPr/>
        <w:t>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月起任公司董事，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月起至今任公司董事长，并兼任全资子公司微智信业董事长。</w:t>
      </w:r>
    </w:p>
    <w:p>
      <w:pPr>
        <w:pStyle w:val="BodyText"/>
        <w:spacing w:line="240" w:lineRule="auto" w:before="63"/>
        <w:ind w:left="1553" w:right="0"/>
        <w:jc w:val="left"/>
      </w:pPr>
      <w:r>
        <w:rPr>
          <w:rFonts w:ascii="Times New Roman" w:hAnsi="Times New Roman" w:cs="Times New Roman" w:eastAsia="Times New Roman" w:hint="default"/>
          <w:spacing w:val="-5"/>
        </w:rPr>
        <w:t>2.</w:t>
      </w:r>
      <w:r>
        <w:rPr>
          <w:spacing w:val="-5"/>
        </w:rPr>
        <w:t>沈惠中先生，男，</w:t>
      </w:r>
      <w:r>
        <w:rPr>
          <w:rFonts w:ascii="Times New Roman" w:hAnsi="Times New Roman" w:cs="Times New Roman" w:eastAsia="Times New Roman" w:hint="default"/>
          <w:spacing w:val="-5"/>
        </w:rPr>
        <w:t>1970</w:t>
      </w:r>
      <w:r>
        <w:rPr>
          <w:spacing w:val="-5"/>
        </w:rPr>
        <w:t>年</w:t>
      </w:r>
      <w:r>
        <w:rPr>
          <w:rFonts w:ascii="Times New Roman" w:hAnsi="Times New Roman" w:cs="Times New Roman" w:eastAsia="Times New Roman" w:hint="default"/>
          <w:spacing w:val="-5"/>
        </w:rPr>
        <w:t>6</w:t>
      </w:r>
      <w:r>
        <w:rPr>
          <w:spacing w:val="-5"/>
        </w:rPr>
        <w:t>月出生，中国国籍，中国香港特别行政区永久居民，毕业于香港中文大学（信息工程专业），</w:t>
      </w:r>
    </w:p>
    <w:p>
      <w:pPr>
        <w:pStyle w:val="BodyText"/>
        <w:spacing w:line="300" w:lineRule="auto" w:before="63"/>
        <w:ind w:right="1039"/>
        <w:jc w:val="left"/>
      </w:pP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6</w:t>
      </w:r>
      <w:r>
        <w:rPr>
          <w:spacing w:val="-3"/>
        </w:rPr>
        <w:t>月至</w:t>
      </w:r>
      <w:r>
        <w:rPr>
          <w:rFonts w:ascii="Times New Roman" w:hAnsi="Times New Roman" w:cs="Times New Roman" w:eastAsia="Times New Roman" w:hint="default"/>
          <w:spacing w:val="-3"/>
        </w:rPr>
        <w:t>2012</w:t>
      </w:r>
      <w:r>
        <w:rPr>
          <w:spacing w:val="-3"/>
        </w:rPr>
        <w:t>年，任普元信息技术有限责任公司，董事长兼总经理，</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5</w:t>
      </w:r>
      <w:r>
        <w:rPr>
          <w:spacing w:val="-3"/>
        </w:rPr>
        <w:t>月起在本公司任职，历任公司董事、总经理，</w:t>
      </w:r>
      <w:r>
        <w:rPr>
          <w:spacing w:val="-78"/>
        </w:rPr>
        <w:t> </w:t>
      </w:r>
      <w:r>
        <w:rPr>
          <w:spacing w:val="-78"/>
        </w:rPr>
      </w:r>
      <w:r>
        <w:rPr/>
        <w:t>现任副董事长。</w:t>
      </w:r>
    </w:p>
    <w:p>
      <w:pPr>
        <w:pStyle w:val="BodyText"/>
        <w:spacing w:line="300" w:lineRule="auto" w:before="32"/>
        <w:ind w:right="1125" w:firstLine="420"/>
        <w:jc w:val="both"/>
      </w:pPr>
      <w:r>
        <w:rPr>
          <w:rFonts w:ascii="Times New Roman" w:hAnsi="Times New Roman" w:cs="Times New Roman" w:eastAsia="Times New Roman" w:hint="default"/>
        </w:rPr>
        <w:t>3.</w:t>
      </w:r>
      <w:r>
        <w:rPr/>
        <w:t>张齐春女士，女，</w:t>
      </w:r>
      <w:r>
        <w:rPr>
          <w:rFonts w:ascii="Times New Roman" w:hAnsi="Times New Roman" w:cs="Times New Roman" w:eastAsia="Times New Roman" w:hint="default"/>
        </w:rPr>
        <w:t>1939</w:t>
      </w:r>
      <w:r>
        <w:rPr/>
        <w:t>年</w:t>
      </w:r>
      <w:r>
        <w:rPr>
          <w:rFonts w:ascii="Times New Roman" w:hAnsi="Times New Roman" w:cs="Times New Roman" w:eastAsia="Times New Roman" w:hint="default"/>
        </w:rPr>
        <w:t>2</w:t>
      </w:r>
      <w:r>
        <w:rPr/>
        <w:t>月出生，中国国籍，无境外永久居留权，毕业于成都电讯工程学院（现电子科技大学）， 本科学历，学士学位。</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月至今任北京核高基副董事长。近五年均在本公司任职，现任公司董事。</w:t>
      </w:r>
    </w:p>
    <w:p>
      <w:pPr>
        <w:pStyle w:val="BodyText"/>
        <w:spacing w:line="309" w:lineRule="auto" w:before="13"/>
        <w:ind w:right="1125" w:firstLine="420"/>
        <w:jc w:val="both"/>
      </w:pPr>
      <w:r>
        <w:rPr>
          <w:rFonts w:ascii="Times New Roman" w:hAnsi="Times New Roman" w:cs="Times New Roman" w:eastAsia="Times New Roman" w:hint="default"/>
        </w:rPr>
        <w:t>4.</w:t>
      </w:r>
      <w:r>
        <w:rPr/>
        <w:t>徐少璞先生，男，</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5</w:t>
      </w:r>
      <w:r>
        <w:rPr/>
        <w:t>月出生，中国国籍，无境外永久居留权，毕业于哈尔滨工业大学会计学专业，本科学历， 学士学位，中国注册会计师，高级会计师。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月，任首安工业消防股份有限公司财务总监。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月至今，</w:t>
      </w:r>
      <w:r>
        <w:rPr>
          <w:spacing w:val="-54"/>
        </w:rPr>
        <w:t> </w:t>
      </w:r>
      <w:r>
        <w:rPr>
          <w:spacing w:val="-2"/>
        </w:rPr>
        <w:t>历任本公司副总经理、财务总监，现任本公司董事、常务副总经理、董事会秘书。同时兼任公司全资子公司北京东方通宇技</w:t>
      </w:r>
      <w:r>
        <w:rPr>
          <w:spacing w:val="-66"/>
        </w:rPr>
        <w:t> </w:t>
      </w:r>
      <w:r>
        <w:rPr>
          <w:spacing w:val="-66"/>
        </w:rPr>
      </w:r>
      <w:r>
        <w:rPr>
          <w:spacing w:val="-2"/>
        </w:rPr>
        <w:t>术有限公司及成都东方通科技有限责任公司执行董事、总经理，北京惠捷朗科技有限公司、北京数字天堂信息科技有限责任</w:t>
      </w:r>
      <w:r>
        <w:rPr>
          <w:spacing w:val="-66"/>
        </w:rPr>
        <w:t> </w:t>
      </w:r>
      <w:r>
        <w:rPr>
          <w:spacing w:val="-66"/>
        </w:rPr>
      </w:r>
      <w:r>
        <w:rPr/>
        <w:t>公司、北京微智信业科技有限公司董事。</w:t>
      </w:r>
    </w:p>
    <w:p>
      <w:pPr>
        <w:pStyle w:val="BodyText"/>
        <w:spacing w:line="300" w:lineRule="auto" w:before="24"/>
        <w:ind w:right="1133" w:firstLine="373"/>
        <w:jc w:val="both"/>
      </w:pPr>
      <w:r>
        <w:rPr>
          <w:rFonts w:ascii="Times New Roman" w:hAnsi="Times New Roman" w:cs="Times New Roman" w:eastAsia="Times New Roman" w:hint="default"/>
        </w:rPr>
        <w:t>5.</w:t>
      </w:r>
      <w:r>
        <w:rPr/>
        <w:t>李琪女士，女，</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8</w:t>
      </w:r>
      <w:r>
        <w:rPr/>
        <w:t>月出生，中国国籍，无境外永久居留权，毕业于北京师范大学，中国注册会计师，注册资产 </w:t>
      </w:r>
      <w:r>
        <w:rPr>
          <w:spacing w:val="-2"/>
        </w:rPr>
        <w:t>评估师。</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2012</w:t>
      </w:r>
      <w:r>
        <w:rPr>
          <w:spacing w:val="-2"/>
        </w:rPr>
        <w:t>年任汉华评值有限公司中国业务部总经理、董事，现任中发国际资产评估有限公司董事、总经理。现</w:t>
      </w:r>
      <w:r>
        <w:rPr>
          <w:spacing w:val="-59"/>
        </w:rPr>
        <w:t> </w:t>
      </w:r>
      <w:r>
        <w:rPr>
          <w:spacing w:val="-59"/>
        </w:rPr>
      </w:r>
      <w:r>
        <w:rPr/>
        <w:t>任本公司独立董事。</w:t>
      </w:r>
    </w:p>
    <w:p>
      <w:pPr>
        <w:pStyle w:val="BodyText"/>
        <w:spacing w:line="300" w:lineRule="auto" w:before="31"/>
        <w:ind w:right="1132" w:firstLine="300"/>
        <w:jc w:val="both"/>
      </w:pPr>
      <w:r>
        <w:rPr>
          <w:rFonts w:ascii="Times New Roman" w:hAnsi="Times New Roman" w:cs="Times New Roman" w:eastAsia="Times New Roman" w:hint="default"/>
          <w:spacing w:val="-2"/>
        </w:rPr>
        <w:t>6.</w:t>
      </w:r>
      <w:r>
        <w:rPr>
          <w:spacing w:val="-2"/>
        </w:rPr>
        <w:t>叶路先生，男，</w:t>
      </w:r>
      <w:r>
        <w:rPr>
          <w:rFonts w:ascii="Times New Roman" w:hAnsi="Times New Roman" w:cs="Times New Roman" w:eastAsia="Times New Roman" w:hint="default"/>
          <w:spacing w:val="-2"/>
        </w:rPr>
        <w:t>1944</w:t>
      </w:r>
      <w:r>
        <w:rPr>
          <w:spacing w:val="-2"/>
        </w:rPr>
        <w:t>年</w:t>
      </w:r>
      <w:r>
        <w:rPr>
          <w:rFonts w:ascii="Times New Roman" w:hAnsi="Times New Roman" w:cs="Times New Roman" w:eastAsia="Times New Roman" w:hint="default"/>
          <w:spacing w:val="-2"/>
        </w:rPr>
        <w:t>8</w:t>
      </w:r>
      <w:r>
        <w:rPr>
          <w:spacing w:val="-2"/>
        </w:rPr>
        <w:t>月出生，中国国籍，无境外永久居留权，毕业于清华大学，兼职教授、博士生导师。</w:t>
      </w:r>
      <w:r>
        <w:rPr>
          <w:rFonts w:ascii="Times New Roman" w:hAnsi="Times New Roman" w:cs="Times New Roman" w:eastAsia="Times New Roman" w:hint="default"/>
          <w:spacing w:val="-2"/>
        </w:rPr>
        <w:t>1994</w:t>
      </w:r>
      <w:r>
        <w:rPr>
          <w:spacing w:val="-2"/>
        </w:rPr>
        <w:t>年至</w:t>
      </w:r>
      <w:r>
        <w:rPr/>
        <w:t> 今任国防科技大学兼职教授。现任本公司独立董事。</w:t>
      </w:r>
    </w:p>
    <w:p>
      <w:pPr>
        <w:pStyle w:val="BodyText"/>
        <w:spacing w:line="300" w:lineRule="auto" w:before="31"/>
        <w:ind w:right="1132" w:firstLine="300"/>
        <w:jc w:val="both"/>
      </w:pPr>
      <w:r>
        <w:rPr>
          <w:rFonts w:ascii="Times New Roman" w:hAnsi="Times New Roman" w:cs="Times New Roman" w:eastAsia="Times New Roman" w:hint="default"/>
          <w:spacing w:val="-2"/>
        </w:rPr>
        <w:t>7.</w:t>
      </w:r>
      <w:r>
        <w:rPr>
          <w:spacing w:val="-2"/>
        </w:rPr>
        <w:t>甘培忠先生，男，</w:t>
      </w:r>
      <w:r>
        <w:rPr>
          <w:rFonts w:ascii="Times New Roman" w:hAnsi="Times New Roman" w:cs="Times New Roman" w:eastAsia="Times New Roman" w:hint="default"/>
          <w:spacing w:val="-2"/>
        </w:rPr>
        <w:t>1956</w:t>
      </w:r>
      <w:r>
        <w:rPr>
          <w:spacing w:val="-2"/>
        </w:rPr>
        <w:t>年</w:t>
      </w:r>
      <w:r>
        <w:rPr>
          <w:rFonts w:ascii="Times New Roman" w:hAnsi="Times New Roman" w:cs="Times New Roman" w:eastAsia="Times New Roman" w:hint="default"/>
          <w:spacing w:val="-2"/>
        </w:rPr>
        <w:t>5</w:t>
      </w:r>
      <w:r>
        <w:rPr>
          <w:spacing w:val="-2"/>
        </w:rPr>
        <w:t>月出生，中国国籍，无境外居留权，毕业于北京大学，法学博士，北京大学法学院教授、博</w:t>
      </w:r>
      <w:r>
        <w:rPr/>
        <w:t> 士生导师，北京大学企业与公司法研究中心主任，北京大学经济法研究所副所长。现任本公司独立董事。</w:t>
      </w:r>
    </w:p>
    <w:p>
      <w:pPr>
        <w:spacing w:line="240" w:lineRule="auto" w:before="3"/>
        <w:rPr>
          <w:rFonts w:ascii="宋体" w:hAnsi="宋体" w:cs="宋体" w:eastAsia="宋体" w:hint="default"/>
          <w:sz w:val="26"/>
          <w:szCs w:val="26"/>
        </w:rPr>
      </w:pPr>
    </w:p>
    <w:p>
      <w:pPr>
        <w:pStyle w:val="BodyText"/>
        <w:spacing w:line="240" w:lineRule="auto"/>
        <w:ind w:right="1033"/>
        <w:jc w:val="left"/>
      </w:pPr>
      <w:r>
        <w:rPr/>
        <w:t>（二）监事会成员：</w:t>
      </w:r>
    </w:p>
    <w:p>
      <w:pPr>
        <w:pStyle w:val="BodyText"/>
        <w:spacing w:line="300" w:lineRule="auto" w:before="76"/>
        <w:ind w:right="1133" w:firstLine="420"/>
        <w:jc w:val="both"/>
      </w:pPr>
      <w:r>
        <w:rPr>
          <w:rFonts w:ascii="Times New Roman" w:hAnsi="Times New Roman" w:cs="Times New Roman" w:eastAsia="Times New Roman" w:hint="default"/>
          <w:spacing w:val="-1"/>
        </w:rPr>
        <w:t>1.</w:t>
      </w:r>
      <w:r>
        <w:rPr>
          <w:spacing w:val="-1"/>
        </w:rPr>
        <w:t>朱律玮先生，男，</w:t>
      </w:r>
      <w:r>
        <w:rPr>
          <w:rFonts w:ascii="Times New Roman" w:hAnsi="Times New Roman" w:cs="Times New Roman" w:eastAsia="Times New Roman" w:hint="default"/>
          <w:spacing w:val="-1"/>
        </w:rPr>
        <w:t>1968</w:t>
      </w:r>
      <w:r>
        <w:rPr>
          <w:spacing w:val="-1"/>
        </w:rPr>
        <w:t>年</w:t>
      </w:r>
      <w:r>
        <w:rPr>
          <w:rFonts w:ascii="Times New Roman" w:hAnsi="Times New Roman" w:cs="Times New Roman" w:eastAsia="Times New Roman" w:hint="default"/>
          <w:spacing w:val="-1"/>
        </w:rPr>
        <w:t>3</w:t>
      </w:r>
      <w:r>
        <w:rPr>
          <w:spacing w:val="-1"/>
        </w:rPr>
        <w:t>月出生，中国国籍，无境外永久居留权，毕业于大连海事大学计算机及应用专业，本科学</w:t>
      </w:r>
      <w:r>
        <w:rPr/>
        <w:t> 历，学士学位。现任中国科学院大学兼职教授。近五年均在本公司任职，现任公司监事会主席。</w:t>
      </w:r>
    </w:p>
    <w:p>
      <w:pPr>
        <w:pStyle w:val="BodyText"/>
        <w:spacing w:line="300" w:lineRule="auto" w:before="32"/>
        <w:ind w:right="1138" w:firstLine="420"/>
        <w:jc w:val="both"/>
      </w:pPr>
      <w:r>
        <w:rPr>
          <w:rFonts w:ascii="Times New Roman" w:hAnsi="Times New Roman" w:cs="Times New Roman" w:eastAsia="Times New Roman" w:hint="default"/>
        </w:rPr>
        <w:t>2.</w:t>
      </w:r>
      <w:r>
        <w:rPr/>
        <w:t>张志勇先生，男，</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12</w:t>
      </w:r>
      <w:r>
        <w:rPr/>
        <w:t>月出生，中国国籍，无境外永久居留权，毕业于天津轻工业学院财务会计专业，大专学 历。近五年均在本公司任职，现任商务部经理，并担任公司监事。</w:t>
      </w:r>
    </w:p>
    <w:p>
      <w:pPr>
        <w:pStyle w:val="BodyText"/>
        <w:spacing w:line="300" w:lineRule="auto" w:before="31"/>
        <w:ind w:right="1130" w:firstLine="420"/>
        <w:jc w:val="both"/>
      </w:pPr>
      <w:r>
        <w:rPr>
          <w:rFonts w:ascii="Times New Roman" w:hAnsi="Times New Roman" w:cs="Times New Roman" w:eastAsia="Times New Roman" w:hint="default"/>
          <w:spacing w:val="-1"/>
        </w:rPr>
        <w:t>3.</w:t>
      </w:r>
      <w:r>
        <w:rPr>
          <w:spacing w:val="-1"/>
        </w:rPr>
        <w:t>田琳燕女士，女</w:t>
      </w:r>
      <w:r>
        <w:rPr>
          <w:rFonts w:ascii="Times New Roman" w:hAnsi="Times New Roman" w:cs="Times New Roman" w:eastAsia="Times New Roman" w:hint="default"/>
          <w:spacing w:val="-1"/>
        </w:rPr>
        <w:t>1978</w:t>
      </w:r>
      <w:r>
        <w:rPr>
          <w:spacing w:val="-1"/>
        </w:rPr>
        <w:t>年</w:t>
      </w:r>
      <w:r>
        <w:rPr>
          <w:rFonts w:ascii="Times New Roman" w:hAnsi="Times New Roman" w:cs="Times New Roman" w:eastAsia="Times New Roman" w:hint="default"/>
          <w:spacing w:val="-1"/>
        </w:rPr>
        <w:t>8</w:t>
      </w:r>
      <w:r>
        <w:rPr>
          <w:spacing w:val="-1"/>
        </w:rPr>
        <w:t>月出生，中国国籍，无境外永久居留权，毕业于中国科学院心理研究所在职研究生，应用心</w:t>
      </w:r>
      <w:r>
        <w:rPr/>
        <w:t> 里学人力资源管理与开发专业。</w:t>
      </w:r>
      <w:r>
        <w:rPr>
          <w:rFonts w:ascii="Times New Roman" w:hAnsi="Times New Roman" w:cs="Times New Roman" w:eastAsia="Times New Roman" w:hint="default"/>
        </w:rPr>
        <w:t>2009-2012</w:t>
      </w:r>
      <w:r>
        <w:rPr/>
        <w:t>，任北京宣爱智能模拟技术有限公司人力行政经理；</w:t>
      </w:r>
      <w:r>
        <w:rPr>
          <w:rFonts w:ascii="Times New Roman" w:hAnsi="Times New Roman" w:cs="Times New Roman" w:eastAsia="Times New Roman" w:hint="default"/>
        </w:rPr>
        <w:t>2012</w:t>
      </w:r>
      <w:r>
        <w:rPr/>
        <w:t>至今，任公司人力行政</w:t>
      </w:r>
      <w:r>
        <w:rPr>
          <w:spacing w:val="-56"/>
        </w:rPr>
        <w:t> </w:t>
      </w:r>
      <w:r>
        <w:rPr>
          <w:spacing w:val="-56"/>
        </w:rPr>
      </w:r>
      <w:r>
        <w:rPr/>
        <w:t>总监并担任公司监事。</w:t>
      </w:r>
    </w:p>
    <w:p>
      <w:pPr>
        <w:spacing w:line="240" w:lineRule="auto" w:before="3"/>
        <w:rPr>
          <w:rFonts w:ascii="宋体" w:hAnsi="宋体" w:cs="宋体" w:eastAsia="宋体" w:hint="default"/>
          <w:sz w:val="26"/>
          <w:szCs w:val="26"/>
        </w:rPr>
      </w:pPr>
    </w:p>
    <w:p>
      <w:pPr>
        <w:pStyle w:val="BodyText"/>
        <w:spacing w:line="240" w:lineRule="auto"/>
        <w:ind w:right="1033"/>
        <w:jc w:val="left"/>
      </w:pPr>
      <w:r>
        <w:rPr/>
        <w:t>（三）高级管理人员：</w:t>
      </w:r>
    </w:p>
    <w:p>
      <w:pPr>
        <w:pStyle w:val="BodyText"/>
        <w:spacing w:line="240" w:lineRule="auto" w:before="76"/>
        <w:ind w:left="1553" w:right="1033"/>
        <w:jc w:val="left"/>
      </w:pPr>
      <w:r>
        <w:rPr>
          <w:rFonts w:ascii="Times New Roman" w:hAnsi="Times New Roman" w:cs="Times New Roman" w:eastAsia="Times New Roman" w:hint="default"/>
        </w:rPr>
        <w:t>1.</w:t>
      </w:r>
      <w:r>
        <w:rPr/>
        <w:t>黄永军先生，总经理，详见本节</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1”</w:t>
      </w:r>
      <w:r>
        <w:rPr/>
        <w:t>介绍；</w:t>
      </w:r>
    </w:p>
    <w:p>
      <w:pPr>
        <w:pStyle w:val="BodyText"/>
        <w:spacing w:line="240" w:lineRule="auto" w:before="63"/>
        <w:ind w:left="1553" w:right="1033"/>
        <w:jc w:val="left"/>
      </w:pPr>
      <w:r>
        <w:rPr>
          <w:rFonts w:ascii="Times New Roman" w:hAnsi="Times New Roman" w:cs="Times New Roman" w:eastAsia="Times New Roman" w:hint="default"/>
        </w:rPr>
        <w:t>2.</w:t>
      </w:r>
      <w:r>
        <w:rPr/>
        <w:t>徐少璞先生，常务副总经理，详见本节</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4”</w:t>
      </w:r>
      <w:r>
        <w:rPr/>
        <w:t>介绍；</w:t>
      </w:r>
    </w:p>
    <w:p>
      <w:pPr>
        <w:pStyle w:val="BodyText"/>
        <w:spacing w:line="300" w:lineRule="auto" w:before="63"/>
        <w:ind w:right="1124" w:firstLine="420"/>
        <w:jc w:val="both"/>
      </w:pPr>
      <w:r>
        <w:rPr>
          <w:rFonts w:ascii="Times New Roman" w:hAnsi="Times New Roman" w:cs="Times New Roman" w:eastAsia="Times New Roman" w:hint="default"/>
        </w:rPr>
        <w:t>3.</w:t>
      </w:r>
      <w:r>
        <w:rPr/>
        <w:t>郭大勇先生，男，</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9</w:t>
      </w:r>
      <w:r>
        <w:rPr/>
        <w:t>月出生，中国国籍，无境外永久居留权，毕业于电子科技大学电子工程专业，本科学历， </w:t>
      </w:r>
      <w:r>
        <w:rPr>
          <w:spacing w:val="-2"/>
        </w:rPr>
        <w:t>学士学位。郭大勇先生</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月，历任本公司销售经理、销售总监、华东区销售总经理职务，现任本公司营销</w:t>
      </w:r>
      <w:r>
        <w:rPr>
          <w:spacing w:val="-56"/>
        </w:rPr>
        <w:t> </w:t>
      </w:r>
      <w:r>
        <w:rPr>
          <w:spacing w:val="-56"/>
        </w:rPr>
      </w:r>
      <w:r>
        <w:rPr/>
        <w:t>中心总经理，兼任全资子公司上海东方通泰软件科技有限公司总经理。郭大勇先生同时为上海市静安区第一届政协委员。</w:t>
      </w:r>
    </w:p>
    <w:p>
      <w:pPr>
        <w:pStyle w:val="BodyText"/>
        <w:spacing w:line="300" w:lineRule="auto" w:before="31"/>
        <w:ind w:left="1134" w:right="1139" w:firstLine="420"/>
        <w:jc w:val="both"/>
      </w:pPr>
      <w:r>
        <w:rPr>
          <w:rFonts w:ascii="Times New Roman" w:hAnsi="Times New Roman" w:cs="Times New Roman" w:eastAsia="Times New Roman" w:hint="default"/>
        </w:rPr>
        <w:t>4.</w:t>
      </w:r>
      <w:r>
        <w:rPr/>
        <w:t>曲涛先生，男，</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12</w:t>
      </w:r>
      <w:r>
        <w:rPr/>
        <w:t>月出生，中国国籍，无境外永久居留权，毕业于电子科技大学电子工程专业，本科学历， 学士学位。曲涛先生</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月至今，历任公司全资子公司北京微智信业科技有限公司副总经理、总经理。</w:t>
      </w:r>
    </w:p>
    <w:p>
      <w:pPr>
        <w:pStyle w:val="BodyText"/>
        <w:spacing w:line="300" w:lineRule="auto" w:before="13"/>
        <w:ind w:right="1049" w:firstLine="420"/>
        <w:jc w:val="left"/>
      </w:pPr>
      <w:r>
        <w:rPr>
          <w:rFonts w:ascii="Times New Roman" w:hAnsi="Times New Roman" w:cs="Times New Roman" w:eastAsia="Times New Roman" w:hint="default"/>
        </w:rPr>
        <w:t>5.</w:t>
      </w:r>
      <w:r>
        <w:rPr/>
        <w:t>武耀辉先生，男，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5</w:t>
      </w:r>
      <w:r>
        <w:rPr/>
        <w:t>月出生，中国国籍，无境外永久居留权，毕业于河北工业大学计算机科学与技术专业，本 科学历，学士学位，信息系统项目管理师，高级工程师。武耀辉先生</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-2006</w:t>
      </w:r>
      <w:r>
        <w:rPr/>
        <w:t>年，历任北京北科光大信息技术股份有限</w:t>
      </w:r>
      <w:r>
        <w:rPr>
          <w:spacing w:val="-56"/>
        </w:rPr>
        <w:t> </w:t>
      </w:r>
      <w:r>
        <w:rPr>
          <w:spacing w:val="-56"/>
        </w:rPr>
      </w:r>
      <w:r>
        <w:rPr/>
        <w:t>公司软件开发部经理、公司副总经理；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月至今，历任本公司高级咨询顾问、实施服务部总监、大数据中心总经理， 现任本公司产品中心总经理。</w:t>
      </w:r>
    </w:p>
    <w:p>
      <w:pPr>
        <w:pStyle w:val="BodyText"/>
        <w:spacing w:line="300" w:lineRule="auto" w:before="32"/>
        <w:ind w:right="1040" w:firstLine="420"/>
        <w:jc w:val="left"/>
      </w:pPr>
      <w:r>
        <w:rPr>
          <w:rFonts w:ascii="Times New Roman" w:hAnsi="Times New Roman" w:cs="Times New Roman" w:eastAsia="Times New Roman" w:hint="default"/>
          <w:spacing w:val="-2"/>
        </w:rPr>
        <w:t>6.</w:t>
      </w:r>
      <w:r>
        <w:rPr>
          <w:spacing w:val="-2"/>
        </w:rPr>
        <w:t>张春林先生，男，</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1</w:t>
      </w:r>
      <w:r>
        <w:rPr>
          <w:spacing w:val="-2"/>
        </w:rPr>
        <w:t>月出生，中国国籍，无境外永久居留权，毕业于中国海洋大学计算机软件专业，本科学历，</w:t>
      </w:r>
      <w:r>
        <w:rPr/>
        <w:t> </w:t>
      </w:r>
      <w:r>
        <w:rPr>
          <w:spacing w:val="-2"/>
        </w:rPr>
        <w:t>硕士学位。张春林先生</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月，任上海欣方智能通信有限公司技术总监；</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月，任深圳优网</w:t>
      </w:r>
      <w:r>
        <w:rPr>
          <w:spacing w:val="-46"/>
        </w:rPr>
        <w:t> </w:t>
      </w:r>
      <w:r>
        <w:rPr>
          <w:spacing w:val="-46"/>
        </w:rPr>
      </w:r>
      <w:r>
        <w:rPr/>
        <w:t>科技有限公司副总经理，兼任北京优网助帮信息科技公司总经理；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月至今任公司全资子公司北京微智信业科技有限</w:t>
      </w:r>
      <w:r>
        <w:rPr>
          <w:spacing w:val="-82"/>
        </w:rPr>
        <w:t> </w:t>
      </w:r>
      <w:r>
        <w:rPr>
          <w:spacing w:val="-82"/>
        </w:rPr>
      </w:r>
      <w:r>
        <w:rPr/>
        <w:t>公司副总经理、监事。</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29" w:firstLine="420"/>
        <w:jc w:val="both"/>
      </w:pPr>
      <w:r>
        <w:rPr>
          <w:rFonts w:ascii="Times New Roman" w:hAnsi="Times New Roman" w:cs="Times New Roman" w:eastAsia="Times New Roman" w:hint="default"/>
        </w:rPr>
        <w:t>7.</w:t>
      </w:r>
      <w:r>
        <w:rPr/>
        <w:t>王会先生，男，</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11</w:t>
      </w:r>
      <w:r>
        <w:rPr/>
        <w:t>月出生，中国国籍，无境外永久居留权，毕业于北京物资学院会计学专业，本科学历，学 士学位，中国注册会计师。王会先生</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月，历任天华会计师事务所审计助理，利安达会计师事务所审计助</w:t>
      </w:r>
      <w:r>
        <w:rPr>
          <w:spacing w:val="-57"/>
        </w:rPr>
        <w:t> </w:t>
      </w:r>
      <w:r>
        <w:rPr>
          <w:spacing w:val="-57"/>
        </w:rPr>
      </w:r>
      <w:r>
        <w:rPr>
          <w:spacing w:val="-1"/>
        </w:rPr>
        <w:t>理、项目经理；</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8</w:t>
      </w:r>
      <w:r>
        <w:rPr>
          <w:spacing w:val="-1"/>
        </w:rPr>
        <w:t>月，历任国民技术股份有限公司财务经理、财务部总监；</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月至今，历任本公司财</w:t>
      </w:r>
      <w:r>
        <w:rPr>
          <w:spacing w:val="-80"/>
        </w:rPr>
        <w:t> </w:t>
      </w:r>
      <w:r>
        <w:rPr>
          <w:spacing w:val="-80"/>
        </w:rPr>
      </w:r>
      <w:r>
        <w:rPr/>
        <w:t>务部总监、财务总监。</w:t>
      </w:r>
    </w:p>
    <w:p>
      <w:pPr>
        <w:spacing w:line="240" w:lineRule="auto" w:before="0"/>
        <w:rPr>
          <w:rFonts w:ascii="宋体" w:hAnsi="宋体" w:cs="宋体" w:eastAsia="宋体" w:hint="default"/>
          <w:sz w:val="18"/>
          <w:szCs w:val="18"/>
        </w:rPr>
      </w:pPr>
    </w:p>
    <w:p>
      <w:pPr>
        <w:pStyle w:val="BodyText"/>
        <w:spacing w:line="240" w:lineRule="auto" w:before="149"/>
        <w:ind w:left="1134" w:right="1033"/>
        <w:jc w:val="left"/>
      </w:pPr>
      <w:r>
        <w:rPr/>
        <w:t>在股东单位任职情况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564"/>
        <w:gridCol w:w="991"/>
        <w:gridCol w:w="1029"/>
        <w:gridCol w:w="1594"/>
      </w:tblGrid>
      <w:tr>
        <w:trPr>
          <w:trHeight w:val="75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506" w:right="145"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130" w:right="128" w:firstLine="180"/>
              <w:jc w:val="left"/>
              <w:rPr>
                <w:rFonts w:ascii="宋体" w:hAnsi="宋体" w:cs="宋体" w:eastAsia="宋体" w:hint="default"/>
                <w:sz w:val="18"/>
                <w:szCs w:val="18"/>
              </w:rPr>
            </w:pPr>
            <w:r>
              <w:rPr>
                <w:rFonts w:ascii="宋体" w:hAnsi="宋体" w:cs="宋体" w:eastAsia="宋体" w:hint="default"/>
                <w:sz w:val="18"/>
                <w:szCs w:val="18"/>
              </w:rPr>
              <w:t>任期 起始日期</w:t>
            </w:r>
          </w:p>
        </w:tc>
        <w:tc>
          <w:tcPr>
            <w:tcW w:w="1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0" w:lineRule="auto" w:before="51"/>
              <w:ind w:left="150" w:right="146" w:firstLine="180"/>
              <w:jc w:val="left"/>
              <w:rPr>
                <w:rFonts w:ascii="宋体" w:hAnsi="宋体" w:cs="宋体" w:eastAsia="宋体" w:hint="default"/>
                <w:sz w:val="18"/>
                <w:szCs w:val="18"/>
              </w:rPr>
            </w:pPr>
            <w:r>
              <w:rPr>
                <w:rFonts w:ascii="宋体" w:hAnsi="宋体" w:cs="宋体" w:eastAsia="宋体" w:hint="default"/>
                <w:sz w:val="18"/>
                <w:szCs w:val="18"/>
              </w:rPr>
              <w:t>任期 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北京微智信业科技有限公司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北京核高基软件有限公司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北京数字天堂信息科技有限责任公司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北京大学法学院</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教授、博士生导师</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北京大学企业与公司法研究中心</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北京大学经济法研究所</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最高人民法院</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咨询委员</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最高人民法院案例指导工作专家委员会</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中国证券法学研究会</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中国国际经济贸易仲裁委员会</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中国经济法学研究会</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北京市检察院第二分院</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专家咨询委员</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河北省廊坊市中级人民法院</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专家咨询委员</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深圳国际仲裁院</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中国商业法研究会</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中发国际资产评估有限公司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飞天诚信科技股份有限公司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国防科技大学</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兼职教授</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北京理工大学</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兼职教授</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中国发展战略学研究会</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中国信息产业商会</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中国计算机用户协会</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中国科学院大学工程管理与信息技术学</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兼职教授</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193.759995pt;margin-top:693.279968pt;width:67.9pt;height:28.05pt;mso-position-horizontal-relative:page;mso-position-vertical-relative:page;z-index:-1031488" coordorigin="3875,13866" coordsize="1358,561">
            <v:group style="position:absolute;left:3875;top:13866;width:1358;height:157" coordorigin="3875,13866" coordsize="1358,157">
              <v:shape style="position:absolute;left:3875;top:13866;width:1358;height:157" coordorigin="3875,13866" coordsize="1358,157" path="m3875,14022l5233,14022,5233,13866,3875,13866,3875,14022xe" filled="true" fillcolor="#ffffff" stroked="false">
                <v:path arrowok="t"/>
                <v:fill type="solid"/>
              </v:shape>
            </v:group>
            <v:group style="position:absolute;left:3887;top:14022;width:2;height:393" coordorigin="3887,14022" coordsize="2,393">
              <v:shape style="position:absolute;left:3887;top:14022;width:2;height:393" coordorigin="3887,14022" coordsize="0,393" path="m3887,14022l3887,14414e" filled="false" stroked="true" strokeweight="1.140pt" strokecolor="#ffffff">
                <v:path arrowok="t"/>
              </v:shape>
            </v:group>
            <v:group style="position:absolute;left:3898;top:14022;width:1312;height:393" coordorigin="3898,14022" coordsize="1312,393">
              <v:shape style="position:absolute;left:3898;top:14022;width:1312;height:393" coordorigin="3898,14022" coordsize="1312,393" path="m3898,14414l5210,14414,5210,14022,3898,14022,3898,14414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1202"/>
        <w:gridCol w:w="3190"/>
        <w:gridCol w:w="1564"/>
        <w:gridCol w:w="991"/>
        <w:gridCol w:w="1029"/>
        <w:gridCol w:w="1594"/>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院</w:t>
            </w:r>
          </w:p>
        </w:tc>
        <w:tc>
          <w:tcPr>
            <w:tcW w:w="156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北京东方通宇技术有限公司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成都东方通科技有限责任公司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北京数字天堂信息科技有限责任公司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北京微智信业科技有限公司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郭大勇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上海东方通泰软件科技有限公司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北京微智信业科技有限公司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张春林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北京微智信业科技有限公司</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1" w:type="dxa"/>
            <w:tcBorders>
              <w:top w:val="single" w:sz="4" w:space="0" w:color="000000"/>
              <w:left w:val="single" w:sz="4" w:space="0" w:color="000000"/>
              <w:bottom w:val="single" w:sz="4" w:space="0" w:color="000000"/>
              <w:right w:val="single" w:sz="4" w:space="0" w:color="000000"/>
            </w:tcBorders>
          </w:tcPr>
          <w:p>
            <w:pPr/>
          </w:p>
        </w:tc>
        <w:tc>
          <w:tcPr>
            <w:tcW w:w="10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1033"/>
        <w:jc w:val="left"/>
      </w:pPr>
      <w:r>
        <w:rPr/>
        <w:t>公司现任及报告期内离任董事、监事和高级管理人员近三年证券监管机构处罚的情况</w:t>
      </w:r>
    </w:p>
    <w:p>
      <w:pPr>
        <w:pStyle w:val="BodyText"/>
        <w:spacing w:line="240" w:lineRule="auto" w:before="117"/>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3970"/>
        <w:gridCol w:w="5598"/>
      </w:tblGrid>
      <w:tr>
        <w:trPr>
          <w:trHeight w:val="1057"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在公司任职的董事、监事和高级管理人员的报酬按照公司董事会</w:t>
            </w:r>
          </w:p>
          <w:p>
            <w:pPr>
              <w:pStyle w:val="TableParagraph"/>
              <w:spacing w:line="319" w:lineRule="auto" w:before="75"/>
              <w:ind w:left="2" w:right="1"/>
              <w:jc w:val="left"/>
              <w:rPr>
                <w:rFonts w:ascii="宋体" w:hAnsi="宋体" w:cs="宋体" w:eastAsia="宋体" w:hint="default"/>
                <w:sz w:val="18"/>
                <w:szCs w:val="18"/>
              </w:rPr>
            </w:pPr>
            <w:r>
              <w:rPr>
                <w:rFonts w:ascii="宋体" w:hAnsi="宋体" w:cs="宋体" w:eastAsia="宋体" w:hint="default"/>
                <w:sz w:val="18"/>
                <w:szCs w:val="18"/>
              </w:rPr>
              <w:t>《薪酬与考核委员会议事规则》的规定，结合其经营绩效、工作能力、 岗位职级等考核确定并发放。</w:t>
            </w:r>
          </w:p>
        </w:tc>
      </w:tr>
      <w:tr>
        <w:trPr>
          <w:trHeight w:val="1051"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6"/>
              <w:ind w:left="2" w:right="1" w:firstLine="360"/>
              <w:jc w:val="both"/>
              <w:rPr>
                <w:rFonts w:ascii="宋体" w:hAnsi="宋体" w:cs="宋体" w:eastAsia="宋体" w:hint="default"/>
                <w:sz w:val="18"/>
                <w:szCs w:val="18"/>
              </w:rPr>
            </w:pPr>
            <w:r>
              <w:rPr>
                <w:rFonts w:ascii="宋体" w:hAnsi="宋体" w:cs="宋体" w:eastAsia="宋体" w:hint="default"/>
                <w:sz w:val="18"/>
                <w:szCs w:val="18"/>
              </w:rPr>
              <w:t>外部董事不在公司领取薪酬。在公司任职的董事、监事不另外支付 津贴。独立董事津贴根据经股东大会审议通过的《独立董事津贴管理办 法》相关规定进行支付。</w:t>
            </w:r>
          </w:p>
        </w:tc>
      </w:tr>
      <w:tr>
        <w:trPr>
          <w:trHeight w:val="1046"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7"/>
              <w:ind w:left="2" w:right="1" w:firstLine="360"/>
              <w:jc w:val="both"/>
              <w:rPr>
                <w:rFonts w:ascii="宋体" w:hAnsi="宋体" w:cs="宋体" w:eastAsia="宋体" w:hint="default"/>
                <w:sz w:val="18"/>
                <w:szCs w:val="18"/>
              </w:rPr>
            </w:pPr>
            <w:r>
              <w:rPr>
                <w:rFonts w:ascii="宋体" w:hAnsi="宋体" w:cs="宋体" w:eastAsia="宋体" w:hint="default"/>
                <w:sz w:val="18"/>
                <w:szCs w:val="18"/>
              </w:rPr>
              <w:t>依据公司盈利水平及董事、监事、高级管理人员的职责履行情况并 结合年度绩效完成情况综合确定。其中独董领用津贴，不享受公司其他 薪金保险等待遇。</w:t>
            </w:r>
          </w:p>
        </w:tc>
      </w:tr>
    </w:tbl>
    <w:p>
      <w:pPr>
        <w:spacing w:line="240" w:lineRule="auto" w:before="5"/>
        <w:rPr>
          <w:rFonts w:ascii="宋体" w:hAnsi="宋体" w:cs="宋体" w:eastAsia="宋体" w:hint="default"/>
          <w:sz w:val="24"/>
          <w:szCs w:val="24"/>
        </w:rPr>
      </w:pPr>
    </w:p>
    <w:p>
      <w:pPr>
        <w:pStyle w:val="BodyText"/>
        <w:spacing w:line="240" w:lineRule="auto" w:before="44"/>
        <w:ind w:left="1134" w:right="1033"/>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黄永军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张齐春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董事、常务副总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朱律玮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田琳燕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张志勇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郭大勇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武耀辉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张春林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薛向东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731.76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公司董事、高级管理人员报告期内被授予的股权激励情况</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单位：股</w:t>
      </w:r>
    </w:p>
    <w:p>
      <w:pPr>
        <w:spacing w:after="0" w:line="240" w:lineRule="auto"/>
        <w:jc w:val="center"/>
        <w:sectPr>
          <w:type w:val="continuous"/>
          <w:pgSz w:w="11910" w:h="16840"/>
          <w:pgMar w:top="1060" w:bottom="1160" w:left="0" w:right="0"/>
          <w:cols w:num="2" w:equalWidth="0">
            <w:col w:w="5635" w:space="328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69"/>
        <w:gridCol w:w="869"/>
        <w:gridCol w:w="870"/>
        <w:gridCol w:w="870"/>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沈惠中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12.64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徐少璞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18"/>
                <w:sz w:val="18"/>
                <w:szCs w:val="18"/>
              </w:rPr>
              <w:t>董事、常务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副总、董事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12.64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郭大勇</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12.64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武耀辉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12.64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12.64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238,200</w:t>
            </w:r>
          </w:p>
        </w:tc>
        <w:tc>
          <w:tcPr>
            <w:tcW w:w="86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8"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3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公司第一期股票期权激励计划采用自主行权模式，首次授予期权第一个行权期行权期限为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1"/>
              <w:ind w:left="15" w:right="0"/>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日。公司第一期股票期权激励计划采用自主行权模式，首次授予期权第二个行权期行权期限</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04" w:hRule="exact"/>
        </w:trPr>
        <w:tc>
          <w:tcPr>
            <w:tcW w:w="8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vMerge/>
            <w:tcBorders>
              <w:left w:val="single" w:sz="10" w:space="0" w:color="D2D2D2"/>
              <w:right w:val="single" w:sz="4" w:space="0" w:color="000000"/>
            </w:tcBorders>
          </w:tcPr>
          <w:p>
            <w:pPr/>
          </w:p>
        </w:tc>
      </w:tr>
      <w:tr>
        <w:trPr>
          <w:trHeight w:val="161" w:hRule="exact"/>
        </w:trPr>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8" w:type="dxa"/>
            <w:gridSpan w:val="10"/>
            <w:vMerge/>
            <w:tcBorders>
              <w:left w:val="single" w:sz="10"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1033"/>
        <w:jc w:val="left"/>
        <w:rPr>
          <w:b w:val="0"/>
          <w:bCs w:val="0"/>
        </w:rPr>
      </w:pPr>
      <w:bookmarkStart w:name="五、公司员工情况" w:id="124"/>
      <w:bookmarkEnd w:id="124"/>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1033"/>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33"/>
        <w:jc w:val="left"/>
      </w:pPr>
      <w:r>
        <w:rPr/>
        <w:t>公司采用以岗位价值评估为核心的薪酬体系： </w:t>
      </w:r>
      <w:r>
        <w:rPr>
          <w:spacing w:val="-2"/>
        </w:rPr>
        <w:t>公司薪酬政策采取通过岗位价值评估，明确公司各个岗位的相对价值，从而为个岗位的薪酬标准提供依据的原则，同时解决</w:t>
      </w:r>
      <w:r>
        <w:rPr>
          <w:spacing w:val="-66"/>
        </w:rPr>
        <w:t> </w:t>
      </w:r>
      <w:r>
        <w:rPr>
          <w:spacing w:val="-66"/>
        </w:rPr>
      </w:r>
      <w:r>
        <w:rPr/>
        <w:t>各岗位薪酬的内、外部公平性的问题。通过定期任职资格评审等环节，确定每个岗位对应的薪酬体系。</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以各岗位为中心的年度培训规划：</w:t>
      </w:r>
    </w:p>
    <w:p>
      <w:pPr>
        <w:pStyle w:val="BodyText"/>
        <w:spacing w:line="300" w:lineRule="auto" w:before="76"/>
        <w:ind w:right="111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t>针对高层管理人员，通过攻读</w:t>
      </w:r>
      <w:r>
        <w:rPr>
          <w:rFonts w:ascii="Times New Roman" w:hAnsi="Times New Roman" w:cs="Times New Roman" w:eastAsia="Times New Roman" w:hint="default"/>
        </w:rPr>
        <w:t>EMBA</w:t>
      </w:r>
      <w:r>
        <w:rPr/>
        <w:t>、领导研修等方式，强化管理能力的系统学习，培养高层管理者的管理视野和开放心 态，熟悉经济规律和市场规则，提升经营管理能力和领导水平；</w:t>
      </w:r>
    </w:p>
    <w:p>
      <w:pPr>
        <w:pStyle w:val="BodyText"/>
        <w:spacing w:line="300" w:lineRule="auto" w:before="31"/>
        <w:ind w:left="1134" w:right="103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spacing w:val="-2"/>
        </w:rPr>
        <w:t>针对中层人员，主要是开发他们的管理智慧，改进管理方式方法，提高其对下属的亲和力和指导能力，促使其与部下一起</w:t>
      </w:r>
      <w:r>
        <w:rPr>
          <w:spacing w:val="-87"/>
        </w:rPr>
        <w:t> </w:t>
      </w:r>
      <w:r>
        <w:rPr>
          <w:spacing w:val="-87"/>
        </w:rPr>
      </w:r>
      <w:r>
        <w:rPr/>
        <w:t>不断进步和成长；</w:t>
      </w:r>
    </w:p>
    <w:p>
      <w:pPr>
        <w:pStyle w:val="BodyText"/>
        <w:spacing w:line="300" w:lineRule="auto" w:before="31"/>
        <w:ind w:left="1134" w:right="105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针对业务骨干，主要是提高技能、更新知识、开发其进取精神、创新能力和协作能力、提高员工的职业意识与职业素养， 提升其主动积极的工作态度与团队合作与沟通的能力，增强敬业精神与服务观念，加强其专业水准；</w:t>
      </w:r>
    </w:p>
    <w:p>
      <w:pPr>
        <w:pStyle w:val="BodyText"/>
        <w:spacing w:line="309" w:lineRule="auto" w:before="31"/>
        <w:ind w:left="1134" w:right="1131"/>
        <w:jc w:val="both"/>
      </w:pP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spacing w:val="-2"/>
        </w:rPr>
        <w:t>针对基层员工，主要根据工作说明书和工作规范的要求，开发其操作技能方面的潜力（提高熟练程度、降低错误率、争抢</w:t>
      </w:r>
      <w:r>
        <w:rPr>
          <w:spacing w:val="-85"/>
        </w:rPr>
        <w:t> </w:t>
      </w:r>
      <w:r>
        <w:rPr>
          <w:spacing w:val="-85"/>
        </w:rPr>
      </w:r>
      <w:r>
        <w:rPr>
          <w:spacing w:val="-2"/>
        </w:rPr>
        <w:t>迁移能力和具有一定创新能力），培养敬业精神、工作责任感和事业心，做好入司前，上岗中，工作后各项培训与培养工作</w:t>
      </w:r>
      <w:r>
        <w:rPr>
          <w:spacing w:val="-69"/>
        </w:rPr>
        <w:t> </w:t>
      </w:r>
      <w:r>
        <w:rPr>
          <w:spacing w:val="-69"/>
        </w:rPr>
      </w:r>
      <w:r>
        <w:rPr/>
        <w:t>计划，帮助他们度过适应期；</w:t>
      </w:r>
    </w:p>
    <w:p>
      <w:pPr>
        <w:spacing w:after="0" w:line="309"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1033"/>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584"/>
        <w:jc w:val="center"/>
        <w:rPr>
          <w:b w:val="0"/>
          <w:bCs w:val="0"/>
        </w:rPr>
      </w:pPr>
      <w:bookmarkStart w:name="_TOC_250003" w:id="129"/>
      <w:bookmarkStart w:name="第九节 公司治理" w:id="130"/>
      <w:r>
        <w:rPr>
          <w:b w:val="0"/>
          <w:bCs w:val="0"/>
        </w:rPr>
      </w:r>
      <w:r>
        <w:rPr/>
        <w:t>第九节</w:t>
      </w:r>
      <w:r>
        <w:rPr>
          <w:spacing w:val="-5"/>
        </w:rPr>
        <w:t> </w:t>
      </w:r>
      <w:r>
        <w:rPr/>
        <w:t>公司治理</w:t>
      </w:r>
      <w:bookmarkEnd w:id="12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3"/>
        <w:jc w:val="left"/>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24" w:right="0"/>
        <w:jc w:val="left"/>
      </w:pPr>
      <w:r>
        <w:rPr>
          <w:spacing w:val="-2"/>
        </w:rPr>
        <w:t>报告期内，公司严格按照《公司法》、《证券法》、《上市公司治理准则》、《深圳证券交易所创业板股票上市规则》、</w:t>
      </w:r>
    </w:p>
    <w:p>
      <w:pPr>
        <w:pStyle w:val="BodyText"/>
        <w:spacing w:line="316" w:lineRule="auto" w:before="76"/>
        <w:ind w:right="1133"/>
        <w:jc w:val="both"/>
      </w:pPr>
      <w:r>
        <w:rPr>
          <w:spacing w:val="-2"/>
        </w:rPr>
        <w:t>《深圳证券交易所创业板上市公司规范运作指引》等法律法规要求，不断建立健全公司内部管理和控制制度，持续深入开展</w:t>
      </w:r>
      <w:r>
        <w:rPr>
          <w:spacing w:val="-66"/>
        </w:rPr>
        <w:t> </w:t>
      </w:r>
      <w:r>
        <w:rPr>
          <w:spacing w:val="-66"/>
        </w:rPr>
      </w:r>
      <w:r>
        <w:rPr>
          <w:spacing w:val="-2"/>
        </w:rPr>
        <w:t>公司治理活动，进一步规范公司运作；积极开展董事、监事、高级管理人员培训教育和管理工作；加强信息披露的透明性和</w:t>
      </w:r>
      <w:r>
        <w:rPr>
          <w:spacing w:val="-66"/>
        </w:rPr>
        <w:t> </w:t>
      </w:r>
      <w:r>
        <w:rPr>
          <w:spacing w:val="-66"/>
        </w:rPr>
      </w:r>
      <w:r>
        <w:rPr/>
        <w:t>公平性，提高公司治理水平。</w:t>
      </w:r>
      <w:r>
        <w:rPr>
          <w:spacing w:val="-19"/>
        </w:rPr>
        <w:t> </w:t>
      </w:r>
      <w:r>
        <w:rPr/>
        <w:t>截至报告期末，公司治理的实际情况符合中国证监会《上市公司治理准则》和《深圳证券交</w:t>
      </w:r>
      <w:r>
        <w:rPr/>
        <w:t> 易所创业板上市公司规范运作指引》等法律法规和规范性文件的要求。</w:t>
      </w:r>
    </w:p>
    <w:p>
      <w:pPr>
        <w:pStyle w:val="BodyText"/>
        <w:spacing w:line="338" w:lineRule="auto" w:before="59"/>
        <w:ind w:left="1554" w:right="1033" w:hanging="420"/>
        <w:jc w:val="left"/>
      </w:pPr>
      <w:r>
        <w:rPr>
          <w:rFonts w:ascii="Times New Roman" w:hAnsi="Times New Roman" w:cs="Times New Roman" w:eastAsia="Times New Roman" w:hint="default"/>
        </w:rPr>
        <w:t>1</w:t>
      </w:r>
      <w:r>
        <w:rPr/>
        <w:t>、关于股东与股东大会 公司股东按照《公司章程》、《上市公司股东大会规则》的规定按其所持股份享有平等地位，并承担相应义务。公司</w:t>
      </w:r>
    </w:p>
    <w:p>
      <w:pPr>
        <w:pStyle w:val="BodyText"/>
        <w:spacing w:line="319" w:lineRule="auto" w:before="2"/>
        <w:ind w:right="1033"/>
        <w:jc w:val="left"/>
      </w:pPr>
      <w:r>
        <w:rPr>
          <w:spacing w:val="-2"/>
        </w:rPr>
        <w:t>严格按照《公司法》、《上市公司股东大会规则》以及公司《章程》、《股东大会议事规则》和深圳证券交易所创业板的相</w:t>
      </w:r>
      <w:r>
        <w:rPr>
          <w:spacing w:val="-69"/>
        </w:rPr>
        <w:t> </w:t>
      </w:r>
      <w:r>
        <w:rPr>
          <w:spacing w:val="-69"/>
        </w:rPr>
      </w:r>
      <w:r>
        <w:rPr/>
        <w:t>关规定和要求，规范股东大会的召集、召开和表决程序。报告期内公司召开的股东大会均由董事会召集召开，董事长主持， </w:t>
      </w:r>
      <w:r>
        <w:rPr>
          <w:spacing w:val="-2"/>
        </w:rPr>
        <w:t>董事长不能主持的情况下，副董事长主持。公司治理结构能够保证所有股东，特别是中小股东享有平等地位，合法行使自己</w:t>
      </w:r>
      <w:r>
        <w:rPr>
          <w:spacing w:val="-66"/>
        </w:rPr>
        <w:t> </w:t>
      </w:r>
      <w:r>
        <w:rPr>
          <w:spacing w:val="-66"/>
        </w:rPr>
      </w:r>
      <w:r>
        <w:rPr>
          <w:spacing w:val="-2"/>
        </w:rPr>
        <w:t>的权利，保证了股东对公司重大事项的知情权、参与权、表决权。按照《公司法》、《公司章程》的规定应由股东大会审议</w:t>
      </w:r>
      <w:r>
        <w:rPr>
          <w:spacing w:val="-69"/>
        </w:rPr>
        <w:t> </w:t>
      </w:r>
      <w:r>
        <w:rPr>
          <w:spacing w:val="-69"/>
        </w:rPr>
      </w:r>
      <w:r>
        <w:rPr/>
        <w:t>的重大事项，均按照相应的权限审批后提交股东大会审议，不存在越权审批或先实施后审议的情况。</w:t>
      </w:r>
    </w:p>
    <w:p>
      <w:pPr>
        <w:pStyle w:val="BodyText"/>
        <w:spacing w:line="338" w:lineRule="auto" w:before="56"/>
        <w:ind w:left="1554" w:right="1033" w:hanging="420"/>
        <w:jc w:val="left"/>
      </w:pPr>
      <w:r>
        <w:rPr>
          <w:rFonts w:ascii="Times New Roman" w:hAnsi="Times New Roman" w:cs="Times New Roman" w:eastAsia="Times New Roman" w:hint="default"/>
        </w:rPr>
        <w:t>2</w:t>
      </w:r>
      <w:r>
        <w:rPr/>
        <w:t>、关于公司与控股股东 公司具有独立的业务经营能力及完备的运营体系，在业务、人员、资产、机构、财务上均独立于控股股东（实际控制</w:t>
      </w:r>
    </w:p>
    <w:p>
      <w:pPr>
        <w:pStyle w:val="BodyText"/>
        <w:spacing w:line="319" w:lineRule="auto" w:before="2"/>
        <w:ind w:left="1134" w:right="1130"/>
        <w:jc w:val="both"/>
      </w:pPr>
      <w:r>
        <w:rPr>
          <w:spacing w:val="-5"/>
        </w:rPr>
        <w:t>人），公司董事会、监事会和内部机构根据其议事规则或公司制度独立运作。公司控股股东能严格规范自己的行为，按照《上</w:t>
      </w:r>
      <w:r>
        <w:rPr>
          <w:spacing w:val="-81"/>
        </w:rPr>
        <w:t> </w:t>
      </w:r>
      <w:r>
        <w:rPr>
          <w:spacing w:val="-81"/>
        </w:rPr>
      </w:r>
      <w:r>
        <w:rPr>
          <w:spacing w:val="-2"/>
        </w:rPr>
        <w:t>市公司治理准则》、《深圳证券交易所创业板股票上市规则》、《深圳证券交易所创业板上市公司规范运作指引》、《公司</w:t>
      </w:r>
      <w:r>
        <w:rPr>
          <w:spacing w:val="-70"/>
        </w:rPr>
        <w:t> </w:t>
      </w:r>
      <w:r>
        <w:rPr>
          <w:spacing w:val="-70"/>
        </w:rPr>
      </w:r>
      <w:r>
        <w:rPr>
          <w:spacing w:val="-2"/>
        </w:rPr>
        <w:t>章程》等规定和要求，没有超越股东大会直接或间接干预公司经营活动。报告期内，公司没有为控股股东提供担保，未损害</w:t>
      </w:r>
      <w:r>
        <w:rPr>
          <w:spacing w:val="-66"/>
        </w:rPr>
        <w:t> </w:t>
      </w:r>
      <w:r>
        <w:rPr>
          <w:spacing w:val="-66"/>
        </w:rPr>
      </w:r>
      <w:r>
        <w:rPr/>
        <w:t>公司及其他股东的利益，亦不存在控股股东非经营性占用公司资金的行为。</w:t>
      </w:r>
    </w:p>
    <w:p>
      <w:pPr>
        <w:pStyle w:val="BodyText"/>
        <w:spacing w:line="338" w:lineRule="auto" w:before="56"/>
        <w:ind w:left="1554" w:right="1033" w:hanging="420"/>
        <w:jc w:val="left"/>
      </w:pPr>
      <w:r>
        <w:rPr>
          <w:rFonts w:ascii="Times New Roman" w:hAnsi="Times New Roman" w:cs="Times New Roman" w:eastAsia="Times New Roman" w:hint="default"/>
        </w:rPr>
        <w:t>3</w:t>
      </w:r>
      <w:r>
        <w:rPr/>
        <w:t>、关于董事和董事会 公司严格按照《公司法》、《公司章程》规定的选聘程序选举董事。董事会由</w:t>
      </w:r>
      <w:r>
        <w:rPr>
          <w:rFonts w:ascii="Times New Roman" w:hAnsi="Times New Roman" w:cs="Times New Roman" w:eastAsia="Times New Roman" w:hint="default"/>
        </w:rPr>
        <w:t>7</w:t>
      </w:r>
      <w:r>
        <w:rPr/>
        <w:t>人组成，其中</w:t>
      </w:r>
      <w:r>
        <w:rPr>
          <w:rFonts w:ascii="Times New Roman" w:hAnsi="Times New Roman" w:cs="Times New Roman" w:eastAsia="Times New Roman" w:hint="default"/>
        </w:rPr>
        <w:t>3</w:t>
      </w:r>
      <w:r>
        <w:rPr/>
        <w:t>人为独立董事。公司董</w:t>
      </w:r>
    </w:p>
    <w:p>
      <w:pPr>
        <w:pStyle w:val="BodyText"/>
        <w:spacing w:line="217" w:lineRule="exact"/>
        <w:ind w:right="1033"/>
        <w:jc w:val="left"/>
      </w:pPr>
      <w:r>
        <w:rPr>
          <w:spacing w:val="-7"/>
        </w:rPr>
        <w:t>事会人数和人员构成符合法律、法规的要求。各位董事能够依据《公司章程》、《董事会议事规则》、《独立董事工作制度》、</w:t>
      </w:r>
    </w:p>
    <w:p>
      <w:pPr>
        <w:pStyle w:val="BodyText"/>
        <w:spacing w:line="319" w:lineRule="auto" w:before="76"/>
        <w:ind w:right="1133"/>
        <w:jc w:val="both"/>
      </w:pPr>
      <w:r>
        <w:rPr>
          <w:spacing w:val="-2"/>
        </w:rPr>
        <w:t>《深圳证券交易所创业板上市公司规范运作指引》等规定开展工作，以认真负责的态度出席董事会和股东大会，从公司和全</w:t>
      </w:r>
      <w:r>
        <w:rPr>
          <w:spacing w:val="-66"/>
        </w:rPr>
        <w:t> </w:t>
      </w:r>
      <w:r>
        <w:rPr>
          <w:spacing w:val="-66"/>
        </w:rPr>
      </w:r>
      <w:r>
        <w:rPr>
          <w:spacing w:val="-2"/>
        </w:rPr>
        <w:t>体股东的利益出发，忠实履行职责，积极参加有关培训，学习有关法律法规，促进董事会规范运作和科学决策。董事会会议</w:t>
      </w:r>
      <w:r>
        <w:rPr>
          <w:spacing w:val="-66"/>
        </w:rPr>
        <w:t> </w:t>
      </w:r>
      <w:r>
        <w:rPr>
          <w:spacing w:val="-66"/>
        </w:rPr>
      </w:r>
      <w:r>
        <w:rPr/>
        <w:t>程序符合规定，会议记录完整、真实，会议相关信息披露及时、准确、充分。</w:t>
      </w:r>
    </w:p>
    <w:p>
      <w:pPr>
        <w:pStyle w:val="BodyText"/>
        <w:spacing w:line="338" w:lineRule="auto" w:before="58"/>
        <w:ind w:left="1554" w:right="1033" w:hanging="420"/>
        <w:jc w:val="left"/>
      </w:pPr>
      <w:r>
        <w:rPr>
          <w:rFonts w:ascii="Times New Roman" w:hAnsi="Times New Roman" w:cs="Times New Roman" w:eastAsia="Times New Roman" w:hint="default"/>
        </w:rPr>
        <w:t>4</w:t>
      </w:r>
      <w:r>
        <w:rPr/>
        <w:t>、关于监事和监事会 公司严格按照《公司法》、《公司章程》规定的选聘程序选举监事，监事会设监事</w:t>
      </w:r>
      <w:r>
        <w:rPr>
          <w:rFonts w:ascii="Times New Roman" w:hAnsi="Times New Roman" w:cs="Times New Roman" w:eastAsia="Times New Roman" w:hint="default"/>
        </w:rPr>
        <w:t>3</w:t>
      </w:r>
      <w:r>
        <w:rPr/>
        <w:t>名，其中职工选举的监事</w:t>
      </w:r>
      <w:r>
        <w:rPr>
          <w:rFonts w:ascii="Times New Roman" w:hAnsi="Times New Roman" w:cs="Times New Roman" w:eastAsia="Times New Roman" w:hint="default"/>
        </w:rPr>
        <w:t>1</w:t>
      </w:r>
      <w:r>
        <w:rPr/>
        <w:t>名。公</w:t>
      </w:r>
    </w:p>
    <w:p>
      <w:pPr>
        <w:pStyle w:val="BodyText"/>
        <w:spacing w:line="217" w:lineRule="exact"/>
        <w:ind w:right="0"/>
        <w:jc w:val="left"/>
      </w:pPr>
      <w:r>
        <w:rPr/>
        <w:t>司监事会人数和人员构成符合法律、法规的要求。各位监事能够按照《公司章程》、《监事会议事规则》等规定的要求，以</w:t>
      </w:r>
    </w:p>
    <w:p>
      <w:pPr>
        <w:pStyle w:val="BodyText"/>
        <w:spacing w:line="319" w:lineRule="auto" w:before="76"/>
        <w:ind w:right="1131"/>
        <w:jc w:val="both"/>
      </w:pPr>
      <w:r>
        <w:rPr>
          <w:spacing w:val="-2"/>
        </w:rPr>
        <w:t>认真负责的态度出席监事会，学习有关法律法规、积极参加相关业务培训，本着对全体股东尤其是中小股东负责的精神，对</w:t>
      </w:r>
      <w:r>
        <w:rPr>
          <w:spacing w:val="-66"/>
        </w:rPr>
        <w:t> </w:t>
      </w:r>
      <w:r>
        <w:rPr>
          <w:spacing w:val="-66"/>
        </w:rPr>
      </w:r>
      <w:r>
        <w:rPr>
          <w:spacing w:val="-2"/>
        </w:rPr>
        <w:t>公司重大事项、关联交易、财务状况以及董事和其他高级管理人员履行职责的合法、合规性进行监督并发表独立意见，维护</w:t>
      </w:r>
      <w:r>
        <w:rPr>
          <w:spacing w:val="-66"/>
        </w:rPr>
        <w:t> </w:t>
      </w:r>
      <w:r>
        <w:rPr>
          <w:spacing w:val="-66"/>
        </w:rPr>
      </w:r>
      <w:r>
        <w:rPr/>
        <w:t>公司及股东的合法权益。</w:t>
      </w:r>
    </w:p>
    <w:p>
      <w:pPr>
        <w:pStyle w:val="BodyText"/>
        <w:spacing w:line="338" w:lineRule="auto" w:before="56"/>
        <w:ind w:left="1554" w:right="1033" w:hanging="420"/>
        <w:jc w:val="left"/>
      </w:pPr>
      <w:r>
        <w:rPr>
          <w:rFonts w:ascii="Times New Roman" w:hAnsi="Times New Roman" w:cs="Times New Roman" w:eastAsia="Times New Roman" w:hint="default"/>
        </w:rPr>
        <w:t>5</w:t>
      </w:r>
      <w:r>
        <w:rPr/>
        <w:t>、关于绩效评价与激励约束机制 公司建立并逐步完善公正、透明的董事、监事、高级管理人员的绩效评价标准与激励约束机制；高级管理人员的聘任</w:t>
      </w:r>
    </w:p>
    <w:p>
      <w:pPr>
        <w:pStyle w:val="BodyText"/>
        <w:spacing w:line="240" w:lineRule="auto" w:before="4"/>
        <w:ind w:left="1134" w:right="1033"/>
        <w:jc w:val="left"/>
      </w:pPr>
      <w:r>
        <w:rPr/>
        <w:t>公开、透明，符合相关法律、法规的规定。</w:t>
      </w:r>
    </w:p>
    <w:p>
      <w:pPr>
        <w:pStyle w:val="BodyText"/>
        <w:spacing w:line="338" w:lineRule="auto" w:before="117"/>
        <w:ind w:left="1553" w:right="1033" w:hanging="420"/>
        <w:jc w:val="left"/>
      </w:pPr>
      <w:r>
        <w:rPr>
          <w:rFonts w:ascii="Times New Roman" w:hAnsi="Times New Roman" w:cs="Times New Roman" w:eastAsia="Times New Roman" w:hint="default"/>
        </w:rPr>
        <w:t>6</w:t>
      </w:r>
      <w:r>
        <w:rPr/>
        <w:t>、关于相关利益者 公司能够充分尊重和维护相关利益者的合法权益，积极与相关利益者合作，加强与各方的沟通和交流，实现社会、股</w:t>
      </w:r>
    </w:p>
    <w:p>
      <w:pPr>
        <w:pStyle w:val="BodyText"/>
        <w:spacing w:line="240" w:lineRule="auto" w:before="4"/>
        <w:ind w:right="1033"/>
        <w:jc w:val="left"/>
      </w:pPr>
      <w:r>
        <w:rPr/>
        <w:t>东、公司、员工等各方利益的协调平衡，推动公司持续、稳定、健康发展。</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left="1424" w:right="1033" w:hanging="291"/>
        <w:jc w:val="left"/>
      </w:pPr>
      <w:r>
        <w:rPr>
          <w:rFonts w:ascii="Times New Roman" w:hAnsi="Times New Roman" w:cs="Times New Roman" w:eastAsia="Times New Roman" w:hint="default"/>
        </w:rPr>
        <w:t>7</w:t>
      </w:r>
      <w:r>
        <w:rPr/>
        <w:t>、关于公司与投资者 </w:t>
      </w:r>
      <w:r>
        <w:rPr>
          <w:spacing w:val="-1"/>
        </w:rPr>
        <w:t>公司高度重视投资者关系和投资者关系管理。董事会秘书办公室为公司的投资者关系管理职能部门，由董事会秘书全面</w:t>
      </w:r>
    </w:p>
    <w:p>
      <w:pPr>
        <w:pStyle w:val="BodyText"/>
        <w:spacing w:line="319" w:lineRule="auto" w:before="2"/>
        <w:ind w:left="1134" w:right="1131"/>
        <w:jc w:val="both"/>
      </w:pPr>
      <w:r>
        <w:rPr>
          <w:spacing w:val="-2"/>
        </w:rPr>
        <w:t>负责公司信息披露工作及投资者关系管理工作。报告期内，公司通过年度报告网上说明会、接待投资者现场调研、及时回答</w:t>
      </w:r>
      <w:r>
        <w:rPr>
          <w:spacing w:val="-66"/>
        </w:rPr>
        <w:t> </w:t>
      </w:r>
      <w:r>
        <w:rPr>
          <w:spacing w:val="-66"/>
        </w:rPr>
      </w:r>
      <w:r>
        <w:rPr>
          <w:spacing w:val="-2"/>
        </w:rPr>
        <w:t>投资者互动平台上提出的问题、接听投资者电话等多种方式，有效开展投资者关系管理工作，积极加强与投资者的沟通。同</w:t>
      </w:r>
      <w:r>
        <w:rPr>
          <w:spacing w:val="-66"/>
        </w:rPr>
        <w:t> </w:t>
      </w:r>
      <w:r>
        <w:rPr>
          <w:spacing w:val="-66"/>
        </w:rPr>
      </w:r>
      <w:r>
        <w:rPr>
          <w:spacing w:val="-2"/>
        </w:rPr>
        <w:t>时，公司严格按照相关规定，要求参加现场调研的投资者签署承诺书，并及时披露现场调研活动记录，未在投资者关系管理</w:t>
      </w:r>
      <w:r>
        <w:rPr>
          <w:spacing w:val="-66"/>
        </w:rPr>
        <w:t> </w:t>
      </w:r>
      <w:r>
        <w:rPr>
          <w:spacing w:val="-66"/>
        </w:rPr>
      </w:r>
      <w:r>
        <w:rPr/>
        <w:t>活动中违规泄露未公开的重大信息。</w:t>
      </w:r>
    </w:p>
    <w:p>
      <w:pPr>
        <w:pStyle w:val="BodyText"/>
        <w:spacing w:line="338" w:lineRule="auto" w:before="58"/>
        <w:ind w:left="1554" w:right="1033" w:hanging="420"/>
        <w:jc w:val="left"/>
      </w:pPr>
      <w:r>
        <w:rPr>
          <w:rFonts w:ascii="Times New Roman" w:hAnsi="Times New Roman" w:cs="Times New Roman" w:eastAsia="Times New Roman" w:hint="default"/>
        </w:rPr>
        <w:t>8</w:t>
      </w:r>
      <w:r>
        <w:rPr/>
        <w:t>、关于信息披露与透明度 公司严格按照《深圳证券交易所创业板股票上市规则》、《上市公司信息披露管理办法》等有关法律法规和《公司信</w:t>
      </w:r>
    </w:p>
    <w:p>
      <w:pPr>
        <w:pStyle w:val="BodyText"/>
        <w:spacing w:line="312" w:lineRule="auto" w:before="2"/>
        <w:ind w:left="1134" w:right="1132"/>
        <w:jc w:val="both"/>
      </w:pPr>
      <w:r>
        <w:rPr>
          <w:spacing w:val="-2"/>
        </w:rPr>
        <w:t>息披露管理制度》的规定，加强信息披露事务管理，履行信息披露义务。公司已建立内幕信息知情人登记管理机制，严格控</w:t>
      </w:r>
      <w:r>
        <w:rPr>
          <w:spacing w:val="-66"/>
        </w:rPr>
        <w:t> </w:t>
      </w:r>
      <w:r>
        <w:rPr>
          <w:spacing w:val="-66"/>
        </w:rPr>
      </w:r>
      <w:r>
        <w:rPr>
          <w:spacing w:val="-5"/>
        </w:rPr>
        <w:t>制内幕信息知情人范围。公司指定《证券时报》、《中国证券报》、《证券日报》和中国证监会创业板指定信息披露网站（巨</w:t>
      </w:r>
      <w:r>
        <w:rPr>
          <w:spacing w:val="-82"/>
        </w:rPr>
        <w:t> </w:t>
      </w:r>
      <w:r>
        <w:rPr>
          <w:spacing w:val="-82"/>
        </w:rPr>
      </w:r>
      <w:r>
        <w:rPr/>
        <w:t>潮资讯网</w:t>
      </w:r>
      <w:hyperlink r:id="rId11">
        <w:r>
          <w:rPr>
            <w:rFonts w:ascii="Times New Roman" w:hAnsi="Times New Roman" w:cs="Times New Roman" w:eastAsia="Times New Roman" w:hint="default"/>
          </w:rPr>
          <w:t>www.cninfo.com.cn</w:t>
        </w:r>
      </w:hyperlink>
      <w:r>
        <w:rPr/>
        <w:t>）为公司信息披露报纸和网站，真实、准确、及时、完整的披露信息，确保所有投资者公平获</w:t>
      </w:r>
      <w:r>
        <w:rPr>
          <w:spacing w:val="-34"/>
        </w:rPr>
        <w:t> </w:t>
      </w:r>
      <w:r>
        <w:rPr>
          <w:spacing w:val="-34"/>
        </w:rPr>
      </w:r>
      <w:r>
        <w:rPr/>
        <w:t>取公司信息。</w:t>
      </w:r>
    </w:p>
    <w:p>
      <w:pPr>
        <w:pStyle w:val="BodyText"/>
        <w:spacing w:line="240" w:lineRule="auto" w:before="62"/>
        <w:ind w:right="0"/>
        <w:jc w:val="both"/>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firstLine="420"/>
        <w:jc w:val="left"/>
      </w:pPr>
      <w:r>
        <w:rPr/>
        <w:t>公司严格按照《公司法》、《证券法》等有关法律法规和《公司章程》的要求规范运作，与控股股东在业务、人员、 资产、机构、财务等方面保持独立，具有独立完整的业务及自主经营能力。。</w:t>
      </w:r>
    </w:p>
    <w:p>
      <w:pPr>
        <w:pStyle w:val="BodyText"/>
        <w:spacing w:line="302" w:lineRule="auto" w:before="55"/>
        <w:ind w:right="1115" w:firstLine="420"/>
        <w:jc w:val="left"/>
      </w:pPr>
      <w:r>
        <w:rPr>
          <w:rFonts w:ascii="Times New Roman" w:hAnsi="Times New Roman" w:cs="Times New Roman" w:eastAsia="Times New Roman" w:hint="default"/>
          <w:spacing w:val="-1"/>
        </w:rPr>
        <w:t>1</w:t>
      </w:r>
      <w:r>
        <w:rPr>
          <w:spacing w:val="-1"/>
        </w:rPr>
        <w:t>、业务方面：公司拥有独立完整的业务体系和自主经营能力，控股股东按照承诺未从事与公司业务相同或相近的业务</w:t>
      </w:r>
      <w:r>
        <w:rPr/>
        <w:t> 活动。</w:t>
      </w:r>
    </w:p>
    <w:p>
      <w:pPr>
        <w:pStyle w:val="BodyText"/>
        <w:spacing w:line="302" w:lineRule="auto" w:before="69"/>
        <w:ind w:right="1033" w:firstLine="420"/>
        <w:jc w:val="left"/>
      </w:pPr>
      <w:r>
        <w:rPr>
          <w:rFonts w:ascii="Times New Roman" w:hAnsi="Times New Roman" w:cs="Times New Roman" w:eastAsia="Times New Roman" w:hint="default"/>
          <w:spacing w:val="-2"/>
        </w:rPr>
        <w:t>2</w:t>
      </w:r>
      <w:r>
        <w:rPr>
          <w:spacing w:val="-2"/>
        </w:rPr>
        <w:t>、人员方面：公司拥有独立的人事和劳资管理体系，公司总经理、副总经理、财务负责人和董事会秘书等高级管理人</w:t>
      </w:r>
      <w:r>
        <w:rPr/>
        <w:t> 员均在本公司领取报酬。</w:t>
      </w:r>
    </w:p>
    <w:p>
      <w:pPr>
        <w:pStyle w:val="BodyText"/>
        <w:spacing w:line="240" w:lineRule="auto" w:before="69"/>
        <w:ind w:left="1553" w:right="1033"/>
        <w:jc w:val="left"/>
      </w:pPr>
      <w:r>
        <w:rPr>
          <w:rFonts w:ascii="Times New Roman" w:hAnsi="Times New Roman" w:cs="Times New Roman" w:eastAsia="Times New Roman" w:hint="default"/>
        </w:rPr>
        <w:t>3</w:t>
      </w:r>
      <w:r>
        <w:rPr/>
        <w:t>、资产方面：公司供、销系统完整独立。商标、非专利技术等无形资产和有形资产均有本公司拥有，产权界定清晰。</w:t>
      </w:r>
    </w:p>
    <w:p>
      <w:pPr>
        <w:pStyle w:val="BodyText"/>
        <w:spacing w:line="302" w:lineRule="auto" w:before="101"/>
        <w:ind w:right="1063" w:firstLine="420"/>
        <w:jc w:val="left"/>
      </w:pPr>
      <w:r>
        <w:rPr>
          <w:rFonts w:ascii="Times New Roman" w:hAnsi="Times New Roman" w:cs="Times New Roman" w:eastAsia="Times New Roman" w:hint="default"/>
        </w:rPr>
        <w:t>4</w:t>
      </w:r>
      <w:r>
        <w:rPr/>
        <w:t>、机构方面：公司设有健全的组织机构体系，股东大会、董事会、监事会及董事会下属专业委员会等机构独立运作， 不受控股股东及其他单位或个人的干涉。</w:t>
      </w:r>
    </w:p>
    <w:p>
      <w:pPr>
        <w:pStyle w:val="BodyText"/>
        <w:spacing w:line="302" w:lineRule="auto" w:before="69"/>
        <w:ind w:right="1033" w:firstLine="420"/>
        <w:jc w:val="left"/>
      </w:pPr>
      <w:r>
        <w:rPr>
          <w:rFonts w:ascii="Times New Roman" w:hAnsi="Times New Roman" w:cs="Times New Roman" w:eastAsia="Times New Roman" w:hint="default"/>
          <w:spacing w:val="-2"/>
        </w:rPr>
        <w:t>5</w:t>
      </w:r>
      <w:r>
        <w:rPr>
          <w:spacing w:val="-2"/>
        </w:rPr>
        <w:t>、财务方面：公司设有完整、独立的财务机构，配备了充足的专职财务人员，建立了独立的会计核算体系和财务管理</w:t>
      </w:r>
      <w:r>
        <w:rPr/>
        <w:t> 制度，并独立开设银行账户、独立纳税、独立做出财务决策。</w:t>
      </w:r>
    </w:p>
    <w:p>
      <w:pPr>
        <w:spacing w:line="240" w:lineRule="auto" w:before="5"/>
        <w:rPr>
          <w:rFonts w:ascii="宋体" w:hAnsi="宋体" w:cs="宋体" w:eastAsia="宋体" w:hint="default"/>
          <w:sz w:val="21"/>
          <w:szCs w:val="21"/>
        </w:rPr>
      </w:pPr>
    </w:p>
    <w:p>
      <w:pPr>
        <w:pStyle w:val="Heading2"/>
        <w:spacing w:line="240" w:lineRule="auto"/>
        <w:ind w:right="0"/>
        <w:jc w:val="both"/>
        <w:rPr>
          <w:b w:val="0"/>
          <w:bCs w:val="0"/>
        </w:rPr>
      </w:pPr>
      <w:bookmarkStart w:name="三、同业竞争情况" w:id="133"/>
      <w:bookmarkEnd w:id="133"/>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47.79%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会决议公告》</w:t>
            </w:r>
          </w:p>
          <w:p>
            <w:pPr>
              <w:pStyle w:val="TableParagraph"/>
              <w:spacing w:line="300" w:lineRule="auto" w:before="31"/>
              <w:ind w:left="23" w:right="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2017-037</w:t>
            </w:r>
            <w:r>
              <w:rPr>
                <w:rFonts w:ascii="宋体" w:hAnsi="宋体" w:cs="宋体" w:eastAsia="宋体" w:hint="default"/>
                <w:spacing w:val="-4"/>
                <w:sz w:val="18"/>
                <w:szCs w:val="18"/>
              </w:rPr>
              <w:t>）巨潮资</w:t>
            </w:r>
            <w:r>
              <w:rPr>
                <w:rFonts w:ascii="宋体" w:hAnsi="宋体" w:cs="宋体" w:eastAsia="宋体" w:hint="default"/>
                <w:sz w:val="18"/>
                <w:szCs w:val="18"/>
              </w:rPr>
              <w:t> 讯网</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5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7"/>
                <w:sz w:val="18"/>
                <w:szCs w:val="18"/>
              </w:rPr>
              <w:t>告》（</w:t>
            </w:r>
            <w:r>
              <w:rPr>
                <w:rFonts w:ascii="Times New Roman" w:hAnsi="Times New Roman" w:cs="Times New Roman" w:eastAsia="Times New Roman" w:hint="default"/>
                <w:spacing w:val="-7"/>
                <w:sz w:val="18"/>
                <w:szCs w:val="18"/>
              </w:rPr>
              <w:t>2017-055</w:t>
            </w:r>
            <w:r>
              <w:rPr>
                <w:rFonts w:ascii="宋体" w:hAnsi="宋体" w:cs="宋体" w:eastAsia="宋体" w:hint="default"/>
                <w:spacing w:val="-7"/>
                <w:sz w:val="18"/>
                <w:szCs w:val="18"/>
              </w:rPr>
              <w:t>）巨</w:t>
            </w:r>
            <w:r>
              <w:rPr>
                <w:rFonts w:ascii="宋体" w:hAnsi="宋体" w:cs="宋体" w:eastAsia="宋体" w:hint="default"/>
                <w:sz w:val="18"/>
                <w:szCs w:val="18"/>
              </w:rPr>
              <w:t> 潮资讯网</w:t>
            </w:r>
          </w:p>
          <w:p>
            <w:pPr>
              <w:pStyle w:val="TableParagraph"/>
              <w:spacing w:line="240" w:lineRule="auto" w:before="26"/>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1033"/>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33"/>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3"/>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李琪</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57" w:lineRule="auto" w:before="51"/>
        <w:ind w:left="1134" w:right="8052"/>
        <w:jc w:val="left"/>
      </w:pPr>
      <w:r>
        <w:rPr/>
        <w:t>连续两次未亲自出席董事会的说明 不适用</w:t>
      </w:r>
    </w:p>
    <w:p>
      <w:pPr>
        <w:spacing w:line="240" w:lineRule="auto" w:before="1"/>
        <w:rPr>
          <w:rFonts w:ascii="宋体" w:hAnsi="宋体" w:cs="宋体" w:eastAsia="宋体" w:hint="default"/>
          <w:sz w:val="20"/>
          <w:szCs w:val="20"/>
        </w:rPr>
      </w:pPr>
    </w:p>
    <w:p>
      <w:pPr>
        <w:pStyle w:val="Heading3"/>
        <w:spacing w:line="240" w:lineRule="auto"/>
        <w:ind w:left="1134" w:right="1033"/>
        <w:jc w:val="left"/>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独立董事对公司有关事项是否提出异议</w:t>
      </w:r>
    </w:p>
    <w:p>
      <w:pPr>
        <w:pStyle w:val="BodyText"/>
        <w:spacing w:line="240" w:lineRule="auto" w:before="117"/>
        <w:ind w:left="1134"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28"/>
        <w:gridCol w:w="4253"/>
        <w:gridCol w:w="3189"/>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1" w:right="0"/>
              <w:jc w:val="left"/>
              <w:rPr>
                <w:rFonts w:ascii="宋体" w:hAnsi="宋体" w:cs="宋体" w:eastAsia="宋体" w:hint="default"/>
                <w:sz w:val="18"/>
                <w:szCs w:val="18"/>
              </w:rPr>
            </w:pPr>
            <w:r>
              <w:rPr>
                <w:rFonts w:ascii="宋体" w:hAnsi="宋体" w:cs="宋体" w:eastAsia="宋体" w:hint="default"/>
                <w:sz w:val="18"/>
                <w:szCs w:val="18"/>
              </w:rPr>
              <w:t>独立董事提出异议的事项</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异议的内容</w:t>
            </w:r>
          </w:p>
        </w:tc>
      </w:tr>
      <w:tr>
        <w:trPr>
          <w:trHeight w:val="133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甘培忠</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r>
              <w:rPr>
                <w:rFonts w:ascii="宋体" w:hAnsi="宋体" w:cs="宋体" w:eastAsia="宋体" w:hint="default"/>
                <w:spacing w:val="-78"/>
                <w:sz w:val="18"/>
                <w:szCs w:val="18"/>
              </w:rPr>
              <w:t>，</w:t>
            </w:r>
            <w:r>
              <w:rPr>
                <w:rFonts w:ascii="宋体" w:hAnsi="宋体" w:cs="宋体" w:eastAsia="宋体" w:hint="default"/>
                <w:sz w:val="18"/>
                <w:szCs w:val="18"/>
              </w:rPr>
              <w:t>第三届董事会第四次会议审议</w:t>
            </w:r>
          </w:p>
          <w:p>
            <w:pPr>
              <w:pStyle w:val="TableParagraph"/>
              <w:spacing w:line="300" w:lineRule="auto" w:before="63"/>
              <w:ind w:left="22" w:right="67"/>
              <w:jc w:val="left"/>
              <w:rPr>
                <w:rFonts w:ascii="宋体" w:hAnsi="宋体" w:cs="宋体" w:eastAsia="宋体" w:hint="default"/>
                <w:sz w:val="18"/>
                <w:szCs w:val="18"/>
              </w:rPr>
            </w:pPr>
            <w:r>
              <w:rPr>
                <w:rFonts w:ascii="宋体" w:hAnsi="宋体" w:cs="宋体" w:eastAsia="宋体" w:hint="default"/>
                <w:sz w:val="18"/>
                <w:szCs w:val="18"/>
              </w:rPr>
              <w:t>的《关于取消原</w:t>
            </w:r>
            <w:r>
              <w:rPr>
                <w:rFonts w:ascii="Times New Roman" w:hAnsi="Times New Roman" w:cs="Times New Roman" w:eastAsia="Times New Roman" w:hint="default"/>
                <w:sz w:val="18"/>
                <w:szCs w:val="18"/>
              </w:rPr>
              <w:t>&lt;</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年度利润分配及资本 公积金转增股本预案的议案</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的议案》及《关于公司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年度利润分配及资本公积金转增股本方案》</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23" w:firstLine="360"/>
              <w:jc w:val="left"/>
              <w:rPr>
                <w:rFonts w:ascii="宋体" w:hAnsi="宋体" w:cs="宋体" w:eastAsia="宋体" w:hint="default"/>
                <w:sz w:val="18"/>
                <w:szCs w:val="18"/>
              </w:rPr>
            </w:pPr>
            <w:r>
              <w:rPr>
                <w:rFonts w:ascii="宋体" w:hAnsi="宋体" w:cs="宋体" w:eastAsia="宋体" w:hint="default"/>
                <w:sz w:val="18"/>
                <w:szCs w:val="18"/>
              </w:rPr>
              <w:t>不同意取消原</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年度利润分配及 资本公积金转增股本预案。</w:t>
            </w:r>
          </w:p>
        </w:tc>
      </w:tr>
      <w:tr>
        <w:trPr>
          <w:trHeight w:val="1650"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3"/>
              <w:jc w:val="left"/>
              <w:rPr>
                <w:rFonts w:ascii="宋体" w:hAnsi="宋体" w:cs="宋体" w:eastAsia="宋体" w:hint="default"/>
                <w:sz w:val="18"/>
                <w:szCs w:val="18"/>
              </w:rPr>
            </w:pPr>
            <w:r>
              <w:rPr>
                <w:rFonts w:ascii="宋体" w:hAnsi="宋体" w:cs="宋体" w:eastAsia="宋体" w:hint="default"/>
                <w:sz w:val="18"/>
                <w:szCs w:val="18"/>
              </w:rPr>
              <w:t>独立董事对公司有关事项 提出异议的说明</w:t>
            </w:r>
          </w:p>
        </w:tc>
        <w:tc>
          <w:tcPr>
            <w:tcW w:w="744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firstLine="360"/>
              <w:jc w:val="both"/>
              <w:rPr>
                <w:rFonts w:ascii="宋体" w:hAnsi="宋体" w:cs="宋体" w:eastAsia="宋体" w:hint="default"/>
                <w:sz w:val="18"/>
                <w:szCs w:val="18"/>
              </w:rPr>
            </w:pPr>
            <w:r>
              <w:rPr>
                <w:rFonts w:ascii="宋体" w:hAnsi="宋体" w:cs="宋体" w:eastAsia="宋体" w:hint="default"/>
                <w:sz w:val="18"/>
                <w:szCs w:val="18"/>
              </w:rPr>
              <w:t>已经公司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日第三届董事会第三次会议审议通过的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年度利润分配及资本 公积金转增股本预案符合</w:t>
            </w:r>
            <w:r>
              <w:rPr>
                <w:rFonts w:ascii="宋体" w:hAnsi="宋体" w:cs="宋体" w:eastAsia="宋体" w:hint="default"/>
                <w:spacing w:val="-17"/>
                <w:sz w:val="18"/>
                <w:szCs w:val="18"/>
              </w:rPr>
              <w:t> </w:t>
            </w:r>
            <w:r>
              <w:rPr>
                <w:rFonts w:ascii="宋体" w:hAnsi="宋体" w:cs="宋体" w:eastAsia="宋体" w:hint="default"/>
                <w:spacing w:val="-8"/>
                <w:sz w:val="18"/>
                <w:szCs w:val="18"/>
              </w:rPr>
              <w:t>《公司法》、《公司章程》等相关规定，符合公司利润分配政策，与公</w:t>
            </w:r>
            <w:r>
              <w:rPr>
                <w:rFonts w:ascii="宋体" w:hAnsi="宋体" w:cs="宋体" w:eastAsia="宋体" w:hint="default"/>
                <w:sz w:val="18"/>
                <w:szCs w:val="18"/>
              </w:rPr>
              <w:t> 司业绩成长性相匹配，有利于公司的持续稳定健康发展，提高股票流动性，没有损害广大股东 </w:t>
            </w:r>
            <w:r>
              <w:rPr>
                <w:rFonts w:ascii="宋体" w:hAnsi="宋体" w:cs="宋体" w:eastAsia="宋体" w:hint="default"/>
                <w:spacing w:val="-3"/>
                <w:sz w:val="18"/>
                <w:szCs w:val="18"/>
              </w:rPr>
              <w:t>特别是中小股东的利益，不存在取消的理由。因此，不同意取消原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年度利润分配及资本公 积金转增股本预案。</w:t>
            </w:r>
          </w:p>
        </w:tc>
      </w:tr>
    </w:tbl>
    <w:p>
      <w:pPr>
        <w:spacing w:after="0" w:line="30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1033"/>
        <w:jc w:val="left"/>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独立董事对公司有关建议是否被采纳</w:t>
      </w:r>
    </w:p>
    <w:p>
      <w:pPr>
        <w:pStyle w:val="BodyText"/>
        <w:spacing w:line="340"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1033" w:firstLine="360"/>
        <w:jc w:val="left"/>
      </w:pPr>
      <w:r>
        <w:rPr>
          <w:spacing w:val="-2"/>
        </w:rPr>
        <w:t>报告期内，公司独立董事严格按照《公司法》、《证券法》、《深圳证券交易所创业板股票上市规则》、《深圳证券交</w:t>
      </w:r>
      <w:r>
        <w:rPr/>
        <w:t> </w:t>
      </w:r>
      <w:r>
        <w:rPr>
          <w:spacing w:val="-4"/>
        </w:rPr>
        <w:t>易所创业板上市公司规范运作指引》、《关于在上市公司建立独立董事制度的指导意见》及《公司章程》等规范性文件要求，</w:t>
      </w:r>
      <w:r>
        <w:rPr>
          <w:spacing w:val="-44"/>
        </w:rPr>
        <w:t> </w:t>
      </w:r>
      <w:r>
        <w:rPr>
          <w:spacing w:val="-44"/>
        </w:rPr>
      </w:r>
      <w:r>
        <w:rPr>
          <w:spacing w:val="-2"/>
        </w:rPr>
        <w:t>积极出席公司董事会、股东大会，认真履行独立董事职责，对公司的发展决策提出了建设性的意见或建议，与其他董事、监</w:t>
      </w:r>
      <w:r>
        <w:rPr>
          <w:spacing w:val="-66"/>
        </w:rPr>
        <w:t> </w:t>
      </w:r>
      <w:r>
        <w:rPr>
          <w:spacing w:val="-66"/>
        </w:rPr>
      </w:r>
      <w:r>
        <w:rPr>
          <w:spacing w:val="-2"/>
        </w:rPr>
        <w:t>事及管理层及时沟通交流，掌握公司发展动态。同时，对公司完善内控制度等方面提出了很多专业性建议，有效保证了公司</w:t>
      </w:r>
      <w:r>
        <w:rPr>
          <w:spacing w:val="-66"/>
        </w:rPr>
        <w:t> </w:t>
      </w:r>
      <w:r>
        <w:rPr>
          <w:spacing w:val="-66"/>
        </w:rPr>
      </w:r>
      <w:r>
        <w:rPr>
          <w:spacing w:val="-2"/>
        </w:rPr>
        <w:t>董事会决策的公正性和客观性，维护了公司整体利益和广大中小股东的合法权益，为公司的规范运作和健康发展发挥了积极</w:t>
      </w:r>
      <w:r>
        <w:rPr>
          <w:spacing w:val="-64"/>
        </w:rPr>
        <w:t> </w:t>
      </w:r>
      <w:r>
        <w:rPr>
          <w:spacing w:val="-64"/>
        </w:rPr>
      </w:r>
      <w:r>
        <w:rPr/>
        <w:t>作用。</w:t>
      </w:r>
    </w:p>
    <w:p>
      <w:pPr>
        <w:spacing w:line="240" w:lineRule="auto" w:before="10"/>
        <w:rPr>
          <w:rFonts w:ascii="宋体" w:hAnsi="宋体" w:cs="宋体" w:eastAsia="宋体" w:hint="default"/>
          <w:sz w:val="20"/>
          <w:szCs w:val="20"/>
        </w:rPr>
      </w:pPr>
    </w:p>
    <w:p>
      <w:pPr>
        <w:pStyle w:val="Heading2"/>
        <w:spacing w:line="240" w:lineRule="auto"/>
        <w:ind w:right="1033"/>
        <w:jc w:val="left"/>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left="1134" w:right="1033" w:firstLine="360"/>
        <w:jc w:val="left"/>
      </w:pPr>
      <w:r>
        <w:rPr>
          <w:spacing w:val="-2"/>
        </w:rPr>
        <w:t>公司董事会下设四个专门委员会，分别为：战略委员会、审计委员会、薪酬与考核委员会、提名委员会。</w:t>
      </w:r>
      <w:r>
        <w:rPr>
          <w:rFonts w:ascii="Times New Roman" w:hAnsi="Times New Roman" w:cs="Times New Roman" w:eastAsia="Times New Roman" w:hint="default"/>
          <w:spacing w:val="-2"/>
        </w:rPr>
        <w:t>2017</w:t>
      </w:r>
      <w:r>
        <w:rPr>
          <w:spacing w:val="-2"/>
        </w:rPr>
        <w:t>年度，各</w:t>
      </w:r>
      <w:r>
        <w:rPr/>
        <w:t> 专门委员会本着勤勉尽责的原则，按照有关法律、法规、规范性文件及公司各专门委员会工作细则的规定开展相关工作。</w:t>
      </w:r>
    </w:p>
    <w:p>
      <w:pPr>
        <w:pStyle w:val="BodyText"/>
        <w:spacing w:line="240" w:lineRule="auto" w:before="69"/>
        <w:ind w:left="1493" w:right="1033"/>
        <w:jc w:val="left"/>
      </w:pPr>
      <w:r>
        <w:rPr/>
        <w:t>报告期内，各专门委员会履职情况如下：</w:t>
      </w:r>
    </w:p>
    <w:p>
      <w:pPr>
        <w:pStyle w:val="BodyText"/>
        <w:spacing w:line="309" w:lineRule="auto" w:before="116"/>
        <w:ind w:right="1133" w:firstLine="420"/>
        <w:jc w:val="both"/>
      </w:pPr>
      <w:r>
        <w:rPr>
          <w:rFonts w:ascii="Times New Roman" w:hAnsi="Times New Roman" w:cs="Times New Roman" w:eastAsia="Times New Roman" w:hint="default"/>
        </w:rPr>
        <w:t>1.</w:t>
      </w:r>
      <w:r>
        <w:rPr/>
        <w:t>报告期内，公司董事会战略委员会按照《董事会战略委员会工作细则》等相关制度的规定，了解公司的经营情况及 </w:t>
      </w:r>
      <w:r>
        <w:rPr>
          <w:spacing w:val="-2"/>
        </w:rPr>
        <w:t>发展状况，对公司的战略规划进行审核，积极研究符合公司发展方向的战略布局，为公司的健康、快速发展出谋划策，促进</w:t>
      </w:r>
      <w:r>
        <w:rPr>
          <w:spacing w:val="-66"/>
        </w:rPr>
        <w:t> </w:t>
      </w:r>
      <w:r>
        <w:rPr>
          <w:spacing w:val="-66"/>
        </w:rPr>
      </w:r>
      <w:r>
        <w:rPr/>
        <w:t>了公司董事会决策的科学性、高效性。</w:t>
      </w:r>
    </w:p>
    <w:p>
      <w:pPr>
        <w:pStyle w:val="BodyText"/>
        <w:spacing w:line="309" w:lineRule="auto" w:before="62"/>
        <w:ind w:right="1033" w:firstLine="420"/>
        <w:jc w:val="left"/>
      </w:pPr>
      <w:r>
        <w:rPr>
          <w:rFonts w:ascii="Times New Roman" w:hAnsi="Times New Roman" w:cs="Times New Roman" w:eastAsia="Times New Roman" w:hint="default"/>
        </w:rPr>
        <w:t>2.</w:t>
      </w:r>
      <w:r>
        <w:rPr/>
        <w:t>报告期内，公司董事会审计委员会按照《董事会审计委员会工作细则》等相关制度的规定，积极履行职责，认真审 </w:t>
      </w:r>
      <w:r>
        <w:rPr>
          <w:spacing w:val="-2"/>
        </w:rPr>
        <w:t>议公司内审部门提交的内审报告及工作计划，指导公司审计部在内部审计过程中应重点关注和检查的事项，督促公司内部控</w:t>
      </w:r>
      <w:r>
        <w:rPr>
          <w:spacing w:val="-64"/>
        </w:rPr>
        <w:t> </w:t>
      </w:r>
      <w:r>
        <w:rPr>
          <w:spacing w:val="-64"/>
        </w:rPr>
      </w:r>
      <w:r>
        <w:rPr>
          <w:spacing w:val="-2"/>
        </w:rPr>
        <w:t>制的有效执行。在</w:t>
      </w:r>
      <w:r>
        <w:rPr>
          <w:rFonts w:ascii="Times New Roman" w:hAnsi="Times New Roman" w:cs="Times New Roman" w:eastAsia="Times New Roman" w:hint="default"/>
          <w:spacing w:val="-2"/>
        </w:rPr>
        <w:t>2017</w:t>
      </w:r>
      <w:r>
        <w:rPr>
          <w:spacing w:val="-2"/>
        </w:rPr>
        <w:t>年度审计报告编制过程中，审计委员会在审计机构进场前与会计师召开了第一次沟通见面会，确定了</w:t>
      </w:r>
      <w:r>
        <w:rPr>
          <w:spacing w:val="-62"/>
        </w:rPr>
        <w:t> </w:t>
      </w:r>
      <w:r>
        <w:rPr>
          <w:spacing w:val="-62"/>
        </w:rPr>
      </w:r>
      <w:r>
        <w:rPr>
          <w:spacing w:val="-2"/>
        </w:rPr>
        <w:t>审计机构进场审计的时间及</w:t>
      </w:r>
      <w:r>
        <w:rPr>
          <w:rFonts w:ascii="Times New Roman" w:hAnsi="Times New Roman" w:cs="Times New Roman" w:eastAsia="Times New Roman" w:hint="default"/>
          <w:spacing w:val="-2"/>
        </w:rPr>
        <w:t>2017</w:t>
      </w:r>
      <w:r>
        <w:rPr>
          <w:spacing w:val="-2"/>
        </w:rPr>
        <w:t>年度财务报告的审计计划，并在审计过程中加强了与会计师的联系，督促其按计划进行审计</w:t>
      </w:r>
      <w:r>
        <w:rPr>
          <w:spacing w:val="-60"/>
        </w:rPr>
        <w:t> </w:t>
      </w:r>
      <w:r>
        <w:rPr>
          <w:spacing w:val="-60"/>
        </w:rPr>
      </w:r>
      <w:r>
        <w:rPr>
          <w:spacing w:val="-2"/>
        </w:rPr>
        <w:t>工作，对发现的问题保持及时有效沟通，积极提出建议，提高审计效率，为公司</w:t>
      </w:r>
      <w:r>
        <w:rPr>
          <w:rFonts w:ascii="Times New Roman" w:hAnsi="Times New Roman" w:cs="Times New Roman" w:eastAsia="Times New Roman" w:hint="default"/>
          <w:spacing w:val="-2"/>
        </w:rPr>
        <w:t>2017</w:t>
      </w:r>
      <w:r>
        <w:rPr>
          <w:spacing w:val="-2"/>
        </w:rPr>
        <w:t>年度报告的高质、高效披露提供了有利</w:t>
      </w:r>
      <w:r>
        <w:rPr>
          <w:spacing w:val="-62"/>
        </w:rPr>
        <w:t> </w:t>
      </w:r>
      <w:r>
        <w:rPr>
          <w:spacing w:val="-62"/>
        </w:rPr>
      </w:r>
      <w:r>
        <w:rPr>
          <w:spacing w:val="-2"/>
        </w:rPr>
        <w:t>保障。审计委员会每个季度至少召开一次会议审议内部审计工作的开展情况，对内审工作是否按照年初制定的审计计划实施</w:t>
      </w:r>
      <w:r>
        <w:rPr>
          <w:spacing w:val="-64"/>
        </w:rPr>
        <w:t> </w:t>
      </w:r>
      <w:r>
        <w:rPr>
          <w:spacing w:val="-64"/>
        </w:rPr>
      </w:r>
      <w:r>
        <w:rPr/>
        <w:t>进行了核查，并提出了合理的建议，监督和促进了公司内部审计工作的开展同时审计委员会认真履行内控指导和监督职责， </w:t>
      </w:r>
      <w:r>
        <w:rPr>
          <w:spacing w:val="-2"/>
        </w:rPr>
        <w:t>督促公司建立健全内控制度，促进公司持续健康发展。报告期内，对聘请外部审计机构、聘任内审部门负责人事项发表了审</w:t>
      </w:r>
      <w:r>
        <w:rPr>
          <w:spacing w:val="-66"/>
        </w:rPr>
        <w:t> </w:t>
      </w:r>
      <w:r>
        <w:rPr>
          <w:spacing w:val="-66"/>
        </w:rPr>
      </w:r>
      <w:r>
        <w:rPr/>
        <w:t>核意见。</w:t>
      </w:r>
    </w:p>
    <w:p>
      <w:pPr>
        <w:pStyle w:val="BodyText"/>
        <w:spacing w:line="309" w:lineRule="auto" w:before="62"/>
        <w:ind w:left="1134" w:right="1131" w:firstLine="420"/>
        <w:jc w:val="both"/>
      </w:pPr>
      <w:r>
        <w:rPr>
          <w:rFonts w:ascii="Times New Roman" w:hAnsi="Times New Roman" w:cs="Times New Roman" w:eastAsia="Times New Roman" w:hint="default"/>
        </w:rPr>
        <w:t>3.</w:t>
      </w:r>
      <w:r>
        <w:rPr/>
        <w:t>报告期内，公司董事会薪酬与考核委员会，按照《董事会薪酬与考核委员会工作细则》等相关制度的规定，对公司 </w:t>
      </w:r>
      <w:r>
        <w:rPr>
          <w:spacing w:val="-2"/>
        </w:rPr>
        <w:t>董事和高级管理人员的薪酬情况进行了考评，监督公司薪酬制度的执行情况。并对公司第一期股票期权激励计划首次授予期</w:t>
      </w:r>
      <w:r>
        <w:rPr>
          <w:spacing w:val="-64"/>
        </w:rPr>
        <w:t> </w:t>
      </w:r>
      <w:r>
        <w:rPr>
          <w:spacing w:val="-64"/>
        </w:rPr>
      </w:r>
      <w:r>
        <w:rPr/>
        <w:t>权第二个行权期可行权事项发表了审核意见。</w:t>
      </w:r>
    </w:p>
    <w:p>
      <w:pPr>
        <w:pStyle w:val="BodyText"/>
        <w:spacing w:line="309" w:lineRule="auto" w:before="64"/>
        <w:ind w:left="1134" w:right="1032" w:firstLine="420"/>
        <w:jc w:val="left"/>
      </w:pPr>
      <w:r>
        <w:rPr>
          <w:rFonts w:ascii="Times New Roman" w:hAnsi="Times New Roman" w:cs="Times New Roman" w:eastAsia="Times New Roman" w:hint="default"/>
        </w:rPr>
        <w:t>4.</w:t>
      </w:r>
      <w:r>
        <w:rPr/>
        <w:t>报告期内，董事会提名委员会按照《董事会提名委员会工作细则》等相关制度的规定，认真履行自己的职责，对董 事长、副董事长提名，补选董事，聘任高级管理人员等事项提出了建设性建议，并对相关人员的任职资格认真进行了核查， 并发表了审核意见。</w:t>
      </w:r>
    </w:p>
    <w:p>
      <w:pPr>
        <w:spacing w:line="240" w:lineRule="auto" w:before="13"/>
        <w:rPr>
          <w:rFonts w:ascii="宋体" w:hAnsi="宋体" w:cs="宋体" w:eastAsia="宋体" w:hint="default"/>
          <w:sz w:val="20"/>
          <w:szCs w:val="20"/>
        </w:rPr>
      </w:pPr>
    </w:p>
    <w:p>
      <w:pPr>
        <w:pStyle w:val="Heading2"/>
        <w:spacing w:line="240" w:lineRule="auto"/>
        <w:ind w:left="1134" w:right="1033"/>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监事会在报告期内的监督活动中发现公司是否存在风险</w:t>
      </w:r>
    </w:p>
    <w:p>
      <w:pPr>
        <w:pStyle w:val="BodyText"/>
        <w:spacing w:line="338"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1033"/>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firstLine="360"/>
        <w:jc w:val="left"/>
      </w:pPr>
      <w:r>
        <w:rPr>
          <w:spacing w:val="-2"/>
        </w:rPr>
        <w:t>报告期内，公司采取高级管理人员的薪酬与公司业绩挂钩的绩效考核与激励约束机制，对高级管理人员实行基本年薪和</w:t>
      </w:r>
      <w:r>
        <w:rPr/>
        <w:t> 年终绩效考核相结合的薪酬制度。</w:t>
      </w:r>
    </w:p>
    <w:p>
      <w:pPr>
        <w:pStyle w:val="BodyText"/>
        <w:spacing w:line="319" w:lineRule="auto" w:before="56"/>
        <w:ind w:right="1033" w:firstLine="360"/>
        <w:jc w:val="left"/>
      </w:pPr>
      <w:r>
        <w:rPr>
          <w:spacing w:val="-2"/>
        </w:rPr>
        <w:t>根据公司年度经营目标完成情况以及高级管理人员的工作业绩，由董事会薪酬与考核委员会对高级管理人员进行年度绩</w:t>
      </w:r>
      <w:r>
        <w:rPr/>
        <w:t> 效考核，并监督薪酬制度执行情况。公司则根据绩效考核结果兑现其绩效年薪，并进行奖惩。</w:t>
      </w:r>
    </w:p>
    <w:p>
      <w:pPr>
        <w:spacing w:line="240" w:lineRule="auto" w:before="7"/>
        <w:rPr>
          <w:rFonts w:ascii="宋体" w:hAnsi="宋体" w:cs="宋体" w:eastAsia="宋体" w:hint="default"/>
          <w:sz w:val="20"/>
          <w:szCs w:val="20"/>
        </w:rPr>
      </w:pPr>
    </w:p>
    <w:p>
      <w:pPr>
        <w:pStyle w:val="Heading2"/>
        <w:spacing w:line="240" w:lineRule="auto"/>
        <w:ind w:right="1033"/>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624" w:lineRule="exact"/>
        <w:ind w:left="7679"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8pt;height:31.2pt;mso-position-horizontal-relative:char;mso-position-vertical-relative:line" coordorigin="0,0" coordsize="2996,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3"/>
        <w:rPr>
          <w:rFonts w:ascii="宋体" w:hAnsi="宋体" w:cs="宋体" w:eastAsia="宋体" w:hint="default"/>
          <w:b/>
          <w:bCs/>
          <w:sz w:val="21"/>
          <w:szCs w:val="21"/>
        </w:rPr>
      </w:pPr>
    </w:p>
    <w:p>
      <w:pPr>
        <w:pStyle w:val="BodyText"/>
        <w:spacing w:line="240" w:lineRule="auto" w:before="44"/>
        <w:ind w:left="0" w:right="1139"/>
        <w:jc w:val="right"/>
      </w:pPr>
      <w:r>
        <w:rPr/>
        <w:pict>
          <v:shape style="position:absolute;margin-left:56.459999pt;margin-top:-355.408264pt;width:479.2pt;height:451.2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6"/>
                    <w:gridCol w:w="347"/>
                    <w:gridCol w:w="3347"/>
                    <w:gridCol w:w="3039"/>
                  </w:tblGrid>
                  <w:tr>
                    <w:trPr>
                      <w:trHeight w:val="402"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8"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792"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3693" w:type="dxa"/>
                        <w:gridSpan w:val="2"/>
                        <w:vMerge w:val="restart"/>
                        <w:tcBorders>
                          <w:top w:val="single" w:sz="4" w:space="0" w:color="000000"/>
                          <w:left w:val="single" w:sz="9" w:space="0" w:color="D2D2D2"/>
                          <w:right w:val="single" w:sz="9" w:space="0" w:color="FFFFFF"/>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财务报告内部控制存在重大缺陷的迹象包括：</w:t>
                        </w:r>
                      </w:p>
                      <w:p>
                        <w:pPr>
                          <w:pStyle w:val="TableParagraph"/>
                          <w:spacing w:line="309" w:lineRule="auto" w:before="76"/>
                          <w:ind w:left="16" w:right="25"/>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）控制环境无效；（</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）公司董事、监事和高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级管理人员舞弊并给公司造成重大损失和不利 </w:t>
                        </w:r>
                        <w:r>
                          <w:rPr>
                            <w:rFonts w:ascii="宋体" w:hAnsi="宋体" w:cs="宋体" w:eastAsia="宋体" w:hint="default"/>
                            <w:spacing w:val="-5"/>
                            <w:sz w:val="18"/>
                            <w:szCs w:val="18"/>
                          </w:rPr>
                          <w:t>影响；（</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）注册会计师发现当期财务报告存在</w:t>
                        </w:r>
                        <w:r>
                          <w:rPr>
                            <w:rFonts w:ascii="宋体" w:hAnsi="宋体" w:cs="宋体" w:eastAsia="宋体" w:hint="default"/>
                            <w:spacing w:val="-75"/>
                            <w:sz w:val="18"/>
                            <w:szCs w:val="18"/>
                          </w:rPr>
                          <w:t> </w:t>
                        </w:r>
                        <w:r>
                          <w:rPr>
                            <w:rFonts w:ascii="宋体" w:hAnsi="宋体" w:cs="宋体" w:eastAsia="宋体" w:hint="default"/>
                            <w:sz w:val="18"/>
                            <w:szCs w:val="18"/>
                          </w:rPr>
                          <w:t>重大错报，而内部控制在运行过程中未能发现 </w:t>
                        </w:r>
                        <w:r>
                          <w:rPr>
                            <w:rFonts w:ascii="宋体" w:hAnsi="宋体" w:cs="宋体" w:eastAsia="宋体" w:hint="default"/>
                            <w:spacing w:val="-5"/>
                            <w:sz w:val="18"/>
                            <w:szCs w:val="18"/>
                          </w:rPr>
                          <w:t>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）已经发现并报告给管理层的重要</w:t>
                        </w:r>
                        <w:r>
                          <w:rPr>
                            <w:rFonts w:ascii="宋体" w:hAnsi="宋体" w:cs="宋体" w:eastAsia="宋体" w:hint="default"/>
                            <w:spacing w:val="-75"/>
                            <w:sz w:val="18"/>
                            <w:szCs w:val="18"/>
                          </w:rPr>
                          <w:t> </w:t>
                        </w:r>
                        <w:r>
                          <w:rPr>
                            <w:rFonts w:ascii="宋体" w:hAnsi="宋体" w:cs="宋体" w:eastAsia="宋体" w:hint="default"/>
                            <w:spacing w:val="-5"/>
                            <w:sz w:val="18"/>
                            <w:szCs w:val="18"/>
                          </w:rPr>
                          <w:t>缺陷在合理的时间内未加以改正；（</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）审计委</w:t>
                        </w:r>
                        <w:r>
                          <w:rPr>
                            <w:rFonts w:ascii="宋体" w:hAnsi="宋体" w:cs="宋体" w:eastAsia="宋体" w:hint="default"/>
                            <w:spacing w:val="-75"/>
                            <w:sz w:val="18"/>
                            <w:szCs w:val="18"/>
                          </w:rPr>
                          <w:t> </w:t>
                        </w:r>
                        <w:r>
                          <w:rPr>
                            <w:rFonts w:ascii="宋体" w:hAnsi="宋体" w:cs="宋体" w:eastAsia="宋体" w:hint="default"/>
                            <w:sz w:val="18"/>
                            <w:szCs w:val="18"/>
                          </w:rPr>
                          <w:t>员会和内部审计部对公司的内部控制监督无 效。财务报告内部控制存在重要缺陷的迹象包 </w:t>
                        </w:r>
                        <w:r>
                          <w:rPr>
                            <w:rFonts w:ascii="宋体" w:hAnsi="宋体" w:cs="宋体" w:eastAsia="宋体" w:hint="default"/>
                            <w:spacing w:val="-5"/>
                            <w:sz w:val="18"/>
                            <w:szCs w:val="18"/>
                          </w:rPr>
                          <w:t>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）未依照公认会计准则选择和应用会计</w:t>
                        </w:r>
                        <w:r>
                          <w:rPr>
                            <w:rFonts w:ascii="宋体" w:hAnsi="宋体" w:cs="宋体" w:eastAsia="宋体" w:hint="default"/>
                            <w:spacing w:val="-75"/>
                            <w:sz w:val="18"/>
                            <w:szCs w:val="18"/>
                          </w:rPr>
                          <w:t> </w:t>
                        </w:r>
                        <w:r>
                          <w:rPr>
                            <w:rFonts w:ascii="宋体" w:hAnsi="宋体" w:cs="宋体" w:eastAsia="宋体" w:hint="default"/>
                            <w:spacing w:val="-12"/>
                            <w:sz w:val="18"/>
                            <w:szCs w:val="18"/>
                          </w:rPr>
                          <w:t>政策；（</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）未建立反舞弊程序和控制措施；（</w:t>
                        </w:r>
                        <w:r>
                          <w:rPr>
                            <w:rFonts w:ascii="Times New Roman" w:hAnsi="Times New Roman" w:cs="Times New Roman" w:eastAsia="Times New Roman" w:hint="default"/>
                            <w:spacing w:val="-12"/>
                            <w:sz w:val="18"/>
                            <w:szCs w:val="18"/>
                          </w:rPr>
                          <w:t>3</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财务报告过程中出现单独或多项缺陷，虽然未 达到重大缺陷认定标准，但影响到财务报告达 </w:t>
                        </w:r>
                        <w:r>
                          <w:rPr>
                            <w:rFonts w:ascii="宋体" w:hAnsi="宋体" w:cs="宋体" w:eastAsia="宋体" w:hint="default"/>
                            <w:spacing w:val="-5"/>
                            <w:sz w:val="18"/>
                            <w:szCs w:val="18"/>
                          </w:rPr>
                          <w:t>到真实、准确的目标；（</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）对于非常规或特殊</w:t>
                        </w:r>
                        <w:r>
                          <w:rPr>
                            <w:rFonts w:ascii="宋体" w:hAnsi="宋体" w:cs="宋体" w:eastAsia="宋体" w:hint="default"/>
                            <w:spacing w:val="-75"/>
                            <w:sz w:val="18"/>
                            <w:szCs w:val="18"/>
                          </w:rPr>
                          <w:t> </w:t>
                        </w:r>
                        <w:r>
                          <w:rPr>
                            <w:rFonts w:ascii="宋体" w:hAnsi="宋体" w:cs="宋体" w:eastAsia="宋体" w:hint="default"/>
                            <w:sz w:val="18"/>
                            <w:szCs w:val="18"/>
                          </w:rPr>
                          <w:t>交易的账务处理没有建立相应的控制机制或没 有实施且没有相应的补偿性控制。一般缺陷是 指除上述重大缺陷、重要缺陷之外的其他控制 缺陷。</w:t>
                        </w:r>
                      </w:p>
                    </w:tc>
                    <w:tc>
                      <w:tcPr>
                        <w:tcW w:w="3039" w:type="dxa"/>
                        <w:vMerge w:val="restart"/>
                        <w:tcBorders>
                          <w:top w:val="single" w:sz="4" w:space="0" w:color="000000"/>
                          <w:left w:val="single" w:sz="9" w:space="0" w:color="FFFFFF"/>
                          <w:right w:val="single" w:sz="4" w:space="0" w:color="000000"/>
                        </w:tcBorders>
                      </w:tcPr>
                      <w:p>
                        <w:pPr>
                          <w:pStyle w:val="TableParagraph"/>
                          <w:spacing w:line="307" w:lineRule="auto" w:before="51"/>
                          <w:ind w:left="4" w:right="-42"/>
                          <w:jc w:val="both"/>
                          <w:rPr>
                            <w:rFonts w:ascii="宋体" w:hAnsi="宋体" w:cs="宋体" w:eastAsia="宋体" w:hint="default"/>
                            <w:sz w:val="18"/>
                            <w:szCs w:val="18"/>
                          </w:rPr>
                        </w:pPr>
                        <w:r>
                          <w:rPr>
                            <w:rFonts w:ascii="宋体" w:hAnsi="宋体" w:cs="宋体" w:eastAsia="宋体" w:hint="default"/>
                            <w:spacing w:val="-9"/>
                            <w:sz w:val="18"/>
                            <w:szCs w:val="18"/>
                          </w:rPr>
                          <w:t>重大缺陷的认定标准：（</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）公司重大事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项决策违反国家法律法规，决策程序缺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乏集体民主程序，或集体民主决策程序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不规范；（</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）公司决策程序不科学，或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决策出现重大失误；（</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）重要业务缺乏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制度控制或制度系统性失效；（</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）中高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级管理人员和高级技术人员严重流失；</w:t>
                        </w:r>
                      </w:p>
                      <w:p>
                        <w:pPr>
                          <w:pStyle w:val="TableParagraph"/>
                          <w:spacing w:line="309" w:lineRule="auto" w:before="26"/>
                          <w:ind w:left="4"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）媒体负面新闻频频曝光，对公司 </w:t>
                        </w:r>
                        <w:r>
                          <w:rPr>
                            <w:rFonts w:ascii="宋体" w:hAnsi="宋体" w:cs="宋体" w:eastAsia="宋体" w:hint="default"/>
                            <w:spacing w:val="-4"/>
                            <w:sz w:val="18"/>
                            <w:szCs w:val="18"/>
                          </w:rPr>
                          <w:t>声誉造成重大损害，或发生严重影响社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会公共利益的事件；（</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）内部控制评价</w:t>
                        </w:r>
                      </w:p>
                      <w:p>
                        <w:pPr>
                          <w:pStyle w:val="TableParagraph"/>
                          <w:spacing w:line="186" w:lineRule="exact" w:before="5"/>
                          <w:ind w:left="4" w:right="0"/>
                          <w:jc w:val="both"/>
                          <w:rPr>
                            <w:rFonts w:ascii="宋体" w:hAnsi="宋体" w:cs="宋体" w:eastAsia="宋体" w:hint="default"/>
                            <w:sz w:val="18"/>
                            <w:szCs w:val="18"/>
                          </w:rPr>
                        </w:pPr>
                        <w:r>
                          <w:rPr>
                            <w:rFonts w:ascii="宋体" w:hAnsi="宋体" w:cs="宋体" w:eastAsia="宋体" w:hint="default"/>
                            <w:sz w:val="18"/>
                            <w:szCs w:val="18"/>
                          </w:rPr>
                          <w:t>的结果特别是重大缺陷或重要缺陷未</w:t>
                        </w:r>
                      </w:p>
                      <w:p>
                        <w:pPr>
                          <w:pStyle w:val="TableParagraph"/>
                          <w:spacing w:line="15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9" w:lineRule="exact"/>
                          <w:ind w:left="4" w:right="0"/>
                          <w:jc w:val="both"/>
                          <w:rPr>
                            <w:rFonts w:ascii="宋体" w:hAnsi="宋体" w:cs="宋体" w:eastAsia="宋体" w:hint="default"/>
                            <w:sz w:val="18"/>
                            <w:szCs w:val="18"/>
                          </w:rPr>
                        </w:pPr>
                        <w:r>
                          <w:rPr>
                            <w:rFonts w:ascii="宋体" w:hAnsi="宋体" w:cs="宋体" w:eastAsia="宋体" w:hint="default"/>
                            <w:sz w:val="18"/>
                            <w:szCs w:val="18"/>
                          </w:rPr>
                          <w:t>得到整改。重要缺陷的认定标准</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4" w:right="0"/>
                          <w:jc w:val="both"/>
                          <w:rPr>
                            <w:rFonts w:ascii="宋体" w:hAnsi="宋体" w:cs="宋体" w:eastAsia="宋体" w:hint="default"/>
                            <w:sz w:val="18"/>
                            <w:szCs w:val="18"/>
                          </w:rPr>
                        </w:pPr>
                        <w:r>
                          <w:rPr>
                            <w:rFonts w:ascii="宋体" w:hAnsi="宋体" w:cs="宋体" w:eastAsia="宋体" w:hint="default"/>
                            <w:sz w:val="18"/>
                            <w:szCs w:val="18"/>
                          </w:rPr>
                          <w:t>重要业务制度控制或系统存在缺陷；</w:t>
                        </w:r>
                      </w:p>
                      <w:p>
                        <w:pPr>
                          <w:pStyle w:val="TableParagraph"/>
                          <w:spacing w:line="307" w:lineRule="auto" w:before="76"/>
                          <w:ind w:left="4" w:right="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）公司违反国家法律、法规、规章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政府政策等，导致政府或监管机构的调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查，并被处以罚款或罚金；（</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）关键岗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位业务人员流失严重；（</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）媒体出现负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面新闻，波及局部区域。一般缺陷的认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定标准：（</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）违反企业内部规章，但未</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693" w:type="dxa"/>
                        <w:gridSpan w:val="2"/>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794"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3693" w:type="dxa"/>
                        <w:gridSpan w:val="2"/>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footerReference w:type="default" r:id="rId32"/>
          <w:pgSz w:w="11910" w:h="16840"/>
          <w:pgMar w:footer="979" w:header="747"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ind w:left="0" w:right="1139"/>
        <w:jc w:val="right"/>
      </w:pPr>
      <w:r>
        <w:rPr/>
        <w:pict>
          <v:shape style="position:absolute;margin-left:367.713989pt;margin-top:17.53171pt;width:167.2pt;height:70.25pt;mso-position-horizontal-relative:page;mso-position-vertical-relative:paragraph;z-index:-10313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ind w:left="0" w:right="0"/>
                    <w:jc w:val="left"/>
                  </w:pPr>
                  <w:r>
                    <w:rPr/>
                    <w:t>陷：</w:t>
                  </w:r>
                </w:p>
              </w:txbxContent>
            </v:textbox>
            <w10:wrap type="none"/>
          </v:shape>
        </w:pict>
      </w:r>
      <w:r>
        <w:rPr/>
        <w:pict>
          <v:shape style="position:absolute;margin-left:56.459999pt;margin-top:-16.668291pt;width:479.2pt;height:275.150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5"/>
                    <w:gridCol w:w="3683"/>
                    <w:gridCol w:w="3051"/>
                  </w:tblGrid>
                  <w:tr>
                    <w:trPr>
                      <w:trHeight w:val="67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83"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形成损失</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33"/>
                            <w:sz w:val="18"/>
                            <w:szCs w:val="18"/>
                          </w:rPr>
                          <w:t>）</w:t>
                        </w:r>
                        <w:r>
                          <w:rPr>
                            <w:rFonts w:ascii="宋体" w:hAnsi="宋体" w:cs="宋体" w:eastAsia="宋体" w:hint="default"/>
                            <w:sz w:val="18"/>
                            <w:szCs w:val="18"/>
                          </w:rPr>
                          <w:t>一般业务制度或系统存</w:t>
                        </w:r>
                        <w:r>
                          <w:rPr>
                            <w:rFonts w:ascii="宋体" w:hAnsi="宋体" w:cs="宋体" w:eastAsia="宋体" w:hint="default"/>
                            <w:sz w:val="18"/>
                            <w:szCs w:val="18"/>
                          </w:rPr>
                          <w:t> 在缺陷</w:t>
                        </w:r>
                        <w:r>
                          <w:rPr>
                            <w:rFonts w:ascii="宋体" w:hAnsi="宋体" w:cs="宋体" w:eastAsia="宋体" w:hint="default"/>
                            <w:spacing w:val="-16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78"/>
                            <w:sz w:val="18"/>
                            <w:szCs w:val="18"/>
                          </w:rPr>
                          <w:t>）</w:t>
                        </w:r>
                        <w:r>
                          <w:rPr>
                            <w:rFonts w:ascii="宋体" w:hAnsi="宋体" w:cs="宋体" w:eastAsia="宋体" w:hint="default"/>
                            <w:spacing w:val="1"/>
                            <w:sz w:val="18"/>
                            <w:szCs w:val="18"/>
                          </w:rPr>
                          <w:t>公</w:t>
                        </w:r>
                        <w:r>
                          <w:rPr>
                            <w:rFonts w:ascii="宋体" w:hAnsi="宋体" w:cs="宋体" w:eastAsia="宋体" w:hint="default"/>
                            <w:sz w:val="18"/>
                            <w:szCs w:val="18"/>
                          </w:rPr>
                          <w:t>司一般缺陷未得到整改</w:t>
                        </w:r>
                      </w:p>
                    </w:tc>
                  </w:tr>
                  <w:tr>
                    <w:trPr>
                      <w:trHeight w:val="3210"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一般缺陷：资产总额错报额＜资产总额的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 营业收入错报额＜营业收入的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 利润总额错报额＜利润总额的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20"/>
                            <w:sz w:val="18"/>
                            <w:szCs w:val="18"/>
                          </w:rPr>
                          <w:t>。重要缺</w:t>
                        </w:r>
                      </w:p>
                      <w:p>
                        <w:pPr>
                          <w:pStyle w:val="TableParagraph"/>
                          <w:spacing w:line="300" w:lineRule="auto" w:before="5"/>
                          <w:ind w:left="23" w:right="22"/>
                          <w:jc w:val="left"/>
                          <w:rPr>
                            <w:rFonts w:ascii="宋体" w:hAnsi="宋体" w:cs="宋体" w:eastAsia="宋体" w:hint="default"/>
                            <w:sz w:val="18"/>
                            <w:szCs w:val="18"/>
                          </w:rPr>
                        </w:pPr>
                        <w:r>
                          <w:rPr>
                            <w:rFonts w:ascii="宋体" w:hAnsi="宋体" w:cs="宋体" w:eastAsia="宋体" w:hint="default"/>
                            <w:sz w:val="18"/>
                            <w:szCs w:val="18"/>
                          </w:rPr>
                          <w:t>（资产总额错报额）资产总额的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 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宋体" w:hAnsi="宋体" w:cs="宋体" w:eastAsia="宋体" w:hint="default"/>
                            <w:sz w:val="18"/>
                            <w:szCs w:val="18"/>
                          </w:rPr>
                          <w:t>（营业收入错报额）营业收 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（利润总额</w:t>
                        </w:r>
                        <w:r>
                          <w:rPr>
                            <w:rFonts w:ascii="宋体" w:hAnsi="宋体" w:cs="宋体" w:eastAsia="宋体" w:hint="default"/>
                            <w:sz w:val="18"/>
                            <w:szCs w:val="18"/>
                          </w:rPr>
                          <w:t> 错报额）利润总额的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。重大缺陷：资产总额错报额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p>
                      <w:p>
                        <w:pPr>
                          <w:pStyle w:val="TableParagraph"/>
                          <w:spacing w:line="302" w:lineRule="auto" w:before="1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营业收入错报额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利润</w:t>
                        </w:r>
                        <w:r>
                          <w:rPr>
                            <w:rFonts w:ascii="宋体" w:hAnsi="宋体" w:cs="宋体" w:eastAsia="宋体" w:hint="default"/>
                            <w:sz w:val="18"/>
                            <w:szCs w:val="18"/>
                          </w:rPr>
                          <w:t> 总额错报额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10"/>
        <w:rPr>
          <w:rFonts w:ascii="宋体" w:hAnsi="宋体" w:cs="宋体" w:eastAsia="宋体" w:hint="default"/>
          <w:sz w:val="8"/>
          <w:szCs w:val="8"/>
        </w:rPr>
      </w:pPr>
    </w:p>
    <w:p>
      <w:pPr>
        <w:spacing w:line="1404" w:lineRule="exact"/>
        <w:ind w:left="7656"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152.1pt;height:70.25pt;mso-position-horizontal-relative:char;mso-position-vertical-relative:line" coordorigin="0,0" coordsize="3042,1405">
            <v:group style="position:absolute;left:0;top:0;width:3042;height:1405" coordorigin="0,0" coordsize="3042,1405">
              <v:shape style="position:absolute;left:0;top:0;width:3042;height:1405" coordorigin="0,0" coordsize="3042,1405" path="m0,1404l3041,1404,3041,0,0,0,0,1404xe" filled="true" fillcolor="#ffffff" stroked="false">
                <v:path arrowok="t"/>
                <v:fill type="solid"/>
              </v:shape>
            </v:group>
          </v:group>
        </w:pict>
      </w:r>
      <w:r>
        <w:rPr>
          <w:rFonts w:ascii="宋体" w:hAnsi="宋体" w:cs="宋体" w:eastAsia="宋体" w:hint="default"/>
          <w:position w:val="-2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2"/>
        <w:spacing w:line="240" w:lineRule="auto" w:before="26"/>
        <w:ind w:left="1134" w:right="1033"/>
        <w:jc w:val="left"/>
        <w:rPr>
          <w:b w:val="0"/>
          <w:bCs w:val="0"/>
        </w:rPr>
      </w:pPr>
      <w:bookmarkStart w:name="十、内部控制审计报告或鉴证报告" w:id="147"/>
      <w:bookmarkEnd w:id="147"/>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不适用</w:t>
      </w:r>
    </w:p>
    <w:p>
      <w:pPr>
        <w:spacing w:after="0" w:line="240" w:lineRule="auto"/>
        <w:jc w:val="left"/>
        <w:sectPr>
          <w:footerReference w:type="default" r:id="rId33"/>
          <w:pgSz w:w="11910" w:h="16840"/>
          <w:pgMar w:footer="979" w:header="747" w:top="1060" w:bottom="1160" w:left="0" w:right="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584"/>
        <w:jc w:val="center"/>
        <w:rPr>
          <w:b w:val="0"/>
          <w:bCs w:val="0"/>
        </w:rPr>
      </w:pPr>
      <w:bookmarkStart w:name="_TOC_250002" w:id="148"/>
      <w:bookmarkStart w:name="第十节 公司债券相关情况" w:id="149"/>
      <w:r>
        <w:rPr>
          <w:b w:val="0"/>
          <w:bCs w:val="0"/>
        </w:rPr>
      </w:r>
      <w:r>
        <w:rPr/>
        <w:t>第十节</w:t>
      </w:r>
      <w:r>
        <w:rPr>
          <w:spacing w:val="-9"/>
        </w:rPr>
        <w:t> </w:t>
      </w:r>
      <w:r>
        <w:rPr/>
        <w:t>公司债券相关情况</w:t>
      </w:r>
      <w:bookmarkEnd w:id="148"/>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584"/>
        <w:jc w:val="center"/>
        <w:rPr>
          <w:b w:val="0"/>
          <w:bCs w:val="0"/>
        </w:rPr>
      </w:pPr>
      <w:bookmarkStart w:name="_TOC_250001" w:id="150"/>
      <w:bookmarkStart w:name="第十一节 财务报告" w:id="151"/>
      <w:r>
        <w:rPr>
          <w:b w:val="0"/>
          <w:bCs w:val="0"/>
        </w:rPr>
      </w:r>
      <w:r>
        <w:rPr/>
        <w:t>第十一节</w:t>
      </w:r>
      <w:r>
        <w:rPr>
          <w:spacing w:val="-6"/>
        </w:rPr>
        <w:t> </w:t>
      </w:r>
      <w:r>
        <w:rPr/>
        <w:t>财务报告</w:t>
      </w:r>
      <w:bookmarkEnd w:id="15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33"/>
        <w:jc w:val="left"/>
        <w:rPr>
          <w:b w:val="0"/>
          <w:bCs w:val="0"/>
        </w:rPr>
      </w:pPr>
      <w:bookmarkStart w:name="一、审计报告" w:id="152"/>
      <w:bookmarkEnd w:id="15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ZB10727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刘文豪、徐银行</w:t>
            </w:r>
          </w:p>
        </w:tc>
      </w:tr>
    </w:tbl>
    <w:p>
      <w:pPr>
        <w:pStyle w:val="BodyText"/>
        <w:spacing w:line="240" w:lineRule="auto" w:before="51"/>
        <w:ind w:left="3584" w:right="3583"/>
        <w:jc w:val="center"/>
      </w:pPr>
      <w:r>
        <w:rPr/>
        <w:t>审计报告正文</w:t>
      </w:r>
    </w:p>
    <w:p>
      <w:pPr>
        <w:pStyle w:val="Heading4"/>
        <w:spacing w:line="240" w:lineRule="auto" w:before="115"/>
        <w:ind w:left="1133" w:right="1033"/>
        <w:jc w:val="left"/>
        <w:rPr>
          <w:b w:val="0"/>
          <w:bCs w:val="0"/>
        </w:rPr>
      </w:pPr>
      <w:r>
        <w:rPr/>
        <w:t>北京东方通科技股份有限公司全体股东：</w:t>
      </w:r>
      <w:r>
        <w:rPr>
          <w:b w:val="0"/>
          <w:bCs w:val="0"/>
        </w:rPr>
      </w:r>
    </w:p>
    <w:p>
      <w:pPr>
        <w:spacing w:line="240" w:lineRule="auto" w:before="5"/>
        <w:rPr>
          <w:rFonts w:ascii="宋体" w:hAnsi="宋体" w:cs="宋体" w:eastAsia="宋体" w:hint="default"/>
          <w:b/>
          <w:bCs/>
          <w:sz w:val="29"/>
          <w:szCs w:val="29"/>
        </w:rPr>
      </w:pPr>
    </w:p>
    <w:p>
      <w:pPr>
        <w:pStyle w:val="BodyText"/>
        <w:spacing w:line="357" w:lineRule="auto" w:before="44"/>
        <w:ind w:left="1559" w:right="1147" w:hanging="65"/>
        <w:jc w:val="left"/>
      </w:pPr>
      <w:r>
        <w:rPr>
          <w:rFonts w:ascii="宋体" w:hAnsi="宋体" w:cs="宋体" w:eastAsia="宋体" w:hint="default"/>
          <w:b/>
          <w:bCs/>
        </w:rPr>
        <w:t>（一）审计意见</w:t>
      </w:r>
      <w:r>
        <w:rPr>
          <w:rFonts w:ascii="宋体" w:hAnsi="宋体" w:cs="宋体" w:eastAsia="宋体" w:hint="default"/>
          <w:b/>
          <w:bCs/>
          <w:w w:val="99"/>
        </w:rPr>
        <w:t> </w:t>
      </w:r>
      <w:r>
        <w:rPr/>
        <w:t>我们审计了北京东方通科技股份有限公司（以下简称东方通）财务报表，包括</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日的合并及母公司资产负</w:t>
      </w:r>
    </w:p>
    <w:p>
      <w:pPr>
        <w:pStyle w:val="BodyText"/>
        <w:spacing w:line="224" w:lineRule="exact"/>
        <w:ind w:right="0"/>
        <w:jc w:val="left"/>
      </w:pPr>
      <w:r>
        <w:rPr/>
        <w:t>债表，</w:t>
      </w:r>
      <w:r>
        <w:rPr>
          <w:rFonts w:ascii="宋体" w:hAnsi="宋体" w:cs="宋体" w:eastAsia="宋体" w:hint="default"/>
        </w:rPr>
        <w:t>2017</w:t>
      </w:r>
      <w:r>
        <w:rPr/>
        <w:t>年度的合并及母公司利润表、合并及母公司现金流量表、合并及母公司股东权益变动表以及相关财务报表附注。</w:t>
      </w:r>
    </w:p>
    <w:p>
      <w:pPr>
        <w:pStyle w:val="BodyText"/>
        <w:spacing w:line="316" w:lineRule="auto" w:before="76"/>
        <w:ind w:right="1147" w:firstLine="426"/>
        <w:jc w:val="left"/>
      </w:pPr>
      <w:r>
        <w:rPr/>
        <w:t>我们认为，后附的财务报表在所有重大方面按照企业会计准则的规定编制，公允反映了东方通</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日的合并 及母公司财务状况以及</w:t>
      </w:r>
      <w:r>
        <w:rPr>
          <w:rFonts w:ascii="宋体" w:hAnsi="宋体" w:cs="宋体" w:eastAsia="宋体" w:hint="default"/>
        </w:rPr>
        <w:t>2017</w:t>
      </w:r>
      <w:r>
        <w:rPr/>
        <w:t>年度的合并及母公司经营成果和现金流量。</w:t>
      </w:r>
    </w:p>
    <w:p>
      <w:pPr>
        <w:spacing w:line="357" w:lineRule="auto" w:before="59"/>
        <w:ind w:left="1559" w:right="1147" w:hanging="65"/>
        <w:jc w:val="left"/>
        <w:rPr>
          <w:rFonts w:ascii="宋体" w:hAnsi="宋体" w:cs="宋体" w:eastAsia="宋体" w:hint="default"/>
          <w:sz w:val="18"/>
          <w:szCs w:val="18"/>
        </w:rPr>
      </w:pPr>
      <w:r>
        <w:rPr>
          <w:rFonts w:ascii="宋体" w:hAnsi="宋体" w:cs="宋体" w:eastAsia="宋体" w:hint="default"/>
          <w:b/>
          <w:bCs/>
          <w:sz w:val="18"/>
          <w:szCs w:val="18"/>
        </w:rPr>
        <w:t>（二）形成审计意见的基础</w:t>
      </w:r>
      <w:r>
        <w:rPr>
          <w:rFonts w:ascii="宋体" w:hAnsi="宋体" w:cs="宋体" w:eastAsia="宋体" w:hint="default"/>
          <w:b/>
          <w:bCs/>
          <w:w w:val="99"/>
          <w:sz w:val="18"/>
          <w:szCs w:val="18"/>
        </w:rPr>
        <w:t> </w:t>
      </w:r>
      <w:r>
        <w:rPr>
          <w:rFonts w:ascii="宋体" w:hAnsi="宋体" w:cs="宋体" w:eastAsia="宋体" w:hint="default"/>
          <w:sz w:val="18"/>
          <w:szCs w:val="18"/>
        </w:rPr>
        <w:t>我们按照中国注册会计师审计准则的规定执行了审计工作。审计报告的“注册会计师对财务报表审计的责任”部分进</w:t>
      </w:r>
    </w:p>
    <w:p>
      <w:pPr>
        <w:pStyle w:val="BodyText"/>
        <w:spacing w:line="224" w:lineRule="exact"/>
        <w:ind w:right="0"/>
        <w:jc w:val="left"/>
      </w:pPr>
      <w:r>
        <w:rPr/>
        <w:t>一步阐述了我们在这些准则下的责任。按照中国注册会计师职业道德守则，我们独立于东方通，并履行了职业道德方面的其</w:t>
      </w:r>
    </w:p>
    <w:p>
      <w:pPr>
        <w:pStyle w:val="BodyText"/>
        <w:spacing w:line="240" w:lineRule="auto" w:before="76"/>
        <w:ind w:right="1033"/>
        <w:jc w:val="left"/>
      </w:pPr>
      <w:r>
        <w:rPr/>
        <w:t>他责任。我们相信，我们获取的审计证据是充分、适当的，为发表审计意见提供了基础。</w:t>
      </w:r>
    </w:p>
    <w:p>
      <w:pPr>
        <w:pStyle w:val="BodyText"/>
        <w:spacing w:line="357" w:lineRule="auto" w:before="117"/>
        <w:ind w:left="1559" w:right="1147" w:hanging="65"/>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关键审计事项是我们根据职业判断，认为对本期财务报表审计最为重要的事项。这些事项的应对以对财务报表整体进</w:t>
      </w:r>
    </w:p>
    <w:p>
      <w:pPr>
        <w:pStyle w:val="BodyText"/>
        <w:spacing w:line="224" w:lineRule="exact"/>
        <w:ind w:right="0"/>
        <w:jc w:val="left"/>
      </w:pPr>
      <w:r>
        <w:rPr/>
        <w:t>行审计并形成审计意见为背景，我们不对这些事项单独发表意见。我们确定下列事项是需要在审计报告中沟通的关键审计事</w:t>
      </w:r>
    </w:p>
    <w:p>
      <w:pPr>
        <w:pStyle w:val="BodyText"/>
        <w:spacing w:line="240" w:lineRule="auto" w:before="76"/>
        <w:ind w:right="1033"/>
        <w:jc w:val="left"/>
      </w:pPr>
      <w:r>
        <w:rPr/>
        <w:t>项。</w:t>
      </w:r>
    </w:p>
    <w:p>
      <w:pPr>
        <w:spacing w:line="240" w:lineRule="auto" w:before="0"/>
        <w:rPr>
          <w:rFonts w:ascii="宋体" w:hAnsi="宋体" w:cs="宋体" w:eastAsia="宋体" w:hint="default"/>
          <w:sz w:val="5"/>
          <w:szCs w:val="5"/>
        </w:rPr>
      </w:pPr>
    </w:p>
    <w:tbl>
      <w:tblPr>
        <w:tblW w:w="0" w:type="auto"/>
        <w:jc w:val="left"/>
        <w:tblInd w:w="1117" w:type="dxa"/>
        <w:tblLayout w:type="fixed"/>
        <w:tblCellMar>
          <w:top w:w="0" w:type="dxa"/>
          <w:left w:w="0" w:type="dxa"/>
          <w:bottom w:w="0" w:type="dxa"/>
          <w:right w:w="0" w:type="dxa"/>
        </w:tblCellMar>
        <w:tblLook w:val="01E0"/>
      </w:tblPr>
      <w:tblGrid>
        <w:gridCol w:w="4718"/>
        <w:gridCol w:w="4941"/>
      </w:tblGrid>
      <w:tr>
        <w:trPr>
          <w:trHeight w:val="347"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8"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4092" w:hRule="exact"/>
        </w:trPr>
        <w:tc>
          <w:tcPr>
            <w:tcW w:w="47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firstLine="36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日，公司合并报表中商誉账面原值为 </w:t>
            </w:r>
            <w:r>
              <w:rPr>
                <w:rFonts w:ascii="宋体" w:hAnsi="宋体" w:cs="宋体" w:eastAsia="宋体" w:hint="default"/>
                <w:sz w:val="18"/>
                <w:szCs w:val="18"/>
              </w:rPr>
              <w:t>906,999,470.40</w:t>
            </w:r>
            <w:r>
              <w:rPr>
                <w:rFonts w:ascii="宋体" w:hAnsi="宋体" w:cs="宋体" w:eastAsia="宋体" w:hint="default"/>
                <w:spacing w:val="5"/>
                <w:sz w:val="18"/>
                <w:szCs w:val="18"/>
              </w:rPr>
              <w:t> </w:t>
            </w:r>
            <w:r>
              <w:rPr>
                <w:rFonts w:ascii="宋体" w:hAnsi="宋体" w:cs="宋体" w:eastAsia="宋体" w:hint="default"/>
                <w:spacing w:val="-3"/>
                <w:sz w:val="18"/>
                <w:szCs w:val="18"/>
              </w:rPr>
              <w:t>元，商誉减值准备为</w:t>
            </w:r>
            <w:r>
              <w:rPr>
                <w:rFonts w:ascii="宋体" w:hAnsi="宋体" w:cs="宋体" w:eastAsia="宋体" w:hint="default"/>
                <w:spacing w:val="-3"/>
                <w:sz w:val="18"/>
                <w:szCs w:val="18"/>
              </w:rPr>
              <w:t>384,817,297.98</w:t>
            </w:r>
            <w:r>
              <w:rPr>
                <w:rFonts w:ascii="宋体" w:hAnsi="宋体" w:cs="宋体" w:eastAsia="宋体" w:hint="default"/>
                <w:spacing w:val="-3"/>
                <w:sz w:val="18"/>
                <w:szCs w:val="18"/>
              </w:rPr>
              <w:t>元。管</w:t>
            </w:r>
            <w:r>
              <w:rPr>
                <w:rFonts w:ascii="宋体" w:hAnsi="宋体" w:cs="宋体" w:eastAsia="宋体" w:hint="default"/>
                <w:sz w:val="18"/>
                <w:szCs w:val="18"/>
              </w:rPr>
              <w:t> 理层在每年年度终了对商誉进行减值测试，并依据减值测试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的结果调整商誉的账面价值。因管理层商誉减值测试的评估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过程复杂，需要高度的判断，减值评估涉及确定折现率等评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估参数及对未来若干年的经营和财务情况的假设，包括未来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若干年的销售增长率和毛利率等。因为商誉账面价值较大，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对财务报表影响重大，我们将商誉减值列为关键审计事项。</w:t>
            </w:r>
          </w:p>
        </w:tc>
        <w:tc>
          <w:tcPr>
            <w:tcW w:w="49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90" w:right="4"/>
              <w:jc w:val="left"/>
              <w:rPr>
                <w:rFonts w:ascii="宋体" w:hAnsi="宋体" w:cs="宋体" w:eastAsia="宋体" w:hint="default"/>
                <w:sz w:val="18"/>
                <w:szCs w:val="18"/>
              </w:rPr>
            </w:pPr>
            <w:r>
              <w:rPr>
                <w:rFonts w:ascii="宋体" w:hAnsi="宋体" w:cs="宋体" w:eastAsia="宋体" w:hint="default"/>
                <w:sz w:val="18"/>
                <w:szCs w:val="18"/>
              </w:rPr>
              <w:t>我们针对商誉的减值执行的主要审计程序包括： </w:t>
            </w:r>
            <w:r>
              <w:rPr>
                <w:rFonts w:ascii="宋体" w:hAnsi="宋体" w:cs="宋体" w:eastAsia="宋体" w:hint="default"/>
                <w:spacing w:val="3"/>
                <w:sz w:val="18"/>
                <w:szCs w:val="18"/>
              </w:rPr>
              <w:t>1.</w:t>
            </w:r>
            <w:r>
              <w:rPr>
                <w:rFonts w:ascii="宋体" w:hAnsi="宋体" w:cs="宋体" w:eastAsia="宋体" w:hint="default"/>
                <w:spacing w:val="3"/>
                <w:sz w:val="18"/>
                <w:szCs w:val="18"/>
              </w:rPr>
              <w:t>对公司商誉减值测试相关的内部控制的设计及执行有</w:t>
            </w:r>
          </w:p>
          <w:p>
            <w:pPr>
              <w:pStyle w:val="TableParagraph"/>
              <w:spacing w:line="316" w:lineRule="auto" w:before="19"/>
              <w:ind w:left="490" w:right="113" w:hanging="386"/>
              <w:jc w:val="left"/>
              <w:rPr>
                <w:rFonts w:ascii="宋体" w:hAnsi="宋体" w:cs="宋体" w:eastAsia="宋体" w:hint="default"/>
                <w:sz w:val="18"/>
                <w:szCs w:val="18"/>
              </w:rPr>
            </w:pPr>
            <w:r>
              <w:rPr>
                <w:rFonts w:ascii="宋体" w:hAnsi="宋体" w:cs="宋体" w:eastAsia="宋体" w:hint="default"/>
                <w:sz w:val="18"/>
                <w:szCs w:val="18"/>
              </w:rPr>
              <w:t>效性进行了评估和测试； </w:t>
            </w:r>
            <w:r>
              <w:rPr>
                <w:rFonts w:ascii="宋体" w:hAnsi="宋体" w:cs="宋体" w:eastAsia="宋体" w:hint="default"/>
                <w:sz w:val="18"/>
                <w:szCs w:val="18"/>
              </w:rPr>
              <w:t>2.</w:t>
            </w:r>
            <w:r>
              <w:rPr>
                <w:rFonts w:ascii="宋体" w:hAnsi="宋体" w:cs="宋体" w:eastAsia="宋体" w:hint="default"/>
                <w:sz w:val="18"/>
                <w:szCs w:val="18"/>
              </w:rPr>
              <w:t>评价资产评估机构的胜任能力、专业素质和客观性。</w:t>
            </w:r>
          </w:p>
          <w:p>
            <w:pPr>
              <w:pStyle w:val="TableParagraph"/>
              <w:spacing w:line="316" w:lineRule="auto" w:before="19"/>
              <w:ind w:left="105" w:right="0" w:firstLine="385"/>
              <w:jc w:val="both"/>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分析管理层对商誉所属资产组的认定和进行商誉减值</w:t>
            </w:r>
            <w:r>
              <w:rPr>
                <w:rFonts w:ascii="宋体" w:hAnsi="宋体" w:cs="宋体" w:eastAsia="宋体" w:hint="default"/>
                <w:sz w:val="18"/>
                <w:szCs w:val="18"/>
              </w:rPr>
              <w:t> </w:t>
            </w:r>
            <w:r>
              <w:rPr>
                <w:rFonts w:ascii="宋体" w:hAnsi="宋体" w:cs="宋体" w:eastAsia="宋体" w:hint="default"/>
                <w:spacing w:val="-2"/>
                <w:sz w:val="18"/>
                <w:szCs w:val="18"/>
              </w:rPr>
              <w:t>测试时采用的关键假设和方法，检查相关的假设和方法的合理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性；</w:t>
            </w:r>
          </w:p>
          <w:p>
            <w:pPr>
              <w:pStyle w:val="TableParagraph"/>
              <w:spacing w:line="319" w:lineRule="auto" w:before="19"/>
              <w:ind w:left="105" w:right="0" w:firstLine="385"/>
              <w:jc w:val="both"/>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测试管理层减值测试所依据的基础数据，我们将</w:t>
            </w:r>
            <w:r>
              <w:rPr>
                <w:rFonts w:ascii="宋体" w:hAnsi="宋体" w:cs="宋体" w:eastAsia="宋体" w:hint="default"/>
                <w:spacing w:val="3"/>
                <w:sz w:val="18"/>
                <w:szCs w:val="18"/>
              </w:rPr>
              <w:t>2017</w:t>
            </w:r>
            <w:r>
              <w:rPr>
                <w:rFonts w:ascii="宋体" w:hAnsi="宋体" w:cs="宋体" w:eastAsia="宋体" w:hint="default"/>
                <w:sz w:val="18"/>
                <w:szCs w:val="18"/>
              </w:rPr>
              <w:t> </w:t>
            </w:r>
            <w:r>
              <w:rPr>
                <w:rFonts w:ascii="宋体" w:hAnsi="宋体" w:cs="宋体" w:eastAsia="宋体" w:hint="default"/>
                <w:spacing w:val="-2"/>
                <w:sz w:val="18"/>
                <w:szCs w:val="18"/>
              </w:rPr>
              <w:t>年度的实际结果与以前年度相应的预测数据进行了比较，以评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价管理层对现金流量的预测是否可靠，我们利用估值专家评估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管理层减值测试中所采用关键假设及判断的合理性，以及了解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和评价管理层利用其估值专家的工作；</w:t>
            </w:r>
          </w:p>
          <w:p>
            <w:pPr>
              <w:pStyle w:val="TableParagraph"/>
              <w:spacing w:line="240" w:lineRule="auto" w:before="17"/>
              <w:ind w:left="490" w:right="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验证商誉减值测试模型的计算准确性，将详细预测期收</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7"/>
          <w:szCs w:val="27"/>
        </w:rPr>
      </w:pPr>
    </w:p>
    <w:p>
      <w:pPr>
        <w:spacing w:line="1937" w:lineRule="exact"/>
        <w:ind w:left="1117" w:right="0" w:firstLine="0"/>
        <w:rPr>
          <w:rFonts w:ascii="宋体" w:hAnsi="宋体" w:cs="宋体" w:eastAsia="宋体" w:hint="default"/>
          <w:sz w:val="20"/>
          <w:szCs w:val="20"/>
        </w:rPr>
      </w:pPr>
      <w:r>
        <w:rPr>
          <w:rFonts w:ascii="宋体" w:hAnsi="宋体" w:cs="宋体" w:eastAsia="宋体" w:hint="default"/>
          <w:position w:val="-38"/>
          <w:sz w:val="20"/>
          <w:szCs w:val="20"/>
        </w:rPr>
        <w:pict>
          <v:group style="width:483.7pt;height:96.9pt;mso-position-horizontal-relative:char;mso-position-vertical-relative:line" coordorigin="0,0" coordsize="9674,1938">
            <v:group style="position:absolute;left:14;top:14;width:4704;height:2" coordorigin="14,14" coordsize="4704,2">
              <v:shape style="position:absolute;left:14;top:14;width:4704;height:2" coordorigin="14,14" coordsize="4704,0" path="m14,14l4718,14e" filled="false" stroked="true" strokeweight=".72pt" strokecolor="#000000">
                <v:path arrowok="t"/>
              </v:shape>
            </v:group>
            <v:group style="position:absolute;left:4732;top:14;width:4927;height:2" coordorigin="4732,14" coordsize="4927,2">
              <v:shape style="position:absolute;left:4732;top:14;width:4927;height:2" coordorigin="4732,14" coordsize="4927,0" path="m4732,14l9659,14e" filled="false" stroked="true" strokeweight=".72pt" strokecolor="#000000">
                <v:path arrowok="t"/>
              </v:shape>
            </v:group>
            <v:group style="position:absolute;left:7;top:7;width:2;height:1923" coordorigin="7,7" coordsize="2,1923">
              <v:shape style="position:absolute;left:7;top:7;width:2;height:1923" coordorigin="7,7" coordsize="0,1923" path="m7,7l7,1930e" filled="false" stroked="true" strokeweight=".72pt" strokecolor="#000000">
                <v:path arrowok="t"/>
              </v:shape>
            </v:group>
            <v:group style="position:absolute;left:14;top:1923;width:4704;height:2" coordorigin="14,1923" coordsize="4704,2">
              <v:shape style="position:absolute;left:14;top:1923;width:4704;height:2" coordorigin="14,1923" coordsize="4704,0" path="m14,1923l4718,1923e" filled="false" stroked="true" strokeweight=".72pt" strokecolor="#000000">
                <v:path arrowok="t"/>
              </v:shape>
            </v:group>
            <v:group style="position:absolute;left:4725;top:7;width:2;height:1923" coordorigin="4725,7" coordsize="2,1923">
              <v:shape style="position:absolute;left:4725;top:7;width:2;height:1923" coordorigin="4725,7" coordsize="0,1923" path="m4725,7l4725,1930e" filled="false" stroked="true" strokeweight=".72pt" strokecolor="#000000">
                <v:path arrowok="t"/>
              </v:shape>
            </v:group>
            <v:group style="position:absolute;left:4732;top:1923;width:4927;height:2" coordorigin="4732,1923" coordsize="4927,2">
              <v:shape style="position:absolute;left:4732;top:1923;width:4927;height:2" coordorigin="4732,1923" coordsize="4927,0" path="m4732,1923l9659,1923e" filled="false" stroked="true" strokeweight=".72pt" strokecolor="#000000">
                <v:path arrowok="t"/>
              </v:shape>
            </v:group>
            <v:group style="position:absolute;left:9666;top:7;width:2;height:1923" coordorigin="9666,7" coordsize="2,1923">
              <v:shape style="position:absolute;left:9666;top:7;width:2;height:1923" coordorigin="9666,7" coordsize="0,1923" path="m9666,7l9666,1930e" filled="false" stroked="true" strokeweight=".72pt" strokecolor="#000000">
                <v:path arrowok="t"/>
              </v:shape>
              <v:shape style="position:absolute;left:4725;top:14;width:4941;height:1909" type="#_x0000_t202" filled="false" stroked="false">
                <v:textbox inset="0,0,0,0">
                  <w:txbxContent>
                    <w:p>
                      <w:pPr>
                        <w:spacing w:line="316" w:lineRule="auto" w:before="28"/>
                        <w:ind w:left="112" w:right="7" w:firstLine="0"/>
                        <w:jc w:val="both"/>
                        <w:rPr>
                          <w:rFonts w:ascii="宋体" w:hAnsi="宋体" w:cs="宋体" w:eastAsia="宋体" w:hint="default"/>
                          <w:sz w:val="18"/>
                          <w:szCs w:val="18"/>
                        </w:rPr>
                      </w:pPr>
                      <w:r>
                        <w:rPr>
                          <w:rFonts w:ascii="宋体" w:hAnsi="宋体" w:cs="宋体" w:eastAsia="宋体" w:hint="default"/>
                          <w:spacing w:val="4"/>
                          <w:sz w:val="18"/>
                          <w:szCs w:val="18"/>
                        </w:rPr>
                        <w:t>入增长率与公司的历史收入增长率以及行业历史数据进行比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较；将后续预测期增长率与我们根据经济数据作出的独立预期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值进行比较；将预测的毛利率与以往业绩进行比较，并考虑市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场趋势。</w:t>
                      </w:r>
                    </w:p>
                    <w:p>
                      <w:pPr>
                        <w:spacing w:line="316" w:lineRule="auto" w:before="19"/>
                        <w:ind w:left="112" w:right="11" w:firstLine="385"/>
                        <w:jc w:val="left"/>
                        <w:rPr>
                          <w:rFonts w:ascii="宋体" w:hAnsi="宋体" w:cs="宋体" w:eastAsia="宋体" w:hint="default"/>
                          <w:sz w:val="18"/>
                          <w:szCs w:val="18"/>
                        </w:rPr>
                      </w:pPr>
                      <w:r>
                        <w:rPr>
                          <w:rFonts w:ascii="宋体" w:hAnsi="宋体" w:cs="宋体" w:eastAsia="宋体" w:hint="default"/>
                          <w:spacing w:val="3"/>
                          <w:sz w:val="18"/>
                          <w:szCs w:val="18"/>
                        </w:rPr>
                        <w:t>6.</w:t>
                      </w:r>
                      <w:r>
                        <w:rPr>
                          <w:rFonts w:ascii="宋体" w:hAnsi="宋体" w:cs="宋体" w:eastAsia="宋体" w:hint="default"/>
                          <w:spacing w:val="3"/>
                          <w:sz w:val="18"/>
                          <w:szCs w:val="18"/>
                        </w:rPr>
                        <w:t>比较商誉所属资产组的账面价值与其可收回金额的差</w:t>
                      </w:r>
                      <w:r>
                        <w:rPr>
                          <w:rFonts w:ascii="宋体" w:hAnsi="宋体" w:cs="宋体" w:eastAsia="宋体" w:hint="default"/>
                          <w:sz w:val="18"/>
                          <w:szCs w:val="18"/>
                        </w:rPr>
                        <w:t> 异，确认是否存在商誉减值情况。</w:t>
                      </w:r>
                    </w:p>
                  </w:txbxContent>
                </v:textbox>
                <w10:wrap type="none"/>
              </v:shape>
            </v:group>
          </v:group>
        </w:pict>
      </w:r>
      <w:r>
        <w:rPr>
          <w:rFonts w:ascii="宋体" w:hAnsi="宋体" w:cs="宋体" w:eastAsia="宋体" w:hint="default"/>
          <w:position w:val="-38"/>
          <w:sz w:val="20"/>
          <w:szCs w:val="20"/>
        </w:rPr>
      </w:r>
    </w:p>
    <w:p>
      <w:pPr>
        <w:spacing w:line="240" w:lineRule="auto" w:before="11"/>
        <w:rPr>
          <w:rFonts w:ascii="宋体" w:hAnsi="宋体" w:cs="宋体" w:eastAsia="宋体" w:hint="default"/>
          <w:sz w:val="23"/>
          <w:szCs w:val="23"/>
        </w:rPr>
      </w:pPr>
    </w:p>
    <w:p>
      <w:pPr>
        <w:pStyle w:val="BodyText"/>
        <w:spacing w:line="357" w:lineRule="auto" w:before="44"/>
        <w:ind w:left="1559" w:right="1147" w:hanging="65"/>
        <w:jc w:val="left"/>
      </w:pPr>
      <w:r>
        <w:rPr>
          <w:rFonts w:ascii="宋体" w:hAnsi="宋体" w:cs="宋体" w:eastAsia="宋体" w:hint="default"/>
          <w:b/>
          <w:bCs/>
        </w:rPr>
        <w:t>（四）其他信息</w:t>
      </w:r>
      <w:r>
        <w:rPr>
          <w:rFonts w:ascii="宋体" w:hAnsi="宋体" w:cs="宋体" w:eastAsia="宋体" w:hint="default"/>
          <w:b/>
          <w:bCs/>
          <w:w w:val="99"/>
        </w:rPr>
        <w:t> </w:t>
      </w:r>
      <w:r>
        <w:rPr/>
        <w:t>东方通管理层（以下简称管理层）对其他信息负责。其他信息包括东方通</w:t>
      </w:r>
      <w:r>
        <w:rPr>
          <w:rFonts w:ascii="宋体" w:hAnsi="宋体" w:cs="宋体" w:eastAsia="宋体" w:hint="default"/>
        </w:rPr>
        <w:t>2017</w:t>
      </w:r>
      <w:r>
        <w:rPr/>
        <w:t>年年度报告中涵盖的信息，但不包括财</w:t>
      </w:r>
    </w:p>
    <w:p>
      <w:pPr>
        <w:pStyle w:val="BodyText"/>
        <w:spacing w:line="224" w:lineRule="exact"/>
        <w:ind w:left="1134" w:right="1033"/>
        <w:jc w:val="left"/>
      </w:pPr>
      <w:r>
        <w:rPr/>
        <w:t>务报表和我们的审计报告。</w:t>
      </w:r>
    </w:p>
    <w:p>
      <w:pPr>
        <w:pStyle w:val="BodyText"/>
        <w:spacing w:line="316" w:lineRule="auto" w:before="76"/>
        <w:ind w:left="1560" w:right="1146"/>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240" w:lineRule="auto" w:before="19"/>
        <w:ind w:left="1134" w:right="1033"/>
        <w:jc w:val="left"/>
      </w:pPr>
      <w:r>
        <w:rPr/>
        <w:t>过程中了解到的</w:t>
      </w:r>
    </w:p>
    <w:p>
      <w:pPr>
        <w:pStyle w:val="BodyText"/>
        <w:spacing w:line="316" w:lineRule="auto" w:before="76"/>
        <w:ind w:left="1560" w:right="1146"/>
        <w:jc w:val="left"/>
      </w:pPr>
      <w:r>
        <w:rPr/>
        <w:t>情况存在重大不一致或者似乎存在重大错报。 基于我们已执行的工作，如果我们确定其他信息存在重大错报，我们应当报告该事实。在这方面，我们无任何事项需</w:t>
      </w:r>
    </w:p>
    <w:p>
      <w:pPr>
        <w:pStyle w:val="BodyText"/>
        <w:spacing w:line="240" w:lineRule="auto" w:before="19"/>
        <w:ind w:left="1134" w:right="1033"/>
        <w:jc w:val="left"/>
      </w:pPr>
      <w:r>
        <w:rPr/>
        <w:t>要报告。</w:t>
      </w:r>
    </w:p>
    <w:p>
      <w:pPr>
        <w:spacing w:line="357" w:lineRule="auto" w:before="117"/>
        <w:ind w:left="1560" w:right="1146" w:hanging="65"/>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管理层负责按照企业会计准则的规定编制财务报表，使其实现公允反映，并设计、执行和维护必要的内部控制，以使</w:t>
      </w:r>
    </w:p>
    <w:p>
      <w:pPr>
        <w:pStyle w:val="BodyText"/>
        <w:spacing w:line="224" w:lineRule="exact"/>
        <w:ind w:left="1134" w:right="1033"/>
        <w:jc w:val="left"/>
      </w:pPr>
      <w:r>
        <w:rPr/>
        <w:t>财务报表不存在由于舞弊或错误导致的重大错报。</w:t>
      </w:r>
    </w:p>
    <w:p>
      <w:pPr>
        <w:pStyle w:val="BodyText"/>
        <w:spacing w:line="316" w:lineRule="auto" w:before="76"/>
        <w:ind w:left="1134" w:right="1146" w:firstLine="426"/>
        <w:jc w:val="left"/>
      </w:pPr>
      <w:r>
        <w:rPr/>
        <w:t>在编制财务报表时，管理层负责评估东方通的持续经营能力，披露与持续经营相关的事项（如适用），并运用持续经 营假设，除非计划进行清算、终止运营或别无其他现实的选择。</w:t>
      </w:r>
    </w:p>
    <w:p>
      <w:pPr>
        <w:pStyle w:val="BodyText"/>
        <w:spacing w:line="240" w:lineRule="auto" w:before="19"/>
        <w:ind w:left="1560" w:right="1033"/>
        <w:jc w:val="left"/>
      </w:pPr>
      <w:r>
        <w:rPr/>
        <w:t>治理层负责监督东方通的财务报告过程。</w:t>
      </w:r>
    </w:p>
    <w:p>
      <w:pPr>
        <w:spacing w:line="357" w:lineRule="auto" w:before="117"/>
        <w:ind w:left="1560" w:right="1146" w:hanging="65"/>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z w:val="18"/>
          <w:szCs w:val="18"/>
        </w:rPr>
        <w:t>我们的目标是对财务报表整体是否不存在由于舞弊或错误导致的重大错报获取合理保证，并出具包含审计意见的审计</w:t>
      </w:r>
    </w:p>
    <w:p>
      <w:pPr>
        <w:pStyle w:val="BodyText"/>
        <w:spacing w:line="224" w:lineRule="exact"/>
        <w:ind w:left="1134" w:right="0"/>
        <w:jc w:val="left"/>
      </w:pPr>
      <w:r>
        <w:rPr/>
        <w:t>报告。合理保证是高水平的保证，但并不能保证按照审计准则执行的审计在某一重大错报存在时总能发现。错报可能由于舞</w:t>
      </w:r>
    </w:p>
    <w:p>
      <w:pPr>
        <w:pStyle w:val="BodyText"/>
        <w:spacing w:line="316" w:lineRule="auto" w:before="76"/>
        <w:ind w:left="1134" w:right="1033"/>
        <w:jc w:val="left"/>
      </w:pP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1560" w:right="1033"/>
        <w:jc w:val="left"/>
      </w:pPr>
      <w:r>
        <w:rPr/>
        <w:t>在按照审计准则执行审计工作的过程中，我们运用职业判断，并保持职业怀疑。同时，我们也执行以下工作：</w:t>
      </w:r>
    </w:p>
    <w:p>
      <w:pPr>
        <w:pStyle w:val="BodyText"/>
        <w:spacing w:line="316" w:lineRule="auto" w:before="76"/>
        <w:ind w:right="1050" w:firstLine="426"/>
        <w:jc w:val="both"/>
      </w:pP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1560" w:right="1033"/>
        <w:jc w:val="left"/>
      </w:pPr>
      <w:r>
        <w:rPr/>
        <w:t>（</w:t>
      </w:r>
      <w:r>
        <w:rPr>
          <w:rFonts w:ascii="宋体" w:hAnsi="宋体" w:cs="宋体" w:eastAsia="宋体" w:hint="default"/>
        </w:rPr>
        <w:t>2</w:t>
      </w:r>
      <w:r>
        <w:rPr/>
        <w:t>）了解与审计相关的内部控制，以设计恰当的审计程序，但目的并非对内部控制的有效性发表意见。</w:t>
      </w:r>
    </w:p>
    <w:p>
      <w:pPr>
        <w:pStyle w:val="BodyText"/>
        <w:spacing w:line="240" w:lineRule="auto" w:before="76"/>
        <w:ind w:left="1560" w:right="1033"/>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316" w:lineRule="auto" w:before="76"/>
        <w:ind w:right="1131" w:firstLine="426"/>
        <w:jc w:val="both"/>
      </w:pPr>
      <w:r>
        <w:rPr>
          <w:spacing w:val="-2"/>
        </w:rPr>
        <w:t>（</w:t>
      </w:r>
      <w:r>
        <w:rPr>
          <w:rFonts w:ascii="宋体" w:hAnsi="宋体" w:cs="宋体" w:eastAsia="宋体" w:hint="default"/>
          <w:spacing w:val="-2"/>
        </w:rPr>
        <w:t>4</w:t>
      </w:r>
      <w:r>
        <w:rPr>
          <w:spacing w:val="-2"/>
        </w:rPr>
        <w:t>）对管理层使用持续经营假设的恰当性得出结论。同时，根据获取的审计证据，就可能导致对东方通持续经营能力</w:t>
      </w:r>
      <w:r>
        <w:rPr/>
        <w:t>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6"/>
        </w:rPr>
        <w:t> </w:t>
      </w:r>
      <w:r>
        <w:rPr>
          <w:spacing w:val="-66"/>
        </w:rPr>
      </w:r>
      <w:r>
        <w:rPr/>
        <w:t>截至审计报告日可获得的信息。然而，未来的事项或情况可能导致东方通不能持续经营。</w:t>
      </w:r>
    </w:p>
    <w:p>
      <w:pPr>
        <w:pStyle w:val="BodyText"/>
        <w:spacing w:line="240" w:lineRule="auto" w:before="19"/>
        <w:ind w:left="1560" w:right="1033"/>
        <w:jc w:val="left"/>
      </w:pPr>
      <w:r>
        <w:rPr/>
        <w:t>（</w:t>
      </w:r>
      <w:r>
        <w:rPr>
          <w:rFonts w:ascii="宋体" w:hAnsi="宋体" w:cs="宋体" w:eastAsia="宋体" w:hint="default"/>
        </w:rPr>
        <w:t>5</w:t>
      </w:r>
      <w:r>
        <w:rPr/>
        <w:t>）评价财务报表的总体列报、结构和内容（包括披露），并评价财务报表是否公允反映相关交易和事项。</w:t>
      </w:r>
    </w:p>
    <w:p>
      <w:pPr>
        <w:pStyle w:val="BodyText"/>
        <w:spacing w:line="319" w:lineRule="auto" w:before="76"/>
        <w:ind w:right="1036" w:firstLine="426"/>
        <w:jc w:val="left"/>
      </w:pPr>
      <w:r>
        <w:rPr>
          <w:spacing w:val="-3"/>
        </w:rPr>
        <w:t>（</w:t>
      </w:r>
      <w:r>
        <w:rPr>
          <w:rFonts w:ascii="宋体" w:hAnsi="宋体" w:cs="宋体" w:eastAsia="宋体" w:hint="default"/>
          <w:spacing w:val="-3"/>
        </w:rPr>
        <w:t>6</w:t>
      </w:r>
      <w:r>
        <w:rPr>
          <w:spacing w:val="-3"/>
        </w:rPr>
        <w:t>）就东方通中实体或业务活动的财务信息获取充分、适当的审计证据，以对财务报表发表审计意见。我们负责指导、</w:t>
      </w:r>
      <w:r>
        <w:rPr/>
        <w:t> 监督和执行集团审计，并对审计意见承担全部责任。</w:t>
      </w:r>
    </w:p>
    <w:p>
      <w:pPr>
        <w:pStyle w:val="BodyText"/>
        <w:spacing w:line="316" w:lineRule="auto" w:before="17"/>
        <w:ind w:left="1134" w:right="1146" w:firstLine="426"/>
        <w:jc w:val="left"/>
      </w:pPr>
      <w:r>
        <w:rPr/>
        <w:t>我们与治理层就计划的审计范围、时间安排和重大审计发现等事项进行沟通，包括沟通我们在审计中识别出的值得关 注的内部控制缺陷。</w:t>
      </w:r>
    </w:p>
    <w:p>
      <w:pPr>
        <w:pStyle w:val="BodyText"/>
        <w:spacing w:line="240" w:lineRule="auto" w:before="19"/>
        <w:ind w:left="1560" w:right="1033"/>
        <w:jc w:val="left"/>
      </w:pPr>
      <w:r>
        <w:rPr/>
        <w:t>我们还就已遵守与独立性相关的职业道德要求向治理层提供声明，并与治理层沟通可能被合理认为影响我们独立性的</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9" w:right="1147" w:hanging="426"/>
        <w:jc w:val="left"/>
      </w:pPr>
      <w:r>
        <w:rPr/>
        <w:t>所有关系和其他事项，以及相关的防范措施（如适用）。 从与治理层沟通过的事项中，我们确定哪些事项对本期财务报表审计最为重要，因而构成关键审计事项。我们在审计</w:t>
      </w:r>
    </w:p>
    <w:p>
      <w:pPr>
        <w:pStyle w:val="BodyText"/>
        <w:spacing w:line="316" w:lineRule="auto" w:before="19"/>
        <w:ind w:right="1033"/>
        <w:jc w:val="left"/>
      </w:pP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Heading4"/>
        <w:tabs>
          <w:tab w:pos="3415" w:val="left" w:leader="none"/>
        </w:tabs>
        <w:spacing w:line="240" w:lineRule="auto"/>
        <w:ind w:left="1408" w:right="1033"/>
        <w:jc w:val="left"/>
        <w:rPr>
          <w:b w:val="0"/>
          <w:bCs w:val="0"/>
        </w:rPr>
      </w:pPr>
      <w:r>
        <w:rPr>
          <w:w w:val="95"/>
        </w:rPr>
        <w:t>立信会计师事务所</w:t>
        <w:tab/>
      </w:r>
      <w:r>
        <w:rPr/>
        <w:t>中国注册会计师：刘文豪（项目合伙人）</w:t>
      </w:r>
      <w:r>
        <w:rPr>
          <w:b w:val="0"/>
          <w:bCs w:val="0"/>
        </w:rPr>
      </w:r>
    </w:p>
    <w:p>
      <w:pPr>
        <w:pStyle w:val="Heading4"/>
        <w:spacing w:line="240" w:lineRule="auto" w:before="76"/>
        <w:ind w:left="1408" w:right="1033"/>
        <w:jc w:val="left"/>
        <w:rPr>
          <w:b w:val="0"/>
          <w:bCs w:val="0"/>
        </w:rPr>
      </w:pPr>
      <w:r>
        <w:rPr/>
        <w:t>（特殊普通合伙）</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53"/>
        <w:ind w:left="3420" w:right="1033"/>
        <w:jc w:val="left"/>
        <w:rPr>
          <w:b w:val="0"/>
          <w:bCs w:val="0"/>
        </w:rPr>
      </w:pPr>
      <w:r>
        <w:rPr/>
        <w:t>中国注册会计师：徐银行</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4"/>
        <w:tabs>
          <w:tab w:pos="5313" w:val="left" w:leader="none"/>
        </w:tabs>
        <w:spacing w:line="240" w:lineRule="auto"/>
        <w:ind w:left="1825" w:right="1033"/>
        <w:jc w:val="left"/>
        <w:rPr>
          <w:b w:val="0"/>
          <w:bCs w:val="0"/>
        </w:rPr>
      </w:pPr>
      <w:r>
        <w:rPr>
          <w:w w:val="95"/>
        </w:rPr>
        <w:t>中国•上海</w:t>
        <w:tab/>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16</w:t>
      </w:r>
      <w:r>
        <w:rPr/>
        <w:t>日</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Heading2"/>
        <w:spacing w:line="240" w:lineRule="auto"/>
        <w:ind w:right="1033"/>
        <w:jc w:val="left"/>
        <w:rPr>
          <w:b w:val="0"/>
          <w:bCs w:val="0"/>
        </w:rPr>
      </w:pPr>
      <w:bookmarkStart w:name="二、财务报表" w:id="153"/>
      <w:bookmarkEnd w:id="15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33"/>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033"/>
        <w:jc w:val="left"/>
        <w:rPr>
          <w:b w:val="0"/>
          <w:bCs w:val="0"/>
        </w:rPr>
      </w:pPr>
      <w:bookmarkStart w:name="1、合并资产负债表" w:id="154"/>
      <w:bookmarkEnd w:id="15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编制单位：北京东方通科技股份有限公司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pStyle w:val="BodyText"/>
        <w:spacing w:line="240" w:lineRule="auto"/>
        <w:ind w:left="79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375" w:space="40"/>
            <w:col w:w="228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98"/>
        <w:gridCol w:w="2564"/>
        <w:gridCol w:w="2196"/>
      </w:tblGrid>
      <w:tr>
        <w:trPr>
          <w:trHeight w:val="403"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598,624,131.70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659,577,756.98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3,308,640.00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7,857,514.27</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301,033,038.49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308,787,491.67</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5,812,592.67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5,464,596.40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2,208,839.45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2,269,045.82</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4798"/>
        <w:gridCol w:w="2564"/>
        <w:gridCol w:w="2196"/>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5,561,212.15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13,852,701.10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33,248,823.40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16,079,020.04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207,858.03</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40,890.56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362.24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949,838,168.42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1,014,096,346.55</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55,906,246.82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261,257.58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3,927,937.46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4,917,422.64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16,928,969.02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24,739,258.08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522,182,172.42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906,999,470.40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311,685.08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553,035.83</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13,029,835.01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12,466,118.04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612,486,845.81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950,136,562.57</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1,562,325,014.23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1,964,232,909.12</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4798"/>
        <w:gridCol w:w="2564"/>
        <w:gridCol w:w="2196"/>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73,581,640.52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41,186,853.02</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4,369,869.33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5,167,324.98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10,663,050.11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10,074,974.60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20,575,670.04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41,722,480.33</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1,019,543.04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87,967,382.41</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110,209,773.04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186,119,015.34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3,979,724.78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2,033,394.78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693,672.87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1,698,487.76</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4,673,397.65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3,731,882.54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114,883,170.69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189,850,897.88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4821"/>
        <w:gridCol w:w="2552"/>
        <w:gridCol w:w="2196"/>
      </w:tblGrid>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277,031,708.00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138,393,484.00</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1,181,374,804.82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1,311,963,316.68</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26,325,950.60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26,325,950.60</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-37,290,619.88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297,699,259.96</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1,447,441,843.54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1,774,382,011.24</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1,447,441,843.54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1,774,382,011.24</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1,562,325,014.23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1,964,232,909.12</w:t>
            </w:r>
          </w:p>
        </w:tc>
      </w:tr>
    </w:tbl>
    <w:p>
      <w:pPr>
        <w:spacing w:line="240" w:lineRule="auto" w:before="3"/>
        <w:rPr>
          <w:rFonts w:ascii="Times New Roman" w:hAnsi="Times New Roman" w:cs="Times New Roman" w:eastAsia="Times New Roman" w:hint="default"/>
          <w:sz w:val="23"/>
          <w:szCs w:val="23"/>
        </w:rPr>
      </w:pPr>
    </w:p>
    <w:p>
      <w:pPr>
        <w:pStyle w:val="BodyText"/>
        <w:tabs>
          <w:tab w:pos="3600" w:val="left" w:leader="none"/>
          <w:tab w:pos="7741" w:val="left" w:leader="none"/>
        </w:tabs>
        <w:spacing w:line="240" w:lineRule="auto" w:before="44"/>
        <w:ind w:left="0" w:right="1229"/>
        <w:jc w:val="right"/>
      </w:pPr>
      <w:r>
        <w:rPr/>
        <w:t>法定代表人：黄永军</w:t>
        <w:tab/>
        <w:t>主管会计工作负责人：王会</w:t>
        <w:tab/>
        <w:t>会计机构负责人：王会</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2、母公司资产负债表" w:id="155"/>
      <w:bookmarkEnd w:id="15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98"/>
        <w:gridCol w:w="2564"/>
        <w:gridCol w:w="2196"/>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444,499,601.87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542,609,100.60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2,097,500.00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1,257,095.00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109,605,719.85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122,142,122.39</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1,725,101.56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1,117,794.30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2,208,839.45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2,269,045.82</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21,885,357.73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12,668,696.14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207,858.03</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4798"/>
        <w:gridCol w:w="2564"/>
        <w:gridCol w:w="2196"/>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652,022,120.46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682,271,712.28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826,066,327.76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1,065,631,257.58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1,396,134.14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1,894,089.17</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9,389,174.12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12,707,007.43</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29,607,378.92</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6,792,073.34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4,274,618.80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843,643,709.36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1,114,114,351.90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1,495,665,829.82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1,796,386,064.18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949,177.16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1,943,039.84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2,610,268.97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3,125,088.31</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6,836,538.53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5,932,822.89</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9,564,981.20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29,925,201.15</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79,785,635.63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92,691,414.26</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4798"/>
        <w:gridCol w:w="2564"/>
        <w:gridCol w:w="2196"/>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99,746,601.49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133,617,566.45</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3,979,724.78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2,013,394.78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3,979,724.78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2,013,394.78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103,726,326.27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135,630,961.23</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277,031,708.00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138,393,484.00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1,181,374,804.82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1,311,963,316.68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26,325,950.60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26,325,950.60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-92,792,959.87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184,072,351.67</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1,391,939,503.55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1,660,755,102.95</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1,495,665,829.82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1,796,386,064.18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1033"/>
        <w:jc w:val="left"/>
        <w:rPr>
          <w:b w:val="0"/>
          <w:bCs w:val="0"/>
        </w:rPr>
      </w:pPr>
      <w:bookmarkStart w:name="3、合并利润表" w:id="156"/>
      <w:bookmarkEnd w:id="15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821"/>
        <w:gridCol w:w="2552"/>
        <w:gridCol w:w="2195"/>
      </w:tblGrid>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4821"/>
        <w:gridCol w:w="2552"/>
        <w:gridCol w:w="2196"/>
      </w:tblGrid>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292,786,400.27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325,397,640.15</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292,786,400.27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325,397,640.15</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633,011,378.53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242,834,763.25</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74,034,535.88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72,123,852.29</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3,938,889.54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5,415,162.35</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43,818,066.20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55,760,893.86</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113,595,732.73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100,484,382.36</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-9,157,046.92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-5,078,387.28</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406,781,201.10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14,128,859.67</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-3,955,010.76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197,236.06</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-3,955,010.76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-17,894.64</w:t>
            </w:r>
            <w:r>
              <w:rPr>
                <w:rFonts w:ascii="Times New Roman"/>
                <w:sz w:val="18"/>
              </w:rPr>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-183,484.06</w:t>
            </w:r>
            <w:r>
              <w:rPr>
                <w:rFonts w:ascii="Times New Roman"/>
                <w:sz w:val="18"/>
              </w:rPr>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31,022,068.89</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-313,341,404.19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82,760,112.96</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14,170,751.26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44,715,451.33</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186,510.38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1,579,826.44</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-299,357,163.31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125,895,737.85</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7,929,545.73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14,532,093.09</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-307,286,709.04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111,363,644.76</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6"/>
              <w:jc w:val="righ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-307,286,709.04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111,363,644.76</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6"/>
              <w:jc w:val="righ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52"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-307,286,709.04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111,363,644.76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4798"/>
        <w:gridCol w:w="2564"/>
        <w:gridCol w:w="2196"/>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4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 他综合收益中享有的份额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4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 其他综合收益中享有的份额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-307,286,709.04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111,363,644.76</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-307,286,709.04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111,363,644.76</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0.4396</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0.4381</w:t>
            </w:r>
          </w:p>
        </w:tc>
      </w:tr>
    </w:tbl>
    <w:p>
      <w:pPr>
        <w:spacing w:line="240" w:lineRule="auto" w:before="3"/>
        <w:rPr>
          <w:rFonts w:ascii="Times New Roman" w:hAnsi="Times New Roman" w:cs="Times New Roman" w:eastAsia="Times New Roman" w:hint="default"/>
          <w:sz w:val="23"/>
          <w:szCs w:val="23"/>
        </w:rPr>
      </w:pPr>
    </w:p>
    <w:p>
      <w:pPr>
        <w:pStyle w:val="BodyText"/>
        <w:tabs>
          <w:tab w:pos="3600" w:val="left" w:leader="none"/>
          <w:tab w:pos="7741" w:val="left" w:leader="none"/>
        </w:tabs>
        <w:spacing w:line="240" w:lineRule="auto" w:before="44"/>
        <w:ind w:left="0" w:right="1229"/>
        <w:jc w:val="right"/>
      </w:pPr>
      <w:r>
        <w:rPr/>
        <w:t>法定代表人：黄永军</w:t>
        <w:tab/>
        <w:t>主管会计工作负责人：王会</w:t>
        <w:tab/>
        <w:t>会计机构负责人：王会</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4、母公司利润表" w:id="157"/>
      <w:bookmarkEnd w:id="15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98"/>
        <w:gridCol w:w="2564"/>
        <w:gridCol w:w="2196"/>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94,914,544.88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103,431,861.06</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13,328,476.84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10,211,302.31</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1,640,929.67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2,501,226.16</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29,170,949.33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32,750,690.15</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58,286,925.45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56,218,127.14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-8,407,429.34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-4,105,050.32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4798"/>
        <w:gridCol w:w="2564"/>
        <w:gridCol w:w="2196"/>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399,633,998.20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8,738,830.71</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122,544,989.24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100,427,694.70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-3,955,010.76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-17,894.64</w:t>
            </w:r>
            <w:r>
              <w:rPr>
                <w:rFonts w:ascii="Times New Roman"/>
                <w:sz w:val="18"/>
              </w:rPr>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14,939,850.47</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-261,254,465.56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97,544,429.61</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22,112,908.35</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102,882.90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1,285,605.30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-247,357,348.46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118,371,732.66</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1,804,792.28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2,454,460.46</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-249,162,140.74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115,917,272.20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-249,162,140.74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115,917,272.20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4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 他综合收益中享有的份额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4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 其他综合收益中享有的份额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-249,162,140.74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115,917,272.20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5、合并现金流量表" w:id="158"/>
      <w:bookmarkEnd w:id="15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4798"/>
        <w:gridCol w:w="2564"/>
        <w:gridCol w:w="2196"/>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326,055,109.48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371,461,482.34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 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31,131,920.83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32,584,269.68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29,423,712.21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55,429,257.59</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386,610,742.52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459,475,009.61</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60,004,771.91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48,601,701.65</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97,181,643.75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102,774,166.48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48,764,068.26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67,112,252.33</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71,491,719.67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93,595,631.58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277,442,203.59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312,083,752.04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109,168,538.93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147,391,257.57</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14,100,000.00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215,221.70</w:t>
            </w:r>
          </w:p>
        </w:tc>
      </w:tr>
      <w:tr>
        <w:trPr>
          <w:trHeight w:val="714"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3,118.00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16,170.00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4798"/>
        <w:gridCol w:w="2564"/>
        <w:gridCol w:w="2196"/>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3,118.00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14,331,391.70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3,205,001.00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5,981,674.93</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95,044,991.00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491,135,332.31</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157,849,992.00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497,117,007.24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-157,846,874.00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-482,785,615.54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14,833,983.82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845,024,383.00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14,833,983.82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845,024,383.00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27,703,170.80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14,402,537.50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472,562.47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21,006,697.88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28,175,733.27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35,409,235.38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-13,341,749.45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809,615,147.62</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-62,020,084.52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474,220,789.65</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655,699,374.11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181,478,584.46</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593,679,289.59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655,699,374.11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1033"/>
        <w:jc w:val="left"/>
        <w:rPr>
          <w:b w:val="0"/>
          <w:bCs w:val="0"/>
        </w:rPr>
      </w:pPr>
      <w:bookmarkStart w:name="6、母公司现金流量表" w:id="159"/>
      <w:bookmarkEnd w:id="15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98"/>
        <w:gridCol w:w="2564"/>
        <w:gridCol w:w="2196"/>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94"/>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99,921,638.92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155,370,944.68</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12,310,206.47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12,797,435.33</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94"/>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92,053,751.55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15,291,857.20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204,285,596.94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183,460,237.21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4798"/>
        <w:gridCol w:w="2564"/>
        <w:gridCol w:w="2196"/>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550,000.00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54,740,815.15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57,856,903.67</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16,783,800.10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20,161,536.05</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57,914,157.78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42,317,234.77</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130,438,773.03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120,885,674.49</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73,846,823.91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62,574,562.72</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27,549.12</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56,500,000.00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66,000,000.00</w:t>
            </w:r>
          </w:p>
        </w:tc>
      </w:tr>
      <w:tr>
        <w:trPr>
          <w:trHeight w:val="714"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56,503,000.00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66,027,899.12</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484,429.00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3,930,747.89</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214,644,991.00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492,955,009.00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215,129,420.00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496,885,756.89</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-158,626,420.00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-430,857,857.77</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14,833,983.82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830,024,383.00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14,833,983.82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830,024,383.00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27,703,170.80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14,402,537.50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472,562.47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21,005,998.64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28,175,733.27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35,408,536.14</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-13,341,749.45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794,615,846.86</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564"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-98,121,345.54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426,332,551.81</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542,060,197.41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115,727,645.60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4821"/>
        <w:gridCol w:w="2552"/>
        <w:gridCol w:w="2196"/>
      </w:tblGrid>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3" w:right="0"/>
              <w:jc w:val="left"/>
              <w:rPr>
                <w:rFonts w:ascii="Times New Roman" w:hAnsi="Times New Roman" w:cs="Times New Roman" w:eastAsia="Times New Roman" w:hint="default"/>
                <w:sz w:val="18"/>
                <w:szCs w:val="18"/>
              </w:rPr>
            </w:pPr>
            <w:r>
              <w:rPr>
                <w:rFonts w:ascii="Times New Roman"/>
                <w:sz w:val="18"/>
              </w:rPr>
              <w:t>443,938,851.87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9" w:right="0"/>
              <w:jc w:val="left"/>
              <w:rPr>
                <w:rFonts w:ascii="Times New Roman" w:hAnsi="Times New Roman" w:cs="Times New Roman" w:eastAsia="Times New Roman" w:hint="default"/>
                <w:sz w:val="18"/>
                <w:szCs w:val="18"/>
              </w:rPr>
            </w:pPr>
            <w:r>
              <w:rPr>
                <w:rFonts w:ascii="Times New Roman"/>
                <w:sz w:val="18"/>
              </w:rPr>
              <w:t>542,060,197.41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1033"/>
        <w:jc w:val="left"/>
        <w:rPr>
          <w:b w:val="0"/>
          <w:bCs w:val="0"/>
        </w:rPr>
      </w:pPr>
      <w:bookmarkStart w:name="7、合并所有者权益变动表" w:id="160"/>
      <w:bookmarkEnd w:id="16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3"/>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138,39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3,484.</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63,316.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26,325,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950.60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297,699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,259.96</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82,011.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138,39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3,484.</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1,311,9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63,316.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26,325,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950.60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297,699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,259.96</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82,011.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138,63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8,224.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8,511.8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9,879.8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0,167.7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6,709.0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6,709.0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122,37</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7,927,3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42.14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8,049,7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12.14</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122,37</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7,927,3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42.14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8,049,7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12.14</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170.80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170.80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170.80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170.80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138,51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5,854.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5,854.0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138,51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5,854.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5,854.0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1,708.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1,181,3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74,804.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26,325,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950.60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-37,290,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619.88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41,843.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bl>
    <w:p>
      <w:pPr>
        <w:pStyle w:val="BodyText"/>
        <w:spacing w:line="240" w:lineRule="auto" w:before="51"/>
        <w:ind w:left="1134" w:right="1033"/>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115,22</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0,300.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498,693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,572.20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14,734,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223.38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212,329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,879.92</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840,977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,975.50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8"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115,22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0,300.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498,693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,572.20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14,734,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223.38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212,329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,879.92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840,977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,975.50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813,269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,744.48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11,591,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727.22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85,369,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380.04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933,404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,035.74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111,363,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644.76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pacing w:val="-3"/>
                <w:sz w:val="18"/>
              </w:rPr>
              <w:t>111,363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,644.76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813,269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,744.48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836,442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,928.48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791,663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,934.09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814,516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,278.09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320,84</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21,605,</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810.39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21,926,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650.39</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11,591,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727.22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-25,994,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264.72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-14,402,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537.50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11,591,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727.22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-11,591,</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727.22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-14,402,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537.50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-14,402,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537.50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138,39</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3,484.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1,311,9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63,316.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26,325,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950.60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297,699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,259.96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1,774,3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2"/>
                <w:sz w:val="18"/>
              </w:rPr>
              <w:t>82,011.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1033"/>
        <w:jc w:val="left"/>
        <w:rPr>
          <w:b w:val="0"/>
          <w:bCs w:val="0"/>
        </w:rPr>
      </w:pPr>
      <w:bookmarkStart w:name="8、母公司所有者权益变动表" w:id="161"/>
      <w:bookmarkEnd w:id="16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33"/>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2"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138,393,</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484.00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1,311,963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,316.68</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26,325,95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0.60</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184,072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,351.67</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1,660,755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,102.95</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138,393,</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484.00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1,311,963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,316.68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26,325,95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184,072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,351.67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1,660,755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,102.95</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138,638,</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224.00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-130,588,</w:t>
            </w:r>
          </w:p>
          <w:p>
            <w:pPr>
              <w:pStyle w:val="TableParagraph"/>
              <w:spacing w:line="240" w:lineRule="auto" w:before="105"/>
              <w:ind w:left="276" w:right="0"/>
              <w:jc w:val="left"/>
              <w:rPr>
                <w:rFonts w:ascii="Times New Roman" w:hAnsi="Times New Roman" w:cs="Times New Roman" w:eastAsia="Times New Roman" w:hint="default"/>
                <w:sz w:val="18"/>
                <w:szCs w:val="18"/>
              </w:rPr>
            </w:pPr>
            <w:r>
              <w:rPr>
                <w:rFonts w:ascii="Times New Roman"/>
                <w:sz w:val="18"/>
              </w:rPr>
              <w:t>511.86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-276,86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pacing w:val="-2"/>
                <w:sz w:val="18"/>
              </w:rPr>
              <w:t>5,311.5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-268,815,</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599.40</w:t>
            </w: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-249,16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2,140.7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-249,162,</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140.74</w:t>
            </w:r>
          </w:p>
        </w:tc>
      </w:tr>
      <w:tr>
        <w:trPr>
          <w:trHeight w:val="705"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7,927,342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8,049,712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122,370.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7,927,342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8,049,712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170.80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-27,703,1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70.80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-27,703,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170.80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-27,703,1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70.80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138,515,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854.00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-138,515,</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854.00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138,515,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854.00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-138,515,</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854.00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277,031,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1,181,374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,804.82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26,325,95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-92,792,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959.87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1,391,939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,503.55</w:t>
            </w:r>
          </w:p>
        </w:tc>
      </w:tr>
    </w:tbl>
    <w:p>
      <w:pPr>
        <w:pStyle w:val="BodyText"/>
        <w:spacing w:line="240" w:lineRule="auto" w:before="51"/>
        <w:ind w:left="1134" w:right="1033"/>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115,220,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498,693,5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72.20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14,734,22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3.38</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18"/>
                <w:szCs w:val="18"/>
              </w:rPr>
            </w:pPr>
            <w:r>
              <w:rPr>
                <w:rFonts w:ascii="Times New Roman"/>
                <w:sz w:val="18"/>
              </w:rPr>
              <w:t>94,149,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344.19</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722,797,4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39.77</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10"/>
                <w:sz w:val="18"/>
                <w:szCs w:val="18"/>
              </w:rPr>
              <w:t>加：会计政策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115,220,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498,693,5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72.20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14,734,22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3.38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94,149,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344.19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722,797,4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39.77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23,173,1</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813,269,7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11,591,72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89,923,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007.48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937,957,6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63.18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115,917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,272.20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115,917,2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72.20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23,173,1</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813,269,7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836,442,9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28.48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22,852,3</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791,663,9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34.09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814,516,2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78.09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21,605,81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21,926,65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11,591,72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-25,994,</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264.72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-14,402,5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37.50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11,591,72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-11,591,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727.22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-14,402,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537.50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-14,402,5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37.50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138,393,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484.00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1,311,963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,316.68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26,325,95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184,072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,351.67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1,660,755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,102.95</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1033"/>
        <w:jc w:val="left"/>
        <w:rPr>
          <w:b w:val="0"/>
          <w:bCs w:val="0"/>
        </w:rPr>
      </w:pPr>
      <w:bookmarkStart w:name="三、公司基本情况" w:id="162"/>
      <w:bookmarkEnd w:id="162"/>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56" w:right="1036" w:firstLine="2"/>
        <w:jc w:val="left"/>
      </w:pPr>
      <w:r>
        <w:rPr>
          <w:rFonts w:ascii="宋体" w:hAnsi="宋体" w:cs="宋体" w:eastAsia="宋体" w:hint="default"/>
          <w:b/>
          <w:bCs/>
        </w:rPr>
        <w:t>（一）有限公司基本情况</w:t>
      </w:r>
      <w:r>
        <w:rPr>
          <w:rFonts w:ascii="宋体" w:hAnsi="宋体" w:cs="宋体" w:eastAsia="宋体" w:hint="default"/>
          <w:b/>
          <w:bCs/>
          <w:w w:val="99"/>
        </w:rPr>
        <w:t> </w:t>
      </w:r>
      <w:r>
        <w:rPr>
          <w:spacing w:val="-2"/>
        </w:rPr>
        <w:t>北京东方通科技发展有限责任公司（以下简称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）成立于</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11</w:t>
      </w:r>
      <w:r>
        <w:rPr>
          <w:spacing w:val="-2"/>
        </w:rPr>
        <w:t>日，由张齐春、牛合庆、朱律玮、</w:t>
      </w:r>
    </w:p>
    <w:p>
      <w:pPr>
        <w:pStyle w:val="BodyText"/>
        <w:spacing w:line="300" w:lineRule="auto"/>
        <w:ind w:right="1123"/>
        <w:jc w:val="left"/>
      </w:pPr>
      <w:r>
        <w:rPr/>
        <w:t>孙亚明等十一位自然人股东出资设立，注册资本人民币</w:t>
      </w:r>
      <w:r>
        <w:rPr>
          <w:rFonts w:ascii="Times New Roman" w:hAnsi="Times New Roman" w:cs="Times New Roman" w:eastAsia="Times New Roman" w:hint="default"/>
        </w:rPr>
        <w:t>50</w:t>
      </w:r>
      <w:r>
        <w:rPr/>
        <w:t>万元业经北京中威审计事务所集团以中审验（</w:t>
      </w:r>
      <w:r>
        <w:rPr>
          <w:rFonts w:ascii="Times New Roman" w:hAnsi="Times New Roman" w:cs="Times New Roman" w:eastAsia="Times New Roman" w:hint="default"/>
        </w:rPr>
        <w:t>97</w:t>
      </w:r>
      <w:r>
        <w:rPr/>
        <w:t>）字第</w:t>
      </w:r>
      <w:r>
        <w:rPr>
          <w:rFonts w:ascii="Times New Roman" w:hAnsi="Times New Roman" w:cs="Times New Roman" w:eastAsia="Times New Roman" w:hint="default"/>
        </w:rPr>
        <w:t>106</w:t>
      </w:r>
      <w:r>
        <w:rPr/>
        <w:t>号验资 报告予以验证，并于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日在北京市工商行政管理局领取了</w:t>
      </w:r>
      <w:r>
        <w:rPr>
          <w:rFonts w:ascii="Times New Roman" w:hAnsi="Times New Roman" w:cs="Times New Roman" w:eastAsia="Times New Roman" w:hint="default"/>
        </w:rPr>
        <w:t>06321898</w:t>
      </w:r>
      <w:r>
        <w:rPr/>
        <w:t>号企业法人营业执照。</w:t>
      </w:r>
    </w:p>
    <w:p>
      <w:pPr>
        <w:pStyle w:val="BodyText"/>
        <w:spacing w:line="300" w:lineRule="auto" w:before="13"/>
        <w:ind w:right="1121" w:firstLine="422"/>
        <w:jc w:val="left"/>
      </w:pP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日，本公司股东会通过决议，同意股东袁卫将其持有的</w:t>
      </w:r>
      <w:r>
        <w:rPr>
          <w:rFonts w:ascii="Times New Roman" w:hAnsi="Times New Roman" w:cs="Times New Roman" w:eastAsia="Times New Roman" w:hint="default"/>
        </w:rPr>
        <w:t>2.50%</w:t>
      </w:r>
      <w:r>
        <w:rPr/>
        <w:t>股权、股东蒋芳方将其持有的</w:t>
      </w:r>
      <w:r>
        <w:rPr>
          <w:rFonts w:ascii="Times New Roman" w:hAnsi="Times New Roman" w:cs="Times New Roman" w:eastAsia="Times New Roman" w:hint="default"/>
        </w:rPr>
        <w:t>1.68%</w:t>
      </w:r>
      <w:r>
        <w:rPr/>
        <w:t>股权转让 给张齐春。上述股权变更已于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日在工商行政管理部门办理了变更登记手续。</w:t>
      </w:r>
    </w:p>
    <w:p>
      <w:pPr>
        <w:pStyle w:val="BodyText"/>
        <w:spacing w:line="316" w:lineRule="auto" w:before="13"/>
        <w:ind w:right="1151" w:firstLine="422"/>
        <w:jc w:val="left"/>
      </w:pPr>
      <w:r>
        <w:rPr>
          <w:rFonts w:ascii="宋体" w:hAnsi="宋体" w:cs="宋体" w:eastAsia="宋体" w:hint="default"/>
        </w:rPr>
        <w:t>2000</w:t>
      </w:r>
      <w:r>
        <w:rPr/>
        <w:t>年</w:t>
      </w:r>
      <w:r>
        <w:rPr>
          <w:rFonts w:ascii="宋体" w:hAnsi="宋体" w:cs="宋体" w:eastAsia="宋体" w:hint="default"/>
        </w:rPr>
        <w:t>12</w:t>
      </w:r>
      <w:r>
        <w:rPr/>
        <w:t>月</w:t>
      </w:r>
      <w:r>
        <w:rPr>
          <w:rFonts w:ascii="宋体" w:hAnsi="宋体" w:cs="宋体" w:eastAsia="宋体" w:hint="default"/>
        </w:rPr>
        <w:t>12</w:t>
      </w:r>
      <w:r>
        <w:rPr/>
        <w:t>日，本公司股东会通过决议，同意</w:t>
      </w:r>
      <w:r>
        <w:rPr>
          <w:rFonts w:ascii="宋体" w:hAnsi="宋体" w:cs="宋体" w:eastAsia="宋体" w:hint="default"/>
        </w:rPr>
        <w:t>9</w:t>
      </w:r>
      <w:r>
        <w:rPr/>
        <w:t>位自然人股东将其持有的总计</w:t>
      </w:r>
      <w:r>
        <w:rPr>
          <w:rFonts w:ascii="宋体" w:hAnsi="宋体" w:cs="宋体" w:eastAsia="宋体" w:hint="default"/>
        </w:rPr>
        <w:t>15%</w:t>
      </w:r>
      <w:r>
        <w:rPr/>
        <w:t>的股权转让给上海涌金实业有限公 司，上述股权变更已于</w:t>
      </w:r>
      <w:r>
        <w:rPr>
          <w:rFonts w:ascii="宋体" w:hAnsi="宋体" w:cs="宋体" w:eastAsia="宋体" w:hint="default"/>
        </w:rPr>
        <w:t>2001</w:t>
      </w:r>
      <w:r>
        <w:rPr/>
        <w:t>年</w:t>
      </w:r>
      <w:r>
        <w:rPr>
          <w:rFonts w:ascii="宋体" w:hAnsi="宋体" w:cs="宋体" w:eastAsia="宋体" w:hint="default"/>
        </w:rPr>
        <w:t>1</w:t>
      </w:r>
      <w:r>
        <w:rPr/>
        <w:t>月</w:t>
      </w:r>
      <w:r>
        <w:rPr>
          <w:rFonts w:ascii="宋体" w:hAnsi="宋体" w:cs="宋体" w:eastAsia="宋体" w:hint="default"/>
        </w:rPr>
        <w:t>15</w:t>
      </w:r>
      <w:r>
        <w:rPr/>
        <w:t>日在工商行政管理部门办理了变更登记手续。</w:t>
      </w:r>
    </w:p>
    <w:p>
      <w:pPr>
        <w:pStyle w:val="BodyText"/>
        <w:spacing w:line="316" w:lineRule="auto" w:before="19"/>
        <w:ind w:right="1116" w:firstLine="422"/>
        <w:jc w:val="left"/>
      </w:pPr>
      <w:r>
        <w:rPr>
          <w:rFonts w:ascii="宋体" w:hAnsi="宋体" w:cs="宋体" w:eastAsia="宋体" w:hint="default"/>
          <w:spacing w:val="-1"/>
        </w:rPr>
        <w:t>2001</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22</w:t>
      </w:r>
      <w:r>
        <w:rPr>
          <w:spacing w:val="-1"/>
        </w:rPr>
        <w:t>日，本公司股东会通过决议，同意吸收合并深圳东方通科技发展有限责任公司。鉴于深圳东方通科技发展</w:t>
      </w:r>
      <w:r>
        <w:rPr/>
        <w:t> </w:t>
      </w:r>
      <w:r>
        <w:rPr>
          <w:spacing w:val="-2"/>
        </w:rPr>
        <w:t>有限责任公司与本公司有相同的股权结构，同意将其净资产中的</w:t>
      </w:r>
      <w:r>
        <w:rPr>
          <w:rFonts w:ascii="宋体" w:hAnsi="宋体" w:cs="宋体" w:eastAsia="宋体" w:hint="default"/>
          <w:spacing w:val="-2"/>
        </w:rPr>
        <w:t>25</w:t>
      </w:r>
      <w:r>
        <w:rPr>
          <w:spacing w:val="-2"/>
        </w:rPr>
        <w:t>万元对本公司原股东进行同比例增资，余额增加本公司资</w:t>
      </w:r>
      <w:r>
        <w:rPr>
          <w:spacing w:val="-62"/>
        </w:rPr>
        <w:t> </w:t>
      </w:r>
      <w:r>
        <w:rPr>
          <w:spacing w:val="-62"/>
        </w:rPr>
      </w:r>
      <w:r>
        <w:rPr/>
        <w:t>本公积，本次增资后公司注册资本变更为</w:t>
      </w:r>
      <w:r>
        <w:rPr>
          <w:rFonts w:ascii="宋体" w:hAnsi="宋体" w:cs="宋体" w:eastAsia="宋体" w:hint="default"/>
        </w:rPr>
        <w:t>75</w:t>
      </w:r>
      <w:r>
        <w:rPr/>
        <w:t>万元，股权比例保持不变。上述增资业经北京天华会计师事务所于</w:t>
      </w:r>
      <w:r>
        <w:rPr>
          <w:rFonts w:ascii="宋体" w:hAnsi="宋体" w:cs="宋体" w:eastAsia="宋体" w:hint="default"/>
        </w:rPr>
        <w:t>2001</w:t>
      </w:r>
      <w:r>
        <w:rPr/>
        <w:t>年</w:t>
      </w:r>
      <w:r>
        <w:rPr>
          <w:rFonts w:ascii="宋体" w:hAnsi="宋体" w:cs="宋体" w:eastAsia="宋体" w:hint="default"/>
        </w:rPr>
        <w:t>4</w:t>
      </w:r>
      <w:r>
        <w:rPr/>
        <w:t>月</w:t>
      </w:r>
      <w:r>
        <w:rPr>
          <w:rFonts w:ascii="宋体" w:hAnsi="宋体" w:cs="宋体" w:eastAsia="宋体" w:hint="default"/>
        </w:rPr>
        <w:t>2 </w:t>
      </w:r>
      <w:r>
        <w:rPr>
          <w:spacing w:val="-2"/>
        </w:rPr>
        <w:t>日以天华验字（</w:t>
      </w:r>
      <w:r>
        <w:rPr>
          <w:rFonts w:ascii="宋体" w:hAnsi="宋体" w:cs="宋体" w:eastAsia="宋体" w:hint="default"/>
          <w:spacing w:val="-2"/>
        </w:rPr>
        <w:t>2001</w:t>
      </w:r>
      <w:r>
        <w:rPr>
          <w:spacing w:val="-2"/>
        </w:rPr>
        <w:t>）第</w:t>
      </w:r>
      <w:r>
        <w:rPr>
          <w:rFonts w:ascii="宋体" w:hAnsi="宋体" w:cs="宋体" w:eastAsia="宋体" w:hint="default"/>
          <w:spacing w:val="-2"/>
        </w:rPr>
        <w:t>345</w:t>
      </w:r>
      <w:r>
        <w:rPr>
          <w:spacing w:val="-2"/>
        </w:rPr>
        <w:t>号验资报告予以验证，并于</w:t>
      </w:r>
      <w:r>
        <w:rPr>
          <w:rFonts w:ascii="宋体" w:hAnsi="宋体" w:cs="宋体" w:eastAsia="宋体" w:hint="default"/>
          <w:spacing w:val="-2"/>
        </w:rPr>
        <w:t>2001</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11</w:t>
      </w:r>
      <w:r>
        <w:rPr>
          <w:spacing w:val="-2"/>
        </w:rPr>
        <w:t>日在北京市工商行政管理局办理了变更登记手续，换领</w:t>
      </w:r>
      <w:r>
        <w:rPr>
          <w:spacing w:val="-52"/>
        </w:rPr>
        <w:t> </w:t>
      </w:r>
      <w:r>
        <w:rPr>
          <w:spacing w:val="-52"/>
        </w:rPr>
      </w:r>
      <w:r>
        <w:rPr/>
        <w:t>了</w:t>
      </w:r>
      <w:r>
        <w:rPr>
          <w:rFonts w:ascii="宋体" w:hAnsi="宋体" w:cs="宋体" w:eastAsia="宋体" w:hint="default"/>
        </w:rPr>
        <w:t>1100002321898</w:t>
      </w:r>
      <w:r>
        <w:rPr/>
        <w:t>号企业法人营业执照。</w:t>
      </w:r>
    </w:p>
    <w:p>
      <w:pPr>
        <w:pStyle w:val="BodyText"/>
        <w:spacing w:line="240" w:lineRule="auto" w:before="19"/>
        <w:ind w:left="1556" w:right="1033"/>
        <w:jc w:val="left"/>
      </w:pPr>
      <w:r>
        <w:rPr>
          <w:rFonts w:ascii="宋体" w:hAnsi="宋体" w:cs="宋体" w:eastAsia="宋体" w:hint="default"/>
        </w:rPr>
        <w:t>2002</w:t>
      </w:r>
      <w:r>
        <w:rPr/>
        <w:t>年</w:t>
      </w:r>
      <w:r>
        <w:rPr>
          <w:rFonts w:ascii="宋体" w:hAnsi="宋体" w:cs="宋体" w:eastAsia="宋体" w:hint="default"/>
        </w:rPr>
        <w:t>1</w:t>
      </w:r>
      <w:r>
        <w:rPr/>
        <w:t>月</w:t>
      </w:r>
      <w:r>
        <w:rPr>
          <w:rFonts w:ascii="宋体" w:hAnsi="宋体" w:cs="宋体" w:eastAsia="宋体" w:hint="default"/>
        </w:rPr>
        <w:t>28</w:t>
      </w:r>
      <w:r>
        <w:rPr/>
        <w:t>日，本公司股东会通过决议，同意以未分配利润和资本公积按全体股东原持股比例转增注册资本人民币</w:t>
      </w:r>
    </w:p>
    <w:p>
      <w:pPr>
        <w:pStyle w:val="BodyText"/>
        <w:spacing w:line="316" w:lineRule="auto" w:before="76"/>
        <w:ind w:right="1123"/>
        <w:jc w:val="left"/>
      </w:pPr>
      <w:r>
        <w:rPr>
          <w:rFonts w:ascii="宋体" w:hAnsi="宋体" w:cs="宋体" w:eastAsia="宋体" w:hint="default"/>
        </w:rPr>
        <w:t>1,125</w:t>
      </w:r>
      <w:r>
        <w:rPr/>
        <w:t>万元，增资后公司注册资本变更为人民币</w:t>
      </w:r>
      <w:r>
        <w:rPr>
          <w:rFonts w:ascii="宋体" w:hAnsi="宋体" w:cs="宋体" w:eastAsia="宋体" w:hint="default"/>
        </w:rPr>
        <w:t>1,200</w:t>
      </w:r>
      <w:r>
        <w:rPr/>
        <w:t>万元。是次增资业经北京天华会计师事务所于</w:t>
      </w:r>
      <w:r>
        <w:rPr>
          <w:rFonts w:ascii="宋体" w:hAnsi="宋体" w:cs="宋体" w:eastAsia="宋体" w:hint="default"/>
        </w:rPr>
        <w:t>2002</w:t>
      </w:r>
      <w:r>
        <w:rPr/>
        <w:t>年</w:t>
      </w:r>
      <w:r>
        <w:rPr>
          <w:rFonts w:ascii="宋体" w:hAnsi="宋体" w:cs="宋体" w:eastAsia="宋体" w:hint="default"/>
        </w:rPr>
        <w:t>1</w:t>
      </w:r>
      <w:r>
        <w:rPr/>
        <w:t>月</w:t>
      </w:r>
      <w:r>
        <w:rPr>
          <w:rFonts w:ascii="宋体" w:hAnsi="宋体" w:cs="宋体" w:eastAsia="宋体" w:hint="default"/>
        </w:rPr>
        <w:t>30</w:t>
      </w:r>
      <w:r>
        <w:rPr/>
        <w:t>日出具天华 验字（</w:t>
      </w:r>
      <w:r>
        <w:rPr>
          <w:rFonts w:ascii="宋体" w:hAnsi="宋体" w:cs="宋体" w:eastAsia="宋体" w:hint="default"/>
        </w:rPr>
        <w:t>2002</w:t>
      </w:r>
      <w:r>
        <w:rPr/>
        <w:t>）第</w:t>
      </w:r>
      <w:r>
        <w:rPr>
          <w:rFonts w:ascii="宋体" w:hAnsi="宋体" w:cs="宋体" w:eastAsia="宋体" w:hint="default"/>
        </w:rPr>
        <w:t>001</w:t>
      </w:r>
      <w:r>
        <w:rPr/>
        <w:t>号验资报告予以验证，并于</w:t>
      </w:r>
      <w:r>
        <w:rPr>
          <w:rFonts w:ascii="宋体" w:hAnsi="宋体" w:cs="宋体" w:eastAsia="宋体" w:hint="default"/>
        </w:rPr>
        <w:t>2002</w:t>
      </w:r>
      <w:r>
        <w:rPr/>
        <w:t>年</w:t>
      </w:r>
      <w:r>
        <w:rPr>
          <w:rFonts w:ascii="宋体" w:hAnsi="宋体" w:cs="宋体" w:eastAsia="宋体" w:hint="default"/>
        </w:rPr>
        <w:t>3</w:t>
      </w:r>
      <w:r>
        <w:rPr/>
        <w:t>月</w:t>
      </w:r>
      <w:r>
        <w:rPr>
          <w:rFonts w:ascii="宋体" w:hAnsi="宋体" w:cs="宋体" w:eastAsia="宋体" w:hint="default"/>
        </w:rPr>
        <w:t>11</w:t>
      </w:r>
      <w:r>
        <w:rPr/>
        <w:t>在北京市工商行政管理局办理了变更登记手续，换领了 </w:t>
      </w:r>
      <w:r>
        <w:rPr>
          <w:rFonts w:ascii="宋体" w:hAnsi="宋体" w:cs="宋体" w:eastAsia="宋体" w:hint="default"/>
        </w:rPr>
        <w:t>1101062321898</w:t>
      </w:r>
      <w:r>
        <w:rPr/>
        <w:t>号企业法人营业执照。</w:t>
      </w:r>
    </w:p>
    <w:p>
      <w:pPr>
        <w:pStyle w:val="BodyText"/>
        <w:spacing w:line="316" w:lineRule="auto" w:before="19"/>
        <w:ind w:right="1042" w:firstLine="422"/>
        <w:jc w:val="left"/>
      </w:pPr>
      <w:r>
        <w:rPr>
          <w:rFonts w:ascii="宋体" w:hAnsi="宋体" w:cs="宋体" w:eastAsia="宋体" w:hint="default"/>
        </w:rPr>
        <w:t>2002</w:t>
      </w:r>
      <w:r>
        <w:rPr/>
        <w:t>年</w:t>
      </w:r>
      <w:r>
        <w:rPr>
          <w:rFonts w:ascii="宋体" w:hAnsi="宋体" w:cs="宋体" w:eastAsia="宋体" w:hint="default"/>
        </w:rPr>
        <w:t>12</w:t>
      </w:r>
      <w:r>
        <w:rPr/>
        <w:t>月</w:t>
      </w:r>
      <w:r>
        <w:rPr>
          <w:rFonts w:ascii="宋体" w:hAnsi="宋体" w:cs="宋体" w:eastAsia="宋体" w:hint="default"/>
        </w:rPr>
        <w:t>27</w:t>
      </w:r>
      <w:r>
        <w:rPr/>
        <w:t>日，本公司第三届四次股东会通过决议，同意申请新增注册资本人民币</w:t>
      </w:r>
      <w:r>
        <w:rPr>
          <w:rFonts w:ascii="宋体" w:hAnsi="宋体" w:cs="宋体" w:eastAsia="宋体" w:hint="default"/>
        </w:rPr>
        <w:t>210</w:t>
      </w:r>
      <w:r>
        <w:rPr/>
        <w:t>万元，由北京盈富泰克投资发 </w:t>
      </w:r>
      <w:r>
        <w:rPr>
          <w:spacing w:val="-2"/>
        </w:rPr>
        <w:t>展有限公司（后名称变更为盈富泰克创业投资有限公司）和北京市新技术产业发展服务中心（后名称变更为中关村高科技产</w:t>
      </w:r>
      <w:r>
        <w:rPr>
          <w:spacing w:val="-66"/>
        </w:rPr>
        <w:t> </w:t>
      </w:r>
      <w:r>
        <w:rPr>
          <w:spacing w:val="-66"/>
        </w:rPr>
      </w:r>
      <w:r>
        <w:rPr>
          <w:spacing w:val="-2"/>
        </w:rPr>
        <w:t>业促进中心）以货币资金予以增资，其中北京盈富泰克投资发展有限公司出资</w:t>
      </w:r>
      <w:r>
        <w:rPr>
          <w:rFonts w:ascii="宋体" w:hAnsi="宋体" w:cs="宋体" w:eastAsia="宋体" w:hint="default"/>
          <w:spacing w:val="-2"/>
        </w:rPr>
        <w:t>1,200</w:t>
      </w:r>
      <w:r>
        <w:rPr>
          <w:spacing w:val="-2"/>
        </w:rPr>
        <w:t>万元，占增资后注册资本比例为</w:t>
      </w:r>
      <w:r>
        <w:rPr>
          <w:rFonts w:ascii="宋体" w:hAnsi="宋体" w:cs="宋体" w:eastAsia="宋体" w:hint="default"/>
          <w:spacing w:val="-2"/>
        </w:rPr>
        <w:t>11.91%</w:t>
      </w:r>
      <w:r>
        <w:rPr>
          <w:spacing w:val="-2"/>
        </w:rPr>
        <w:t>；</w:t>
      </w:r>
      <w:r>
        <w:rPr>
          <w:spacing w:val="-54"/>
        </w:rPr>
        <w:t> </w:t>
      </w:r>
      <w:r>
        <w:rPr>
          <w:spacing w:val="-2"/>
        </w:rPr>
        <w:t>北京市新技术产业发展服务中心出资</w:t>
      </w:r>
      <w:r>
        <w:rPr>
          <w:rFonts w:ascii="宋体" w:hAnsi="宋体" w:cs="宋体" w:eastAsia="宋体" w:hint="default"/>
          <w:spacing w:val="-2"/>
        </w:rPr>
        <w:t>300</w:t>
      </w:r>
      <w:r>
        <w:rPr>
          <w:spacing w:val="-2"/>
        </w:rPr>
        <w:t>万元，占增资后注册资本比例为</w:t>
      </w:r>
      <w:r>
        <w:rPr>
          <w:rFonts w:ascii="宋体" w:hAnsi="宋体" w:cs="宋体" w:eastAsia="宋体" w:hint="default"/>
          <w:spacing w:val="-2"/>
        </w:rPr>
        <w:t>2.98%</w:t>
      </w:r>
      <w:r>
        <w:rPr>
          <w:spacing w:val="-2"/>
        </w:rPr>
        <w:t>，实际出资额溢价部分均列入资本公积金，增</w:t>
      </w:r>
      <w:r>
        <w:rPr>
          <w:spacing w:val="-58"/>
        </w:rPr>
        <w:t> </w:t>
      </w:r>
      <w:r>
        <w:rPr>
          <w:spacing w:val="-58"/>
        </w:rPr>
      </w:r>
      <w:r>
        <w:rPr>
          <w:spacing w:val="-2"/>
        </w:rPr>
        <w:t>资后本公司注册资本变更为人民币</w:t>
      </w:r>
      <w:r>
        <w:rPr>
          <w:rFonts w:ascii="宋体" w:hAnsi="宋体" w:cs="宋体" w:eastAsia="宋体" w:hint="default"/>
          <w:spacing w:val="-2"/>
        </w:rPr>
        <w:t>1,410</w:t>
      </w:r>
      <w:r>
        <w:rPr>
          <w:spacing w:val="-2"/>
        </w:rPr>
        <w:t>万元。上述事项业经北京天华会计师事务所于</w:t>
      </w:r>
      <w:r>
        <w:rPr>
          <w:rFonts w:ascii="宋体" w:hAnsi="宋体" w:cs="宋体" w:eastAsia="宋体" w:hint="default"/>
          <w:spacing w:val="-2"/>
        </w:rPr>
        <w:t>2003</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31</w:t>
      </w:r>
      <w:r>
        <w:rPr>
          <w:spacing w:val="-2"/>
        </w:rPr>
        <w:t>日以天华验字（</w:t>
      </w:r>
      <w:r>
        <w:rPr>
          <w:rFonts w:ascii="宋体" w:hAnsi="宋体" w:cs="宋体" w:eastAsia="宋体" w:hint="default"/>
          <w:spacing w:val="-2"/>
        </w:rPr>
        <w:t>2003</w:t>
      </w:r>
      <w:r>
        <w:rPr>
          <w:spacing w:val="-2"/>
        </w:rPr>
        <w:t>）第</w:t>
      </w:r>
      <w:r>
        <w:rPr>
          <w:spacing w:val="-79"/>
        </w:rPr>
        <w:t> </w:t>
      </w:r>
      <w:r>
        <w:rPr>
          <w:rFonts w:ascii="宋体" w:hAnsi="宋体" w:cs="宋体" w:eastAsia="宋体" w:hint="default"/>
        </w:rPr>
        <w:t>113-02</w:t>
      </w:r>
      <w:r>
        <w:rPr/>
        <w:t>号验资报告予以验证，并于</w:t>
      </w:r>
      <w:r>
        <w:rPr>
          <w:rFonts w:ascii="宋体" w:hAnsi="宋体" w:cs="宋体" w:eastAsia="宋体" w:hint="default"/>
        </w:rPr>
        <w:t>2003</w:t>
      </w:r>
      <w:r>
        <w:rPr/>
        <w:t>年</w:t>
      </w:r>
      <w:r>
        <w:rPr>
          <w:rFonts w:ascii="宋体" w:hAnsi="宋体" w:cs="宋体" w:eastAsia="宋体" w:hint="default"/>
        </w:rPr>
        <w:t>8</w:t>
      </w:r>
      <w:r>
        <w:rPr/>
        <w:t>月</w:t>
      </w:r>
      <w:r>
        <w:rPr>
          <w:rFonts w:ascii="宋体" w:hAnsi="宋体" w:cs="宋体" w:eastAsia="宋体" w:hint="default"/>
        </w:rPr>
        <w:t>6</w:t>
      </w:r>
      <w:r>
        <w:rPr/>
        <w:t>在北京市工商行政管理局办理了变更登记手续，换领了</w:t>
      </w:r>
      <w:r>
        <w:rPr>
          <w:rFonts w:ascii="宋体" w:hAnsi="宋体" w:cs="宋体" w:eastAsia="宋体" w:hint="default"/>
        </w:rPr>
        <w:t>1101061321898</w:t>
      </w:r>
      <w:r>
        <w:rPr/>
        <w:t>号企业 法人营业执照。</w:t>
      </w:r>
    </w:p>
    <w:p>
      <w:pPr>
        <w:pStyle w:val="BodyText"/>
        <w:spacing w:line="316" w:lineRule="auto" w:before="19"/>
        <w:ind w:right="1033" w:firstLine="422"/>
        <w:jc w:val="left"/>
      </w:pPr>
      <w:r>
        <w:rPr>
          <w:rFonts w:ascii="宋体" w:hAnsi="宋体" w:cs="宋体" w:eastAsia="宋体" w:hint="default"/>
        </w:rPr>
        <w:t>2006</w:t>
      </w:r>
      <w:r>
        <w:rPr/>
        <w:t>年</w:t>
      </w:r>
      <w:r>
        <w:rPr>
          <w:rFonts w:ascii="宋体" w:hAnsi="宋体" w:cs="宋体" w:eastAsia="宋体" w:hint="default"/>
        </w:rPr>
        <w:t>5</w:t>
      </w:r>
      <w:r>
        <w:rPr/>
        <w:t>月</w:t>
      </w:r>
      <w:r>
        <w:rPr>
          <w:rFonts w:ascii="宋体" w:hAnsi="宋体" w:cs="宋体" w:eastAsia="宋体" w:hint="default"/>
        </w:rPr>
        <w:t>25</w:t>
      </w:r>
      <w:r>
        <w:rPr/>
        <w:t>日，本公司第四届第二次股东会通过决议，同意九名自然人股东按比例将他们所持公司的股权转让给李青 春共计</w:t>
      </w:r>
      <w:r>
        <w:rPr>
          <w:rFonts w:ascii="宋体" w:hAnsi="宋体" w:cs="宋体" w:eastAsia="宋体" w:hint="default"/>
        </w:rPr>
        <w:t>30</w:t>
      </w:r>
      <w:r>
        <w:rPr/>
        <w:t>万元，转让给徐志东共计</w:t>
      </w:r>
      <w:r>
        <w:rPr>
          <w:rFonts w:ascii="宋体" w:hAnsi="宋体" w:cs="宋体" w:eastAsia="宋体" w:hint="default"/>
        </w:rPr>
        <w:t>12</w:t>
      </w:r>
      <w:r>
        <w:rPr/>
        <w:t>万元。同日，九名自然人股东分别与李青春、徐志东签订《转股协议》，约定李青春、 徐志东自协议签署日享有股东权利、承担股东义务。该股权转让于</w:t>
      </w:r>
      <w:r>
        <w:rPr>
          <w:rFonts w:ascii="宋体" w:hAnsi="宋体" w:cs="宋体" w:eastAsia="宋体" w:hint="default"/>
        </w:rPr>
        <w:t>2006</w:t>
      </w:r>
      <w:r>
        <w:rPr/>
        <w:t>年</w:t>
      </w:r>
      <w:r>
        <w:rPr>
          <w:rFonts w:ascii="宋体" w:hAnsi="宋体" w:cs="宋体" w:eastAsia="宋体" w:hint="default"/>
        </w:rPr>
        <w:t>10</w:t>
      </w:r>
      <w:r>
        <w:rPr/>
        <w:t>月</w:t>
      </w:r>
      <w:r>
        <w:rPr>
          <w:rFonts w:ascii="宋体" w:hAnsi="宋体" w:cs="宋体" w:eastAsia="宋体" w:hint="default"/>
        </w:rPr>
        <w:t>26</w:t>
      </w:r>
      <w:r>
        <w:rPr/>
        <w:t>日办理工商变更登记。</w:t>
      </w:r>
    </w:p>
    <w:p>
      <w:pPr>
        <w:pStyle w:val="BodyText"/>
        <w:spacing w:line="319" w:lineRule="auto" w:before="19"/>
        <w:ind w:right="1130" w:firstLine="422"/>
        <w:jc w:val="both"/>
      </w:pPr>
      <w:r>
        <w:rPr>
          <w:rFonts w:ascii="宋体" w:hAnsi="宋体" w:cs="宋体" w:eastAsia="宋体" w:hint="default"/>
        </w:rPr>
        <w:t>2009</w:t>
      </w:r>
      <w:r>
        <w:rPr/>
        <w:t>年</w:t>
      </w:r>
      <w:r>
        <w:rPr>
          <w:rFonts w:ascii="宋体" w:hAnsi="宋体" w:cs="宋体" w:eastAsia="宋体" w:hint="default"/>
        </w:rPr>
        <w:t>10</w:t>
      </w:r>
      <w:r>
        <w:rPr/>
        <w:t>月</w:t>
      </w:r>
      <w:r>
        <w:rPr>
          <w:rFonts w:ascii="宋体" w:hAnsi="宋体" w:cs="宋体" w:eastAsia="宋体" w:hint="default"/>
        </w:rPr>
        <w:t>24</w:t>
      </w:r>
      <w:r>
        <w:rPr/>
        <w:t>日，本公司</w:t>
      </w:r>
      <w:r>
        <w:rPr>
          <w:rFonts w:ascii="宋体" w:hAnsi="宋体" w:cs="宋体" w:eastAsia="宋体" w:hint="default"/>
        </w:rPr>
        <w:t>2009</w:t>
      </w:r>
      <w:r>
        <w:rPr/>
        <w:t>年第三次、第四次股东会通过决议，同意涌金实业（集团）有限公司将其持有本公司股 </w:t>
      </w:r>
      <w:r>
        <w:rPr>
          <w:spacing w:val="-2"/>
        </w:rPr>
        <w:t>权中的</w:t>
      </w:r>
      <w:r>
        <w:rPr>
          <w:rFonts w:ascii="宋体" w:hAnsi="宋体" w:cs="宋体" w:eastAsia="宋体" w:hint="default"/>
          <w:spacing w:val="-2"/>
        </w:rPr>
        <w:t>1.53%</w:t>
      </w:r>
      <w:r>
        <w:rPr>
          <w:spacing w:val="-2"/>
        </w:rPr>
        <w:t>、</w:t>
      </w:r>
      <w:r>
        <w:rPr>
          <w:rFonts w:ascii="宋体" w:hAnsi="宋体" w:cs="宋体" w:eastAsia="宋体" w:hint="default"/>
          <w:spacing w:val="-2"/>
        </w:rPr>
        <w:t>1.02%</w:t>
      </w:r>
      <w:r>
        <w:rPr>
          <w:spacing w:val="-2"/>
        </w:rPr>
        <w:t>分别转让给自然人刘亦君、李嘉，同时申请增加注册资本人民币</w:t>
      </w:r>
      <w:r>
        <w:rPr>
          <w:rFonts w:ascii="宋体" w:hAnsi="宋体" w:cs="宋体" w:eastAsia="宋体" w:hint="default"/>
          <w:spacing w:val="-2"/>
        </w:rPr>
        <w:t>183.30</w:t>
      </w:r>
      <w:r>
        <w:rPr>
          <w:spacing w:val="-2"/>
        </w:rPr>
        <w:t>万元，由东华软件股份公司以货</w:t>
      </w:r>
      <w:r>
        <w:rPr>
          <w:spacing w:val="-50"/>
        </w:rPr>
        <w:t> </w:t>
      </w:r>
      <w:r>
        <w:rPr>
          <w:spacing w:val="-50"/>
        </w:rPr>
      </w:r>
      <w:r>
        <w:rPr/>
        <w:t>币资金</w:t>
      </w:r>
      <w:r>
        <w:rPr>
          <w:rFonts w:ascii="宋体" w:hAnsi="宋体" w:cs="宋体" w:eastAsia="宋体" w:hint="default"/>
        </w:rPr>
        <w:t>2,860</w:t>
      </w:r>
      <w:r>
        <w:rPr/>
        <w:t>万元投入，其中</w:t>
      </w:r>
      <w:r>
        <w:rPr>
          <w:rFonts w:ascii="宋体" w:hAnsi="宋体" w:cs="宋体" w:eastAsia="宋体" w:hint="default"/>
        </w:rPr>
        <w:t>183.30</w:t>
      </w:r>
      <w:r>
        <w:rPr/>
        <w:t>万元作为实收资本，溢价部分</w:t>
      </w:r>
      <w:r>
        <w:rPr>
          <w:rFonts w:ascii="宋体" w:hAnsi="宋体" w:cs="宋体" w:eastAsia="宋体" w:hint="default"/>
        </w:rPr>
        <w:t>2,676.70</w:t>
      </w:r>
      <w:r>
        <w:rPr/>
        <w:t>万元计入资本公积金。此次变更后本公司注册资 </w:t>
      </w:r>
      <w:r>
        <w:rPr>
          <w:spacing w:val="-2"/>
        </w:rPr>
        <w:t>本为人民币</w:t>
      </w:r>
      <w:r>
        <w:rPr>
          <w:rFonts w:ascii="宋体" w:hAnsi="宋体" w:cs="宋体" w:eastAsia="宋体" w:hint="default"/>
          <w:spacing w:val="-2"/>
        </w:rPr>
        <w:t>1,593.30</w:t>
      </w:r>
      <w:r>
        <w:rPr>
          <w:spacing w:val="-2"/>
        </w:rPr>
        <w:t>万元，本次增资业经天健光华（北京）会计师事务所有限公司以天健光华验</w:t>
      </w:r>
      <w:r>
        <w:rPr>
          <w:rFonts w:ascii="宋体" w:hAnsi="宋体" w:cs="宋体" w:eastAsia="宋体" w:hint="default"/>
          <w:spacing w:val="-2"/>
        </w:rPr>
        <w:t>(2009)</w:t>
      </w:r>
      <w:r>
        <w:rPr>
          <w:spacing w:val="-2"/>
        </w:rPr>
        <w:t>综字第</w:t>
      </w:r>
      <w:r>
        <w:rPr>
          <w:rFonts w:ascii="宋体" w:hAnsi="宋体" w:cs="宋体" w:eastAsia="宋体" w:hint="default"/>
          <w:spacing w:val="-2"/>
        </w:rPr>
        <w:t>010038</w:t>
      </w:r>
      <w:r>
        <w:rPr>
          <w:spacing w:val="-2"/>
        </w:rPr>
        <w:t>号验资</w:t>
      </w:r>
      <w:r>
        <w:rPr>
          <w:spacing w:val="-46"/>
        </w:rPr>
        <w:t> </w:t>
      </w:r>
      <w:r>
        <w:rPr/>
        <w:t>报告予以验证，并于</w:t>
      </w: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18</w:t>
      </w:r>
      <w:r>
        <w:rPr/>
        <w:t>日在北京市工商局丰台分局换领了变更后的营业执照。</w:t>
      </w:r>
    </w:p>
    <w:p>
      <w:pPr>
        <w:pStyle w:val="BodyText"/>
        <w:spacing w:line="316" w:lineRule="auto" w:before="17"/>
        <w:ind w:right="1130" w:firstLine="422"/>
        <w:jc w:val="both"/>
      </w:pPr>
      <w:r>
        <w:rPr/>
        <w:t>根据公司</w:t>
      </w: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20</w:t>
      </w:r>
      <w:r>
        <w:rPr/>
        <w:t>日第五次、第六次股东会决议，股东张齐春、牛合庆、朱律玮、孙亚明、朱海东、李绪兰、佟 </w:t>
      </w:r>
      <w:r>
        <w:rPr>
          <w:spacing w:val="-2"/>
        </w:rPr>
        <w:t>南燕、张杰分别将其持有的本公司部分股权转让给刘川等</w:t>
      </w:r>
      <w:r>
        <w:rPr>
          <w:rFonts w:ascii="宋体" w:hAnsi="宋体" w:cs="宋体" w:eastAsia="宋体" w:hint="default"/>
          <w:spacing w:val="-2"/>
        </w:rPr>
        <w:t>33</w:t>
      </w:r>
      <w:r>
        <w:rPr>
          <w:spacing w:val="-2"/>
        </w:rPr>
        <w:t>位自然人，公司于</w:t>
      </w:r>
      <w:r>
        <w:rPr>
          <w:rFonts w:ascii="宋体" w:hAnsi="宋体" w:cs="宋体" w:eastAsia="宋体" w:hint="default"/>
          <w:spacing w:val="-2"/>
        </w:rPr>
        <w:t>2009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日在北京市工商局丰台分局办理</w:t>
      </w:r>
      <w:r>
        <w:rPr>
          <w:spacing w:val="-54"/>
        </w:rPr>
        <w:t> </w:t>
      </w:r>
      <w:r>
        <w:rPr/>
        <w:t>了工商变更登记。</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061" w:firstLine="422"/>
        <w:jc w:val="left"/>
      </w:pPr>
      <w:r>
        <w:rPr>
          <w:rFonts w:ascii="宋体" w:hAnsi="宋体" w:cs="宋体" w:eastAsia="宋体" w:hint="default"/>
        </w:rPr>
        <w:t>2009</w:t>
      </w:r>
      <w:r>
        <w:rPr/>
        <w:t>年</w:t>
      </w:r>
      <w:r>
        <w:rPr>
          <w:rFonts w:ascii="宋体" w:hAnsi="宋体" w:cs="宋体" w:eastAsia="宋体" w:hint="default"/>
        </w:rPr>
        <w:t>12</w:t>
      </w:r>
      <w:r>
        <w:rPr/>
        <w:t>月</w:t>
      </w:r>
      <w:r>
        <w:rPr>
          <w:rFonts w:ascii="宋体" w:hAnsi="宋体" w:cs="宋体" w:eastAsia="宋体" w:hint="default"/>
        </w:rPr>
        <w:t>22</w:t>
      </w:r>
      <w:r>
        <w:rPr/>
        <w:t>日，公司第七次股东会决议，同意中关村高科技产业促进中心将其持有本公司的</w:t>
      </w:r>
      <w:r>
        <w:rPr>
          <w:rFonts w:ascii="宋体" w:hAnsi="宋体" w:cs="宋体" w:eastAsia="宋体" w:hint="default"/>
        </w:rPr>
        <w:t>2.64%</w:t>
      </w:r>
      <w:r>
        <w:rPr/>
        <w:t>的股权全部转让， 转让方式为在北京产权交易所挂牌公开交易。</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w:t>
      </w:r>
      <w:r>
        <w:rPr/>
        <w:t>日，自然人陈实以人民币</w:t>
      </w:r>
      <w:r>
        <w:rPr>
          <w:rFonts w:ascii="宋体" w:hAnsi="宋体" w:cs="宋体" w:eastAsia="宋体" w:hint="default"/>
        </w:rPr>
        <w:t>1,471</w:t>
      </w:r>
      <w:r>
        <w:rPr/>
        <w:t>万元的价格受让该股权。</w:t>
      </w:r>
      <w:r>
        <w:rPr>
          <w:rFonts w:ascii="宋体" w:hAnsi="宋体" w:cs="宋体" w:eastAsia="宋体" w:hint="default"/>
        </w:rPr>
        <w:t>2010</w:t>
      </w:r>
      <w:r>
        <w:rPr/>
        <w:t>年</w:t>
      </w:r>
      <w:r>
        <w:rPr>
          <w:rFonts w:ascii="宋体" w:hAnsi="宋体" w:cs="宋体" w:eastAsia="宋体" w:hint="default"/>
        </w:rPr>
        <w:t>7 </w:t>
      </w:r>
      <w:r>
        <w:rPr/>
        <w:t>月</w:t>
      </w:r>
      <w:r>
        <w:rPr>
          <w:rFonts w:ascii="宋体" w:hAnsi="宋体" w:cs="宋体" w:eastAsia="宋体" w:hint="default"/>
        </w:rPr>
        <w:t>15</w:t>
      </w:r>
      <w:r>
        <w:rPr/>
        <w:t>日，本公司</w:t>
      </w:r>
      <w:r>
        <w:rPr>
          <w:rFonts w:ascii="宋体" w:hAnsi="宋体" w:cs="宋体" w:eastAsia="宋体" w:hint="default"/>
        </w:rPr>
        <w:t>2010</w:t>
      </w:r>
      <w:r>
        <w:rPr/>
        <w:t>年第一次股东会决议，同意并确认该股权重组行为，同时修改公司章程。本公司于</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29</w:t>
      </w:r>
      <w:r>
        <w:rPr/>
        <w:t>日在北 京市工商局丰台分局办理了工商变更登记。</w:t>
      </w:r>
    </w:p>
    <w:p>
      <w:pPr>
        <w:spacing w:line="316" w:lineRule="auto" w:before="19"/>
        <w:ind w:left="1556" w:right="1150" w:firstLine="2"/>
        <w:jc w:val="left"/>
        <w:rPr>
          <w:rFonts w:ascii="宋体" w:hAnsi="宋体" w:cs="宋体" w:eastAsia="宋体" w:hint="default"/>
          <w:sz w:val="18"/>
          <w:szCs w:val="18"/>
        </w:rPr>
      </w:pPr>
      <w:r>
        <w:rPr>
          <w:rFonts w:ascii="宋体" w:hAnsi="宋体" w:cs="宋体" w:eastAsia="宋体" w:hint="default"/>
          <w:b/>
          <w:bCs/>
          <w:sz w:val="18"/>
          <w:szCs w:val="18"/>
        </w:rPr>
        <w:t>（二）股份制改造及创业板上市情况</w:t>
      </w:r>
      <w:r>
        <w:rPr>
          <w:rFonts w:ascii="宋体" w:hAnsi="宋体" w:cs="宋体" w:eastAsia="宋体" w:hint="default"/>
          <w:b/>
          <w:bCs/>
          <w:w w:val="99"/>
          <w:sz w:val="18"/>
          <w:szCs w:val="18"/>
        </w:rPr>
        <w:t> </w:t>
      </w:r>
      <w:r>
        <w:rPr>
          <w:rFonts w:ascii="宋体" w:hAnsi="宋体" w:cs="宋体" w:eastAsia="宋体" w:hint="default"/>
          <w:sz w:val="18"/>
          <w:szCs w:val="18"/>
        </w:rPr>
        <w:t>根据</w:t>
      </w: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日第二次临时股东会决议，公司以</w:t>
      </w: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日为基准日，整体变更为股份有限公司，将账面净资</w:t>
      </w:r>
    </w:p>
    <w:p>
      <w:pPr>
        <w:pStyle w:val="BodyText"/>
        <w:spacing w:line="316" w:lineRule="auto" w:before="19"/>
        <w:ind w:right="1130"/>
        <w:jc w:val="both"/>
      </w:pPr>
      <w:r>
        <w:rPr>
          <w:spacing w:val="-2"/>
        </w:rPr>
        <w:t>产</w:t>
      </w:r>
      <w:r>
        <w:rPr>
          <w:rFonts w:ascii="宋体" w:hAnsi="宋体" w:cs="宋体" w:eastAsia="宋体" w:hint="default"/>
          <w:spacing w:val="-2"/>
        </w:rPr>
        <w:t>80,918,968.29</w:t>
      </w:r>
      <w:r>
        <w:rPr>
          <w:spacing w:val="-2"/>
        </w:rPr>
        <w:t>元按</w:t>
      </w:r>
      <w:r>
        <w:rPr>
          <w:rFonts w:ascii="宋体" w:hAnsi="宋体" w:cs="宋体" w:eastAsia="宋体" w:hint="default"/>
          <w:spacing w:val="-2"/>
        </w:rPr>
        <w:t>1:0.5561</w:t>
      </w:r>
      <w:r>
        <w:rPr>
          <w:spacing w:val="-2"/>
        </w:rPr>
        <w:t>比例折合为</w:t>
      </w:r>
      <w:r>
        <w:rPr>
          <w:rFonts w:ascii="宋体" w:hAnsi="宋体" w:cs="宋体" w:eastAsia="宋体" w:hint="default"/>
          <w:spacing w:val="-2"/>
        </w:rPr>
        <w:t>4,500</w:t>
      </w:r>
      <w:r>
        <w:rPr>
          <w:spacing w:val="-2"/>
        </w:rPr>
        <w:t>万股股份，折余部分计入资本公积（资本溢价），该事项由天健正信会计师</w:t>
      </w:r>
      <w:r>
        <w:rPr>
          <w:spacing w:val="-40"/>
        </w:rPr>
        <w:t> </w:t>
      </w:r>
      <w:r>
        <w:rPr>
          <w:spacing w:val="-40"/>
        </w:rPr>
      </w:r>
      <w:r>
        <w:rPr>
          <w:spacing w:val="-2"/>
        </w:rPr>
        <w:t>事务所有限公司以天健正信验（</w:t>
      </w:r>
      <w:r>
        <w:rPr>
          <w:rFonts w:ascii="宋体" w:hAnsi="宋体" w:cs="宋体" w:eastAsia="宋体" w:hint="default"/>
          <w:spacing w:val="-2"/>
        </w:rPr>
        <w:t>2010</w:t>
      </w:r>
      <w:r>
        <w:rPr>
          <w:spacing w:val="-2"/>
        </w:rPr>
        <w:t>）综字第</w:t>
      </w:r>
      <w:r>
        <w:rPr>
          <w:rFonts w:ascii="宋体" w:hAnsi="宋体" w:cs="宋体" w:eastAsia="宋体" w:hint="default"/>
          <w:spacing w:val="-2"/>
        </w:rPr>
        <w:t>010118</w:t>
      </w:r>
      <w:r>
        <w:rPr>
          <w:spacing w:val="-2"/>
        </w:rPr>
        <w:t>号验资报告予以验证。</w:t>
      </w:r>
      <w:r>
        <w:rPr>
          <w:rFonts w:ascii="宋体" w:hAnsi="宋体" w:cs="宋体" w:eastAsia="宋体" w:hint="default"/>
          <w:spacing w:val="-2"/>
        </w:rPr>
        <w:t>2010</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24</w:t>
      </w:r>
      <w:r>
        <w:rPr>
          <w:spacing w:val="-2"/>
        </w:rPr>
        <w:t>日，股份公司创立大会暨第一次股</w:t>
      </w:r>
      <w:r>
        <w:rPr>
          <w:spacing w:val="-48"/>
        </w:rPr>
        <w:t> </w:t>
      </w:r>
      <w:r>
        <w:rPr>
          <w:spacing w:val="-48"/>
        </w:rPr>
      </w:r>
      <w:r>
        <w:rPr>
          <w:spacing w:val="-2"/>
        </w:rPr>
        <w:t>东大会决议，决定设立北京东方通科技股份有限公司，并审议通过股份公司章程。公司于</w:t>
      </w:r>
      <w:r>
        <w:rPr>
          <w:rFonts w:ascii="宋体" w:hAnsi="宋体" w:cs="宋体" w:eastAsia="宋体" w:hint="default"/>
          <w:spacing w:val="-2"/>
        </w:rPr>
        <w:t>2010</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11</w:t>
      </w:r>
      <w:r>
        <w:rPr>
          <w:spacing w:val="-2"/>
        </w:rPr>
        <w:t>日办理了工商变更登</w:t>
      </w:r>
      <w:r>
        <w:rPr>
          <w:spacing w:val="-58"/>
        </w:rPr>
        <w:t> </w:t>
      </w:r>
      <w:r>
        <w:rPr/>
        <w:t>记并领取了</w:t>
      </w:r>
      <w:r>
        <w:rPr>
          <w:rFonts w:ascii="宋体" w:hAnsi="宋体" w:cs="宋体" w:eastAsia="宋体" w:hint="default"/>
        </w:rPr>
        <w:t>110106003218984</w:t>
      </w:r>
      <w:r>
        <w:rPr/>
        <w:t>号企业法人营业执照。</w:t>
      </w:r>
    </w:p>
    <w:p>
      <w:pPr>
        <w:pStyle w:val="BodyText"/>
        <w:spacing w:line="316" w:lineRule="auto" w:before="19"/>
        <w:ind w:right="1130" w:firstLine="422"/>
        <w:jc w:val="both"/>
      </w:pPr>
      <w:r>
        <w:rPr/>
        <w:t>根据本公司</w:t>
      </w:r>
      <w:r>
        <w:rPr>
          <w:rFonts w:ascii="宋体" w:hAnsi="宋体" w:cs="宋体" w:eastAsia="宋体" w:hint="default"/>
        </w:rPr>
        <w:t>2013</w:t>
      </w:r>
      <w:r>
        <w:rPr/>
        <w:t>年第三次临时股东大会决议和中国证券监督管理委员会《关于核准北京东方通科技股份有限公司首次 </w:t>
      </w:r>
      <w:r>
        <w:rPr>
          <w:spacing w:val="-3"/>
        </w:rPr>
        <w:t>公开发行股票并在创业板上市的批复》（证监许可</w:t>
      </w:r>
      <w:r>
        <w:rPr>
          <w:rFonts w:ascii="宋体" w:hAnsi="宋体" w:cs="宋体" w:eastAsia="宋体" w:hint="default"/>
          <w:spacing w:val="-3"/>
        </w:rPr>
        <w:t>[2014]66</w:t>
      </w:r>
      <w:r>
        <w:rPr>
          <w:spacing w:val="-3"/>
        </w:rPr>
        <w:t>号）核准，公司于</w:t>
      </w:r>
      <w:r>
        <w:rPr>
          <w:rFonts w:ascii="宋体" w:hAnsi="宋体" w:cs="宋体" w:eastAsia="宋体" w:hint="default"/>
          <w:spacing w:val="-3"/>
        </w:rPr>
        <w:t>2014</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20</w:t>
      </w:r>
      <w:r>
        <w:rPr>
          <w:spacing w:val="-3"/>
        </w:rPr>
        <w:t>日公开发行人民币普通股</w:t>
      </w:r>
      <w:r>
        <w:rPr>
          <w:rFonts w:ascii="宋体" w:hAnsi="宋体" w:cs="宋体" w:eastAsia="宋体" w:hint="default"/>
          <w:spacing w:val="-3"/>
        </w:rPr>
        <w:t>643.3181</w:t>
      </w:r>
      <w:r>
        <w:rPr>
          <w:rFonts w:ascii="宋体" w:hAnsi="宋体" w:cs="宋体" w:eastAsia="宋体" w:hint="default"/>
          <w:spacing w:val="-67"/>
        </w:rPr>
        <w:t> </w:t>
      </w:r>
      <w:r>
        <w:rPr>
          <w:spacing w:val="-2"/>
        </w:rPr>
        <w:t>万股，每股发行价格</w:t>
      </w:r>
      <w:r>
        <w:rPr>
          <w:rFonts w:ascii="宋体" w:hAnsi="宋体" w:cs="宋体" w:eastAsia="宋体" w:hint="default"/>
          <w:spacing w:val="-2"/>
        </w:rPr>
        <w:t>22</w:t>
      </w:r>
      <w:r>
        <w:rPr>
          <w:spacing w:val="-2"/>
        </w:rPr>
        <w:t>元，原股东公开发售股份</w:t>
      </w:r>
      <w:r>
        <w:rPr>
          <w:rFonts w:ascii="宋体" w:hAnsi="宋体" w:cs="宋体" w:eastAsia="宋体" w:hint="default"/>
          <w:spacing w:val="-2"/>
        </w:rPr>
        <w:t>642.5115</w:t>
      </w:r>
      <w:r>
        <w:rPr>
          <w:spacing w:val="-2"/>
        </w:rPr>
        <w:t>万股。本次发行后，公司的股份总数变更为</w:t>
      </w:r>
      <w:r>
        <w:rPr>
          <w:rFonts w:ascii="宋体" w:hAnsi="宋体" w:cs="宋体" w:eastAsia="宋体" w:hint="default"/>
          <w:spacing w:val="-2"/>
        </w:rPr>
        <w:t>51,433,181</w:t>
      </w:r>
      <w:r>
        <w:rPr>
          <w:spacing w:val="-2"/>
        </w:rPr>
        <w:t>股，股本总</w:t>
      </w:r>
      <w:r>
        <w:rPr>
          <w:spacing w:val="-46"/>
        </w:rPr>
        <w:t> </w:t>
      </w:r>
      <w:r>
        <w:rPr>
          <w:spacing w:val="-46"/>
        </w:rPr>
      </w:r>
      <w:r>
        <w:rPr/>
        <w:t>额为</w:t>
      </w:r>
      <w:r>
        <w:rPr>
          <w:rFonts w:ascii="宋体" w:hAnsi="宋体" w:cs="宋体" w:eastAsia="宋体" w:hint="default"/>
        </w:rPr>
        <w:t>51,433,181.00</w:t>
      </w:r>
      <w:r>
        <w:rPr/>
        <w:t>元，发起人股本</w:t>
      </w:r>
      <w:r>
        <w:rPr>
          <w:rFonts w:ascii="宋体" w:hAnsi="宋体" w:cs="宋体" w:eastAsia="宋体" w:hint="default"/>
        </w:rPr>
        <w:t>38,574,885.00</w:t>
      </w:r>
      <w:r>
        <w:rPr/>
        <w:t>元，占股本总额的</w:t>
      </w:r>
      <w:r>
        <w:rPr>
          <w:rFonts w:ascii="宋体" w:hAnsi="宋体" w:cs="宋体" w:eastAsia="宋体" w:hint="default"/>
        </w:rPr>
        <w:t>75.0000%</w:t>
      </w:r>
      <w:r>
        <w:rPr/>
        <w:t>；社会公众股本</w:t>
      </w:r>
      <w:r>
        <w:rPr>
          <w:rFonts w:ascii="宋体" w:hAnsi="宋体" w:cs="宋体" w:eastAsia="宋体" w:hint="default"/>
        </w:rPr>
        <w:t>12,858,296.00</w:t>
      </w:r>
      <w:r>
        <w:rPr/>
        <w:t>元，占股本总 额的</w:t>
      </w:r>
      <w:r>
        <w:rPr>
          <w:rFonts w:ascii="宋体" w:hAnsi="宋体" w:cs="宋体" w:eastAsia="宋体" w:hint="default"/>
        </w:rPr>
        <w:t>25.0000%</w:t>
      </w:r>
      <w:r>
        <w:rPr/>
        <w:t>。该事项业经大华会计师事务所</w:t>
      </w:r>
      <w:r>
        <w:rPr>
          <w:rFonts w:ascii="宋体" w:hAnsi="宋体" w:cs="宋体" w:eastAsia="宋体" w:hint="default"/>
        </w:rPr>
        <w:t>(</w:t>
      </w:r>
      <w:r>
        <w:rPr/>
        <w:t>特殊普通合伙</w:t>
      </w:r>
      <w:r>
        <w:rPr>
          <w:rFonts w:ascii="宋体" w:hAnsi="宋体" w:cs="宋体" w:eastAsia="宋体" w:hint="default"/>
        </w:rPr>
        <w:t>)</w:t>
      </w:r>
      <w:r>
        <w:rPr/>
        <w:t>审验，并于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23</w:t>
      </w:r>
      <w:r>
        <w:rPr/>
        <w:t>日出具大华验字</w:t>
      </w:r>
      <w:r>
        <w:rPr>
          <w:rFonts w:ascii="宋体" w:hAnsi="宋体" w:cs="宋体" w:eastAsia="宋体" w:hint="default"/>
        </w:rPr>
        <w:t>[2014]000055</w:t>
      </w:r>
      <w:r>
        <w:rPr/>
        <w:t>号验资 </w:t>
      </w:r>
      <w:r>
        <w:rPr>
          <w:spacing w:val="-2"/>
        </w:rPr>
        <w:t>报告。根据深圳证券交易所《关于北京东方通科技股份有限公司人民币普通股股票在创业板上市的通知》（深证上</w:t>
      </w:r>
      <w:r>
        <w:rPr>
          <w:rFonts w:ascii="宋体" w:hAnsi="宋体" w:cs="宋体" w:eastAsia="宋体" w:hint="default"/>
          <w:spacing w:val="-2"/>
        </w:rPr>
        <w:t>[2014]75</w:t>
      </w:r>
      <w:r>
        <w:rPr>
          <w:rFonts w:ascii="宋体" w:hAnsi="宋体" w:cs="宋体" w:eastAsia="宋体" w:hint="default"/>
          <w:spacing w:val="-56"/>
        </w:rPr>
        <w:t> </w:t>
      </w:r>
      <w:r>
        <w:rPr>
          <w:spacing w:val="-2"/>
        </w:rPr>
        <w:t>号），本公司于</w:t>
      </w:r>
      <w:r>
        <w:rPr>
          <w:rFonts w:ascii="宋体" w:hAnsi="宋体" w:cs="宋体" w:eastAsia="宋体" w:hint="default"/>
          <w:spacing w:val="-2"/>
        </w:rPr>
        <w:t>2014</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28</w:t>
      </w:r>
      <w:r>
        <w:rPr>
          <w:spacing w:val="-2"/>
        </w:rPr>
        <w:t>日起在深圳证券交易所创业板上市交易，股票简称东方通，股票代码</w:t>
      </w:r>
      <w:r>
        <w:rPr>
          <w:rFonts w:ascii="宋体" w:hAnsi="宋体" w:cs="宋体" w:eastAsia="宋体" w:hint="default"/>
          <w:spacing w:val="-2"/>
        </w:rPr>
        <w:t>300379</w:t>
      </w:r>
      <w:r>
        <w:rPr>
          <w:spacing w:val="-2"/>
        </w:rPr>
        <w:t>。本公司于</w:t>
      </w:r>
      <w:r>
        <w:rPr>
          <w:rFonts w:ascii="宋体" w:hAnsi="宋体" w:cs="宋体" w:eastAsia="宋体" w:hint="default"/>
          <w:spacing w:val="-2"/>
        </w:rPr>
        <w:t>2014</w:t>
      </w:r>
      <w:r>
        <w:rPr>
          <w:spacing w:val="-2"/>
        </w:rPr>
        <w:t>年</w:t>
      </w:r>
      <w:r>
        <w:rPr>
          <w:rFonts w:ascii="宋体" w:hAnsi="宋体" w:cs="宋体" w:eastAsia="宋体" w:hint="default"/>
          <w:spacing w:val="-2"/>
        </w:rPr>
        <w:t>4</w:t>
      </w:r>
      <w:r>
        <w:rPr>
          <w:rFonts w:ascii="宋体" w:hAnsi="宋体" w:cs="宋体" w:eastAsia="宋体" w:hint="default"/>
          <w:spacing w:val="-49"/>
        </w:rPr>
        <w:t> </w:t>
      </w:r>
      <w:r>
        <w:rPr/>
        <w:t>月</w:t>
      </w:r>
      <w:r>
        <w:rPr>
          <w:rFonts w:ascii="宋体" w:hAnsi="宋体" w:cs="宋体" w:eastAsia="宋体" w:hint="default"/>
        </w:rPr>
        <w:t>28</w:t>
      </w:r>
      <w:r>
        <w:rPr/>
        <w:t>日办理了工商变更登记。</w:t>
      </w:r>
    </w:p>
    <w:p>
      <w:pPr>
        <w:pStyle w:val="BodyText"/>
        <w:spacing w:line="316" w:lineRule="auto" w:before="19"/>
        <w:ind w:right="1033" w:firstLine="422"/>
        <w:jc w:val="left"/>
      </w:pPr>
      <w:r>
        <w:rPr/>
        <w:t>根据本公司</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w:t>
      </w:r>
      <w:r>
        <w:rPr/>
        <w:t>日召开的</w:t>
      </w:r>
      <w:r>
        <w:rPr>
          <w:rFonts w:ascii="宋体" w:hAnsi="宋体" w:cs="宋体" w:eastAsia="宋体" w:hint="default"/>
        </w:rPr>
        <w:t>2014</w:t>
      </w:r>
      <w:r>
        <w:rPr/>
        <w:t>年第二次临时股东大会决议和修改后的章程的规定，并经中国证券监督管理委员 会《关于核准北京东方通科技股份有限公司向李健等发行股份购买资产并募集配套资金的批复》（证监许可</w:t>
      </w:r>
      <w:r>
        <w:rPr>
          <w:rFonts w:ascii="宋体" w:hAnsi="宋体" w:cs="宋体" w:eastAsia="宋体" w:hint="default"/>
        </w:rPr>
        <w:t>[2014]1354</w:t>
      </w:r>
      <w:r>
        <w:rPr/>
        <w:t>号） </w:t>
      </w:r>
      <w:r>
        <w:rPr>
          <w:spacing w:val="-2"/>
        </w:rPr>
        <w:t>核准，公司于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15</w:t>
      </w:r>
      <w:r>
        <w:rPr>
          <w:spacing w:val="-2"/>
        </w:rPr>
        <w:t>日向李健等</w:t>
      </w:r>
      <w:r>
        <w:rPr>
          <w:rFonts w:ascii="宋体" w:hAnsi="宋体" w:cs="宋体" w:eastAsia="宋体" w:hint="default"/>
          <w:spacing w:val="-2"/>
        </w:rPr>
        <w:t>4</w:t>
      </w:r>
      <w:r>
        <w:rPr>
          <w:spacing w:val="-2"/>
        </w:rPr>
        <w:t>名交易对方发行普通股</w:t>
      </w:r>
      <w:r>
        <w:rPr>
          <w:rFonts w:ascii="宋体" w:hAnsi="宋体" w:cs="宋体" w:eastAsia="宋体" w:hint="default"/>
          <w:spacing w:val="-2"/>
        </w:rPr>
        <w:t>4,480,000</w:t>
      </w:r>
      <w:r>
        <w:rPr>
          <w:spacing w:val="-2"/>
        </w:rPr>
        <w:t>股，于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日向东海基金管理有限责任公</w:t>
      </w:r>
      <w:r>
        <w:rPr>
          <w:spacing w:val="-38"/>
        </w:rPr>
        <w:t> </w:t>
      </w:r>
      <w:r>
        <w:rPr/>
        <w:t>司等</w:t>
      </w:r>
      <w:r>
        <w:rPr>
          <w:rFonts w:ascii="宋体" w:hAnsi="宋体" w:cs="宋体" w:eastAsia="宋体" w:hint="default"/>
        </w:rPr>
        <w:t>3</w:t>
      </w:r>
      <w:r>
        <w:rPr/>
        <w:t>名特定投资者非公开发行普通股</w:t>
      </w:r>
      <w:r>
        <w:rPr>
          <w:rFonts w:ascii="宋体" w:hAnsi="宋体" w:cs="宋体" w:eastAsia="宋体" w:hint="default"/>
        </w:rPr>
        <w:t>1,696,969</w:t>
      </w:r>
      <w:r>
        <w:rPr/>
        <w:t>股，发行后的注册资本为</w:t>
      </w:r>
      <w:r>
        <w:rPr>
          <w:rFonts w:ascii="宋体" w:hAnsi="宋体" w:cs="宋体" w:eastAsia="宋体" w:hint="default"/>
        </w:rPr>
        <w:t>57,610,150.00</w:t>
      </w:r>
      <w:r>
        <w:rPr/>
        <w:t>元。该两次非公开发行均由立信会 </w:t>
      </w:r>
      <w:r>
        <w:rPr>
          <w:spacing w:val="-2"/>
        </w:rPr>
        <w:t>计师事务所（特殊普通合伙）审验，并于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19</w:t>
      </w:r>
      <w:r>
        <w:rPr>
          <w:spacing w:val="-2"/>
        </w:rPr>
        <w:t>日、</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30</w:t>
      </w:r>
      <w:r>
        <w:rPr>
          <w:spacing w:val="-2"/>
        </w:rPr>
        <w:t>日分别出具信会师报字</w:t>
      </w:r>
      <w:r>
        <w:rPr>
          <w:rFonts w:ascii="宋体" w:hAnsi="宋体" w:cs="宋体" w:eastAsia="宋体" w:hint="default"/>
          <w:spacing w:val="-2"/>
        </w:rPr>
        <w:t>[2014]</w:t>
      </w:r>
      <w:r>
        <w:rPr>
          <w:spacing w:val="-2"/>
        </w:rPr>
        <w:t>第</w:t>
      </w:r>
      <w:r>
        <w:rPr>
          <w:rFonts w:ascii="宋体" w:hAnsi="宋体" w:cs="宋体" w:eastAsia="宋体" w:hint="default"/>
          <w:spacing w:val="-2"/>
        </w:rPr>
        <w:t>211399</w:t>
      </w:r>
      <w:r>
        <w:rPr>
          <w:spacing w:val="-2"/>
        </w:rPr>
        <w:t>号、信会师</w:t>
      </w:r>
      <w:r>
        <w:rPr>
          <w:spacing w:val="-38"/>
        </w:rPr>
        <w:t> </w:t>
      </w:r>
      <w:r>
        <w:rPr>
          <w:spacing w:val="-38"/>
        </w:rPr>
      </w:r>
      <w:r>
        <w:rPr/>
        <w:t>报字</w:t>
      </w:r>
      <w:r>
        <w:rPr>
          <w:rFonts w:ascii="宋体" w:hAnsi="宋体" w:cs="宋体" w:eastAsia="宋体" w:hint="default"/>
        </w:rPr>
        <w:t>[2014]</w:t>
      </w:r>
      <w:r>
        <w:rPr/>
        <w:t>第</w:t>
      </w:r>
      <w:r>
        <w:rPr>
          <w:rFonts w:ascii="宋体" w:hAnsi="宋体" w:cs="宋体" w:eastAsia="宋体" w:hint="default"/>
        </w:rPr>
        <w:t>211415</w:t>
      </w:r>
      <w:r>
        <w:rPr/>
        <w:t>号验资报告。本公司于</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8</w:t>
      </w:r>
      <w:r>
        <w:rPr/>
        <w:t>日办理了工商变更登记。</w:t>
      </w:r>
    </w:p>
    <w:p>
      <w:pPr>
        <w:pStyle w:val="BodyText"/>
        <w:spacing w:line="316" w:lineRule="auto" w:before="19"/>
        <w:ind w:right="1132" w:firstLine="422"/>
        <w:jc w:val="both"/>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w:t>
      </w:r>
      <w:r>
        <w:rPr/>
        <w:t>日，本公司</w:t>
      </w:r>
      <w:r>
        <w:rPr>
          <w:rFonts w:ascii="宋体" w:hAnsi="宋体" w:cs="宋体" w:eastAsia="宋体" w:hint="default"/>
        </w:rPr>
        <w:t>2014</w:t>
      </w:r>
      <w:r>
        <w:rPr/>
        <w:t>年度股东大会决议批准，以年初余额总股本</w:t>
      </w:r>
      <w:r>
        <w:rPr>
          <w:rFonts w:ascii="宋体" w:hAnsi="宋体" w:cs="宋体" w:eastAsia="宋体" w:hint="default"/>
        </w:rPr>
        <w:t>57,610,150</w:t>
      </w:r>
      <w:r>
        <w:rPr/>
        <w:t>股为基数，以资本公积向全体股东 </w:t>
      </w:r>
      <w:r>
        <w:rPr>
          <w:spacing w:val="-2"/>
        </w:rPr>
        <w:t>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股，合计转增</w:t>
      </w:r>
      <w:r>
        <w:rPr>
          <w:rFonts w:ascii="宋体" w:hAnsi="宋体" w:cs="宋体" w:eastAsia="宋体" w:hint="default"/>
          <w:spacing w:val="-2"/>
        </w:rPr>
        <w:t>57,610,150</w:t>
      </w:r>
      <w:r>
        <w:rPr>
          <w:spacing w:val="-2"/>
        </w:rPr>
        <w:t>股，转增后公司总股本为</w:t>
      </w:r>
      <w:r>
        <w:rPr>
          <w:rFonts w:ascii="宋体" w:hAnsi="宋体" w:cs="宋体" w:eastAsia="宋体" w:hint="default"/>
          <w:spacing w:val="-2"/>
        </w:rPr>
        <w:t>115,220,300</w:t>
      </w:r>
      <w:r>
        <w:rPr>
          <w:spacing w:val="-2"/>
        </w:rPr>
        <w:t>股。本公司于</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11</w:t>
      </w:r>
      <w:r>
        <w:rPr>
          <w:spacing w:val="-2"/>
        </w:rPr>
        <w:t>日办理了工商变更登</w:t>
      </w:r>
      <w:r>
        <w:rPr>
          <w:spacing w:val="-35"/>
        </w:rPr>
        <w:t> </w:t>
      </w:r>
      <w:r>
        <w:rPr/>
        <w:t>记。</w:t>
      </w:r>
    </w:p>
    <w:p>
      <w:pPr>
        <w:pStyle w:val="BodyText"/>
        <w:spacing w:line="316" w:lineRule="auto" w:before="19"/>
        <w:ind w:right="1033" w:firstLine="422"/>
        <w:jc w:val="left"/>
      </w:pPr>
      <w:r>
        <w:rPr/>
        <w:t>根据本公司</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6</w:t>
      </w:r>
      <w:r>
        <w:rPr/>
        <w:t>日召开的</w:t>
      </w:r>
      <w:r>
        <w:rPr>
          <w:rFonts w:ascii="宋体" w:hAnsi="宋体" w:cs="宋体" w:eastAsia="宋体" w:hint="default"/>
        </w:rPr>
        <w:t>2015</w:t>
      </w:r>
      <w:r>
        <w:rPr/>
        <w:t>年第一次临时股东大会决议和中国证券监督管理委员会《关于核准北京东方通科 技股份有限公司非公开发行股票的批复》（证监许可</w:t>
      </w:r>
      <w:r>
        <w:rPr>
          <w:rFonts w:ascii="宋体" w:hAnsi="宋体" w:cs="宋体" w:eastAsia="宋体" w:hint="default"/>
        </w:rPr>
        <w:t>[2016]805</w:t>
      </w:r>
      <w:r>
        <w:rPr/>
        <w:t>号）核准，公司向长安平安富贵东方通资产管理计划、平安 </w:t>
      </w:r>
      <w:r>
        <w:rPr>
          <w:spacing w:val="-2"/>
        </w:rPr>
        <w:t>汇通星通资本定向投资</w:t>
      </w:r>
      <w:r>
        <w:rPr>
          <w:rFonts w:ascii="宋体" w:hAnsi="宋体" w:cs="宋体" w:eastAsia="宋体" w:hint="default"/>
          <w:spacing w:val="-2"/>
        </w:rPr>
        <w:t>4</w:t>
      </w:r>
      <w:r>
        <w:rPr>
          <w:spacing w:val="-2"/>
        </w:rPr>
        <w:t>号资产管理计划、兴全沈惠中特定客户资产管理计划、朱曼、黄永军等</w:t>
      </w:r>
      <w:r>
        <w:rPr>
          <w:rFonts w:ascii="宋体" w:hAnsi="宋体" w:cs="宋体" w:eastAsia="宋体" w:hint="default"/>
          <w:spacing w:val="-2"/>
        </w:rPr>
        <w:t>5</w:t>
      </w:r>
      <w:r>
        <w:rPr>
          <w:spacing w:val="-2"/>
        </w:rPr>
        <w:t>名交易对方非公开发行普通</w:t>
      </w:r>
      <w:r>
        <w:rPr>
          <w:spacing w:val="-64"/>
        </w:rPr>
        <w:t> </w:t>
      </w:r>
      <w:r>
        <w:rPr>
          <w:spacing w:val="-3"/>
        </w:rPr>
        <w:t>股</w:t>
      </w:r>
      <w:r>
        <w:rPr>
          <w:rFonts w:ascii="宋体" w:hAnsi="宋体" w:cs="宋体" w:eastAsia="宋体" w:hint="default"/>
          <w:spacing w:val="-3"/>
        </w:rPr>
        <w:t>22,852,344</w:t>
      </w:r>
      <w:r>
        <w:rPr>
          <w:spacing w:val="-3"/>
        </w:rPr>
        <w:t>股，发行后注册资本为人民币</w:t>
      </w:r>
      <w:r>
        <w:rPr>
          <w:rFonts w:ascii="宋体" w:hAnsi="宋体" w:cs="宋体" w:eastAsia="宋体" w:hint="default"/>
          <w:spacing w:val="-3"/>
        </w:rPr>
        <w:t>138,072,644.00</w:t>
      </w:r>
      <w:r>
        <w:rPr>
          <w:spacing w:val="-3"/>
        </w:rPr>
        <w:t>元。该次非公开发行由立信会计师事务所（特殊普通合伙）审验，</w:t>
      </w:r>
      <w:r>
        <w:rPr>
          <w:spacing w:val="-65"/>
        </w:rPr>
        <w:t> </w:t>
      </w:r>
      <w:r>
        <w:rPr>
          <w:spacing w:val="-65"/>
        </w:rPr>
      </w:r>
      <w:r>
        <w:rPr/>
        <w:t>并于</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28</w:t>
      </w:r>
      <w:r>
        <w:rPr/>
        <w:t>日出具信会师报字</w:t>
      </w:r>
      <w:r>
        <w:rPr>
          <w:rFonts w:ascii="宋体" w:hAnsi="宋体" w:cs="宋体" w:eastAsia="宋体" w:hint="default"/>
        </w:rPr>
        <w:t>[2016]</w:t>
      </w:r>
      <w:r>
        <w:rPr/>
        <w:t>第</w:t>
      </w:r>
      <w:r>
        <w:rPr>
          <w:rFonts w:ascii="宋体" w:hAnsi="宋体" w:cs="宋体" w:eastAsia="宋体" w:hint="default"/>
        </w:rPr>
        <w:t>211547</w:t>
      </w:r>
      <w:r>
        <w:rPr/>
        <w:t>号验资报告。本次非公开发行新增股份</w:t>
      </w:r>
      <w:r>
        <w:rPr>
          <w:rFonts w:ascii="宋体" w:hAnsi="宋体" w:cs="宋体" w:eastAsia="宋体" w:hint="default"/>
        </w:rPr>
        <w:t>2,285.2344</w:t>
      </w:r>
      <w:r>
        <w:rPr/>
        <w:t>万股于</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14 </w:t>
      </w:r>
      <w:r>
        <w:rPr/>
        <w:t>日在中国证券登记结算有限公司深圳分公司办理完毕有关登记托管手续，于</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26</w:t>
      </w:r>
      <w:r>
        <w:rPr/>
        <w:t>日在深圳证券交易所上市，公司于 </w:t>
      </w: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24</w:t>
      </w:r>
      <w:r>
        <w:rPr/>
        <w:t>日办理了工商变更登记。</w:t>
      </w:r>
    </w:p>
    <w:p>
      <w:pPr>
        <w:pStyle w:val="BodyText"/>
        <w:spacing w:line="316" w:lineRule="auto" w:before="19"/>
        <w:ind w:right="1132" w:firstLine="422"/>
        <w:jc w:val="both"/>
      </w:pPr>
      <w:r>
        <w:rPr/>
        <w:t>根据本公司</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8</w:t>
      </w:r>
      <w:r>
        <w:rPr/>
        <w:t>日召开的第二届董事会第二十一次会议，审议通过了《关于公司</w:t>
      </w:r>
      <w:r>
        <w:rPr>
          <w:rFonts w:ascii="宋体" w:hAnsi="宋体" w:cs="宋体" w:eastAsia="宋体" w:hint="default"/>
        </w:rPr>
        <w:t>&lt;</w:t>
      </w:r>
      <w:r>
        <w:rPr/>
        <w:t>第一期股票期权激励计划</w:t>
      </w:r>
      <w:r>
        <w:rPr>
          <w:rFonts w:ascii="宋体" w:hAnsi="宋体" w:cs="宋体" w:eastAsia="宋体" w:hint="default"/>
        </w:rPr>
        <w:t>&gt;</w:t>
      </w:r>
      <w:r>
        <w:rPr/>
        <w:t>首 </w:t>
      </w:r>
      <w:r>
        <w:rPr>
          <w:spacing w:val="-3"/>
        </w:rPr>
        <w:t>次授予期权相关事项的议案》，同意授予</w:t>
      </w:r>
      <w:r>
        <w:rPr>
          <w:rFonts w:ascii="宋体" w:hAnsi="宋体" w:cs="宋体" w:eastAsia="宋体" w:hint="default"/>
          <w:spacing w:val="-3"/>
        </w:rPr>
        <w:t>261 </w:t>
      </w:r>
      <w:r>
        <w:rPr/>
        <w:t>名激励对象 </w:t>
      </w:r>
      <w:r>
        <w:rPr>
          <w:rFonts w:ascii="宋体" w:hAnsi="宋体" w:cs="宋体" w:eastAsia="宋体" w:hint="default"/>
        </w:rPr>
        <w:t>433.25 </w:t>
      </w:r>
      <w:r>
        <w:rPr>
          <w:spacing w:val="-3"/>
        </w:rPr>
        <w:t>万份股票期权，</w:t>
      </w:r>
      <w:r>
        <w:rPr>
          <w:rFonts w:ascii="宋体" w:hAnsi="宋体" w:cs="宋体" w:eastAsia="宋体" w:hint="default"/>
          <w:spacing w:val="-3"/>
        </w:rPr>
        <w:t>2015 </w:t>
      </w:r>
      <w:r>
        <w:rPr/>
        <w:t>年</w:t>
      </w:r>
      <w:r>
        <w:rPr>
          <w:rFonts w:ascii="宋体" w:hAnsi="宋体" w:cs="宋体" w:eastAsia="宋体" w:hint="default"/>
        </w:rPr>
        <w:t>9 </w:t>
      </w:r>
      <w:r>
        <w:rPr/>
        <w:t>月</w:t>
      </w:r>
      <w:r>
        <w:rPr>
          <w:rFonts w:ascii="宋体" w:hAnsi="宋体" w:cs="宋体" w:eastAsia="宋体" w:hint="default"/>
        </w:rPr>
        <w:t>7 </w:t>
      </w:r>
      <w:r>
        <w:rPr/>
        <w:t>日召开的</w:t>
      </w:r>
      <w:r>
        <w:rPr>
          <w:rFonts w:ascii="宋体" w:hAnsi="宋体" w:cs="宋体" w:eastAsia="宋体" w:hint="default"/>
        </w:rPr>
        <w:t>2015</w:t>
      </w:r>
      <w:r>
        <w:rPr>
          <w:rFonts w:ascii="宋体" w:hAnsi="宋体" w:cs="宋体" w:eastAsia="宋体" w:hint="default"/>
          <w:spacing w:val="17"/>
        </w:rPr>
        <w:t> </w:t>
      </w:r>
      <w:r>
        <w:rPr/>
        <w:t>年第二次临 时股东大会审议通过。截至</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日第一期股票期权激励计划员工行权</w:t>
      </w:r>
      <w:r>
        <w:rPr>
          <w:rFonts w:ascii="宋体" w:hAnsi="宋体" w:cs="宋体" w:eastAsia="宋体" w:hint="default"/>
        </w:rPr>
        <w:t>320,840</w:t>
      </w:r>
      <w:r>
        <w:rPr/>
        <w:t>股。截至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日第一期股票 期权激励计划员工行权</w:t>
      </w:r>
      <w:r>
        <w:rPr>
          <w:rFonts w:ascii="宋体" w:hAnsi="宋体" w:cs="宋体" w:eastAsia="宋体" w:hint="default"/>
        </w:rPr>
        <w:t>122,370.00</w:t>
      </w:r>
      <w:r>
        <w:rPr/>
        <w:t>股，于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15</w:t>
      </w:r>
      <w:r>
        <w:rPr/>
        <w:t>日办理了工商变更登记。</w:t>
      </w:r>
    </w:p>
    <w:p>
      <w:pPr>
        <w:pStyle w:val="BodyText"/>
        <w:spacing w:line="240" w:lineRule="auto" w:before="19"/>
        <w:ind w:left="1556" w:right="1033"/>
        <w:jc w:val="left"/>
      </w:pPr>
      <w:r>
        <w:rPr/>
        <w:t>根据 </w:t>
      </w:r>
      <w:r>
        <w:rPr>
          <w:rFonts w:ascii="宋体" w:hAnsi="宋体" w:cs="宋体" w:eastAsia="宋体" w:hint="default"/>
        </w:rPr>
        <w:t>2017 </w:t>
      </w:r>
      <w:r>
        <w:rPr/>
        <w:t>年 </w:t>
      </w:r>
      <w:r>
        <w:rPr>
          <w:rFonts w:ascii="宋体" w:hAnsi="宋体" w:cs="宋体" w:eastAsia="宋体" w:hint="default"/>
        </w:rPr>
        <w:t>5 </w:t>
      </w:r>
      <w:r>
        <w:rPr/>
        <w:t>月 </w:t>
      </w:r>
      <w:r>
        <w:rPr>
          <w:rFonts w:ascii="宋体" w:hAnsi="宋体" w:cs="宋体" w:eastAsia="宋体" w:hint="default"/>
        </w:rPr>
        <w:t>5 </w:t>
      </w:r>
      <w:r>
        <w:rPr/>
        <w:t>日公司召开的 </w:t>
      </w:r>
      <w:r>
        <w:rPr>
          <w:rFonts w:ascii="宋体" w:hAnsi="宋体" w:cs="宋体" w:eastAsia="宋体" w:hint="default"/>
        </w:rPr>
        <w:t>2016 </w:t>
      </w:r>
      <w:r>
        <w:rPr/>
        <w:t>年年度股东大会决议，</w:t>
      </w:r>
      <w:r>
        <w:rPr>
          <w:rFonts w:ascii="宋体" w:hAnsi="宋体" w:cs="宋体" w:eastAsia="宋体" w:hint="default"/>
        </w:rPr>
        <w:t>2016 </w:t>
      </w:r>
      <w:r>
        <w:rPr/>
        <w:t>年度公</w:t>
      </w:r>
    </w:p>
    <w:p>
      <w:pPr>
        <w:pStyle w:val="BodyText"/>
        <w:spacing w:line="240" w:lineRule="auto" w:before="76"/>
        <w:ind w:left="1556" w:right="1033"/>
        <w:jc w:val="left"/>
      </w:pPr>
      <w:r>
        <w:rPr/>
        <w:t>司利润分配方案为：以公司 </w:t>
      </w:r>
      <w:r>
        <w:rPr>
          <w:rFonts w:ascii="宋体" w:hAnsi="宋体" w:cs="宋体" w:eastAsia="宋体" w:hint="default"/>
        </w:rPr>
        <w:t>2017 </w:t>
      </w:r>
      <w:r>
        <w:rPr/>
        <w:t>年 </w:t>
      </w:r>
      <w:r>
        <w:rPr>
          <w:rFonts w:ascii="宋体" w:hAnsi="宋体" w:cs="宋体" w:eastAsia="宋体" w:hint="default"/>
        </w:rPr>
        <w:t>3 </w:t>
      </w:r>
      <w:r>
        <w:rPr/>
        <w:t>月 </w:t>
      </w:r>
      <w:r>
        <w:rPr>
          <w:rFonts w:ascii="宋体" w:hAnsi="宋体" w:cs="宋体" w:eastAsia="宋体" w:hint="default"/>
        </w:rPr>
        <w:t>29 </w:t>
      </w:r>
      <w:r>
        <w:rPr/>
        <w:t>日收盘的总股本 </w:t>
      </w:r>
      <w:r>
        <w:rPr>
          <w:rFonts w:ascii="宋体" w:hAnsi="宋体" w:cs="宋体" w:eastAsia="宋体" w:hint="default"/>
        </w:rPr>
        <w:t>138,515,854 </w:t>
      </w:r>
      <w:r>
        <w:rPr/>
        <w:t>股为基</w:t>
      </w:r>
    </w:p>
    <w:p>
      <w:pPr>
        <w:pStyle w:val="BodyText"/>
        <w:spacing w:line="316" w:lineRule="auto" w:before="77"/>
        <w:ind w:right="1029" w:firstLine="422"/>
        <w:jc w:val="left"/>
      </w:pPr>
      <w:r>
        <w:rPr>
          <w:spacing w:val="-4"/>
        </w:rPr>
        <w:t>数，以资本公积金向全体股东每 </w:t>
      </w:r>
      <w:r>
        <w:rPr>
          <w:rFonts w:ascii="宋体" w:hAnsi="宋体" w:cs="宋体" w:eastAsia="宋体" w:hint="default"/>
        </w:rPr>
        <w:t>10 </w:t>
      </w:r>
      <w:r>
        <w:rPr/>
        <w:t>股转增 </w:t>
      </w:r>
      <w:r>
        <w:rPr>
          <w:rFonts w:ascii="宋体" w:hAnsi="宋体" w:cs="宋体" w:eastAsia="宋体" w:hint="default"/>
          <w:spacing w:val="-7"/>
        </w:rPr>
        <w:t>10</w:t>
      </w:r>
      <w:r>
        <w:rPr>
          <w:spacing w:val="-7"/>
        </w:rPr>
        <w:t>股，合计转增 </w:t>
      </w:r>
      <w:r>
        <w:rPr>
          <w:rFonts w:ascii="宋体" w:hAnsi="宋体" w:cs="宋体" w:eastAsia="宋体" w:hint="default"/>
        </w:rPr>
        <w:t>138,515,854 </w:t>
      </w:r>
      <w:r>
        <w:rPr>
          <w:spacing w:val="-5"/>
        </w:rPr>
        <w:t>股，转增后公司总股本为 </w:t>
      </w:r>
      <w:r>
        <w:rPr>
          <w:rFonts w:ascii="宋体" w:hAnsi="宋体" w:cs="宋体" w:eastAsia="宋体" w:hint="default"/>
        </w:rPr>
        <w:t>277,031,708</w:t>
      </w:r>
      <w:r>
        <w:rPr>
          <w:rFonts w:ascii="宋体" w:hAnsi="宋体" w:cs="宋体" w:eastAsia="宋体" w:hint="default"/>
          <w:spacing w:val="35"/>
        </w:rPr>
        <w:t> </w:t>
      </w:r>
      <w:r>
        <w:rPr/>
        <w:t>股， 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w:t>
      </w:r>
      <w:r>
        <w:rPr/>
        <w:t>日办理了工商变更登记。</w:t>
      </w:r>
    </w:p>
    <w:p>
      <w:pPr>
        <w:pStyle w:val="BodyText"/>
        <w:spacing w:line="316" w:lineRule="auto" w:before="19"/>
        <w:ind w:left="1556" w:right="6370"/>
        <w:jc w:val="left"/>
      </w:pP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24</w:t>
      </w:r>
      <w:r>
        <w:rPr/>
        <w:t>日变更法定代表人张齐春为黄永军。 本公司注册号</w:t>
      </w:r>
      <w:r>
        <w:rPr>
          <w:rFonts w:ascii="宋体" w:hAnsi="宋体" w:cs="宋体" w:eastAsia="宋体" w:hint="default"/>
        </w:rPr>
        <w:t>91110000633636471E</w:t>
      </w:r>
      <w:r>
        <w:rPr/>
        <w:t>。</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6" w:right="5110"/>
        <w:jc w:val="left"/>
      </w:pPr>
      <w:r>
        <w:rPr/>
        <w:t>本公司法定住所为北京市丰台区丰台路口</w:t>
      </w:r>
      <w:r>
        <w:rPr>
          <w:rFonts w:ascii="宋体" w:hAnsi="宋体" w:cs="宋体" w:eastAsia="宋体" w:hint="default"/>
        </w:rPr>
        <w:t>139</w:t>
      </w:r>
      <w:r>
        <w:rPr/>
        <w:t>号主楼</w:t>
      </w:r>
      <w:r>
        <w:rPr>
          <w:rFonts w:ascii="宋体" w:hAnsi="宋体" w:cs="宋体" w:eastAsia="宋体" w:hint="default"/>
        </w:rPr>
        <w:t>311</w:t>
      </w:r>
      <w:r>
        <w:rPr/>
        <w:t>室</w:t>
      </w:r>
      <w:r>
        <w:rPr>
          <w:rFonts w:ascii="宋体" w:hAnsi="宋体" w:cs="宋体" w:eastAsia="宋体" w:hint="default"/>
        </w:rPr>
        <w:t>(</w:t>
      </w:r>
      <w:r>
        <w:rPr/>
        <w:t>园区</w:t>
      </w:r>
      <w:r>
        <w:rPr>
          <w:rFonts w:ascii="宋体" w:hAnsi="宋体" w:cs="宋体" w:eastAsia="宋体" w:hint="default"/>
        </w:rPr>
        <w:t>)</w:t>
      </w:r>
      <w:r>
        <w:rPr/>
        <w:t>。 法定代表人黄永军。</w:t>
      </w:r>
    </w:p>
    <w:p>
      <w:pPr>
        <w:pStyle w:val="BodyText"/>
        <w:spacing w:line="240" w:lineRule="auto" w:before="19"/>
        <w:ind w:left="1556" w:right="1033"/>
        <w:jc w:val="left"/>
      </w:pPr>
      <w:r>
        <w:rPr/>
        <w:t>本公司最终控制人为张齐春。</w:t>
      </w:r>
    </w:p>
    <w:p>
      <w:pPr>
        <w:pStyle w:val="BodyText"/>
        <w:spacing w:line="319" w:lineRule="auto" w:before="76"/>
        <w:ind w:left="1556" w:right="1420" w:firstLine="2"/>
        <w:jc w:val="left"/>
      </w:pPr>
      <w:r>
        <w:rPr>
          <w:rFonts w:ascii="宋体" w:hAnsi="宋体" w:cs="宋体" w:eastAsia="宋体" w:hint="default"/>
          <w:b/>
          <w:bCs/>
        </w:rPr>
        <w:t>（三）行业性质及产品</w:t>
      </w:r>
      <w:r>
        <w:rPr>
          <w:rFonts w:ascii="宋体" w:hAnsi="宋体" w:cs="宋体" w:eastAsia="宋体" w:hint="default"/>
          <w:b/>
          <w:bCs/>
          <w:w w:val="99"/>
        </w:rPr>
        <w:t> </w:t>
      </w:r>
      <w:r>
        <w:rPr/>
        <w:t>本公司所属行业为信息技术业。产品是中间件软件、无线网络优化软件、服务器虚拟化软件等。 中间件软件，包括基础中间件（消息中间件</w:t>
      </w:r>
      <w:r>
        <w:rPr>
          <w:rFonts w:ascii="宋体" w:hAnsi="宋体" w:cs="宋体" w:eastAsia="宋体" w:hint="default"/>
        </w:rPr>
        <w:t>TongLINK/Q</w:t>
      </w:r>
      <w:r>
        <w:rPr/>
        <w:t>、交易中间件</w:t>
      </w:r>
      <w:r>
        <w:rPr>
          <w:rFonts w:ascii="宋体" w:hAnsi="宋体" w:cs="宋体" w:eastAsia="宋体" w:hint="default"/>
        </w:rPr>
        <w:t>TongEASY</w:t>
      </w:r>
      <w:r>
        <w:rPr/>
        <w:t>、应用服务器</w:t>
      </w:r>
      <w:r>
        <w:rPr>
          <w:rFonts w:ascii="宋体" w:hAnsi="宋体" w:cs="宋体" w:eastAsia="宋体" w:hint="default"/>
        </w:rPr>
        <w:t>TongWeb</w:t>
      </w:r>
      <w:r>
        <w:rPr/>
        <w:t>、安全中间件</w:t>
      </w:r>
    </w:p>
    <w:p>
      <w:pPr>
        <w:pStyle w:val="BodyText"/>
        <w:spacing w:line="316" w:lineRule="auto" w:before="17"/>
        <w:ind w:left="1556" w:right="1033" w:hanging="423"/>
        <w:jc w:val="left"/>
      </w:pPr>
      <w:r>
        <w:rPr>
          <w:rFonts w:ascii="宋体" w:hAnsi="宋体" w:cs="宋体" w:eastAsia="宋体" w:hint="default"/>
        </w:rPr>
        <w:t>TongSEC</w:t>
      </w:r>
      <w:r>
        <w:rPr/>
        <w:t>）、集成中间件（应用集成中间件</w:t>
      </w:r>
      <w:r>
        <w:rPr>
          <w:rFonts w:ascii="宋体" w:hAnsi="宋体" w:cs="宋体" w:eastAsia="宋体" w:hint="default"/>
        </w:rPr>
        <w:t>TongIntegrator</w:t>
      </w:r>
      <w:r>
        <w:rPr/>
        <w:t>）、</w:t>
      </w:r>
      <w:r>
        <w:rPr>
          <w:rFonts w:ascii="宋体" w:hAnsi="宋体" w:cs="宋体" w:eastAsia="宋体" w:hint="default"/>
        </w:rPr>
        <w:t>VSP</w:t>
      </w:r>
      <w:r>
        <w:rPr/>
        <w:t>（通用数据传输平台</w:t>
      </w:r>
      <w:r>
        <w:rPr>
          <w:rFonts w:ascii="宋体" w:hAnsi="宋体" w:cs="宋体" w:eastAsia="宋体" w:hint="default"/>
        </w:rPr>
        <w:t>GTP</w:t>
      </w:r>
      <w:r>
        <w:rPr/>
        <w:t>、移动应用平台</w:t>
      </w:r>
      <w:r>
        <w:rPr>
          <w:rFonts w:ascii="宋体" w:hAnsi="宋体" w:cs="宋体" w:eastAsia="宋体" w:hint="default"/>
        </w:rPr>
        <w:t>MAP</w:t>
      </w:r>
      <w:r>
        <w:rPr/>
        <w:t>）等。 无线网络优化软件，包括</w:t>
      </w:r>
      <w:r>
        <w:rPr>
          <w:rFonts w:ascii="宋体" w:hAnsi="宋体" w:cs="宋体" w:eastAsia="宋体" w:hint="default"/>
        </w:rPr>
        <w:t>CDS</w:t>
      </w:r>
      <w:r>
        <w:rPr/>
        <w:t>（</w:t>
      </w:r>
      <w:r>
        <w:rPr>
          <w:rFonts w:ascii="宋体" w:hAnsi="宋体" w:cs="宋体" w:eastAsia="宋体" w:hint="default"/>
        </w:rPr>
        <w:t>Cellular</w:t>
      </w:r>
      <w:r>
        <w:rPr>
          <w:rFonts w:ascii="宋体" w:hAnsi="宋体" w:cs="宋体" w:eastAsia="宋体" w:hint="default"/>
          <w:spacing w:val="-51"/>
        </w:rPr>
        <w:t> </w:t>
      </w:r>
      <w:r>
        <w:rPr>
          <w:rFonts w:ascii="宋体" w:hAnsi="宋体" w:cs="宋体" w:eastAsia="宋体" w:hint="default"/>
        </w:rPr>
        <w:t>Drive</w:t>
      </w:r>
      <w:r>
        <w:rPr>
          <w:rFonts w:ascii="宋体" w:hAnsi="宋体" w:cs="宋体" w:eastAsia="宋体" w:hint="default"/>
          <w:spacing w:val="-51"/>
        </w:rPr>
        <w:t> </w:t>
      </w:r>
      <w:r>
        <w:rPr>
          <w:rFonts w:ascii="宋体" w:hAnsi="宋体" w:cs="宋体" w:eastAsia="宋体" w:hint="default"/>
        </w:rPr>
        <w:t>Test</w:t>
      </w:r>
      <w:r>
        <w:rPr>
          <w:rFonts w:ascii="宋体" w:hAnsi="宋体" w:cs="宋体" w:eastAsia="宋体" w:hint="default"/>
          <w:spacing w:val="-51"/>
        </w:rPr>
        <w:t> </w:t>
      </w:r>
      <w:r>
        <w:rPr>
          <w:rFonts w:ascii="宋体" w:hAnsi="宋体" w:cs="宋体" w:eastAsia="宋体" w:hint="default"/>
        </w:rPr>
        <w:t>System</w:t>
      </w:r>
      <w:r>
        <w:rPr/>
        <w:t>）测试软件、便携式</w:t>
      </w:r>
      <w:r>
        <w:rPr>
          <w:rFonts w:ascii="宋体" w:hAnsi="宋体" w:cs="宋体" w:eastAsia="宋体" w:hint="default"/>
        </w:rPr>
        <w:t>WLAN</w:t>
      </w:r>
      <w:r>
        <w:rPr/>
        <w:t>测试软件、手持式</w:t>
      </w:r>
      <w:r>
        <w:rPr>
          <w:rFonts w:ascii="宋体" w:hAnsi="宋体" w:cs="宋体" w:eastAsia="宋体" w:hint="default"/>
        </w:rPr>
        <w:t>WLAN</w:t>
      </w:r>
      <w:r>
        <w:rPr/>
        <w:t>测试软件、</w:t>
      </w:r>
    </w:p>
    <w:p>
      <w:pPr>
        <w:pStyle w:val="BodyText"/>
        <w:spacing w:line="240" w:lineRule="auto" w:before="19"/>
        <w:ind w:right="1033"/>
        <w:jc w:val="left"/>
      </w:pPr>
      <w:r>
        <w:rPr>
          <w:rFonts w:ascii="宋体" w:hAnsi="宋体" w:cs="宋体" w:eastAsia="宋体" w:hint="default"/>
        </w:rPr>
        <w:t>WLAN</w:t>
      </w:r>
      <w:r>
        <w:rPr/>
        <w:t>网络客户感知分析系统、</w:t>
      </w:r>
      <w:r>
        <w:rPr>
          <w:rFonts w:ascii="宋体" w:hAnsi="宋体" w:cs="宋体" w:eastAsia="宋体" w:hint="default"/>
        </w:rPr>
        <w:t>WSA</w:t>
      </w:r>
      <w:r>
        <w:rPr/>
        <w:t>采集分析平台等。</w:t>
      </w:r>
    </w:p>
    <w:p>
      <w:pPr>
        <w:spacing w:line="316" w:lineRule="auto" w:before="76"/>
        <w:ind w:left="1556" w:right="6010" w:firstLine="2"/>
        <w:jc w:val="left"/>
        <w:rPr>
          <w:rFonts w:ascii="宋体" w:hAnsi="宋体" w:cs="宋体" w:eastAsia="宋体" w:hint="default"/>
          <w:sz w:val="18"/>
          <w:szCs w:val="18"/>
        </w:rPr>
      </w:pPr>
      <w:r>
        <w:rPr>
          <w:rFonts w:ascii="宋体" w:hAnsi="宋体" w:cs="宋体" w:eastAsia="宋体" w:hint="default"/>
          <w:b/>
          <w:bCs/>
          <w:sz w:val="18"/>
          <w:szCs w:val="18"/>
        </w:rPr>
        <w:t>（四）经营范围</w:t>
      </w:r>
      <w:r>
        <w:rPr>
          <w:rFonts w:ascii="宋体" w:hAnsi="宋体" w:cs="宋体" w:eastAsia="宋体" w:hint="default"/>
          <w:b/>
          <w:bCs/>
          <w:w w:val="99"/>
          <w:sz w:val="18"/>
          <w:szCs w:val="18"/>
        </w:rPr>
        <w:t> </w:t>
      </w:r>
      <w:r>
        <w:rPr>
          <w:rFonts w:ascii="宋体" w:hAnsi="宋体" w:cs="宋体" w:eastAsia="宋体" w:hint="default"/>
          <w:sz w:val="18"/>
          <w:szCs w:val="18"/>
        </w:rPr>
        <w:t>技术推广；软件服务；销售计算机、软件及辅助设备。</w:t>
      </w:r>
    </w:p>
    <w:p>
      <w:pPr>
        <w:spacing w:line="316" w:lineRule="auto" w:before="19"/>
        <w:ind w:left="1556" w:right="6010" w:firstLine="2"/>
        <w:jc w:val="left"/>
        <w:rPr>
          <w:rFonts w:ascii="宋体" w:hAnsi="宋体" w:cs="宋体" w:eastAsia="宋体" w:hint="default"/>
          <w:sz w:val="18"/>
          <w:szCs w:val="18"/>
        </w:rPr>
      </w:pPr>
      <w:r>
        <w:rPr>
          <w:rFonts w:ascii="宋体" w:hAnsi="宋体" w:cs="宋体" w:eastAsia="宋体" w:hint="default"/>
          <w:b/>
          <w:bCs/>
          <w:sz w:val="18"/>
          <w:szCs w:val="18"/>
        </w:rPr>
        <w:t>（五）基本组织架构</w:t>
      </w:r>
      <w:r>
        <w:rPr>
          <w:rFonts w:ascii="宋体" w:hAnsi="宋体" w:cs="宋体" w:eastAsia="宋体" w:hint="default"/>
          <w:b/>
          <w:bCs/>
          <w:w w:val="99"/>
          <w:sz w:val="18"/>
          <w:szCs w:val="18"/>
        </w:rPr>
        <w:t> </w:t>
      </w:r>
      <w:r>
        <w:rPr>
          <w:rFonts w:ascii="宋体" w:hAnsi="宋体" w:cs="宋体" w:eastAsia="宋体" w:hint="default"/>
          <w:sz w:val="18"/>
          <w:szCs w:val="18"/>
        </w:rPr>
        <w:t>本公司的最高权力机构为股东大会，由全体股东组成。</w:t>
      </w:r>
    </w:p>
    <w:p>
      <w:pPr>
        <w:pStyle w:val="BodyText"/>
        <w:spacing w:line="316" w:lineRule="auto" w:before="19"/>
        <w:ind w:left="1556" w:right="1150"/>
        <w:jc w:val="left"/>
      </w:pPr>
      <w:r>
        <w:rPr/>
        <w:t>公司设董事会，是公司的经营决策机构，对股东大会负责。董事会设董事长一人，董事会秘书一人。 公司设总经理，由董事会聘任或者解聘。总经理以下设副总经理、财务负责人等高级管理职位辅助管理日常事务。 根据业务发展需要，公司设立了董事会办公室、产品研发中心、技术支持服务中心、营销中心、财务中心、审计部和</w:t>
      </w:r>
    </w:p>
    <w:p>
      <w:pPr>
        <w:pStyle w:val="BodyText"/>
        <w:spacing w:line="240" w:lineRule="auto" w:before="19"/>
        <w:ind w:right="1033"/>
        <w:jc w:val="left"/>
      </w:pPr>
      <w:r>
        <w:rPr/>
        <w:t>人事行政中心等部门。</w:t>
      </w:r>
    </w:p>
    <w:p>
      <w:pPr>
        <w:spacing w:line="316" w:lineRule="auto" w:before="76"/>
        <w:ind w:left="1556" w:right="5920" w:firstLine="2"/>
        <w:jc w:val="left"/>
        <w:rPr>
          <w:rFonts w:ascii="宋体" w:hAnsi="宋体" w:cs="宋体" w:eastAsia="宋体" w:hint="default"/>
          <w:sz w:val="18"/>
          <w:szCs w:val="18"/>
        </w:rPr>
      </w:pPr>
      <w:r>
        <w:rPr>
          <w:rFonts w:ascii="宋体" w:hAnsi="宋体" w:cs="宋体" w:eastAsia="宋体" w:hint="default"/>
          <w:b/>
          <w:bCs/>
          <w:sz w:val="18"/>
          <w:szCs w:val="18"/>
        </w:rPr>
        <w:t>（六）财务报表的批准报出</w:t>
      </w:r>
      <w:r>
        <w:rPr>
          <w:rFonts w:ascii="宋体" w:hAnsi="宋体" w:cs="宋体" w:eastAsia="宋体" w:hint="default"/>
          <w:b/>
          <w:bCs/>
          <w:w w:val="99"/>
          <w:sz w:val="18"/>
          <w:szCs w:val="18"/>
        </w:rPr>
        <w:t> </w:t>
      </w:r>
      <w:r>
        <w:rPr>
          <w:rFonts w:ascii="宋体" w:hAnsi="宋体" w:cs="宋体" w:eastAsia="宋体" w:hint="default"/>
          <w:sz w:val="18"/>
          <w:szCs w:val="18"/>
        </w:rPr>
        <w:t>本财务报表由本公司董事会于</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16</w:t>
      </w:r>
      <w:r>
        <w:rPr>
          <w:rFonts w:ascii="宋体" w:hAnsi="宋体" w:cs="宋体" w:eastAsia="宋体" w:hint="default"/>
          <w:sz w:val="18"/>
          <w:szCs w:val="18"/>
        </w:rPr>
        <w:t>日批准报出。</w:t>
      </w:r>
    </w:p>
    <w:p>
      <w:pPr>
        <w:spacing w:line="316" w:lineRule="auto" w:before="19"/>
        <w:ind w:left="1556" w:right="5110" w:firstLine="2"/>
        <w:jc w:val="left"/>
        <w:rPr>
          <w:rFonts w:ascii="宋体" w:hAnsi="宋体" w:cs="宋体" w:eastAsia="宋体" w:hint="default"/>
          <w:sz w:val="18"/>
          <w:szCs w:val="18"/>
        </w:rPr>
      </w:pPr>
      <w:r>
        <w:rPr>
          <w:rFonts w:ascii="宋体" w:hAnsi="宋体" w:cs="宋体" w:eastAsia="宋体" w:hint="default"/>
          <w:b/>
          <w:bCs/>
          <w:sz w:val="18"/>
          <w:szCs w:val="18"/>
        </w:rPr>
        <w:t>（七）合并财务报表范围</w:t>
      </w:r>
      <w:r>
        <w:rPr>
          <w:rFonts w:ascii="宋体" w:hAnsi="宋体" w:cs="宋体" w:eastAsia="宋体" w:hint="default"/>
          <w:b/>
          <w:bCs/>
          <w:w w:val="99"/>
          <w:sz w:val="18"/>
          <w:szCs w:val="18"/>
        </w:rPr>
        <w:t> </w:t>
      </w:r>
      <w:r>
        <w:rPr>
          <w:rFonts w:ascii="宋体" w:hAnsi="宋体" w:cs="宋体" w:eastAsia="宋体" w:hint="default"/>
          <w:sz w:val="18"/>
          <w:szCs w:val="18"/>
        </w:rPr>
        <w:t>截至</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日止，本公司合并财务报表范围内子公司如下：</w:t>
      </w:r>
    </w:p>
    <w:p>
      <w:pPr>
        <w:spacing w:line="240" w:lineRule="auto" w:before="6"/>
        <w:rPr>
          <w:rFonts w:ascii="宋体" w:hAnsi="宋体" w:cs="宋体" w:eastAsia="宋体" w:hint="default"/>
          <w:sz w:val="24"/>
          <w:szCs w:val="24"/>
        </w:rPr>
      </w:pPr>
    </w:p>
    <w:tbl>
      <w:tblPr>
        <w:tblW w:w="0" w:type="auto"/>
        <w:jc w:val="left"/>
        <w:tblInd w:w="1124" w:type="dxa"/>
        <w:tblLayout w:type="fixed"/>
        <w:tblCellMar>
          <w:top w:w="0" w:type="dxa"/>
          <w:left w:w="0" w:type="dxa"/>
          <w:bottom w:w="0" w:type="dxa"/>
          <w:right w:w="0" w:type="dxa"/>
        </w:tblCellMar>
        <w:tblLook w:val="01E0"/>
      </w:tblPr>
      <w:tblGrid>
        <w:gridCol w:w="9659"/>
      </w:tblGrid>
      <w:tr>
        <w:trPr>
          <w:trHeight w:val="337" w:hRule="exact"/>
        </w:trPr>
        <w:tc>
          <w:tcPr>
            <w:tcW w:w="9659" w:type="dxa"/>
            <w:tcBorders>
              <w:top w:val="nil" w:sz="6" w:space="0" w:color="auto"/>
              <w:left w:val="nil" w:sz="6" w:space="0" w:color="auto"/>
              <w:bottom w:val="single" w:sz="4" w:space="0" w:color="000000"/>
              <w:right w:val="nil" w:sz="6" w:space="0" w:color="auto"/>
            </w:tcBorders>
            <w:shd w:val="clear" w:color="auto" w:fill="DDD9C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r>
      <w:tr>
        <w:trPr>
          <w:trHeight w:val="343" w:hRule="exact"/>
        </w:trPr>
        <w:tc>
          <w:tcPr>
            <w:tcW w:w="9659"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成都东方通科技有限责任公司</w:t>
            </w:r>
          </w:p>
        </w:tc>
      </w:tr>
      <w:tr>
        <w:trPr>
          <w:trHeight w:val="342" w:hRule="exact"/>
        </w:trPr>
        <w:tc>
          <w:tcPr>
            <w:tcW w:w="9659"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上海东方通泰软件科技有限公司</w:t>
            </w:r>
          </w:p>
        </w:tc>
      </w:tr>
      <w:tr>
        <w:trPr>
          <w:trHeight w:val="342" w:hRule="exact"/>
        </w:trPr>
        <w:tc>
          <w:tcPr>
            <w:tcW w:w="9659"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北京东方通宇技术有限公司</w:t>
            </w:r>
          </w:p>
        </w:tc>
      </w:tr>
      <w:tr>
        <w:trPr>
          <w:trHeight w:val="342" w:hRule="exact"/>
        </w:trPr>
        <w:tc>
          <w:tcPr>
            <w:tcW w:w="9659"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北京惠捷朗科技有限公司</w:t>
            </w:r>
          </w:p>
        </w:tc>
      </w:tr>
      <w:tr>
        <w:trPr>
          <w:trHeight w:val="342" w:hRule="exact"/>
        </w:trPr>
        <w:tc>
          <w:tcPr>
            <w:tcW w:w="9659"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北京数字天堂信息科技有限责任公司</w:t>
            </w:r>
          </w:p>
        </w:tc>
      </w:tr>
      <w:tr>
        <w:trPr>
          <w:trHeight w:val="342" w:hRule="exact"/>
        </w:trPr>
        <w:tc>
          <w:tcPr>
            <w:tcW w:w="9659"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东方通科技无锡有限公司</w:t>
            </w:r>
          </w:p>
        </w:tc>
      </w:tr>
      <w:tr>
        <w:trPr>
          <w:trHeight w:val="342" w:hRule="exact"/>
        </w:trPr>
        <w:tc>
          <w:tcPr>
            <w:tcW w:w="9659"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北京微智信业科技有限公司</w:t>
            </w:r>
          </w:p>
        </w:tc>
      </w:tr>
    </w:tbl>
    <w:p>
      <w:pPr>
        <w:pStyle w:val="BodyText"/>
        <w:spacing w:line="316" w:lineRule="auto" w:before="10"/>
        <w:ind w:right="1166" w:firstLine="422"/>
        <w:jc w:val="both"/>
      </w:pPr>
      <w:r>
        <w:rPr/>
        <w:t>北京数字天堂信息科技有限责任公司系本公司通过非同一控制下的企业合并以支付现金方式收购其</w:t>
      </w:r>
      <w:r>
        <w:rPr>
          <w:rFonts w:ascii="宋体" w:hAnsi="宋体" w:cs="宋体" w:eastAsia="宋体" w:hint="default"/>
        </w:rPr>
        <w:t>100%</w:t>
      </w:r>
      <w:r>
        <w:rPr/>
        <w:t>股权取得的全 资子公司，收购日为</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30</w:t>
      </w:r>
      <w:r>
        <w:rPr/>
        <w:t>日。</w:t>
      </w:r>
    </w:p>
    <w:p>
      <w:pPr>
        <w:pStyle w:val="BodyText"/>
        <w:spacing w:line="316" w:lineRule="auto" w:before="19"/>
        <w:ind w:right="1131" w:firstLine="422"/>
        <w:jc w:val="both"/>
      </w:pPr>
      <w:r>
        <w:rPr>
          <w:spacing w:val="-1"/>
        </w:rPr>
        <w:t>东方通科技无锡有限公司是由本公司于</w:t>
      </w:r>
      <w:r>
        <w:rPr>
          <w:rFonts w:ascii="宋体" w:hAnsi="宋体" w:cs="宋体" w:eastAsia="宋体" w:hint="default"/>
          <w:spacing w:val="-1"/>
        </w:rPr>
        <w:t>2015</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27</w:t>
      </w:r>
      <w:r>
        <w:rPr>
          <w:spacing w:val="-1"/>
        </w:rPr>
        <w:t>日以现金出资方式成立的全资子公司。</w:t>
      </w:r>
      <w:r>
        <w:rPr>
          <w:rFonts w:ascii="宋体" w:hAnsi="宋体" w:cs="宋体" w:eastAsia="宋体" w:hint="default"/>
          <w:spacing w:val="-1"/>
        </w:rPr>
        <w:t>2016</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14</w:t>
      </w:r>
      <w:r>
        <w:rPr>
          <w:spacing w:val="-1"/>
        </w:rPr>
        <w:t>日，上海东方</w:t>
      </w:r>
      <w:r>
        <w:rPr/>
        <w:t> </w:t>
      </w:r>
      <w:r>
        <w:rPr>
          <w:spacing w:val="-2"/>
        </w:rPr>
        <w:t>通泰软件科技有限公司受让全资子公司东方通科技无锡有限公司</w:t>
      </w:r>
      <w:r>
        <w:rPr>
          <w:rFonts w:ascii="宋体" w:hAnsi="宋体" w:cs="宋体" w:eastAsia="宋体" w:hint="default"/>
          <w:spacing w:val="-2"/>
        </w:rPr>
        <w:t>100%</w:t>
      </w:r>
      <w:r>
        <w:rPr>
          <w:spacing w:val="-2"/>
        </w:rPr>
        <w:t>股权，无锡东方通将由公司的全资子公司变为全资孙公</w:t>
      </w:r>
      <w:r>
        <w:rPr>
          <w:spacing w:val="-60"/>
        </w:rPr>
        <w:t> </w:t>
      </w:r>
      <w:r>
        <w:rPr>
          <w:spacing w:val="-60"/>
        </w:rPr>
      </w:r>
      <w:r>
        <w:rPr/>
        <w:t>司。</w:t>
      </w:r>
    </w:p>
    <w:p>
      <w:pPr>
        <w:pStyle w:val="BodyText"/>
        <w:spacing w:line="316" w:lineRule="auto" w:before="19"/>
        <w:ind w:right="1331" w:firstLine="422"/>
        <w:jc w:val="left"/>
      </w:pPr>
      <w:r>
        <w:rPr/>
        <w:t>北京微智信业科技有限公司系本公司通过非同一控制下的企业合并以支付现金方式收购其</w:t>
      </w:r>
      <w:r>
        <w:rPr>
          <w:rFonts w:ascii="宋体" w:hAnsi="宋体" w:cs="宋体" w:eastAsia="宋体" w:hint="default"/>
        </w:rPr>
        <w:t>100%</w:t>
      </w:r>
      <w:r>
        <w:rPr/>
        <w:t>股权取得的全资子公 司，收购日为</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30</w:t>
      </w:r>
      <w:r>
        <w:rPr/>
        <w:t>日。</w:t>
      </w:r>
    </w:p>
    <w:p>
      <w:pPr>
        <w:spacing w:line="240" w:lineRule="auto" w:before="10"/>
        <w:rPr>
          <w:rFonts w:ascii="宋体" w:hAnsi="宋体" w:cs="宋体" w:eastAsia="宋体" w:hint="default"/>
          <w:sz w:val="20"/>
          <w:szCs w:val="20"/>
        </w:rPr>
      </w:pPr>
    </w:p>
    <w:p>
      <w:pPr>
        <w:pStyle w:val="Heading2"/>
        <w:spacing w:line="240" w:lineRule="auto"/>
        <w:ind w:left="1134" w:right="1033"/>
        <w:jc w:val="left"/>
        <w:rPr>
          <w:b w:val="0"/>
          <w:bCs w:val="0"/>
        </w:rPr>
      </w:pPr>
      <w:bookmarkStart w:name="四、财务报表的编制基础" w:id="163"/>
      <w:bookmarkEnd w:id="163"/>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3"/>
        <w:jc w:val="left"/>
        <w:rPr>
          <w:b w:val="0"/>
          <w:bCs w:val="0"/>
        </w:rPr>
      </w:pPr>
      <w:bookmarkStart w:name="1、编制基础" w:id="164"/>
      <w:bookmarkEnd w:id="16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422"/>
        <w:jc w:val="left"/>
      </w:pPr>
      <w:r>
        <w:rPr/>
        <w:t>公司以持续经营为基础，根据实际发生的交易和事项，按照财政部颁布的《企业会计准则——基本准则》和各项具体 </w:t>
      </w:r>
      <w:r>
        <w:rPr>
          <w:spacing w:val="-2"/>
        </w:rPr>
        <w:t>会计准则、企业会计准则应用指南、企业会计准则解释及其他相关规定（以下合称“企业会计准则”），以及中国证券监督</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33"/>
        <w:jc w:val="left"/>
      </w:pPr>
      <w:r>
        <w:rPr/>
        <w:t>管理委员会《公开发行证券的公司信息披露编报规则第</w:t>
      </w:r>
      <w:r>
        <w:rPr>
          <w:rFonts w:ascii="宋体" w:hAnsi="宋体" w:cs="宋体" w:eastAsia="宋体" w:hint="default"/>
        </w:rPr>
        <w:t>15 </w:t>
      </w:r>
      <w:r>
        <w:rPr/>
        <w:t>号——财务报告的一般规定》的披露规定编制财务报表。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2、持续经营" w:id="165"/>
      <w:bookmarkEnd w:id="16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6" w:right="1033"/>
        <w:jc w:val="left"/>
      </w:pPr>
      <w:r>
        <w:rPr/>
        <w:t>本公司自本报告期末起</w:t>
      </w:r>
      <w:r>
        <w:rPr>
          <w:rFonts w:ascii="宋体" w:hAnsi="宋体" w:cs="宋体" w:eastAsia="宋体" w:hint="default"/>
        </w:rPr>
        <w:t>12</w:t>
      </w:r>
      <w:r>
        <w:rPr/>
        <w:t>个月内具备持续经营能力，无对持续经营能力产生重大疑虑的事项。</w:t>
      </w:r>
    </w:p>
    <w:p>
      <w:pPr>
        <w:spacing w:line="240" w:lineRule="auto" w:before="2"/>
        <w:rPr>
          <w:rFonts w:ascii="宋体" w:hAnsi="宋体" w:cs="宋体" w:eastAsia="宋体" w:hint="default"/>
          <w:sz w:val="25"/>
          <w:szCs w:val="25"/>
        </w:rPr>
      </w:pPr>
    </w:p>
    <w:p>
      <w:pPr>
        <w:pStyle w:val="Heading2"/>
        <w:spacing w:line="240" w:lineRule="auto"/>
        <w:ind w:right="1033"/>
        <w:jc w:val="left"/>
        <w:rPr>
          <w:b w:val="0"/>
          <w:bCs w:val="0"/>
        </w:rPr>
      </w:pPr>
      <w:bookmarkStart w:name="五、重要会计政策及会计估计" w:id="166"/>
      <w:bookmarkEnd w:id="166"/>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57" w:lineRule="auto" w:before="29"/>
        <w:ind w:left="1556" w:right="1150" w:hanging="423"/>
        <w:jc w:val="left"/>
      </w:pPr>
      <w:r>
        <w:rPr/>
        <w:t>具体会计政策和会计估计提示： 根据实际发生的交易和事项，按照财政部颁布的《企业会计准则——基本准则》和各项具体会计准则、企业会计准则</w:t>
      </w:r>
    </w:p>
    <w:p>
      <w:pPr>
        <w:pStyle w:val="BodyText"/>
        <w:spacing w:line="224" w:lineRule="exact"/>
        <w:ind w:right="0"/>
        <w:jc w:val="left"/>
      </w:pPr>
      <w:r>
        <w:rPr/>
        <w:t>应用指南、企业会计准则解释及其他相关规定（以下合称“企业会计准则”），以及中国证券监督管理委员会《公开发行证</w:t>
      </w:r>
    </w:p>
    <w:p>
      <w:pPr>
        <w:pStyle w:val="BodyText"/>
        <w:spacing w:line="316" w:lineRule="auto" w:before="76"/>
        <w:ind w:left="1556" w:right="1240" w:hanging="423"/>
        <w:jc w:val="left"/>
        <w:rPr>
          <w:rFonts w:ascii="宋体" w:hAnsi="宋体" w:cs="宋体" w:eastAsia="宋体" w:hint="default"/>
        </w:rPr>
      </w:pPr>
      <w:r>
        <w:rPr/>
        <w:t>券的公司信息披露编报规则第</w:t>
      </w:r>
      <w:r>
        <w:rPr>
          <w:rFonts w:ascii="宋体" w:hAnsi="宋体" w:cs="宋体" w:eastAsia="宋体" w:hint="default"/>
        </w:rPr>
        <w:t>15 </w:t>
      </w:r>
      <w:r>
        <w:rPr/>
        <w:t>号——财务报告的一般规定》的披露规定编制财务报表。 根据财政部</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28</w:t>
      </w:r>
      <w:r>
        <w:rPr/>
        <w:t>日颁布的《关于印发</w:t>
      </w:r>
      <w:r>
        <w:rPr>
          <w:rFonts w:ascii="宋体" w:hAnsi="宋体" w:cs="宋体" w:eastAsia="宋体" w:hint="default"/>
        </w:rPr>
        <w:t>&lt;</w:t>
      </w:r>
      <w:r>
        <w:rPr/>
        <w:t>企业会计准则第</w:t>
      </w:r>
      <w:r>
        <w:rPr>
          <w:rFonts w:ascii="宋体" w:hAnsi="宋体" w:cs="宋体" w:eastAsia="宋体" w:hint="default"/>
        </w:rPr>
        <w:t>42</w:t>
      </w:r>
      <w:r>
        <w:rPr/>
        <w:t>号——持有待售的非流动资产、处置组和终止经营</w:t>
      </w:r>
      <w:r>
        <w:rPr>
          <w:rFonts w:ascii="宋体" w:hAnsi="宋体" w:cs="宋体" w:eastAsia="宋体" w:hint="default"/>
        </w:rPr>
        <w:t>&gt;</w:t>
      </w:r>
    </w:p>
    <w:p>
      <w:pPr>
        <w:pStyle w:val="BodyText"/>
        <w:spacing w:line="316" w:lineRule="auto" w:before="19"/>
        <w:ind w:right="1123"/>
        <w:jc w:val="left"/>
      </w:pPr>
      <w:r>
        <w:rPr/>
        <w:t>的通知》（财会</w:t>
      </w:r>
      <w:r>
        <w:rPr>
          <w:rFonts w:ascii="宋体" w:hAnsi="宋体" w:cs="宋体" w:eastAsia="宋体" w:hint="default"/>
        </w:rPr>
        <w:t>[2017]13</w:t>
      </w:r>
      <w:r>
        <w:rPr/>
        <w:t>号）及</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10</w:t>
      </w:r>
      <w:r>
        <w:rPr/>
        <w:t>日颁布的《关于印发修订</w:t>
      </w:r>
      <w:r>
        <w:rPr>
          <w:rFonts w:ascii="宋体" w:hAnsi="宋体" w:cs="宋体" w:eastAsia="宋体" w:hint="default"/>
        </w:rPr>
        <w:t>&lt;</w:t>
      </w:r>
      <w:r>
        <w:rPr/>
        <w:t>企业会计准则第</w:t>
      </w:r>
      <w:r>
        <w:rPr>
          <w:rFonts w:ascii="宋体" w:hAnsi="宋体" w:cs="宋体" w:eastAsia="宋体" w:hint="default"/>
        </w:rPr>
        <w:t>16</w:t>
      </w:r>
      <w:r>
        <w:rPr/>
        <w:t>号——政府补助</w:t>
      </w:r>
      <w:r>
        <w:rPr>
          <w:rFonts w:ascii="宋体" w:hAnsi="宋体" w:cs="宋体" w:eastAsia="宋体" w:hint="default"/>
        </w:rPr>
        <w:t>&gt;</w:t>
      </w:r>
      <w:r>
        <w:rPr/>
        <w:t>的通知》（财会 </w:t>
      </w:r>
      <w:r>
        <w:rPr>
          <w:rFonts w:ascii="宋体" w:hAnsi="宋体" w:cs="宋体" w:eastAsia="宋体" w:hint="default"/>
        </w:rPr>
        <w:t>[2017]15</w:t>
      </w:r>
      <w:r>
        <w:rPr/>
        <w:t>号），本公司对涉及以上文件的原会计政策相关内容进行相应变更。</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1、遵循企业会计准则的声明" w:id="167"/>
      <w:bookmarkEnd w:id="16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51" w:firstLine="422"/>
        <w:jc w:val="left"/>
      </w:pPr>
      <w:r>
        <w:rPr/>
        <w:t>公司所编制的财务报表符合企业会计准则的要求，真实、完整地反映了报告期公司的财务状况、经营成果、现金流量 等有关信息。</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2、会计期间" w:id="168"/>
      <w:bookmarkEnd w:id="16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6" w:right="1033"/>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12"/>
        <w:rPr>
          <w:rFonts w:ascii="宋体" w:hAnsi="宋体" w:cs="宋体" w:eastAsia="宋体" w:hint="default"/>
          <w:sz w:val="26"/>
          <w:szCs w:val="26"/>
        </w:rPr>
      </w:pPr>
    </w:p>
    <w:p>
      <w:pPr>
        <w:pStyle w:val="Heading3"/>
        <w:spacing w:line="240" w:lineRule="auto"/>
        <w:ind w:left="1134" w:right="1033"/>
        <w:jc w:val="left"/>
        <w:rPr>
          <w:b w:val="0"/>
          <w:bCs w:val="0"/>
        </w:rPr>
      </w:pPr>
      <w:bookmarkStart w:name="3、营业周期" w:id="169"/>
      <w:bookmarkEnd w:id="16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6" w:right="1033"/>
        <w:jc w:val="left"/>
      </w:pPr>
      <w:r>
        <w:rPr/>
        <w:t>本公司采用人民币为记账本位币。</w:t>
      </w:r>
    </w:p>
    <w:p>
      <w:pPr>
        <w:spacing w:line="240" w:lineRule="auto" w:before="12"/>
        <w:rPr>
          <w:rFonts w:ascii="宋体" w:hAnsi="宋体" w:cs="宋体" w:eastAsia="宋体" w:hint="default"/>
          <w:sz w:val="26"/>
          <w:szCs w:val="26"/>
        </w:rPr>
      </w:pPr>
    </w:p>
    <w:p>
      <w:pPr>
        <w:pStyle w:val="Heading3"/>
        <w:spacing w:line="240" w:lineRule="auto"/>
        <w:ind w:left="1134" w:right="1033"/>
        <w:jc w:val="left"/>
        <w:rPr>
          <w:b w:val="0"/>
          <w:bCs w:val="0"/>
        </w:rPr>
      </w:pPr>
      <w:bookmarkStart w:name="4、记账本位币" w:id="170"/>
      <w:bookmarkEnd w:id="17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6" w:right="1033"/>
        <w:jc w:val="left"/>
      </w:pPr>
      <w:r>
        <w:rPr/>
        <w:t>本公司采用人民币为记账本位币。</w:t>
      </w:r>
    </w:p>
    <w:p>
      <w:pPr>
        <w:spacing w:line="240" w:lineRule="auto" w:before="12"/>
        <w:rPr>
          <w:rFonts w:ascii="宋体" w:hAnsi="宋体" w:cs="宋体" w:eastAsia="宋体" w:hint="default"/>
          <w:sz w:val="26"/>
          <w:szCs w:val="26"/>
        </w:rPr>
      </w:pPr>
    </w:p>
    <w:p>
      <w:pPr>
        <w:pStyle w:val="Heading3"/>
        <w:spacing w:line="240" w:lineRule="auto"/>
        <w:ind w:left="1134" w:right="1033"/>
        <w:jc w:val="left"/>
        <w:rPr>
          <w:b w:val="0"/>
          <w:bCs w:val="0"/>
        </w:rPr>
      </w:pPr>
      <w:bookmarkStart w:name="5、同一控制下和非同一控制下企业合并的会计处理方法" w:id="171"/>
      <w:bookmarkEnd w:id="17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32" w:firstLine="422"/>
        <w:jc w:val="both"/>
      </w:pPr>
      <w:r>
        <w:rPr/>
        <w:t>同一控制下企业合并：本公司在企业合并中取得的资产和负债，按照合并日被合并方资产、负债（包括最终控制方收 </w:t>
      </w:r>
      <w:r>
        <w:rPr>
          <w:spacing w:val="-2"/>
        </w:rPr>
        <w:t>购被合并方而形成的商誉）在最终控制方合并财务报表中的账面价值计量。在合并中取得的净资产账面价值与支付的合并对</w:t>
      </w:r>
      <w:r>
        <w:rPr>
          <w:spacing w:val="-64"/>
        </w:rPr>
        <w:t> </w:t>
      </w:r>
      <w:r>
        <w:rPr>
          <w:spacing w:val="-64"/>
        </w:rPr>
      </w:r>
      <w:r>
        <w:rPr>
          <w:spacing w:val="-2"/>
        </w:rPr>
        <w:t>价账面价值（或发行股份面值总额）的差额，调整资本公积中的股本溢价，资本公积中的股本溢价不足冲减的，调整留存收</w:t>
      </w:r>
      <w:r>
        <w:rPr>
          <w:spacing w:val="-66"/>
        </w:rPr>
        <w:t> </w:t>
      </w:r>
      <w:r>
        <w:rPr>
          <w:spacing w:val="-66"/>
        </w:rPr>
      </w:r>
      <w:r>
        <w:rPr/>
        <w:t>益。</w:t>
      </w:r>
    </w:p>
    <w:p>
      <w:pPr>
        <w:pStyle w:val="BodyText"/>
        <w:spacing w:line="316" w:lineRule="auto" w:before="17"/>
        <w:ind w:left="1134" w:right="1131" w:firstLine="422"/>
        <w:jc w:val="both"/>
      </w:pPr>
      <w:r>
        <w:rPr/>
        <w:t>非同一控制下企业合并：本公司在购买日对作为企业合并对价付出的资产、发生或承担的负债按照公允价值计量，公 </w:t>
      </w:r>
      <w:r>
        <w:rPr>
          <w:spacing w:val="-2"/>
        </w:rPr>
        <w:t>允价值与其账面价值的差额，计入当期损益。本公司对合并成本大于合并中取得的被购买方可辨认净资产公允价值份额的差</w:t>
      </w:r>
      <w:r>
        <w:rPr>
          <w:spacing w:val="-64"/>
        </w:rPr>
        <w:t> </w:t>
      </w:r>
      <w:r>
        <w:rPr>
          <w:spacing w:val="-64"/>
        </w:rPr>
      </w:r>
      <w:r>
        <w:rPr/>
        <w:t>额，确认为商誉；合并成本小于合并中取得的被购买方可辨认净资产公允价值份额的差额，经复核后，计入当期损益。</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69" w:firstLine="422"/>
        <w:jc w:val="both"/>
      </w:pPr>
      <w:r>
        <w:rPr/>
        <w:t>为企业合并发生的审计、法律服务、评估咨询等中介费用以及其他直接相关费用，于发生时计入当期损益；为企业合 并而发行权益性证券的交易费用，冲减权益。</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6、合并财务报表的编制方法" w:id="172"/>
      <w:bookmarkEnd w:id="17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tabs>
          <w:tab w:pos="1974" w:val="left" w:leader="none"/>
        </w:tabs>
        <w:spacing w:line="302" w:lineRule="auto"/>
        <w:ind w:left="1556" w:right="1169"/>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合并范围</w:t>
      </w:r>
      <w:r>
        <w:rPr>
          <w:rFonts w:ascii="宋体" w:hAnsi="宋体" w:cs="宋体" w:eastAsia="宋体" w:hint="default"/>
          <w:b/>
          <w:bCs/>
          <w:w w:val="99"/>
        </w:rPr>
        <w:t> </w:t>
      </w:r>
      <w:r>
        <w:rPr/>
        <w:t>本公司合并财务报表的合并范围以控制为基础确定，所有子公司（包括本公司所控制的被投资方可分割的部分）均纳</w:t>
      </w:r>
    </w:p>
    <w:p>
      <w:pPr>
        <w:pStyle w:val="BodyText"/>
        <w:spacing w:line="240" w:lineRule="auto" w:before="29"/>
        <w:ind w:right="1033"/>
        <w:jc w:val="left"/>
      </w:pPr>
      <w:r>
        <w:rPr/>
        <w:t>入合并财务报表。</w:t>
      </w:r>
    </w:p>
    <w:p>
      <w:pPr>
        <w:spacing w:line="240" w:lineRule="auto" w:before="0"/>
        <w:rPr>
          <w:rFonts w:ascii="宋体" w:hAnsi="宋体" w:cs="宋体" w:eastAsia="宋体" w:hint="default"/>
          <w:sz w:val="18"/>
          <w:szCs w:val="18"/>
        </w:rPr>
      </w:pPr>
    </w:p>
    <w:p>
      <w:pPr>
        <w:pStyle w:val="BodyText"/>
        <w:tabs>
          <w:tab w:pos="1974" w:val="left" w:leader="none"/>
        </w:tabs>
        <w:spacing w:line="302" w:lineRule="auto" w:before="153"/>
        <w:ind w:left="1556" w:right="1167"/>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合并程序</w:t>
      </w:r>
      <w:r>
        <w:rPr>
          <w:rFonts w:ascii="宋体" w:hAnsi="宋体" w:cs="宋体" w:eastAsia="宋体" w:hint="default"/>
          <w:b/>
          <w:bCs/>
          <w:w w:val="99"/>
        </w:rPr>
        <w:t> </w:t>
      </w:r>
      <w:r>
        <w:rPr/>
        <w:t>本公司以自身和各子公司的财务报表为基础，根据其他有关资料，编制合并财务报表。本公司编制合并财务报表，将</w:t>
      </w:r>
    </w:p>
    <w:p>
      <w:pPr>
        <w:pStyle w:val="BodyText"/>
        <w:spacing w:line="316" w:lineRule="auto" w:before="29"/>
        <w:ind w:right="1033"/>
        <w:jc w:val="left"/>
      </w:pPr>
      <w:r>
        <w:rPr>
          <w:spacing w:val="-2"/>
        </w:rPr>
        <w:t>整个企业集团视为一个会计主体，依据相关企业会计准则的确认、计量和列报要求，按照统一的会计政策，反映本企业集团</w:t>
      </w:r>
      <w:r>
        <w:rPr>
          <w:spacing w:val="-66"/>
        </w:rPr>
        <w:t> </w:t>
      </w:r>
      <w:r>
        <w:rPr>
          <w:spacing w:val="-66"/>
        </w:rPr>
      </w:r>
      <w:r>
        <w:rPr/>
        <w:t>整体财务状况、经营成果和现金流量。</w:t>
      </w:r>
    </w:p>
    <w:p>
      <w:pPr>
        <w:pStyle w:val="BodyText"/>
        <w:spacing w:line="316" w:lineRule="auto" w:before="19"/>
        <w:ind w:right="1131" w:firstLine="422"/>
        <w:jc w:val="both"/>
      </w:pPr>
      <w:r>
        <w:rPr/>
        <w:t>所有纳入合并财务报表合并范围的子公司所采用的会计政策、会计期间与本公司一致，如子公司采用的会计政策、会 </w:t>
      </w:r>
      <w:r>
        <w:rPr>
          <w:spacing w:val="-2"/>
        </w:rPr>
        <w:t>计期间与本公司不一致的，在编制合并财务报表时，按本公司的会计政策、会计期间进行必要的调整。对于非同一控制下企</w:t>
      </w:r>
      <w:r>
        <w:rPr>
          <w:spacing w:val="-66"/>
        </w:rPr>
        <w:t> </w:t>
      </w:r>
      <w:r>
        <w:rPr>
          <w:spacing w:val="-66"/>
        </w:rPr>
      </w:r>
      <w:r>
        <w:rPr>
          <w:spacing w:val="-2"/>
        </w:rPr>
        <w:t>业合并取得的子公司，以购买日可辨认净资产公允价值为基础对其财务报表进行调整。对于同一控制下企业合并取得的子公</w:t>
      </w:r>
      <w:r>
        <w:rPr>
          <w:spacing w:val="-64"/>
        </w:rPr>
        <w:t> </w:t>
      </w:r>
      <w:r>
        <w:rPr>
          <w:spacing w:val="-64"/>
        </w:rPr>
      </w:r>
      <w:r>
        <w:rPr>
          <w:spacing w:val="-2"/>
        </w:rPr>
        <w:t>司，以其资产、负债（包括最终控制方收购该子公司而形成的商誉）在最终控制方财务报表中的账面价值为基础对其财务报</w:t>
      </w:r>
      <w:r>
        <w:rPr>
          <w:spacing w:val="-66"/>
        </w:rPr>
        <w:t> </w:t>
      </w:r>
      <w:r>
        <w:rPr>
          <w:spacing w:val="-66"/>
        </w:rPr>
      </w:r>
      <w:r>
        <w:rPr/>
        <w:t>表进行调整。</w:t>
      </w:r>
    </w:p>
    <w:p>
      <w:pPr>
        <w:pStyle w:val="BodyText"/>
        <w:spacing w:line="316" w:lineRule="auto" w:before="19"/>
        <w:ind w:right="1131" w:firstLine="422"/>
        <w:jc w:val="both"/>
      </w:pPr>
      <w:r>
        <w:rPr/>
        <w:t>子公司所有者权益、当期净损益和当期综合收益中属于少数股东的份额分别在合并资产负债表中所有者权益项目下、 </w:t>
      </w:r>
      <w:r>
        <w:rPr>
          <w:spacing w:val="-2"/>
        </w:rPr>
        <w:t>合并利润表中净利润项目下和综合收益总额项目下单独列示。子公司少数股东分担的当期亏损超过了少数股东在该子公司期</w:t>
      </w:r>
      <w:r>
        <w:rPr>
          <w:spacing w:val="-64"/>
        </w:rPr>
        <w:t> </w:t>
      </w:r>
      <w:r>
        <w:rPr>
          <w:spacing w:val="-64"/>
        </w:rPr>
      </w:r>
      <w:r>
        <w:rPr/>
        <w:t>初所有者权益中所享有份额而形成的余额，冲减少数股东权益。</w:t>
      </w:r>
    </w:p>
    <w:p>
      <w:pPr>
        <w:pStyle w:val="BodyText"/>
        <w:spacing w:line="319" w:lineRule="auto" w:before="19"/>
        <w:ind w:left="1556" w:right="1150"/>
        <w:jc w:val="left"/>
      </w:pPr>
      <w:r>
        <w:rPr/>
        <w:t>（</w:t>
      </w:r>
      <w:r>
        <w:rPr>
          <w:rFonts w:ascii="宋体" w:hAnsi="宋体" w:cs="宋体" w:eastAsia="宋体" w:hint="default"/>
        </w:rPr>
        <w:t>1</w:t>
      </w:r>
      <w:r>
        <w:rPr/>
        <w:t>）增加子公司或业务 在报告期内，若因同一控制下企业合并增加子公司或业务的，则调整合并资产负债表的期初数；将子公司或业务合并</w:t>
      </w:r>
    </w:p>
    <w:p>
      <w:pPr>
        <w:pStyle w:val="BodyText"/>
        <w:spacing w:line="316" w:lineRule="auto" w:before="17"/>
        <w:ind w:left="1134" w:right="1033"/>
        <w:jc w:val="left"/>
      </w:pPr>
      <w:r>
        <w:rPr>
          <w:spacing w:val="-2"/>
        </w:rPr>
        <w:t>当期期初至报告期末的收入、费用、利润纳入合并利润表；将子公司或业务合并当期期初至报告期末的现金流量纳入合并现</w:t>
      </w:r>
      <w:r>
        <w:rPr>
          <w:spacing w:val="-66"/>
        </w:rPr>
        <w:t> </w:t>
      </w:r>
      <w:r>
        <w:rPr>
          <w:spacing w:val="-66"/>
        </w:rPr>
      </w:r>
      <w:r>
        <w:rPr/>
        <w:t>金流量表，同时对比较报表的相关项目进行调整，视同合并后的报告主体自最终控制方开始控制时点起一直存在。</w:t>
      </w:r>
    </w:p>
    <w:p>
      <w:pPr>
        <w:pStyle w:val="BodyText"/>
        <w:spacing w:line="316" w:lineRule="auto" w:before="19"/>
        <w:ind w:right="1131" w:firstLine="422"/>
        <w:jc w:val="both"/>
      </w:pPr>
      <w:r>
        <w:rPr/>
        <w:t>因追加投资等原因能够对同一控制下的被投资方实施控制的，视同参与合并的各方在最终控制方开始控制时即以目前 </w:t>
      </w:r>
      <w:r>
        <w:rPr>
          <w:spacing w:val="-2"/>
        </w:rPr>
        <w:t>的状态存在进行调整。在取得被合并方控制权之前持有的股权投资，在取得原股权之日与合并方和被合并方同处于同一控制</w:t>
      </w:r>
      <w:r>
        <w:rPr>
          <w:spacing w:val="-64"/>
        </w:rPr>
        <w:t> </w:t>
      </w:r>
      <w:r>
        <w:rPr>
          <w:spacing w:val="-64"/>
        </w:rPr>
      </w:r>
      <w:r>
        <w:rPr>
          <w:spacing w:val="-2"/>
        </w:rPr>
        <w:t>之日孰晚日起至合并日之间已确认有关损益、其他综合收益以及其他净资产变动，分别冲减比较报表期间的期初留存收益或</w:t>
      </w:r>
      <w:r>
        <w:rPr>
          <w:spacing w:val="-64"/>
        </w:rPr>
        <w:t> </w:t>
      </w:r>
      <w:r>
        <w:rPr>
          <w:spacing w:val="-64"/>
        </w:rPr>
      </w:r>
      <w:r>
        <w:rPr/>
        <w:t>当期损益。</w:t>
      </w:r>
    </w:p>
    <w:p>
      <w:pPr>
        <w:pStyle w:val="BodyText"/>
        <w:spacing w:line="316" w:lineRule="auto" w:before="19"/>
        <w:ind w:right="1133" w:firstLine="422"/>
        <w:jc w:val="both"/>
      </w:pPr>
      <w:r>
        <w:rPr/>
        <w:t>在报告期内，若因非同一控制下企业合并增加子公司或业务的，则不调整合并资产负债表期初数；将该子公司或业务 </w:t>
      </w:r>
      <w:r>
        <w:rPr>
          <w:spacing w:val="-2"/>
        </w:rPr>
        <w:t>自购买日至报告期末的收入、费用、利润纳入合并利润表；该子公司或业务自购买日至报告期末的现金流量纳入合并现金流</w:t>
      </w:r>
      <w:r>
        <w:rPr>
          <w:spacing w:val="-66"/>
        </w:rPr>
        <w:t> </w:t>
      </w:r>
      <w:r>
        <w:rPr>
          <w:spacing w:val="-66"/>
        </w:rPr>
      </w:r>
      <w:r>
        <w:rPr/>
        <w:t>量表。</w:t>
      </w:r>
    </w:p>
    <w:p>
      <w:pPr>
        <w:pStyle w:val="BodyText"/>
        <w:spacing w:line="316" w:lineRule="auto" w:before="19"/>
        <w:ind w:right="1131" w:firstLine="422"/>
        <w:jc w:val="both"/>
      </w:pPr>
      <w:r>
        <w:rPr/>
        <w:t>因追加投资等原因能够对非同一控制下的被投资方实施控制的，对于购买日之前持有的被购买方的股权，本公司按照 </w:t>
      </w: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股权涉及权益法核算下的其他综合收益以及除净损益、其他综合收益和利润分配之外的其他所有者权益变动的，与其相关的</w:t>
      </w:r>
      <w:r>
        <w:rPr>
          <w:spacing w:val="-64"/>
        </w:rPr>
        <w:t> </w:t>
      </w:r>
      <w:r>
        <w:rPr>
          <w:spacing w:val="-64"/>
        </w:rPr>
      </w:r>
      <w:r>
        <w:rPr>
          <w:spacing w:val="-2"/>
        </w:rPr>
        <w:t>其他综合收益、其他所有者权益变动转为购买日所属当期投资收益，由于被投资方重新计量设定受益计划净负债或净资产变</w:t>
      </w:r>
      <w:r>
        <w:rPr>
          <w:spacing w:val="-64"/>
        </w:rPr>
        <w:t> </w:t>
      </w:r>
      <w:r>
        <w:rPr>
          <w:spacing w:val="-64"/>
        </w:rPr>
      </w:r>
      <w:r>
        <w:rPr/>
        <w:t>动而产生的其他综合收益除外。</w:t>
      </w:r>
    </w:p>
    <w:p>
      <w:pPr>
        <w:pStyle w:val="BodyText"/>
        <w:spacing w:line="240" w:lineRule="auto" w:before="19"/>
        <w:ind w:left="1556" w:right="1033"/>
        <w:jc w:val="left"/>
      </w:pPr>
      <w:r>
        <w:rPr/>
        <w:t>（</w:t>
      </w:r>
      <w:r>
        <w:rPr>
          <w:rFonts w:ascii="宋体" w:hAnsi="宋体" w:cs="宋体" w:eastAsia="宋体" w:hint="default"/>
        </w:rPr>
        <w:t>2</w:t>
      </w:r>
      <w:r>
        <w:rPr/>
        <w:t>）处置子公司或业务</w:t>
      </w:r>
    </w:p>
    <w:p>
      <w:pPr>
        <w:pStyle w:val="BodyText"/>
        <w:spacing w:line="316" w:lineRule="auto" w:before="76"/>
        <w:ind w:left="1556" w:right="1150"/>
        <w:jc w:val="left"/>
      </w:pPr>
      <w:r>
        <w:rPr/>
        <w:t>①一般处理方法 在报告期内，本公司处置子公司或业务，则该子公司或业务期初至处置日的收入、费用、利润纳入合并利润表；该子</w:t>
      </w:r>
    </w:p>
    <w:p>
      <w:pPr>
        <w:pStyle w:val="BodyText"/>
        <w:spacing w:line="316" w:lineRule="auto" w:before="19"/>
        <w:ind w:left="1556" w:right="1150" w:hanging="423"/>
        <w:jc w:val="left"/>
      </w:pPr>
      <w:r>
        <w:rPr/>
        <w:t>公司或业务期初至处置日的现金流量纳入合并现金流量表。 因处置部分股权投资或其他原因丧失了对被投资方控制权时，对于处置后的剩余股权投资，本公司按照其在丧失控制</w:t>
      </w:r>
    </w:p>
    <w:p>
      <w:pPr>
        <w:pStyle w:val="BodyText"/>
        <w:spacing w:line="316" w:lineRule="auto" w:before="19"/>
        <w:ind w:left="1134" w:right="1033"/>
        <w:jc w:val="left"/>
      </w:pPr>
      <w:r>
        <w:rPr>
          <w:spacing w:val="-2"/>
        </w:rPr>
        <w:t>权日的公允价值进行重新计量。处置股权取得的对价与剩余股权公允价值之和，减去按原持股比例计算应享有原有子公司自</w:t>
      </w:r>
      <w:r>
        <w:rPr>
          <w:spacing w:val="-64"/>
        </w:rPr>
        <w:t> </w:t>
      </w:r>
      <w:r>
        <w:rPr>
          <w:spacing w:val="-64"/>
        </w:rPr>
      </w:r>
      <w:r>
        <w:rPr>
          <w:spacing w:val="-2"/>
        </w:rPr>
        <w:t>购买日或合并日开始持续计算的净资产的份额与商誉之和的差额，计入丧失控制权当期的投资收益。与原有子公司股权投资</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spacing w:val="-4"/>
        </w:rPr>
        <w:t>相关的其他综合收益或除净损益、其他综合收益及利润分配之外的其他所有者权益变动，在丧失控制权时转为当期投资收益，</w:t>
      </w:r>
      <w:r>
        <w:rPr>
          <w:spacing w:val="-44"/>
        </w:rPr>
        <w:t> </w:t>
      </w:r>
      <w:r>
        <w:rPr>
          <w:spacing w:val="-44"/>
        </w:rPr>
      </w:r>
      <w:r>
        <w:rPr/>
        <w:t>由于被投资方重新计量设定受益计划净负债或净资产变动而产生的其他综合收益除外。</w:t>
      </w:r>
    </w:p>
    <w:p>
      <w:pPr>
        <w:pStyle w:val="BodyText"/>
        <w:spacing w:line="240" w:lineRule="auto" w:before="19"/>
        <w:ind w:left="1556" w:right="1033"/>
        <w:jc w:val="left"/>
      </w:pPr>
      <w:r>
        <w:rPr/>
        <w:t>因其他投资方对子公司增资而导致本公司持股比例下降从而丧失控制权的，按照上述原则进行会计处理。</w:t>
      </w:r>
    </w:p>
    <w:p>
      <w:pPr>
        <w:pStyle w:val="BodyText"/>
        <w:spacing w:line="319" w:lineRule="auto" w:before="76"/>
        <w:ind w:left="1556" w:right="1150"/>
        <w:jc w:val="left"/>
      </w:pPr>
      <w:r>
        <w:rPr/>
        <w:t>②分步处置子公司 通过多次交易分步处置对子公司股权投资直至丧失控制权的，处置对子公司股权投资的各项交易的条款、条件以及经</w:t>
      </w:r>
    </w:p>
    <w:p>
      <w:pPr>
        <w:pStyle w:val="BodyText"/>
        <w:spacing w:line="316" w:lineRule="auto" w:before="17"/>
        <w:ind w:left="1556" w:right="3373" w:hanging="423"/>
        <w:jc w:val="left"/>
      </w:pPr>
      <w:r>
        <w:rPr/>
        <w:t>济影响符合以下一种或多种情况，通常表明应将多次交易事项作为一揽子交易进行会计处理：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1033" w:firstLine="422"/>
        <w:jc w:val="left"/>
      </w:pPr>
      <w:r>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BodyText"/>
        <w:spacing w:line="316" w:lineRule="auto" w:before="19"/>
        <w:ind w:right="1151" w:firstLine="422"/>
        <w:jc w:val="left"/>
      </w:pPr>
      <w:r>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p>
    <w:p>
      <w:pPr>
        <w:pStyle w:val="BodyText"/>
        <w:spacing w:line="316" w:lineRule="auto" w:before="19"/>
        <w:ind w:left="1556" w:right="1150"/>
        <w:jc w:val="left"/>
      </w:pPr>
      <w:r>
        <w:rPr/>
        <w:t>（</w:t>
      </w:r>
      <w:r>
        <w:rPr>
          <w:rFonts w:ascii="宋体" w:hAnsi="宋体" w:cs="宋体" w:eastAsia="宋体" w:hint="default"/>
        </w:rPr>
        <w:t>3</w:t>
      </w:r>
      <w:r>
        <w:rPr/>
        <w:t>）购买子公司少数股权 本公司因购买少数股权新取得的长期股权投资与按照新增持股比例计算应享有子公司自购买日（或合并日）开始持续</w:t>
      </w:r>
    </w:p>
    <w:p>
      <w:pPr>
        <w:pStyle w:val="BodyText"/>
        <w:spacing w:line="316" w:lineRule="auto" w:before="19"/>
        <w:ind w:left="1134" w:right="1033"/>
        <w:jc w:val="left"/>
      </w:pPr>
      <w:r>
        <w:rPr>
          <w:spacing w:val="-2"/>
        </w:rPr>
        <w:t>计算的净资产份额之间的差额，调整合并资产负债表中的资本公积中的股本溢价，资本公积中的股本溢价不足冲减的，调整</w:t>
      </w:r>
      <w:r>
        <w:rPr>
          <w:spacing w:val="-66"/>
        </w:rPr>
        <w:t> </w:t>
      </w:r>
      <w:r>
        <w:rPr>
          <w:spacing w:val="-66"/>
        </w:rPr>
      </w:r>
      <w:r>
        <w:rPr/>
        <w:t>留存收益。</w:t>
      </w:r>
    </w:p>
    <w:p>
      <w:pPr>
        <w:pStyle w:val="BodyText"/>
        <w:spacing w:line="316" w:lineRule="auto" w:before="19"/>
        <w:ind w:left="1556" w:right="1150"/>
        <w:jc w:val="left"/>
      </w:pPr>
      <w:r>
        <w:rPr/>
        <w:t>（</w:t>
      </w: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9" w:lineRule="auto" w:before="19"/>
        <w:ind w:left="1134" w:right="1033"/>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5"/>
        <w:rPr>
          <w:rFonts w:ascii="宋体" w:hAnsi="宋体" w:cs="宋体" w:eastAsia="宋体" w:hint="default"/>
          <w:sz w:val="22"/>
          <w:szCs w:val="22"/>
        </w:rPr>
      </w:pPr>
    </w:p>
    <w:p>
      <w:pPr>
        <w:pStyle w:val="Heading3"/>
        <w:spacing w:line="240" w:lineRule="auto"/>
        <w:ind w:left="1134" w:right="1033"/>
        <w:jc w:val="left"/>
        <w:rPr>
          <w:b w:val="0"/>
          <w:bCs w:val="0"/>
        </w:rPr>
      </w:pPr>
      <w:bookmarkStart w:name="7、合营安排分类及共同经营会计处理方法" w:id="173"/>
      <w:bookmarkEnd w:id="17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56" w:right="2410"/>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1556" w:right="1033"/>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40" w:lineRule="auto" w:before="76"/>
        <w:ind w:left="1556" w:right="1033"/>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40" w:lineRule="auto" w:before="76"/>
        <w:ind w:left="1556" w:right="1033"/>
        <w:jc w:val="left"/>
      </w:pPr>
      <w:r>
        <w:rPr/>
        <w:t>（</w:t>
      </w:r>
      <w:r>
        <w:rPr>
          <w:rFonts w:ascii="宋体" w:hAnsi="宋体" w:cs="宋体" w:eastAsia="宋体" w:hint="default"/>
        </w:rPr>
        <w:t>3</w:t>
      </w:r>
      <w:r>
        <w:rPr/>
        <w:t>）确认出售本公司享有的共同经营产出份额所产生的收入；</w:t>
      </w:r>
    </w:p>
    <w:p>
      <w:pPr>
        <w:pStyle w:val="BodyText"/>
        <w:spacing w:line="240" w:lineRule="auto" w:before="76"/>
        <w:ind w:left="1556" w:right="1033"/>
        <w:jc w:val="left"/>
      </w:pPr>
      <w:r>
        <w:rPr/>
        <w:t>（</w:t>
      </w:r>
      <w:r>
        <w:rPr>
          <w:rFonts w:ascii="宋体" w:hAnsi="宋体" w:cs="宋体" w:eastAsia="宋体" w:hint="default"/>
        </w:rPr>
        <w:t>4</w:t>
      </w:r>
      <w:r>
        <w:rPr/>
        <w:t>）按本公司份额确认共同经营因出售产出所产生的收入；</w:t>
      </w:r>
    </w:p>
    <w:p>
      <w:pPr>
        <w:pStyle w:val="BodyText"/>
        <w:spacing w:line="240" w:lineRule="auto" w:before="76"/>
        <w:ind w:left="1556" w:right="1033"/>
        <w:jc w:val="left"/>
      </w:pPr>
      <w:r>
        <w:rPr/>
        <w:t>（</w:t>
      </w:r>
      <w:r>
        <w:rPr>
          <w:rFonts w:ascii="宋体" w:hAnsi="宋体" w:cs="宋体" w:eastAsia="宋体" w:hint="default"/>
        </w:rPr>
        <w:t>5</w:t>
      </w:r>
      <w:r>
        <w:rPr/>
        <w:t>）确认单独所发生的费用，以及按本公司份额确认共同经营发生的费用。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8、现金及现金等价物的确定标准" w:id="174"/>
      <w:bookmarkEnd w:id="17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51" w:firstLine="422"/>
        <w:jc w:val="left"/>
      </w:pPr>
      <w:r>
        <w:rPr/>
        <w:t>在编制现金流量表时，将本公司库存现金以及可以随时用于支付的存款确认为现金。将同时具备期限短（从购买日起 三个月内到期）、流动性强、易于转换为已知现金、价值变动风险很小四个条件的投资，确定为现金等价物。</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9、外币业务和外币报表折算" w:id="175"/>
      <w:bookmarkEnd w:id="17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tabs>
          <w:tab w:pos="1974" w:val="left" w:leader="none"/>
        </w:tabs>
        <w:spacing w:line="302" w:lineRule="auto"/>
        <w:ind w:left="1556" w:right="3869"/>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240" w:lineRule="auto" w:before="29"/>
        <w:ind w:left="1556" w:right="1033"/>
        <w:jc w:val="left"/>
      </w:pPr>
      <w:r>
        <w:rPr/>
        <w:t>资产负债表日外币货币性项目余额按资产负债表日即期汇率折算，由此产生的汇兑差额，除属于与购建符合资本化条</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33"/>
        <w:jc w:val="left"/>
      </w:pPr>
      <w:r>
        <w:rPr/>
        <w:t>件的资产相关的外币专门借款产生的汇兑差额按照借款费用资本化的原则处理外，均计入当期损益。</w:t>
      </w:r>
    </w:p>
    <w:p>
      <w:pPr>
        <w:spacing w:line="240" w:lineRule="auto" w:before="0"/>
        <w:rPr>
          <w:rFonts w:ascii="宋体" w:hAnsi="宋体" w:cs="宋体" w:eastAsia="宋体" w:hint="default"/>
          <w:sz w:val="18"/>
          <w:szCs w:val="18"/>
        </w:rPr>
      </w:pPr>
    </w:p>
    <w:p>
      <w:pPr>
        <w:pStyle w:val="BodyText"/>
        <w:tabs>
          <w:tab w:pos="1974" w:val="left" w:leader="none"/>
        </w:tabs>
        <w:spacing w:line="302" w:lineRule="auto" w:before="153"/>
        <w:ind w:left="1556" w:right="1166"/>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外币财务报表的折算</w:t>
      </w:r>
      <w:r>
        <w:rPr>
          <w:rFonts w:ascii="宋体" w:hAnsi="宋体" w:cs="宋体" w:eastAsia="宋体" w:hint="default"/>
          <w:b/>
          <w:bCs/>
          <w:w w:val="99"/>
        </w:rPr>
        <w:t> </w:t>
      </w:r>
      <w:r>
        <w:rPr/>
        <w:t>资产负债表中的资产和负债项目，采用资产负债表日的即期汇率折算；所有者权益项目除“未分配利润”项目外，其</w:t>
      </w:r>
    </w:p>
    <w:p>
      <w:pPr>
        <w:pStyle w:val="BodyText"/>
        <w:spacing w:line="316" w:lineRule="auto" w:before="30"/>
        <w:ind w:right="1033"/>
        <w:jc w:val="left"/>
      </w:pPr>
      <w:r>
        <w:rPr>
          <w:spacing w:val="-2"/>
        </w:rPr>
        <w:t>他项目采用发生时的即期汇率折算。利润表中的收入和费用项目，采用交易发生日的即期汇率（或：采用按照系统合理的方</w:t>
      </w:r>
      <w:r>
        <w:rPr>
          <w:spacing w:val="-66"/>
        </w:rPr>
        <w:t> </w:t>
      </w:r>
      <w:r>
        <w:rPr>
          <w:spacing w:val="-66"/>
        </w:rPr>
      </w:r>
      <w:r>
        <w:rPr/>
        <w:t>法确定的、与交易发生日即期汇率近似的汇率。提示：若采用此种方法，应明示何种方法何种口径）折算。</w:t>
      </w:r>
    </w:p>
    <w:p>
      <w:pPr>
        <w:pStyle w:val="BodyText"/>
        <w:spacing w:line="240" w:lineRule="auto" w:before="19"/>
        <w:ind w:left="1556" w:right="1033"/>
        <w:jc w:val="left"/>
      </w:pPr>
      <w:r>
        <w:rPr/>
        <w:t>处置境外经营时，将与该境外经营相关的外币财务报表折算差额，自所有者权益项目转入处置当期损益。</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10、金融工具" w:id="176"/>
      <w:bookmarkEnd w:id="17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6" w:right="1033"/>
        <w:jc w:val="left"/>
      </w:pPr>
      <w:r>
        <w:rPr/>
        <w:t>金融工具包括金融资产、金融负债和权益工具。</w:t>
      </w:r>
    </w:p>
    <w:p>
      <w:pPr>
        <w:pStyle w:val="BodyText"/>
        <w:tabs>
          <w:tab w:pos="1974" w:val="left" w:leader="none"/>
        </w:tabs>
        <w:spacing w:line="302" w:lineRule="auto" w:before="76"/>
        <w:ind w:left="1556" w:right="1169"/>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金融工具的分类</w:t>
      </w:r>
      <w:r>
        <w:rPr>
          <w:rFonts w:ascii="宋体" w:hAnsi="宋体" w:cs="宋体" w:eastAsia="宋体" w:hint="default"/>
          <w:b/>
          <w:bCs/>
          <w:w w:val="99"/>
        </w:rPr>
        <w:t> </w:t>
      </w:r>
      <w:r>
        <w:rPr/>
        <w:t>金融资产和金融负债于初始确认时分类为：以公允价值计量且其变动计入当期损益的金融资产或金融负债，包括交易</w:t>
      </w:r>
    </w:p>
    <w:p>
      <w:pPr>
        <w:pStyle w:val="BodyText"/>
        <w:spacing w:line="316" w:lineRule="auto" w:before="29"/>
        <w:ind w:left="1134" w:right="1033"/>
        <w:jc w:val="left"/>
      </w:pPr>
      <w:r>
        <w:rPr>
          <w:spacing w:val="-2"/>
        </w:rPr>
        <w:t>性金融资产或金融负债和直接指定为以公允价值计量且其变动计入当期损益的金融资产或金融负债；持有至到期投资；应收</w:t>
      </w:r>
      <w:r>
        <w:rPr>
          <w:spacing w:val="-64"/>
        </w:rPr>
        <w:t> </w:t>
      </w:r>
      <w:r>
        <w:rPr>
          <w:spacing w:val="-64"/>
        </w:rPr>
      </w:r>
      <w:r>
        <w:rPr/>
        <w:t>款项；可供出售金融资产；其他金融负债等。</w:t>
      </w:r>
    </w:p>
    <w:p>
      <w:pPr>
        <w:spacing w:line="240" w:lineRule="auto" w:before="4"/>
        <w:rPr>
          <w:rFonts w:ascii="宋体" w:hAnsi="宋体" w:cs="宋体" w:eastAsia="宋体" w:hint="default"/>
          <w:sz w:val="25"/>
          <w:szCs w:val="25"/>
        </w:rPr>
      </w:pPr>
    </w:p>
    <w:p>
      <w:pPr>
        <w:pStyle w:val="Heading4"/>
        <w:tabs>
          <w:tab w:pos="1974" w:val="left" w:leader="none"/>
        </w:tabs>
        <w:spacing w:line="240" w:lineRule="auto"/>
        <w:ind w:left="1556" w:right="1033"/>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金融工具的确认依据和计量方法</w:t>
      </w:r>
      <w:r>
        <w:rPr>
          <w:b w:val="0"/>
          <w:bCs w:val="0"/>
        </w:rPr>
      </w:r>
    </w:p>
    <w:p>
      <w:pPr>
        <w:pStyle w:val="BodyText"/>
        <w:spacing w:line="316" w:lineRule="auto" w:before="63"/>
        <w:ind w:left="1556" w:right="1150"/>
        <w:jc w:val="left"/>
      </w:pPr>
      <w:r>
        <w:rPr/>
        <w:t>（</w:t>
      </w:r>
      <w:r>
        <w:rPr>
          <w:rFonts w:ascii="宋体" w:hAnsi="宋体" w:cs="宋体" w:eastAsia="宋体" w:hint="default"/>
        </w:rPr>
        <w:t>1</w:t>
      </w:r>
      <w:r>
        <w:rPr/>
        <w:t>）以公允价值计量且其变动计入当期损益的金融资产（金融负债） 取得时以公允价值（扣除已宣告但尚未发放的现金股利或已到付息期但尚未领取的债券利息）作为初始确认金额，相</w:t>
      </w:r>
    </w:p>
    <w:p>
      <w:pPr>
        <w:pStyle w:val="BodyText"/>
        <w:spacing w:line="316" w:lineRule="auto" w:before="19"/>
        <w:ind w:left="1556" w:right="2770" w:hanging="423"/>
        <w:jc w:val="left"/>
      </w:pPr>
      <w:r>
        <w:rPr/>
        <w:t>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6" w:lineRule="auto" w:before="19"/>
        <w:ind w:left="1556" w:right="1150"/>
        <w:jc w:val="left"/>
      </w:pPr>
      <w:r>
        <w:rPr/>
        <w:t>（</w:t>
      </w:r>
      <w:r>
        <w:rPr>
          <w:rFonts w:ascii="宋体" w:hAnsi="宋体" w:cs="宋体" w:eastAsia="宋体" w:hint="default"/>
        </w:rPr>
        <w:t>2</w:t>
      </w:r>
      <w:r>
        <w:rPr/>
        <w:t>）持有至到期投资 取得时按公允价值（扣除已到付息期但尚未领取的债券利息）和相关交易费用之和作为初始确认金额。 持有期间按照摊余成本和实际利率计算确认利息收入，计入投资收益。实际利率在取得时确定，在该预期存续期间或</w:t>
      </w:r>
    </w:p>
    <w:p>
      <w:pPr>
        <w:pStyle w:val="BodyText"/>
        <w:spacing w:line="316" w:lineRule="auto" w:before="19"/>
        <w:ind w:left="1556" w:right="4930" w:hanging="423"/>
        <w:jc w:val="left"/>
      </w:pPr>
      <w:r>
        <w:rPr/>
        <w:t>适用的更短期间内保持不变。 处置时，将所取得价款与该投资账面价值之间的差额计入投资收益。</w:t>
      </w:r>
    </w:p>
    <w:p>
      <w:pPr>
        <w:pStyle w:val="BodyText"/>
        <w:spacing w:line="316" w:lineRule="auto" w:before="19"/>
        <w:ind w:left="1556" w:right="1150"/>
        <w:jc w:val="left"/>
      </w:pPr>
      <w:r>
        <w:rPr/>
        <w:t>（</w:t>
      </w:r>
      <w:r>
        <w:rPr>
          <w:rFonts w:ascii="宋体" w:hAnsi="宋体" w:cs="宋体" w:eastAsia="宋体" w:hint="default"/>
        </w:rPr>
        <w:t>3</w:t>
      </w:r>
      <w:r>
        <w:rPr/>
        <w:t>）应收款项 公司对外销售商品或提供劳务形成的应收债权，以及公司持有的其他企业的不包括在活跃市场上有报价的债务工具的</w:t>
      </w:r>
    </w:p>
    <w:p>
      <w:pPr>
        <w:pStyle w:val="BodyText"/>
        <w:spacing w:line="316" w:lineRule="auto" w:before="19"/>
        <w:ind w:right="1033"/>
        <w:jc w:val="left"/>
      </w:pPr>
      <w:r>
        <w:rPr>
          <w:spacing w:val="-2"/>
        </w:rPr>
        <w:t>债权，包括应收账款、其他应收款等，以向购货方应收的合同或协议价款作为初始确认金额；具有融资性质的，按其现值进</w:t>
      </w:r>
      <w:r>
        <w:rPr>
          <w:spacing w:val="-66"/>
        </w:rPr>
        <w:t> </w:t>
      </w:r>
      <w:r>
        <w:rPr>
          <w:spacing w:val="-66"/>
        </w:rPr>
      </w:r>
      <w:r>
        <w:rPr/>
        <w:t>行初始确认。</w:t>
      </w:r>
    </w:p>
    <w:p>
      <w:pPr>
        <w:pStyle w:val="BodyText"/>
        <w:spacing w:line="240" w:lineRule="auto" w:before="19"/>
        <w:ind w:left="1556" w:right="1033"/>
        <w:jc w:val="left"/>
      </w:pPr>
      <w:r>
        <w:rPr/>
        <w:t>收回或处置时，将取得的价款与该应收款项账面价值之间的差额计入当期损益。</w:t>
      </w:r>
    </w:p>
    <w:p>
      <w:pPr>
        <w:pStyle w:val="BodyText"/>
        <w:spacing w:line="316" w:lineRule="auto" w:before="76"/>
        <w:ind w:left="1556" w:right="1150"/>
        <w:jc w:val="left"/>
      </w:pPr>
      <w:r>
        <w:rPr/>
        <w:t>（</w:t>
      </w:r>
      <w:r>
        <w:rPr>
          <w:rFonts w:ascii="宋体" w:hAnsi="宋体" w:cs="宋体" w:eastAsia="宋体" w:hint="default"/>
        </w:rPr>
        <w:t>4</w:t>
      </w:r>
      <w:r>
        <w:rPr/>
        <w:t>）可供出售金融资产 取得时按公允价值（扣除已宣告但尚未发放的现金股利或已到付息期但尚未领取的债券利息）和相关交易费用之和作</w:t>
      </w:r>
    </w:p>
    <w:p>
      <w:pPr>
        <w:pStyle w:val="BodyText"/>
        <w:spacing w:line="316" w:lineRule="auto" w:before="19"/>
        <w:ind w:left="1556" w:right="1033" w:hanging="423"/>
        <w:jc w:val="left"/>
      </w:pPr>
      <w:r>
        <w:rPr/>
        <w:t>为初始确认金额。 </w:t>
      </w:r>
      <w:r>
        <w:rPr>
          <w:spacing w:val="-2"/>
        </w:rPr>
        <w:t>持有期间将取得的利息或现金股利确认为投资收益。期末以公允价值计量且将公允价值变动计入其他综合收益。但是，</w:t>
      </w:r>
    </w:p>
    <w:p>
      <w:pPr>
        <w:pStyle w:val="BodyText"/>
        <w:spacing w:line="316" w:lineRule="auto" w:before="19"/>
        <w:ind w:right="1033"/>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9"/>
        <w:ind w:right="1151" w:firstLine="422"/>
        <w:jc w:val="left"/>
      </w:pPr>
      <w:r>
        <w:rPr/>
        <w:t>处置时，将取得的价款与该金融资产账面价值之间的差额，计入投资损益；同时，将原直接计入其他综合收益的公允 价值变动累计额对应处置部分的金额转出，计入当期损益。</w:t>
      </w:r>
    </w:p>
    <w:p>
      <w:pPr>
        <w:pStyle w:val="BodyText"/>
        <w:spacing w:line="316" w:lineRule="auto" w:before="19"/>
        <w:ind w:left="1556" w:right="3670"/>
        <w:jc w:val="left"/>
      </w:pPr>
      <w:r>
        <w:rPr/>
        <w:t>（</w:t>
      </w:r>
      <w:r>
        <w:rPr>
          <w:rFonts w:ascii="宋体" w:hAnsi="宋体" w:cs="宋体" w:eastAsia="宋体" w:hint="default"/>
        </w:rPr>
        <w:t>5</w:t>
      </w:r>
      <w:r>
        <w:rPr/>
        <w:t>）其他金融负债 按其公允价值和相关交易费用之和作为初始确认金额。采用摊余成本进行后续计量。</w:t>
      </w:r>
    </w:p>
    <w:p>
      <w:pPr>
        <w:spacing w:line="240" w:lineRule="auto" w:before="4"/>
        <w:rPr>
          <w:rFonts w:ascii="宋体" w:hAnsi="宋体" w:cs="宋体" w:eastAsia="宋体" w:hint="default"/>
          <w:sz w:val="25"/>
          <w:szCs w:val="25"/>
        </w:rPr>
      </w:pPr>
    </w:p>
    <w:p>
      <w:pPr>
        <w:pStyle w:val="Heading4"/>
        <w:tabs>
          <w:tab w:pos="1974" w:val="left" w:leader="none"/>
        </w:tabs>
        <w:spacing w:line="240" w:lineRule="auto"/>
        <w:ind w:left="1556" w:right="1033"/>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金融资产转移的确认依据和计量方法</w:t>
      </w:r>
      <w:r>
        <w:rPr>
          <w:b w:val="0"/>
          <w:bCs w:val="0"/>
        </w:rPr>
      </w:r>
    </w:p>
    <w:p>
      <w:pPr>
        <w:spacing w:after="0" w:line="240" w:lineRule="auto"/>
        <w:jc w:val="left"/>
        <w:sectPr>
          <w:footerReference w:type="default" r:id="rId34"/>
          <w:pgSz w:w="11910" w:h="16840"/>
          <w:pgMar w:footer="979" w:header="747" w:top="1060" w:bottom="1160" w:left="0" w:right="0"/>
          <w:pgNumType w:start="129"/>
        </w:sectPr>
      </w:pPr>
    </w:p>
    <w:p>
      <w:pPr>
        <w:spacing w:line="240" w:lineRule="auto" w:before="12"/>
        <w:rPr>
          <w:rFonts w:ascii="宋体" w:hAnsi="宋体" w:cs="宋体" w:eastAsia="宋体" w:hint="default"/>
          <w:b/>
          <w:bCs/>
          <w:sz w:val="25"/>
          <w:szCs w:val="25"/>
        </w:rPr>
      </w:pPr>
    </w:p>
    <w:p>
      <w:pPr>
        <w:pStyle w:val="BodyText"/>
        <w:spacing w:line="316" w:lineRule="auto" w:before="44"/>
        <w:ind w:right="1151" w:firstLine="422"/>
        <w:jc w:val="left"/>
      </w:pPr>
      <w:r>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BodyText"/>
        <w:spacing w:line="316" w:lineRule="auto" w:before="19"/>
        <w:ind w:right="1151" w:firstLine="422"/>
        <w:jc w:val="left"/>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BodyText"/>
        <w:spacing w:line="240" w:lineRule="auto" w:before="19"/>
        <w:ind w:left="1556" w:right="1033"/>
        <w:jc w:val="left"/>
      </w:pPr>
      <w:r>
        <w:rPr/>
        <w:t>（</w:t>
      </w:r>
      <w:r>
        <w:rPr>
          <w:rFonts w:ascii="宋体" w:hAnsi="宋体" w:cs="宋体" w:eastAsia="宋体" w:hint="default"/>
        </w:rPr>
        <w:t>1</w:t>
      </w:r>
      <w:r>
        <w:rPr/>
        <w:t>）所转移金融资产的账面价值；</w:t>
      </w:r>
    </w:p>
    <w:p>
      <w:pPr>
        <w:pStyle w:val="BodyText"/>
        <w:spacing w:line="316" w:lineRule="auto" w:before="76"/>
        <w:ind w:left="1134" w:right="1033" w:firstLine="422"/>
        <w:jc w:val="left"/>
      </w:pPr>
      <w:r>
        <w:rPr>
          <w:spacing w:val="-2"/>
        </w:rPr>
        <w:t>（</w:t>
      </w:r>
      <w:r>
        <w:rPr>
          <w:rFonts w:ascii="宋体" w:hAnsi="宋体" w:cs="宋体" w:eastAsia="宋体" w:hint="default"/>
          <w:spacing w:val="-2"/>
        </w:rPr>
        <w:t>2</w:t>
      </w:r>
      <w:r>
        <w:rPr>
          <w:spacing w:val="-2"/>
        </w:rPr>
        <w:t>）因转移而收到的对价，与原直接计入所有者权益的公允价值变动累计额（涉及转移的金融资产为可供出售金融资</w:t>
      </w:r>
      <w:r>
        <w:rPr/>
        <w:t> 产的情形）之和。</w:t>
      </w:r>
    </w:p>
    <w:p>
      <w:pPr>
        <w:spacing w:line="240" w:lineRule="auto" w:before="4"/>
        <w:rPr>
          <w:rFonts w:ascii="宋体" w:hAnsi="宋体" w:cs="宋体" w:eastAsia="宋体" w:hint="default"/>
          <w:sz w:val="25"/>
          <w:szCs w:val="25"/>
        </w:rPr>
      </w:pPr>
    </w:p>
    <w:p>
      <w:pPr>
        <w:pStyle w:val="BodyText"/>
        <w:spacing w:line="316" w:lineRule="auto"/>
        <w:ind w:right="1033" w:firstLine="422"/>
        <w:jc w:val="left"/>
      </w:pPr>
      <w:r>
        <w:rPr>
          <w:spacing w:val="-2"/>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240" w:lineRule="auto" w:before="19"/>
        <w:ind w:left="1556" w:right="1033"/>
        <w:jc w:val="left"/>
      </w:pPr>
      <w:r>
        <w:rPr/>
        <w:t>（</w:t>
      </w:r>
      <w:r>
        <w:rPr>
          <w:rFonts w:ascii="宋体" w:hAnsi="宋体" w:cs="宋体" w:eastAsia="宋体" w:hint="default"/>
        </w:rPr>
        <w:t>1</w:t>
      </w:r>
      <w:r>
        <w:rPr/>
        <w:t>）终止确认部分的账面价值；</w:t>
      </w:r>
    </w:p>
    <w:p>
      <w:pPr>
        <w:pStyle w:val="BodyText"/>
        <w:spacing w:line="316" w:lineRule="auto" w:before="76"/>
        <w:ind w:left="1134" w:right="1033" w:firstLine="422"/>
        <w:jc w:val="left"/>
      </w:pPr>
      <w:r>
        <w:rPr>
          <w:spacing w:val="-2"/>
        </w:rPr>
        <w:t>（</w:t>
      </w:r>
      <w:r>
        <w:rPr>
          <w:rFonts w:ascii="宋体" w:hAnsi="宋体" w:cs="宋体" w:eastAsia="宋体" w:hint="default"/>
          <w:spacing w:val="-2"/>
        </w:rPr>
        <w:t>2</w:t>
      </w:r>
      <w:r>
        <w:rPr>
          <w:spacing w:val="-2"/>
        </w:rPr>
        <w:t>）终止确认部分的对价，与原直接计入所有者权益的公允价值变动累计额中对应终止确认部分的金额（涉及转移的</w:t>
      </w:r>
      <w:r>
        <w:rPr/>
        <w:t> 金融资产为可供出售金融资产的情形）之和。</w:t>
      </w:r>
    </w:p>
    <w:p>
      <w:pPr>
        <w:pStyle w:val="BodyText"/>
        <w:spacing w:line="240" w:lineRule="auto" w:before="19"/>
        <w:ind w:left="1556" w:right="1033"/>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pStyle w:val="BodyText"/>
        <w:tabs>
          <w:tab w:pos="1974" w:val="left" w:leader="none"/>
        </w:tabs>
        <w:spacing w:line="302" w:lineRule="auto" w:before="153"/>
        <w:ind w:left="1556" w:right="1166"/>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金融负债终止确认条件</w:t>
      </w:r>
      <w:r>
        <w:rPr>
          <w:rFonts w:ascii="宋体" w:hAnsi="宋体" w:cs="宋体" w:eastAsia="宋体" w:hint="default"/>
          <w:b/>
          <w:bCs/>
          <w:w w:val="99"/>
        </w:rPr>
        <w:t> </w:t>
      </w:r>
      <w:r>
        <w:rPr/>
        <w:t>金融负债的现时义务全部或部分已经解除的，则终止确认该金融负债或其一部分；本公司若与债权人签定协议，以承</w:t>
      </w:r>
    </w:p>
    <w:p>
      <w:pPr>
        <w:pStyle w:val="BodyText"/>
        <w:spacing w:line="316" w:lineRule="auto" w:before="29"/>
        <w:ind w:right="1050"/>
        <w:jc w:val="both"/>
      </w:pPr>
      <w:r>
        <w:rPr/>
        <w:t>担新金融负债方式替换现存金融负债，且新金融负债与现存金融负债的合同条款实质上不同的，则终止确认现存金融负债， 并同时确认新金融负债。</w:t>
      </w:r>
    </w:p>
    <w:p>
      <w:pPr>
        <w:pStyle w:val="BodyText"/>
        <w:spacing w:line="316" w:lineRule="auto" w:before="19"/>
        <w:ind w:right="1151" w:firstLine="422"/>
        <w:jc w:val="left"/>
      </w:pPr>
      <w:r>
        <w:rPr/>
        <w:t>对现存金融负债全部或部分合同条款作出实质性修改的，则终止确认现存金融负债或其一部分，同时将修改条款后的 金融负债确认为一项新金融负债。</w:t>
      </w:r>
    </w:p>
    <w:p>
      <w:pPr>
        <w:pStyle w:val="BodyText"/>
        <w:spacing w:line="319" w:lineRule="auto" w:before="19"/>
        <w:ind w:right="1151" w:firstLine="422"/>
        <w:jc w:val="left"/>
      </w:pPr>
      <w:r>
        <w:rPr/>
        <w:t>金融负债全部或部分终止确认时，终止确认的金融负债账面价值与支付对价（包括转出的非现金资产或承担的新金融 负债）之间的差额，计入当期损益。</w:t>
      </w:r>
    </w:p>
    <w:p>
      <w:pPr>
        <w:pStyle w:val="BodyText"/>
        <w:spacing w:line="316" w:lineRule="auto" w:before="17"/>
        <w:ind w:right="1033" w:firstLine="422"/>
        <w:jc w:val="left"/>
      </w:pPr>
      <w:r>
        <w:rPr/>
        <w:t>本公司若回购部分金融负债的，在回购日按照继续确认部分与终止确认部分的相对公允价值，将该金融负债整体的账 </w:t>
      </w:r>
      <w:r>
        <w:rPr>
          <w:spacing w:val="-4"/>
        </w:rPr>
        <w:t>面价值进行分配。分配给终止确认部分的账面价值与支付的对价（包括转出的非现金资产或承担的新金融负债）之间的差额，</w:t>
      </w:r>
      <w:r>
        <w:rPr>
          <w:spacing w:val="-44"/>
        </w:rPr>
        <w:t> </w:t>
      </w:r>
      <w:r>
        <w:rPr>
          <w:spacing w:val="-44"/>
        </w:rPr>
      </w:r>
      <w:r>
        <w:rPr/>
        <w:t>计入当期损益。</w:t>
      </w:r>
    </w:p>
    <w:p>
      <w:pPr>
        <w:spacing w:line="240" w:lineRule="auto" w:before="4"/>
        <w:rPr>
          <w:rFonts w:ascii="宋体" w:hAnsi="宋体" w:cs="宋体" w:eastAsia="宋体" w:hint="default"/>
          <w:sz w:val="25"/>
          <w:szCs w:val="25"/>
        </w:rPr>
      </w:pPr>
    </w:p>
    <w:p>
      <w:pPr>
        <w:tabs>
          <w:tab w:pos="1974" w:val="left" w:leader="none"/>
        </w:tabs>
        <w:spacing w:line="302" w:lineRule="auto" w:before="0"/>
        <w:ind w:left="1556" w:right="1169" w:firstLine="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b/>
          <w:bCs/>
          <w:sz w:val="18"/>
          <w:szCs w:val="18"/>
        </w:rPr>
        <w:t>金融资产和金融负债的公允价值的确定方法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存在活跃市场的金融工具，以活跃市场中的报价确定其公允价值。不存在活跃市场的金融工具，采用估值技术确定其</w:t>
      </w:r>
    </w:p>
    <w:p>
      <w:pPr>
        <w:pStyle w:val="BodyText"/>
        <w:spacing w:line="316" w:lineRule="auto" w:before="29"/>
        <w:ind w:right="1132"/>
        <w:jc w:val="both"/>
      </w:pPr>
      <w:r>
        <w:rPr>
          <w:spacing w:val="-2"/>
        </w:rPr>
        <w:t>公允价值。在估值时，本公司采用在当前情况下适用并且有足够可利用数据和其他信息支持的估值技术，选择与市场参与者</w:t>
      </w:r>
      <w:r>
        <w:rPr>
          <w:spacing w:val="-66"/>
        </w:rPr>
        <w:t> </w:t>
      </w:r>
      <w:r>
        <w:rPr>
          <w:spacing w:val="-66"/>
        </w:rPr>
      </w:r>
      <w:r>
        <w:rPr>
          <w:spacing w:val="-2"/>
        </w:rPr>
        <w:t>在相关资产或负债的交易中所考虑的资产或负债特征相一致的输入值，并优先使用相关可观察输入值。只有在相关可观察输</w:t>
      </w:r>
      <w:r>
        <w:rPr>
          <w:spacing w:val="-64"/>
        </w:rPr>
        <w:t> </w:t>
      </w:r>
      <w:r>
        <w:rPr>
          <w:spacing w:val="-64"/>
        </w:rPr>
      </w:r>
      <w:r>
        <w:rPr/>
        <w:t>入值无法取得或取得不切实可行的情况下，才使用不可观察输入值。</w:t>
      </w:r>
    </w:p>
    <w:p>
      <w:pPr>
        <w:spacing w:line="240" w:lineRule="auto" w:before="4"/>
        <w:rPr>
          <w:rFonts w:ascii="宋体" w:hAnsi="宋体" w:cs="宋体" w:eastAsia="宋体" w:hint="default"/>
          <w:sz w:val="25"/>
          <w:szCs w:val="25"/>
        </w:rPr>
      </w:pPr>
    </w:p>
    <w:p>
      <w:pPr>
        <w:tabs>
          <w:tab w:pos="1974" w:val="left" w:leader="none"/>
        </w:tabs>
        <w:spacing w:line="302" w:lineRule="auto" w:before="0"/>
        <w:ind w:left="1556" w:right="1169" w:firstLine="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b/>
          <w:bCs/>
          <w:sz w:val="18"/>
          <w:szCs w:val="18"/>
        </w:rPr>
        <w:t>金融资产（不含应收款项）减值的测试方法及会计处理方法</w:t>
      </w:r>
      <w:r>
        <w:rPr>
          <w:rFonts w:ascii="宋体" w:hAnsi="宋体" w:cs="宋体" w:eastAsia="宋体" w:hint="default"/>
          <w:b/>
          <w:bCs/>
          <w:w w:val="99"/>
          <w:sz w:val="18"/>
          <w:szCs w:val="18"/>
        </w:rPr>
        <w:t> </w:t>
      </w:r>
      <w:r>
        <w:rPr>
          <w:rFonts w:ascii="宋体" w:hAnsi="宋体" w:cs="宋体" w:eastAsia="宋体" w:hint="default"/>
          <w:sz w:val="18"/>
          <w:szCs w:val="18"/>
        </w:rPr>
        <w:t>除以公允价值计量且其变动计入当期损益的金融资产外，本公司于资产负债表日对金融资产的账面价值进行检查，如</w:t>
      </w:r>
    </w:p>
    <w:p>
      <w:pPr>
        <w:pStyle w:val="BodyText"/>
        <w:spacing w:line="240" w:lineRule="auto" w:before="29"/>
        <w:ind w:left="1134" w:right="1033"/>
        <w:jc w:val="left"/>
      </w:pPr>
      <w:r>
        <w:rPr/>
        <w:t>果有客观证据表明某项金融资产发生减值的，计提减值准备。</w:t>
      </w:r>
    </w:p>
    <w:p>
      <w:pPr>
        <w:pStyle w:val="BodyText"/>
        <w:spacing w:line="316" w:lineRule="auto" w:before="76"/>
        <w:ind w:left="1556" w:right="1150"/>
        <w:jc w:val="left"/>
      </w:pPr>
      <w:r>
        <w:rPr/>
        <w:t>（</w:t>
      </w:r>
      <w:r>
        <w:rPr>
          <w:rFonts w:ascii="宋体" w:hAnsi="宋体" w:cs="宋体" w:eastAsia="宋体" w:hint="default"/>
        </w:rPr>
        <w:t>1</w:t>
      </w:r>
      <w:r>
        <w:rPr/>
        <w:t>）可供出售金融资产的减值准备： 期末如果可供出售金融资产的公允价值发生严重下降，或在综合考虑各种相关因素后，预期这种下降趋势属于非暂时</w:t>
      </w:r>
    </w:p>
    <w:p>
      <w:pPr>
        <w:pStyle w:val="BodyText"/>
        <w:spacing w:line="316" w:lineRule="auto" w:before="19"/>
        <w:ind w:left="1556" w:right="1150" w:hanging="423"/>
        <w:jc w:val="left"/>
      </w:pPr>
      <w:r>
        <w:rPr/>
        <w:t>性的，就认定其已发生减值，将原直接计入所有者权益的公允价值下降形成的累计损失一并转出，确认减值损失。 对于已确认减值损失的可供出售债务工具，在随后的会计期间公允价值已上升且客观上与确认原减值损失确认后发生</w:t>
      </w:r>
    </w:p>
    <w:p>
      <w:pPr>
        <w:pStyle w:val="BodyText"/>
        <w:spacing w:line="316" w:lineRule="auto" w:before="19"/>
        <w:ind w:left="1556" w:right="5650" w:hanging="423"/>
        <w:jc w:val="left"/>
      </w:pPr>
      <w:r>
        <w:rPr/>
        <w:t>的事项有关的，原确认的减值损失予以转回，计入当期损益。 可供出售权益工具投资发生的减值损失，不通过损益转回。</w:t>
      </w:r>
    </w:p>
    <w:p>
      <w:pPr>
        <w:pStyle w:val="BodyText"/>
        <w:spacing w:line="316" w:lineRule="auto" w:before="19"/>
        <w:ind w:left="1556" w:right="4750"/>
        <w:jc w:val="left"/>
      </w:pPr>
      <w:r>
        <w:rPr/>
        <w:t>（</w:t>
      </w:r>
      <w:r>
        <w:rPr>
          <w:rFonts w:ascii="宋体" w:hAnsi="宋体" w:cs="宋体" w:eastAsia="宋体" w:hint="default"/>
        </w:rPr>
        <w:t>2</w:t>
      </w:r>
      <w:r>
        <w:rPr/>
        <w:t>）持有至到期投资的减值准备： 持有至到期投资减值损失的计量比照应收款项减值损失计量方法处理。</w:t>
      </w:r>
    </w:p>
    <w:p>
      <w:pPr>
        <w:spacing w:after="0" w:line="31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1033"/>
        <w:jc w:val="left"/>
        <w:rPr>
          <w:b w:val="0"/>
          <w:bCs w:val="0"/>
        </w:rPr>
      </w:pPr>
      <w:bookmarkStart w:name="11、应收款项" w:id="177"/>
      <w:bookmarkEnd w:id="177"/>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单项金额重大并单独计提坏账准备的应收款项" w:id="178"/>
      <w:bookmarkEnd w:id="17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829"/>
        <w:gridCol w:w="5740"/>
      </w:tblGrid>
      <w:tr>
        <w:trPr>
          <w:trHeight w:val="1026"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单项金额重大的判断依据或金额标准：本公司将单笔余额超过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p>
            <w:pPr>
              <w:pStyle w:val="TableParagraph"/>
              <w:spacing w:line="302" w:lineRule="auto" w:before="63"/>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的应收账款、单笔余额超过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的其他应收款，确定为单项</w:t>
            </w:r>
            <w:r>
              <w:rPr>
                <w:rFonts w:ascii="宋体" w:hAnsi="宋体" w:cs="宋体" w:eastAsia="宋体" w:hint="default"/>
                <w:w w:val="99"/>
                <w:sz w:val="18"/>
                <w:szCs w:val="18"/>
              </w:rPr>
              <w:t> </w:t>
            </w:r>
            <w:r>
              <w:rPr>
                <w:rFonts w:ascii="宋体" w:hAnsi="宋体" w:cs="宋体" w:eastAsia="宋体" w:hint="default"/>
                <w:sz w:val="18"/>
                <w:szCs w:val="18"/>
              </w:rPr>
              <w:t>金额重大的应收款项。</w:t>
            </w:r>
          </w:p>
        </w:tc>
      </w:tr>
      <w:tr>
        <w:trPr>
          <w:trHeight w:val="1650"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在资产负债表日，本公司对应收款项单独进行减值测试，经测试发生了减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值的，按其未来现金流量现值低于其账面价值的差额，确定减值损失，计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提坏账准备；对单项测试未减值的应收款项，按类似的信用风险特征划分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为若干组合，再按这些应收款项组合在资产负债表日余额的一定比例计算</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确定减值损失，计提坏账准备。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1033"/>
        <w:jc w:val="left"/>
        <w:rPr>
          <w:b w:val="0"/>
          <w:bCs w:val="0"/>
        </w:rPr>
      </w:pPr>
      <w:bookmarkStart w:name="（2）按信用风险特征组合计提坏账准备的应收款项" w:id="179"/>
      <w:bookmarkEnd w:id="17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押金、备用金及职工暂借款、保证金、母子公司间的往来款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134" w:right="1033"/>
        <w:jc w:val="left"/>
      </w:pPr>
      <w:r>
        <w:rPr/>
        <w:t>组合中，采用账龄分析法计提坏账准备的：</w:t>
      </w:r>
    </w:p>
    <w:p>
      <w:pPr>
        <w:pStyle w:val="BodyText"/>
        <w:spacing w:line="240" w:lineRule="auto" w:before="117"/>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1033"/>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押金、备用金及职工暂借款、保证金、 母子公司间的往来款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单项金额不重大但单独计提坏账准备的应收款项" w:id="180"/>
      <w:bookmarkEnd w:id="18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1033"/>
        <w:jc w:val="left"/>
        <w:rPr>
          <w:b w:val="0"/>
          <w:bCs w:val="0"/>
        </w:rPr>
      </w:pPr>
      <w:bookmarkStart w:name="12、存货" w:id="181"/>
      <w:bookmarkEnd w:id="181"/>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tabs>
          <w:tab w:pos="1974" w:val="left" w:leader="none"/>
        </w:tabs>
        <w:spacing w:line="302" w:lineRule="auto" w:before="28"/>
        <w:ind w:left="1556" w:right="1167"/>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存货的分类</w:t>
      </w:r>
      <w:r>
        <w:rPr>
          <w:rFonts w:ascii="宋体" w:hAnsi="宋体" w:cs="宋体" w:eastAsia="宋体" w:hint="default"/>
          <w:b/>
          <w:bCs/>
          <w:w w:val="99"/>
        </w:rPr>
        <w:t> </w:t>
      </w:r>
      <w:r>
        <w:rPr/>
        <w:t>存货是指本公司在日常活动中持有以备出售的商品、提供劳务过程中耗用的材料和物料等。主要包括原材料、库存商</w:t>
      </w:r>
    </w:p>
    <w:p>
      <w:pPr>
        <w:pStyle w:val="BodyText"/>
        <w:spacing w:line="240" w:lineRule="auto" w:before="29"/>
        <w:ind w:left="1134" w:right="0"/>
        <w:jc w:val="both"/>
      </w:pPr>
      <w:r>
        <w:rPr/>
        <w:t>品和低值易耗品等。</w:t>
      </w:r>
    </w:p>
    <w:p>
      <w:pPr>
        <w:pStyle w:val="BodyText"/>
        <w:tabs>
          <w:tab w:pos="1974" w:val="left" w:leader="none"/>
        </w:tabs>
        <w:spacing w:line="302" w:lineRule="auto" w:before="76"/>
        <w:ind w:left="1556" w:right="1169"/>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发出存货的计价方法</w:t>
      </w:r>
      <w:r>
        <w:rPr>
          <w:rFonts w:ascii="宋体" w:hAnsi="宋体" w:cs="宋体" w:eastAsia="宋体" w:hint="default"/>
          <w:b/>
          <w:bCs/>
          <w:w w:val="99"/>
        </w:rPr>
        <w:t> </w:t>
      </w:r>
      <w:r>
        <w:rPr/>
        <w:t>存货在取得时，按成本进行初始计量，包括采购成本、加工成本和其他成本。存货发出时，采用个别计价法确定发出</w:t>
      </w:r>
    </w:p>
    <w:p>
      <w:pPr>
        <w:pStyle w:val="BodyText"/>
        <w:spacing w:line="240" w:lineRule="auto" w:before="29"/>
        <w:ind w:right="0"/>
        <w:jc w:val="both"/>
      </w:pPr>
      <w:r>
        <w:rPr/>
        <w:t>存货的实际成本。</w:t>
      </w:r>
    </w:p>
    <w:p>
      <w:pPr>
        <w:tabs>
          <w:tab w:pos="1974" w:val="left" w:leader="none"/>
        </w:tabs>
        <w:spacing w:line="302" w:lineRule="auto" w:before="76"/>
        <w:ind w:left="1556" w:right="1169" w:firstLine="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b/>
          <w:bCs/>
          <w:sz w:val="18"/>
          <w:szCs w:val="18"/>
        </w:rPr>
        <w:t>不同类别存货可变现净值的确定依据</w:t>
      </w:r>
      <w:r>
        <w:rPr>
          <w:rFonts w:ascii="宋体" w:hAnsi="宋体" w:cs="宋体" w:eastAsia="宋体" w:hint="default"/>
          <w:b/>
          <w:bCs/>
          <w:w w:val="99"/>
          <w:sz w:val="18"/>
          <w:szCs w:val="18"/>
        </w:rPr>
        <w:t> </w:t>
      </w:r>
      <w:r>
        <w:rPr>
          <w:rFonts w:ascii="宋体" w:hAnsi="宋体" w:cs="宋体" w:eastAsia="宋体" w:hint="default"/>
          <w:sz w:val="18"/>
          <w:szCs w:val="18"/>
        </w:rPr>
        <w:t>产成品、库存商品和用于出售的材料等直接用于出售的商品存货，在正常生产经营过程中，以该存货的估计售价减去</w:t>
      </w:r>
    </w:p>
    <w:p>
      <w:pPr>
        <w:pStyle w:val="BodyText"/>
        <w:spacing w:line="316" w:lineRule="auto" w:before="29"/>
        <w:ind w:right="1131"/>
        <w:jc w:val="both"/>
      </w:pPr>
      <w:r>
        <w:rPr>
          <w:spacing w:val="-2"/>
        </w:rPr>
        <w:t>估计的销售费用和相关税费后的金额，确定其可变现净值；需要经过加工的材料存货，在正常生产经营过程中，以所生产的</w:t>
      </w:r>
      <w:r>
        <w:rPr>
          <w:spacing w:val="-66"/>
        </w:rPr>
        <w:t> </w:t>
      </w:r>
      <w:r>
        <w:rPr>
          <w:spacing w:val="-66"/>
        </w:rPr>
      </w:r>
      <w:r>
        <w:rPr>
          <w:spacing w:val="-2"/>
        </w:rPr>
        <w:t>产成品的估计售价减去至完工时估计将要发生的成本、估计的销售费用和相关税费后的金额，确定其可变现净值；为执行销</w:t>
      </w:r>
      <w:r>
        <w:rPr>
          <w:spacing w:val="-66"/>
        </w:rPr>
        <w:t> </w:t>
      </w:r>
      <w:r>
        <w:rPr>
          <w:spacing w:val="-66"/>
        </w:rPr>
      </w:r>
      <w:r>
        <w:rPr>
          <w:spacing w:val="-2"/>
        </w:rPr>
        <w:t>售合同或者劳务合同而持有的存货，其可变现净值以合同价格为基础计算，若持有存货的数量多于销售合同订购数量的，超</w:t>
      </w:r>
      <w:r>
        <w:rPr>
          <w:spacing w:val="-66"/>
        </w:rPr>
        <w:t> </w:t>
      </w:r>
      <w:r>
        <w:rPr>
          <w:spacing w:val="-66"/>
        </w:rPr>
      </w:r>
      <w:r>
        <w:rPr/>
        <w:t>出部分的存货的可变现净值以一般销售价格为基础计算。</w:t>
      </w:r>
    </w:p>
    <w:p>
      <w:pPr>
        <w:pStyle w:val="BodyText"/>
        <w:spacing w:line="319" w:lineRule="auto" w:before="19"/>
        <w:ind w:right="1133" w:firstLine="422"/>
        <w:jc w:val="both"/>
      </w:pPr>
      <w:r>
        <w:rPr/>
        <w:t>期末按照单个存货项目计提存货跌价准备；但对于数量繁多、单价较低的存货，按照存货类别计提存货跌价准备；与 </w:t>
      </w:r>
      <w:r>
        <w:rPr>
          <w:spacing w:val="-2"/>
        </w:rPr>
        <w:t>在同一地区生产和销售的产品系列相关、具有相同或类似最终用途或目的，且难以与其他项目分开计量的存货，则合并计提</w:t>
      </w:r>
      <w:r>
        <w:rPr>
          <w:spacing w:val="-66"/>
        </w:rPr>
        <w:t> </w:t>
      </w:r>
      <w:r>
        <w:rPr>
          <w:spacing w:val="-66"/>
        </w:rPr>
      </w:r>
      <w:r>
        <w:rPr/>
        <w:t>存货跌价准备。</w:t>
      </w:r>
    </w:p>
    <w:p>
      <w:pPr>
        <w:pStyle w:val="BodyText"/>
        <w:spacing w:line="316" w:lineRule="auto" w:before="17"/>
        <w:ind w:left="1556" w:right="1510"/>
        <w:jc w:val="left"/>
      </w:pPr>
      <w:r>
        <w:rPr/>
        <w:t>除有明确证据表明资产负债表日市场价格异常外，存货项目的可变现净值以资产负债表日市场价格为基础确定。 本期期末存货项目的可变现净值以资产负债表日市场价格为基础确定。</w:t>
      </w:r>
    </w:p>
    <w:p>
      <w:pPr>
        <w:tabs>
          <w:tab w:pos="1974" w:val="left" w:leader="none"/>
        </w:tabs>
        <w:spacing w:line="302" w:lineRule="auto" w:before="19"/>
        <w:ind w:left="1556" w:right="8666" w:firstLine="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tabs>
          <w:tab w:pos="1974" w:val="left" w:leader="none"/>
        </w:tabs>
        <w:spacing w:line="302" w:lineRule="auto" w:before="29"/>
        <w:ind w:left="1556" w:right="7402" w:firstLine="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b/>
          <w:bCs/>
          <w:sz w:val="18"/>
          <w:szCs w:val="18"/>
        </w:rPr>
        <w:t>低值易耗品和包装物的摊销方法</w:t>
      </w:r>
      <w:r>
        <w:rPr>
          <w:rFonts w:ascii="宋体" w:hAnsi="宋体" w:cs="宋体" w:eastAsia="宋体" w:hint="default"/>
          <w:b/>
          <w:bCs/>
          <w:w w:val="99"/>
          <w:sz w:val="18"/>
          <w:szCs w:val="18"/>
        </w:rPr>
        <w:t> </w:t>
      </w:r>
      <w:r>
        <w:rPr>
          <w:rFonts w:ascii="宋体" w:hAnsi="宋体" w:cs="宋体" w:eastAsia="宋体" w:hint="default"/>
          <w:sz w:val="18"/>
          <w:szCs w:val="18"/>
        </w:rPr>
        <w:t>低值易耗品采用一次转销法。</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bookmarkStart w:name="13、持有待售资产" w:id="182"/>
      <w:bookmarkEnd w:id="182"/>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56" w:right="1033"/>
        <w:jc w:val="left"/>
      </w:pPr>
      <w:r>
        <w:rPr/>
        <w:t>本公司将同时满足下列条件的非流动资产或处置组划分为持有待售类别：</w:t>
      </w:r>
    </w:p>
    <w:p>
      <w:pPr>
        <w:pStyle w:val="BodyText"/>
        <w:spacing w:line="240" w:lineRule="auto" w:before="76"/>
        <w:ind w:left="1556" w:right="1033"/>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316" w:lineRule="auto" w:before="76"/>
        <w:ind w:left="1134" w:right="1130" w:firstLine="422"/>
        <w:jc w:val="both"/>
      </w:pPr>
      <w:r>
        <w:rPr>
          <w:spacing w:val="-2"/>
        </w:rPr>
        <w:t>（</w:t>
      </w:r>
      <w:r>
        <w:rPr>
          <w:rFonts w:ascii="宋体" w:hAnsi="宋体" w:cs="宋体" w:eastAsia="宋体" w:hint="default"/>
          <w:spacing w:val="-2"/>
        </w:rPr>
        <w:t>2</w:t>
      </w:r>
      <w:r>
        <w:rPr>
          <w:spacing w:val="-2"/>
        </w:rPr>
        <w:t>）出售极可能发生，即本公司已经就一项出售计划作出决议且获得确定的购买承诺，预计出售将在一年内完成。有</w:t>
      </w:r>
      <w:r>
        <w:rPr/>
        <w:t> 关规定要求本公司相关权力机构或者监管部门批准后方可出售的，已经获得批准。</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4、长期股权投资" w:id="183"/>
      <w:bookmarkEnd w:id="18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tabs>
          <w:tab w:pos="1974" w:val="left" w:leader="none"/>
        </w:tabs>
        <w:spacing w:line="302" w:lineRule="auto" w:before="0"/>
        <w:ind w:left="1556" w:right="1169" w:firstLine="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z w:val="18"/>
          <w:szCs w:val="18"/>
        </w:rPr>
        <w:t>共同控制，是指按照相关约定对某项安排所共有的控制，并且该安排的相关活动必须经过分享控制权的参与方一致同</w:t>
      </w:r>
    </w:p>
    <w:p>
      <w:pPr>
        <w:pStyle w:val="BodyText"/>
        <w:spacing w:line="316" w:lineRule="auto" w:before="29"/>
        <w:ind w:right="1033"/>
        <w:jc w:val="left"/>
      </w:pPr>
      <w:r>
        <w:rPr>
          <w:spacing w:val="-2"/>
        </w:rPr>
        <w:t>意后才能决策。本公司与其他合营方一同对被投资单位实施共同控制且对被投资单位净资产享有权利的，被投资单位为本公</w:t>
      </w:r>
      <w:r>
        <w:rPr>
          <w:spacing w:val="-64"/>
        </w:rPr>
        <w:t> </w:t>
      </w:r>
      <w:r>
        <w:rPr>
          <w:spacing w:val="-64"/>
        </w:rPr>
      </w:r>
      <w:r>
        <w:rPr/>
        <w:t>司的合营企业。</w:t>
      </w:r>
    </w:p>
    <w:p>
      <w:pPr>
        <w:pStyle w:val="BodyText"/>
        <w:spacing w:line="240" w:lineRule="auto" w:before="19"/>
        <w:ind w:left="1556" w:right="1033"/>
        <w:jc w:val="left"/>
      </w:pPr>
      <w:r>
        <w:rPr/>
        <w:t>重大影响，是指对一个企业的财务和经营决策有参与决策的权力，但并不能够控制或者与其他方一起共同控制这些政</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33"/>
        <w:jc w:val="left"/>
      </w:pPr>
      <w:r>
        <w:rPr/>
        <w:t>策的制定。本公司能够对被投资单位施加重大影响的，被投资单位为本公司联营企业。</w:t>
      </w:r>
    </w:p>
    <w:p>
      <w:pPr>
        <w:spacing w:line="240" w:lineRule="auto" w:before="0"/>
        <w:rPr>
          <w:rFonts w:ascii="宋体" w:hAnsi="宋体" w:cs="宋体" w:eastAsia="宋体" w:hint="default"/>
          <w:sz w:val="18"/>
          <w:szCs w:val="18"/>
        </w:rPr>
      </w:pPr>
    </w:p>
    <w:p>
      <w:pPr>
        <w:pStyle w:val="Heading4"/>
        <w:tabs>
          <w:tab w:pos="1974" w:val="left" w:leader="none"/>
        </w:tabs>
        <w:spacing w:line="240" w:lineRule="auto" w:before="153"/>
        <w:ind w:left="1556" w:right="1033"/>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初始投资成本的确定</w:t>
      </w:r>
      <w:r>
        <w:rPr>
          <w:b w:val="0"/>
          <w:bCs w:val="0"/>
        </w:rPr>
      </w:r>
    </w:p>
    <w:p>
      <w:pPr>
        <w:pStyle w:val="BodyText"/>
        <w:spacing w:line="319" w:lineRule="auto" w:before="63"/>
        <w:ind w:left="1556" w:right="1150"/>
        <w:jc w:val="left"/>
      </w:pPr>
      <w:r>
        <w:rPr/>
        <w:t>（</w:t>
      </w:r>
      <w:r>
        <w:rPr>
          <w:rFonts w:ascii="宋体" w:hAnsi="宋体" w:cs="宋体" w:eastAsia="宋体" w:hint="default"/>
        </w:rPr>
        <w:t>1</w:t>
      </w:r>
      <w:r>
        <w:rPr/>
        <w:t>）企业合并形成的长期股权投资 同一控制下的企业合并：公司以支付现金、转让非现金资产或承担债务方式以及以发行权益性证券作为合并对价的，</w:t>
      </w:r>
    </w:p>
    <w:p>
      <w:pPr>
        <w:pStyle w:val="BodyText"/>
        <w:spacing w:line="316" w:lineRule="auto" w:before="17"/>
        <w:ind w:right="1033"/>
        <w:jc w:val="left"/>
      </w:pPr>
      <w:r>
        <w:rPr/>
        <w:t>在合并日按照取得被合并方所有者权益在最终控制方合并财务报表中的账面价值的份额作为长期股权投资的初始投资成本。 </w:t>
      </w:r>
      <w:r>
        <w:rPr>
          <w:spacing w:val="-2"/>
        </w:rPr>
        <w:t>因追加投资等原因能够对同一控制下的被投资单位实施控制的，在合并日根据合并后应享有被合并方净资产在最终控制方合</w:t>
      </w:r>
      <w:r>
        <w:rPr>
          <w:spacing w:val="-64"/>
        </w:rPr>
        <w:t> </w:t>
      </w:r>
      <w:r>
        <w:rPr>
          <w:spacing w:val="-64"/>
        </w:rPr>
      </w:r>
      <w:r>
        <w:rPr>
          <w:spacing w:val="-2"/>
        </w:rPr>
        <w:t>并财务报表中的账面价值的份额，确定长期股权投资的初始投资成本。合并日长期股权投资的初始投资成本，与达到合并前</w:t>
      </w:r>
      <w:r>
        <w:rPr>
          <w:spacing w:val="-66"/>
        </w:rPr>
        <w:t> </w:t>
      </w:r>
      <w:r>
        <w:rPr>
          <w:spacing w:val="-66"/>
        </w:rPr>
      </w:r>
      <w:r>
        <w:rPr>
          <w:spacing w:val="-2"/>
        </w:rPr>
        <w:t>的长期股权投资账面价值加上合并日进一步取得股份新支付对价的账面价值之和的差额，调整股本溢价，股本溢价不足冲减</w:t>
      </w:r>
      <w:r>
        <w:rPr>
          <w:spacing w:val="-64"/>
        </w:rPr>
        <w:t> </w:t>
      </w:r>
      <w:r>
        <w:rPr>
          <w:spacing w:val="-64"/>
        </w:rPr>
      </w:r>
      <w:r>
        <w:rPr/>
        <w:t>的，冲减留存收益。</w:t>
      </w:r>
    </w:p>
    <w:p>
      <w:pPr>
        <w:pStyle w:val="BodyText"/>
        <w:spacing w:line="316" w:lineRule="auto" w:before="19"/>
        <w:ind w:right="1132" w:firstLine="422"/>
        <w:jc w:val="both"/>
      </w:pPr>
      <w:r>
        <w:rPr/>
        <w:t>非同一控制下的企业合并：公司按照购买日确定的合并成本作为长期股权投资的初始投资成本。因追加投资等原因能 </w:t>
      </w:r>
      <w:r>
        <w:rPr>
          <w:spacing w:val="-2"/>
        </w:rPr>
        <w:t>够对非同一控制下的被投资单位实施控制的，按照原持有的股权投资账面价值加上新增投资成本之和，作为改按成本法核算</w:t>
      </w:r>
      <w:r>
        <w:rPr>
          <w:spacing w:val="-64"/>
        </w:rPr>
        <w:t> </w:t>
      </w:r>
      <w:r>
        <w:rPr>
          <w:spacing w:val="-64"/>
        </w:rPr>
      </w:r>
      <w:r>
        <w:rPr/>
        <w:t>的初始投资成本。</w:t>
      </w:r>
    </w:p>
    <w:p>
      <w:pPr>
        <w:pStyle w:val="BodyText"/>
        <w:spacing w:line="316" w:lineRule="auto" w:before="19"/>
        <w:ind w:left="1556" w:right="1150"/>
        <w:jc w:val="left"/>
      </w:pPr>
      <w:r>
        <w:rPr/>
        <w:t>（</w:t>
      </w:r>
      <w:r>
        <w:rPr>
          <w:rFonts w:ascii="宋体" w:hAnsi="宋体" w:cs="宋体" w:eastAsia="宋体"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在非货币性资产交换具备商业实质和换入资产或换出资产的公允价值能够可靠计量的前提下，非货币性资产交换换入</w:t>
      </w:r>
    </w:p>
    <w:p>
      <w:pPr>
        <w:pStyle w:val="BodyText"/>
        <w:spacing w:line="316" w:lineRule="auto" w:before="19"/>
        <w:ind w:right="1131"/>
        <w:jc w:val="both"/>
      </w:pPr>
      <w:r>
        <w:rPr>
          <w:spacing w:val="-2"/>
        </w:rPr>
        <w:t>的长期股权投资以换出资产的公允价值和应支付的相关税费确定其初始投资成本，除非有确凿证据表明换入资产的公允价值</w:t>
      </w:r>
      <w:r>
        <w:rPr>
          <w:spacing w:val="-64"/>
        </w:rPr>
        <w:t> </w:t>
      </w:r>
      <w:r>
        <w:rPr>
          <w:spacing w:val="-64"/>
        </w:rPr>
      </w:r>
      <w:r>
        <w:rPr>
          <w:spacing w:val="-2"/>
        </w:rPr>
        <w:t>更加可靠；不满足上述前提的非货币性资产交换，以换出资产的账面价值和应支付的相关税费作为换入长期股权投资的初始</w:t>
      </w:r>
      <w:r>
        <w:rPr>
          <w:spacing w:val="-64"/>
        </w:rPr>
        <w:t> </w:t>
      </w:r>
      <w:r>
        <w:rPr>
          <w:spacing w:val="-64"/>
        </w:rPr>
      </w:r>
      <w:r>
        <w:rPr/>
        <w:t>投资成本。</w:t>
      </w:r>
    </w:p>
    <w:p>
      <w:pPr>
        <w:pStyle w:val="BodyText"/>
        <w:spacing w:line="240" w:lineRule="auto" w:before="19"/>
        <w:ind w:left="1556" w:right="1033"/>
        <w:jc w:val="left"/>
      </w:pPr>
      <w:r>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pStyle w:val="Heading4"/>
        <w:tabs>
          <w:tab w:pos="1974" w:val="left" w:leader="none"/>
        </w:tabs>
        <w:spacing w:line="240" w:lineRule="auto" w:before="153"/>
        <w:ind w:left="1556" w:right="1033"/>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后续计量及损益确认方法</w:t>
      </w:r>
      <w:r>
        <w:rPr>
          <w:b w:val="0"/>
          <w:bCs w:val="0"/>
        </w:rPr>
      </w:r>
    </w:p>
    <w:p>
      <w:pPr>
        <w:pStyle w:val="BodyText"/>
        <w:spacing w:line="316" w:lineRule="auto" w:before="63"/>
        <w:ind w:left="1556" w:right="1150"/>
        <w:jc w:val="left"/>
      </w:pPr>
      <w:r>
        <w:rPr/>
        <w:t>（</w:t>
      </w:r>
      <w:r>
        <w:rPr>
          <w:rFonts w:ascii="宋体" w:hAnsi="宋体" w:cs="宋体" w:eastAsia="宋体" w:hint="default"/>
        </w:rPr>
        <w:t>1</w:t>
      </w:r>
      <w:r>
        <w:rPr/>
        <w:t>）成本法核算的长期股权投资 公司对子公司的长期股权投资，采用成本法核算。除取得投资时实际支付的价款或对价中包含的已宣告但尚未发放的</w:t>
      </w:r>
    </w:p>
    <w:p>
      <w:pPr>
        <w:pStyle w:val="BodyText"/>
        <w:spacing w:line="240" w:lineRule="auto" w:before="19"/>
        <w:ind w:right="1033"/>
        <w:jc w:val="left"/>
      </w:pPr>
      <w:r>
        <w:rPr/>
        <w:t>现金股利或利润外，公司按照享有被投资单位宣告发放的现金股利或利润确认当期投资收益。</w:t>
      </w:r>
    </w:p>
    <w:p>
      <w:pPr>
        <w:pStyle w:val="BodyText"/>
        <w:spacing w:line="316" w:lineRule="auto" w:before="76"/>
        <w:ind w:left="1556" w:right="1150"/>
        <w:jc w:val="left"/>
      </w:pPr>
      <w:r>
        <w:rPr/>
        <w:t>（</w:t>
      </w:r>
      <w:r>
        <w:rPr>
          <w:rFonts w:ascii="宋体" w:hAnsi="宋体" w:cs="宋体" w:eastAsia="宋体" w:hint="default"/>
        </w:rPr>
        <w:t>2</w:t>
      </w:r>
      <w:r>
        <w:rPr/>
        <w:t>）权益法核算的长期股权投资 对联营企业和合营企业的长期股权投资，采用权益法核算。初始投资成本大于投资时应享有被投资单位可辨认净资产</w:t>
      </w:r>
    </w:p>
    <w:p>
      <w:pPr>
        <w:pStyle w:val="BodyText"/>
        <w:spacing w:line="316" w:lineRule="auto" w:before="19"/>
        <w:ind w:right="1033"/>
        <w:jc w:val="left"/>
      </w:pPr>
      <w:r>
        <w:rPr>
          <w:spacing w:val="-2"/>
        </w:rPr>
        <w:t>公允价值份额的差额，不调整长期股权投资的初始投资成本；初始投资成本小于投资时应享有被投资单位可辨认净资产公允</w:t>
      </w:r>
      <w:r>
        <w:rPr>
          <w:spacing w:val="-64"/>
        </w:rPr>
        <w:t> </w:t>
      </w:r>
      <w:r>
        <w:rPr>
          <w:spacing w:val="-64"/>
        </w:rPr>
      </w:r>
      <w:r>
        <w:rPr/>
        <w:t>价值份额的差额，计入当期损益。</w:t>
      </w:r>
    </w:p>
    <w:p>
      <w:pPr>
        <w:pStyle w:val="BodyText"/>
        <w:spacing w:line="316" w:lineRule="auto" w:before="19"/>
        <w:ind w:right="1131" w:firstLine="422"/>
        <w:jc w:val="both"/>
      </w:pPr>
      <w:r>
        <w:rPr/>
        <w:t>公司按照应享有或应分担的被投资单位实现的净损益和其他综合收益的份额，分别确认投资收益和其他综合收益，同 </w:t>
      </w:r>
      <w:r>
        <w:rPr>
          <w:spacing w:val="-2"/>
        </w:rPr>
        <w:t>时调整长期股权投资的账面价值；按照被投资单位宣告分派的利润或现金股利计算应享有的部分，相应减少长期股权投资的</w:t>
      </w:r>
      <w:r>
        <w:rPr>
          <w:spacing w:val="-64"/>
        </w:rPr>
        <w:t> </w:t>
      </w:r>
      <w:r>
        <w:rPr>
          <w:spacing w:val="-64"/>
        </w:rPr>
      </w:r>
      <w:r>
        <w:rPr>
          <w:spacing w:val="-2"/>
        </w:rPr>
        <w:t>账面价值；对于被投资单位除净损益、其他综合收益和利润分配以外所有者权益的其他变动，调整长期股权投资的账面价值</w:t>
      </w:r>
      <w:r>
        <w:rPr>
          <w:spacing w:val="-66"/>
        </w:rPr>
        <w:t> </w:t>
      </w:r>
      <w:r>
        <w:rPr>
          <w:spacing w:val="-66"/>
        </w:rPr>
      </w:r>
      <w:r>
        <w:rPr/>
        <w:t>并计入所有者权益。</w:t>
      </w:r>
    </w:p>
    <w:p>
      <w:pPr>
        <w:pStyle w:val="BodyText"/>
        <w:spacing w:line="316" w:lineRule="auto" w:before="19"/>
        <w:ind w:right="1131" w:firstLine="422"/>
        <w:jc w:val="both"/>
      </w:pPr>
      <w:r>
        <w:rPr/>
        <w:t>在确认应享有被投资单位净损益的份额时，以取得投资时被投资单位可辨认净资产的公允价值为基础，并按照公司的 </w:t>
      </w:r>
      <w:r>
        <w:rPr>
          <w:spacing w:val="-2"/>
        </w:rPr>
        <w:t>会计政策及会计期间，对被投资单位的净利润进行调整后确认。在持有投资期间，被投资单位编制合并财务报表的，以合并</w:t>
      </w:r>
      <w:r>
        <w:rPr>
          <w:spacing w:val="-66"/>
        </w:rPr>
        <w:t> </w:t>
      </w:r>
      <w:r>
        <w:rPr>
          <w:spacing w:val="-66"/>
        </w:rPr>
      </w:r>
      <w:r>
        <w:rPr/>
        <w:t>财务报表中的净利润、其他综合收益和其他所有者权益变动中归属于被投资单位的金额为基础进行核算。</w:t>
      </w:r>
    </w:p>
    <w:p>
      <w:pPr>
        <w:pStyle w:val="BodyText"/>
        <w:spacing w:line="319" w:lineRule="auto" w:before="19"/>
        <w:ind w:right="1132" w:firstLine="422"/>
        <w:jc w:val="both"/>
      </w:pPr>
      <w:r>
        <w:rPr/>
        <w:t>公司与联营企业、合营企业之间发生的未实现内部交易损益按照应享有的比例计算归属于公司的部分，予以抵销，在 </w:t>
      </w:r>
      <w:r>
        <w:rPr>
          <w:spacing w:val="-2"/>
        </w:rPr>
        <w:t>此基础上确认投资收益。与被投资单位发生的未实现内部交易损失，属于资产减值损失的，全额确认。公司与联营企业、合</w:t>
      </w:r>
      <w:r>
        <w:rPr>
          <w:spacing w:val="-66"/>
        </w:rPr>
        <w:t> </w:t>
      </w:r>
      <w:r>
        <w:rPr>
          <w:spacing w:val="-66"/>
        </w:rPr>
      </w:r>
      <w:r>
        <w:rPr>
          <w:spacing w:val="-2"/>
        </w:rPr>
        <w:t>营企业之间发生投出或出售资产的交易，该资产构成业务的，按照本附注“同一控制下和非同一控制下企业合并的会计处理</w:t>
      </w:r>
      <w:r>
        <w:rPr>
          <w:spacing w:val="-65"/>
        </w:rPr>
        <w:t> </w:t>
      </w:r>
      <w:r>
        <w:rPr>
          <w:spacing w:val="-65"/>
        </w:rPr>
      </w:r>
      <w:r>
        <w:rPr/>
        <w:t>方法”和“合并财务报表的编制方法”中披露的相关政策进行会计处理。</w:t>
      </w:r>
    </w:p>
    <w:p>
      <w:pPr>
        <w:pStyle w:val="BodyText"/>
        <w:spacing w:line="316" w:lineRule="auto" w:before="17"/>
        <w:ind w:right="1033" w:firstLine="422"/>
        <w:jc w:val="left"/>
      </w:pPr>
      <w:r>
        <w:rPr/>
        <w:t>在公司确认应分担被投资单位发生的亏损时，按照以下顺序进行处理：首先，冲减长期股权投资的账面价值。其次，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 </w:t>
      </w:r>
      <w:r>
        <w:rPr>
          <w:spacing w:val="-2"/>
        </w:rPr>
        <w:t>失，冲减长期应收项目等的账面价值。最后，经过上述处理，按照投资合同或协议约定企业仍承担额外义务的，按预计承担</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33"/>
        <w:jc w:val="left"/>
      </w:pPr>
      <w:r>
        <w:rPr/>
        <w:t>的义务确认预计负债，计入当期投资损失。</w:t>
      </w:r>
    </w:p>
    <w:p>
      <w:pPr>
        <w:pStyle w:val="BodyText"/>
        <w:spacing w:line="316" w:lineRule="auto" w:before="76"/>
        <w:ind w:left="1556" w:right="4570"/>
        <w:jc w:val="left"/>
      </w:pPr>
      <w:r>
        <w:rPr/>
        <w:t>（</w:t>
      </w:r>
      <w:r>
        <w:rPr>
          <w:rFonts w:ascii="宋体" w:hAnsi="宋体" w:cs="宋体" w:eastAsia="宋体" w:hint="default"/>
        </w:rPr>
        <w:t>3</w:t>
      </w:r>
      <w:r>
        <w:rPr/>
        <w:t>）长期股权投资的处置 处置长期股权投资，其账面价值与实际取得价款的差额，计入当期损益。</w:t>
      </w:r>
    </w:p>
    <w:p>
      <w:pPr>
        <w:pStyle w:val="BodyText"/>
        <w:spacing w:line="319" w:lineRule="auto" w:before="19"/>
        <w:ind w:right="1130" w:firstLine="422"/>
        <w:jc w:val="both"/>
      </w:pPr>
      <w:r>
        <w:rPr/>
        <w:t>采用权益法核算的长期股权投资，在处置该项投资时，采用与被投资单位直接处置相关资产或负债相同的基础，按相 </w:t>
      </w:r>
      <w:r>
        <w:rPr>
          <w:spacing w:val="-2"/>
        </w:rPr>
        <w:t>应比例对原计入其他综合收益的部分进行会计处理。因被投资单位除净损益、其他综合收益和利润分配以外的其他所有者权</w:t>
      </w:r>
      <w:r>
        <w:rPr>
          <w:spacing w:val="-63"/>
        </w:rPr>
        <w:t> </w:t>
      </w:r>
      <w:r>
        <w:rPr>
          <w:spacing w:val="-63"/>
        </w:rPr>
      </w:r>
      <w:r>
        <w:rPr>
          <w:spacing w:val="-2"/>
        </w:rPr>
        <w:t>益变动而确认的所有者权益，按比例结转入当期损益，由于被投资方重新计量设定受益计划净负债或净资产变动而产生的其</w:t>
      </w:r>
      <w:r>
        <w:rPr>
          <w:spacing w:val="-64"/>
        </w:rPr>
        <w:t> </w:t>
      </w:r>
      <w:r>
        <w:rPr>
          <w:spacing w:val="-64"/>
        </w:rPr>
      </w:r>
      <w:r>
        <w:rPr/>
        <w:t>他综合收益除外。</w:t>
      </w:r>
    </w:p>
    <w:p>
      <w:pPr>
        <w:pStyle w:val="BodyText"/>
        <w:spacing w:line="316" w:lineRule="auto" w:before="17"/>
        <w:ind w:right="1033" w:firstLine="422"/>
        <w:jc w:val="left"/>
      </w:pPr>
      <w:r>
        <w:rPr/>
        <w:t>因处置部分股权投资等原因丧失了对被投资单位的共同控制或重大影响的，处置后的剩余股权改按金融工具确认和计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 </w:t>
      </w:r>
      <w:r>
        <w:rPr>
          <w:spacing w:val="-2"/>
        </w:rPr>
        <w:t>理。因被投资方除净损益、其他综合收益和利润分配以外的其他所有者权益变动而确认的所有者权益，在终止采用权益法核</w:t>
      </w:r>
      <w:r>
        <w:rPr>
          <w:spacing w:val="-66"/>
        </w:rPr>
        <w:t> </w:t>
      </w:r>
      <w:r>
        <w:rPr>
          <w:spacing w:val="-66"/>
        </w:rPr>
      </w:r>
      <w:r>
        <w:rPr/>
        <w:t>算时全部转入当期损益。</w:t>
      </w:r>
    </w:p>
    <w:p>
      <w:pPr>
        <w:pStyle w:val="BodyText"/>
        <w:spacing w:line="316" w:lineRule="auto" w:before="19"/>
        <w:ind w:right="1132" w:firstLine="422"/>
        <w:jc w:val="both"/>
      </w:pPr>
      <w:r>
        <w:rPr/>
        <w:t>因处置部分股权投资、因其他投资方对子公司增资而导致本公司持股比例下降等原因丧失了对被投资单位控制权的， </w:t>
      </w:r>
      <w:r>
        <w:rPr>
          <w:spacing w:val="-2"/>
        </w:rPr>
        <w:t>在编制个别财务报表时，剩余股权能够对被投资单位实施共同控制或重大影响的，改按权益法核算，并对该剩余股权视同自</w:t>
      </w:r>
      <w:r>
        <w:rPr>
          <w:spacing w:val="-66"/>
        </w:rPr>
        <w:t> </w:t>
      </w:r>
      <w:r>
        <w:rPr>
          <w:spacing w:val="-66"/>
        </w:rPr>
      </w:r>
      <w:r>
        <w:rPr>
          <w:spacing w:val="-2"/>
        </w:rPr>
        <w:t>取得时即采用权益法核算进行调整；剩余股权不能对被投资单位实施共同控制或施加重大影响的，改按金融工具确认和计量</w:t>
      </w:r>
      <w:r>
        <w:rPr>
          <w:spacing w:val="-64"/>
        </w:rPr>
        <w:t> </w:t>
      </w:r>
      <w:r>
        <w:rPr>
          <w:spacing w:val="-64"/>
        </w:rPr>
      </w:r>
      <w:r>
        <w:rPr/>
        <w:t>准则的有关规定进行会计处理，其在丧失控制之日的公允价值与账面价值间的差额计入当期损益。</w:t>
      </w:r>
    </w:p>
    <w:p>
      <w:pPr>
        <w:pStyle w:val="BodyText"/>
        <w:spacing w:line="316" w:lineRule="auto" w:before="19"/>
        <w:ind w:right="1132" w:firstLine="422"/>
        <w:jc w:val="both"/>
      </w:pPr>
      <w:r>
        <w:rPr/>
        <w:t>处置的股权是因追加投资等原因通过企业合并取得的，在编制个别财务报表时，处置后的剩余股权采用成本法或权益 </w:t>
      </w:r>
      <w:r>
        <w:rPr>
          <w:spacing w:val="-2"/>
        </w:rPr>
        <w:t>法核算的，购买日之前持有的股权投资因采用权益法核算而确认的其他综合收益和其他所有者权益按比例结转；处置后的剩</w:t>
      </w:r>
      <w:r>
        <w:rPr>
          <w:spacing w:val="-64"/>
        </w:rPr>
        <w:t> </w:t>
      </w:r>
      <w:r>
        <w:rPr>
          <w:spacing w:val="-64"/>
        </w:rPr>
      </w:r>
      <w:r>
        <w:rPr/>
        <w:t>余股权改按金融工具确认和计量准则进行会计处理的，其他综合收益和其他所有者权益全部结转。</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15、固定资产" w:id="184"/>
      <w:bookmarkEnd w:id="184"/>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确认条件" w:id="185"/>
      <w:bookmarkEnd w:id="18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422"/>
        <w:jc w:val="both"/>
      </w:pPr>
      <w:r>
        <w:rPr/>
        <w:t>固定资产指为生产商品、提供劳务、出租或经营管理而持有，并且使用寿命超过一个会计年度的有形资产。固定资产 </w:t>
      </w:r>
      <w:r>
        <w:rPr>
          <w:spacing w:val="-2"/>
        </w:rPr>
        <w:t>在同时满足下列条件时予以确认：（</w:t>
      </w:r>
      <w:r>
        <w:rPr>
          <w:rFonts w:ascii="宋体" w:hAnsi="宋体" w:cs="宋体" w:eastAsia="宋体" w:hint="default"/>
          <w:spacing w:val="-2"/>
        </w:rPr>
        <w:t>1</w:t>
      </w:r>
      <w:r>
        <w:rPr>
          <w:spacing w:val="-2"/>
        </w:rPr>
        <w:t>）与该固定资产有关的经济利益很可能流入企业；（</w:t>
      </w:r>
      <w:r>
        <w:rPr>
          <w:rFonts w:ascii="宋体" w:hAnsi="宋体" w:cs="宋体" w:eastAsia="宋体" w:hint="default"/>
          <w:spacing w:val="-2"/>
        </w:rPr>
        <w:t>2</w:t>
      </w:r>
      <w:r>
        <w:rPr>
          <w:spacing w:val="-2"/>
        </w:rPr>
        <w:t>）该固定资产的成本能够可靠地</w:t>
      </w:r>
      <w:r>
        <w:rPr>
          <w:spacing w:val="-66"/>
        </w:rPr>
        <w:t> </w:t>
      </w:r>
      <w:r>
        <w:rPr>
          <w:spacing w:val="-66"/>
        </w:rPr>
      </w:r>
      <w:r>
        <w:rPr/>
        <w:t>计量。</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2）折旧方法" w:id="186"/>
      <w:bookmarkEnd w:id="18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1033"/>
        <w:jc w:val="left"/>
        <w:rPr>
          <w:b w:val="0"/>
          <w:bCs w:val="0"/>
        </w:rPr>
      </w:pPr>
      <w:bookmarkStart w:name="16、在建工程" w:id="187"/>
      <w:bookmarkEnd w:id="187"/>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BodyText"/>
        <w:spacing w:line="316" w:lineRule="auto" w:before="26"/>
        <w:ind w:left="1134" w:right="1130" w:firstLine="422"/>
        <w:jc w:val="both"/>
      </w:pPr>
      <w:r>
        <w:rPr/>
        <w:t>在建工程项目按建造该项资产达到预定可使用状态前所发生的必要支出，作为固定资产的入账价值。所建造的固定资 </w:t>
      </w:r>
      <w:r>
        <w:rPr>
          <w:spacing w:val="-2"/>
        </w:rPr>
        <w:t>产在工程已达到预定可使用状态，但尚未办理竣工决算的，自达到预定可使用状态之日起，根据工程预算、造价或者工程实</w:t>
      </w:r>
      <w:r>
        <w:rPr>
          <w:spacing w:val="-65"/>
        </w:rPr>
        <w:t> </w:t>
      </w:r>
      <w:r>
        <w:rPr>
          <w:spacing w:val="-65"/>
        </w:rPr>
      </w:r>
      <w:r>
        <w:rPr>
          <w:spacing w:val="-2"/>
        </w:rPr>
        <w:t>际成本等，按估计的价值转入固定资产，并按本公司固定资产折旧政策计提固定资产的折旧，待办理竣工决算后，再按实际</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33"/>
        <w:jc w:val="left"/>
      </w:pPr>
      <w:r>
        <w:rPr/>
        <w:t>成本调整原来的暂估价值，但不调整原已计提的折旧额。</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17、借款费用" w:id="188"/>
      <w:bookmarkEnd w:id="188"/>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6"/>
          <w:szCs w:val="26"/>
        </w:rPr>
      </w:pPr>
    </w:p>
    <w:p>
      <w:pPr>
        <w:pStyle w:val="BodyText"/>
        <w:tabs>
          <w:tab w:pos="1974" w:val="left" w:leader="none"/>
        </w:tabs>
        <w:spacing w:line="309" w:lineRule="auto"/>
        <w:ind w:left="1556" w:right="1169"/>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公司发生的借款费用，可直接归属于符合资本化条件的资产的购建或者生产的，予以资本化，计入相关资产成本；其</w:t>
      </w:r>
    </w:p>
    <w:p>
      <w:pPr>
        <w:pStyle w:val="BodyText"/>
        <w:spacing w:line="316" w:lineRule="auto" w:before="24"/>
        <w:ind w:left="1556" w:right="1150" w:hanging="423"/>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1556" w:right="6910" w:hanging="423"/>
        <w:jc w:val="left"/>
      </w:pPr>
      <w:r>
        <w:rPr/>
        <w:t>产、投资性房地产和存货等资产。 借款费用同时满足下列条件时开始资本化：</w:t>
      </w:r>
    </w:p>
    <w:p>
      <w:pPr>
        <w:pStyle w:val="BodyText"/>
        <w:spacing w:line="316" w:lineRule="auto" w:before="19"/>
        <w:ind w:left="1134" w:right="1033" w:firstLine="422"/>
        <w:jc w:val="left"/>
      </w:pPr>
      <w:r>
        <w:rPr>
          <w:spacing w:val="-2"/>
        </w:rPr>
        <w:t>（</w:t>
      </w:r>
      <w:r>
        <w:rPr>
          <w:rFonts w:ascii="宋体" w:hAnsi="宋体" w:cs="宋体" w:eastAsia="宋体" w:hint="default"/>
          <w:spacing w:val="-2"/>
        </w:rPr>
        <w:t>1</w:t>
      </w:r>
      <w:r>
        <w:rPr>
          <w:spacing w:val="-2"/>
        </w:rPr>
        <w:t>）资产支出已经发生，资产支出包括为购建或者生产符合资本化条件的资产而以支付现金、转移非现金资产或者承</w:t>
      </w:r>
      <w:r>
        <w:rPr/>
        <w:t> 担带息债务形式发生的支出；</w:t>
      </w:r>
    </w:p>
    <w:p>
      <w:pPr>
        <w:pStyle w:val="BodyText"/>
        <w:spacing w:line="240" w:lineRule="auto" w:before="19"/>
        <w:ind w:left="1556" w:right="1033"/>
        <w:jc w:val="left"/>
      </w:pPr>
      <w:r>
        <w:rPr/>
        <w:t>（</w:t>
      </w:r>
      <w:r>
        <w:rPr>
          <w:rFonts w:ascii="宋体" w:hAnsi="宋体" w:cs="宋体" w:eastAsia="宋体" w:hint="default"/>
        </w:rPr>
        <w:t>2</w:t>
      </w:r>
      <w:r>
        <w:rPr/>
        <w:t>）借款费用已经发生；</w:t>
      </w:r>
    </w:p>
    <w:p>
      <w:pPr>
        <w:pStyle w:val="BodyText"/>
        <w:spacing w:line="240" w:lineRule="auto" w:before="76"/>
        <w:ind w:left="1556" w:right="1033"/>
        <w:jc w:val="left"/>
      </w:pPr>
      <w:r>
        <w:rPr/>
        <w:t>（</w:t>
      </w:r>
      <w:r>
        <w:rPr>
          <w:rFonts w:ascii="宋体" w:hAnsi="宋体" w:cs="宋体" w:eastAsia="宋体"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BodyText"/>
        <w:tabs>
          <w:tab w:pos="1974" w:val="left" w:leader="none"/>
        </w:tabs>
        <w:spacing w:line="314" w:lineRule="auto" w:before="153"/>
        <w:ind w:left="1556" w:right="1169"/>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w:t>
      </w:r>
    </w:p>
    <w:p>
      <w:pPr>
        <w:pStyle w:val="BodyText"/>
        <w:spacing w:line="240" w:lineRule="auto" w:before="20"/>
        <w:ind w:right="1033"/>
        <w:jc w:val="left"/>
      </w:pPr>
      <w:r>
        <w:rPr/>
        <w:t>借款费用资本化。</w:t>
      </w:r>
    </w:p>
    <w:p>
      <w:pPr>
        <w:spacing w:line="240" w:lineRule="auto" w:before="0"/>
        <w:rPr>
          <w:rFonts w:ascii="宋体" w:hAnsi="宋体" w:cs="宋体" w:eastAsia="宋体" w:hint="default"/>
          <w:sz w:val="18"/>
          <w:szCs w:val="18"/>
        </w:rPr>
      </w:pPr>
    </w:p>
    <w:p>
      <w:pPr>
        <w:pStyle w:val="BodyText"/>
        <w:tabs>
          <w:tab w:pos="1974" w:val="left" w:leader="none"/>
        </w:tabs>
        <w:spacing w:line="302" w:lineRule="auto" w:before="153"/>
        <w:ind w:left="1556" w:right="1040"/>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暂停资本化期间</w:t>
      </w:r>
      <w:r>
        <w:rPr>
          <w:rFonts w:ascii="宋体" w:hAnsi="宋体" w:cs="宋体" w:eastAsia="宋体" w:hint="default"/>
          <w:b/>
          <w:bCs/>
          <w:w w:val="99"/>
        </w:rPr>
        <w:t> </w:t>
      </w:r>
      <w:r>
        <w:rPr>
          <w:spacing w:val="-3"/>
        </w:rPr>
        <w:t>符合资本化条件的资产在购建或生产过程中发生的非正常中断、且中断时间连续超过</w:t>
      </w:r>
      <w:r>
        <w:rPr>
          <w:rFonts w:ascii="宋体" w:hAnsi="宋体" w:cs="宋体" w:eastAsia="宋体" w:hint="default"/>
          <w:spacing w:val="-3"/>
        </w:rPr>
        <w:t>3</w:t>
      </w:r>
      <w:r>
        <w:rPr>
          <w:spacing w:val="-3"/>
        </w:rPr>
        <w:t>个月的，则借款费用暂停资本化；</w:t>
      </w:r>
    </w:p>
    <w:p>
      <w:pPr>
        <w:pStyle w:val="BodyText"/>
        <w:spacing w:line="316" w:lineRule="auto" w:before="29"/>
        <w:ind w:right="1033"/>
        <w:jc w:val="left"/>
      </w:pPr>
      <w:r>
        <w:rPr>
          <w:spacing w:val="-2"/>
        </w:rPr>
        <w:t>该项中断如是所购建或生产的符合资本化条件的资产达到预定可使用状态或者可销售状态必要的程序，则借款费用继续资本</w:t>
      </w:r>
      <w:r>
        <w:rPr>
          <w:spacing w:val="-63"/>
        </w:rPr>
        <w:t> </w:t>
      </w:r>
      <w:r>
        <w:rPr>
          <w:spacing w:val="-63"/>
        </w:rPr>
      </w:r>
      <w:r>
        <w:rPr/>
        <w:t>化。在中断期间发生的借款费用确认为当期损益，直至资产的购建或者生产活动重新开始后借款费用继续资本化。</w:t>
      </w:r>
    </w:p>
    <w:p>
      <w:pPr>
        <w:spacing w:line="240" w:lineRule="auto" w:before="4"/>
        <w:rPr>
          <w:rFonts w:ascii="宋体" w:hAnsi="宋体" w:cs="宋体" w:eastAsia="宋体" w:hint="default"/>
          <w:sz w:val="25"/>
          <w:szCs w:val="25"/>
        </w:rPr>
      </w:pPr>
    </w:p>
    <w:p>
      <w:pPr>
        <w:tabs>
          <w:tab w:pos="1974" w:val="left" w:leader="none"/>
        </w:tabs>
        <w:spacing w:line="302" w:lineRule="auto" w:before="0"/>
        <w:ind w:left="1556" w:right="1169" w:firstLine="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b/>
          <w:bCs/>
          <w:sz w:val="18"/>
          <w:szCs w:val="18"/>
        </w:rPr>
        <w:t>借款费用资本化率、资本化金额的计算方法</w:t>
      </w:r>
      <w:r>
        <w:rPr>
          <w:rFonts w:ascii="宋体" w:hAnsi="宋体" w:cs="宋体" w:eastAsia="宋体" w:hint="default"/>
          <w:b/>
          <w:bCs/>
          <w:w w:val="99"/>
          <w:sz w:val="18"/>
          <w:szCs w:val="18"/>
        </w:rPr>
        <w:t> </w:t>
      </w:r>
      <w:r>
        <w:rPr>
          <w:rFonts w:ascii="宋体" w:hAnsi="宋体" w:cs="宋体" w:eastAsia="宋体" w:hint="default"/>
          <w:sz w:val="18"/>
          <w:szCs w:val="18"/>
        </w:rPr>
        <w:t>对于为购建或者生产符合资本化条件的资产而借入的专门借款，以专门借款当期实际发生的借款费用，减去尚未动用</w:t>
      </w:r>
    </w:p>
    <w:p>
      <w:pPr>
        <w:pStyle w:val="BodyText"/>
        <w:spacing w:line="316" w:lineRule="auto" w:before="29"/>
        <w:ind w:left="1556" w:right="1150" w:hanging="423"/>
        <w:jc w:val="left"/>
      </w:pPr>
      <w:r>
        <w:rPr/>
        <w:t>的借款资金存入银行取得的利息收入或进行暂时性投资取得的投资收益后的金额，来确定借款费用的资本化金额。 对于为购建或者生产符合资本化条件的资产而占用的一般借款，根据累计资产支出超过专门借款部分的资产支出加权</w:t>
      </w:r>
    </w:p>
    <w:p>
      <w:pPr>
        <w:pStyle w:val="BodyText"/>
        <w:spacing w:line="316" w:lineRule="auto" w:before="19"/>
        <w:ind w:right="1033"/>
        <w:jc w:val="left"/>
      </w:pPr>
      <w:r>
        <w:rPr>
          <w:spacing w:val="-2"/>
        </w:rPr>
        <w:t>平均数乘以所占用一般借款的资本化率，计算确定一般借款应予资本化的借款费用金额。资本化率根据一般借款加权平均利</w:t>
      </w:r>
      <w:r>
        <w:rPr>
          <w:spacing w:val="-64"/>
        </w:rPr>
        <w:t> </w:t>
      </w:r>
      <w:r>
        <w:rPr>
          <w:spacing w:val="-64"/>
        </w:rPr>
      </w:r>
      <w:r>
        <w:rPr/>
        <w:t>率计算确定。</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18、无形资产" w:id="189"/>
      <w:bookmarkEnd w:id="189"/>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计价方法、使用寿命、减值测试" w:id="190"/>
      <w:bookmarkEnd w:id="19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Heading4"/>
        <w:tabs>
          <w:tab w:pos="1974" w:val="left" w:leader="none"/>
        </w:tabs>
        <w:spacing w:line="240" w:lineRule="auto" w:before="28"/>
        <w:ind w:left="1556" w:right="1033"/>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无形资产的计价方法</w:t>
      </w:r>
      <w:r>
        <w:rPr>
          <w:b w:val="0"/>
          <w:bCs w:val="0"/>
        </w:rPr>
      </w:r>
    </w:p>
    <w:p>
      <w:pPr>
        <w:pStyle w:val="BodyText"/>
        <w:spacing w:line="316" w:lineRule="auto" w:before="63"/>
        <w:ind w:left="1556" w:right="1690"/>
        <w:jc w:val="left"/>
      </w:pPr>
      <w:r>
        <w:rPr/>
        <w:t>（</w:t>
      </w:r>
      <w:r>
        <w:rPr>
          <w:rFonts w:ascii="宋体" w:hAnsi="宋体" w:cs="宋体" w:eastAsia="宋体" w:hint="default"/>
        </w:rPr>
        <w:t>1</w:t>
      </w:r>
      <w:r>
        <w:rPr/>
        <w:t>）公司取得无形资产时按成本进行初始计量； 外购无形资产的成本，包括购买价款、相关税费以及直接归属于使该项资产达到预定用途所发生的其他支出。</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6" w:right="7090"/>
        <w:jc w:val="left"/>
      </w:pPr>
      <w:r>
        <w:rPr/>
        <w:t>（</w:t>
      </w:r>
      <w:r>
        <w:rPr>
          <w:rFonts w:ascii="宋体" w:hAnsi="宋体" w:cs="宋体" w:eastAsia="宋体" w:hint="default"/>
        </w:rPr>
        <w:t>2</w:t>
      </w:r>
      <w:r>
        <w:rPr/>
        <w:t>）后续计量 在取得无形资产时分析判断其使用寿命。</w:t>
      </w:r>
    </w:p>
    <w:p>
      <w:pPr>
        <w:pStyle w:val="BodyText"/>
        <w:spacing w:line="316" w:lineRule="auto" w:before="19"/>
        <w:ind w:right="1151" w:firstLine="422"/>
        <w:jc w:val="left"/>
      </w:pPr>
      <w:r>
        <w:rPr/>
        <w:t>对于使用寿命有限的无形资产，在为企业带来经济利益的期限内按直线法摊销；无法预见无形资产为企业带来经济利 益期限的，视为使用寿命不确定的无形资产，不予摊销。</w:t>
      </w:r>
    </w:p>
    <w:p>
      <w:pPr>
        <w:spacing w:line="240" w:lineRule="auto" w:before="4"/>
        <w:rPr>
          <w:rFonts w:ascii="宋体" w:hAnsi="宋体" w:cs="宋体" w:eastAsia="宋体" w:hint="default"/>
          <w:sz w:val="25"/>
          <w:szCs w:val="25"/>
        </w:rPr>
      </w:pPr>
    </w:p>
    <w:p>
      <w:pPr>
        <w:pStyle w:val="Heading4"/>
        <w:tabs>
          <w:tab w:pos="1974" w:val="left" w:leader="none"/>
        </w:tabs>
        <w:spacing w:line="240" w:lineRule="auto"/>
        <w:ind w:left="1556" w:right="1033"/>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使用寿命有限的无形资产的使用寿命估计情况：</w:t>
      </w:r>
      <w:r>
        <w:rPr>
          <w:b w:val="0"/>
          <w:bCs w:val="0"/>
        </w:rPr>
      </w:r>
    </w:p>
    <w:p>
      <w:pPr>
        <w:spacing w:line="240" w:lineRule="auto" w:before="12"/>
        <w:rPr>
          <w:rFonts w:ascii="宋体" w:hAnsi="宋体" w:cs="宋体" w:eastAsia="宋体" w:hint="default"/>
          <w:b/>
          <w:bCs/>
          <w:sz w:val="27"/>
          <w:szCs w:val="27"/>
        </w:rPr>
      </w:pPr>
    </w:p>
    <w:tbl>
      <w:tblPr>
        <w:tblW w:w="0" w:type="auto"/>
        <w:jc w:val="left"/>
        <w:tblInd w:w="1119" w:type="dxa"/>
        <w:tblLayout w:type="fixed"/>
        <w:tblCellMar>
          <w:top w:w="0" w:type="dxa"/>
          <w:left w:w="0" w:type="dxa"/>
          <w:bottom w:w="0" w:type="dxa"/>
          <w:right w:w="0" w:type="dxa"/>
        </w:tblCellMar>
        <w:tblLook w:val="01E0"/>
      </w:tblPr>
      <w:tblGrid>
        <w:gridCol w:w="2928"/>
        <w:gridCol w:w="2898"/>
        <w:gridCol w:w="3833"/>
      </w:tblGrid>
      <w:tr>
        <w:trPr>
          <w:trHeight w:val="342" w:hRule="exact"/>
        </w:trPr>
        <w:tc>
          <w:tcPr>
            <w:tcW w:w="2928" w:type="dxa"/>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240" w:lineRule="auto" w:before="21"/>
              <w:ind w:left="17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98" w:type="dxa"/>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240" w:lineRule="auto" w:before="21"/>
              <w:ind w:left="149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833" w:type="dxa"/>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240" w:lineRule="auto" w:before="21"/>
              <w:ind w:left="317" w:right="0"/>
              <w:jc w:val="center"/>
              <w:rPr>
                <w:rFonts w:ascii="宋体" w:hAnsi="宋体" w:cs="宋体" w:eastAsia="宋体" w:hint="default"/>
                <w:sz w:val="18"/>
                <w:szCs w:val="18"/>
              </w:rPr>
            </w:pPr>
            <w:r>
              <w:rPr>
                <w:rFonts w:ascii="宋体" w:hAnsi="宋体" w:cs="宋体" w:eastAsia="宋体" w:hint="default"/>
                <w:sz w:val="18"/>
                <w:szCs w:val="18"/>
              </w:rPr>
              <w:t>摊销方法</w:t>
            </w:r>
          </w:p>
        </w:tc>
      </w:tr>
      <w:tr>
        <w:trPr>
          <w:trHeight w:val="342" w:hRule="exact"/>
        </w:trPr>
        <w:tc>
          <w:tcPr>
            <w:tcW w:w="2928" w:type="dxa"/>
            <w:tcBorders>
              <w:top w:val="single" w:sz="8" w:space="0" w:color="000000"/>
              <w:left w:val="nil" w:sz="6" w:space="0" w:color="auto"/>
              <w:bottom w:val="single" w:sz="4" w:space="0" w:color="000000"/>
              <w:right w:val="nil" w:sz="6" w:space="0" w:color="auto"/>
            </w:tcBorders>
          </w:tcPr>
          <w:p>
            <w:pPr>
              <w:pStyle w:val="TableParagraph"/>
              <w:spacing w:line="240" w:lineRule="auto" w:before="16"/>
              <w:ind w:left="9"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2898" w:type="dxa"/>
            <w:tcBorders>
              <w:top w:val="single" w:sz="8" w:space="0" w:color="000000"/>
              <w:left w:val="nil" w:sz="6" w:space="0" w:color="auto"/>
              <w:bottom w:val="single" w:sz="4" w:space="0" w:color="000000"/>
              <w:right w:val="nil" w:sz="6" w:space="0" w:color="auto"/>
            </w:tcBorders>
          </w:tcPr>
          <w:p>
            <w:pPr>
              <w:pStyle w:val="TableParagraph"/>
              <w:spacing w:line="240" w:lineRule="auto" w:before="56"/>
              <w:ind w:left="859" w:right="0"/>
              <w:jc w:val="left"/>
              <w:rPr>
                <w:rFonts w:ascii="Times New Roman" w:hAnsi="Times New Roman" w:cs="Times New Roman" w:eastAsia="Times New Roman" w:hint="default"/>
                <w:sz w:val="18"/>
                <w:szCs w:val="18"/>
              </w:rPr>
            </w:pPr>
            <w:r>
              <w:rPr>
                <w:rFonts w:ascii="Times New Roman"/>
                <w:sz w:val="18"/>
              </w:rPr>
              <w:t>5</w:t>
            </w:r>
          </w:p>
        </w:tc>
        <w:tc>
          <w:tcPr>
            <w:tcW w:w="3833"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326" w:right="0"/>
              <w:jc w:val="left"/>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3"/>
        <w:rPr>
          <w:rFonts w:ascii="宋体" w:hAnsi="宋体" w:cs="宋体" w:eastAsia="宋体" w:hint="default"/>
          <w:b/>
          <w:bCs/>
          <w:sz w:val="21"/>
          <w:szCs w:val="21"/>
        </w:rPr>
      </w:pPr>
    </w:p>
    <w:p>
      <w:pPr>
        <w:pStyle w:val="BodyText"/>
        <w:spacing w:line="316" w:lineRule="auto" w:before="44"/>
        <w:ind w:left="1556" w:right="4390"/>
        <w:jc w:val="left"/>
      </w:pPr>
      <w:r>
        <w:rPr/>
        <w:t>每年度终了，对使用寿命有限的无形资产的使用寿命及摊销方法进行复核。 经复核，本年期末无形资产的使用寿命及摊销方法与以前估计未有不同。</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2）内部研究开发支出会计政策" w:id="191"/>
      <w:bookmarkEnd w:id="19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tabs>
          <w:tab w:pos="1974" w:val="left" w:leader="none"/>
        </w:tabs>
        <w:spacing w:line="309" w:lineRule="auto"/>
        <w:ind w:left="1556" w:right="2609"/>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划分研究阶段和开发阶段的具体标准</w:t>
      </w:r>
      <w:r>
        <w:rPr>
          <w:rFonts w:ascii="宋体" w:hAnsi="宋体" w:cs="宋体" w:eastAsia="宋体" w:hint="default"/>
          <w:b/>
          <w:bCs/>
          <w:w w:val="99"/>
        </w:rPr>
        <w:t> </w:t>
      </w:r>
      <w:r>
        <w:rPr/>
        <w:t>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24"/>
        <w:ind w:right="1167" w:firstLine="422"/>
        <w:jc w:val="both"/>
      </w:pPr>
      <w:r>
        <w:rPr/>
        <w:t>开发阶段：在进行商业性生产或使用前，将研究成果或其他知识应用于某项计划或设计，以生产出新的或具有实质性 改进的材料、装置、产品等活动的阶段。</w:t>
      </w:r>
    </w:p>
    <w:p>
      <w:pPr>
        <w:pStyle w:val="BodyText"/>
        <w:spacing w:line="319" w:lineRule="auto" w:before="19"/>
        <w:ind w:right="1133" w:firstLine="422"/>
        <w:jc w:val="both"/>
      </w:pPr>
      <w:r>
        <w:rPr/>
        <w:t>公司内部研究开发项目主要是数据融合平台的研发。本公司在完成创新业务模式预研、需求调研分析和关键技术预研 </w:t>
      </w:r>
      <w:r>
        <w:rPr>
          <w:spacing w:val="-2"/>
        </w:rPr>
        <w:t>等前期工作后，确定平台各组件的开发、满足客户需求的开发方向，并确定技术可以完善组件功能时作为开发支出资本化的</w:t>
      </w:r>
      <w:r>
        <w:rPr>
          <w:spacing w:val="-66"/>
        </w:rPr>
        <w:t> </w:t>
      </w:r>
      <w:r>
        <w:rPr>
          <w:spacing w:val="-66"/>
        </w:rPr>
      </w:r>
      <w:r>
        <w:rPr/>
        <w:t>起始时点。</w:t>
      </w:r>
    </w:p>
    <w:p>
      <w:pPr>
        <w:pStyle w:val="Heading4"/>
        <w:tabs>
          <w:tab w:pos="1974" w:val="left" w:leader="none"/>
        </w:tabs>
        <w:spacing w:line="240" w:lineRule="auto" w:before="17"/>
        <w:ind w:left="1556" w:right="1033"/>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开发阶段支出资本化的具体条件</w:t>
      </w:r>
      <w:r>
        <w:rPr>
          <w:b w:val="0"/>
          <w:bCs w:val="0"/>
        </w:rPr>
      </w:r>
    </w:p>
    <w:p>
      <w:pPr>
        <w:pStyle w:val="BodyText"/>
        <w:spacing w:line="240" w:lineRule="auto" w:before="63"/>
        <w:ind w:left="1556" w:right="1033"/>
        <w:jc w:val="left"/>
      </w:pPr>
      <w:r>
        <w:rPr/>
        <w:t>（一）完成该无形资产以使其能够使用或出售在技术上具有可行性；</w:t>
      </w:r>
    </w:p>
    <w:p>
      <w:pPr>
        <w:pStyle w:val="BodyText"/>
        <w:spacing w:line="240" w:lineRule="auto" w:before="76"/>
        <w:ind w:left="1556" w:right="1033"/>
        <w:jc w:val="left"/>
      </w:pPr>
      <w:r>
        <w:rPr/>
        <w:t>（二）具有完成该无形资产并使用或出售的意图；</w:t>
      </w:r>
    </w:p>
    <w:p>
      <w:pPr>
        <w:pStyle w:val="BodyText"/>
        <w:spacing w:line="316" w:lineRule="auto" w:before="76"/>
        <w:ind w:left="1134" w:right="1167" w:firstLine="422"/>
        <w:jc w:val="both"/>
      </w:pPr>
      <w:r>
        <w:rPr/>
        <w:t>（三）无形资产产生经济利益的方式，包括能够证明运用该无形资产生产的产品存在市场或无形资产自身存在市场， 无形资产将在内部使用的，应当证明其有用性；</w:t>
      </w:r>
    </w:p>
    <w:p>
      <w:pPr>
        <w:pStyle w:val="BodyText"/>
        <w:spacing w:line="240" w:lineRule="auto" w:before="19"/>
        <w:ind w:left="1556" w:right="1033"/>
        <w:jc w:val="left"/>
      </w:pPr>
      <w:r>
        <w:rPr/>
        <w:t>（四）有足够的技术、财务资源和其他资源支持，以完成该无形资产的开发，并有能力使用或出售该无形资产；</w:t>
      </w:r>
    </w:p>
    <w:p>
      <w:pPr>
        <w:pStyle w:val="BodyText"/>
        <w:spacing w:line="316" w:lineRule="auto" w:before="76"/>
        <w:ind w:left="1556" w:right="1150"/>
        <w:jc w:val="left"/>
      </w:pPr>
      <w:r>
        <w:rPr/>
        <w:t>（五）归属于该无形资产开发阶段的支出能够可靠地计量。 不满足上述条件的开发阶段的支出，于发生时计入当期损益。以前期间已计入损益的开发支出不在以后期间重新确认</w:t>
      </w:r>
    </w:p>
    <w:p>
      <w:pPr>
        <w:pStyle w:val="BodyText"/>
        <w:spacing w:line="240" w:lineRule="auto" w:before="19"/>
        <w:ind w:left="1134" w:right="1033"/>
        <w:jc w:val="left"/>
      </w:pPr>
      <w:r>
        <w:rPr/>
        <w:t>为资产。已资本化的开发阶段的支出在资产负债表上列示为开发支出，自该项目达到预定用途之日起转为无形资产。</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19、长期资产减值" w:id="192"/>
      <w:bookmarkEnd w:id="192"/>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422"/>
        <w:jc w:val="both"/>
      </w:pPr>
      <w:r>
        <w:rPr/>
        <w:t>长期股权投资、固定资产、在建工程、使用寿命有限的无形资产等长期资产，于资产负债表日存在减值迹象的，进行 </w:t>
      </w:r>
      <w:r>
        <w:rPr>
          <w:spacing w:val="-2"/>
        </w:rPr>
        <w:t>减值测试。减值测试结果表明资产的可收回金额低于其账面价值的，按其差额计提减值准备并计入减值损失。可收回金额为</w:t>
      </w:r>
      <w:r>
        <w:rPr>
          <w:spacing w:val="-66"/>
        </w:rPr>
        <w:t> </w:t>
      </w:r>
      <w:r>
        <w:rPr>
          <w:spacing w:val="-66"/>
        </w:rPr>
      </w:r>
      <w:r>
        <w:rPr>
          <w:spacing w:val="-2"/>
        </w:rPr>
        <w:t>资产的公允价值减去处置费用后的净额与资产预计未来现金流量的现值两者之间的较高者。资产减值准备按单项资产为基础</w:t>
      </w:r>
      <w:r>
        <w:rPr>
          <w:spacing w:val="-64"/>
        </w:rPr>
        <w:t> </w:t>
      </w:r>
      <w:r>
        <w:rPr>
          <w:spacing w:val="-64"/>
        </w:rPr>
      </w:r>
      <w:r>
        <w:rPr>
          <w:spacing w:val="-2"/>
        </w:rPr>
        <w:t>计算并确认，如果难以对单项资产的可收回金额进行估计的，以该资产所属的资产组确定资产组的可收回金额。资产组是能</w:t>
      </w:r>
      <w:r>
        <w:rPr>
          <w:spacing w:val="-66"/>
        </w:rPr>
        <w:t> </w:t>
      </w:r>
      <w:r>
        <w:rPr>
          <w:spacing w:val="-66"/>
        </w:rPr>
      </w:r>
      <w:r>
        <w:rPr/>
        <w:t>够独立产生现金流入的最小资产组合。</w:t>
      </w:r>
    </w:p>
    <w:p>
      <w:pPr>
        <w:pStyle w:val="BodyText"/>
        <w:spacing w:line="316" w:lineRule="auto" w:before="19"/>
        <w:ind w:left="1556" w:right="1033"/>
        <w:jc w:val="left"/>
      </w:pPr>
      <w:r>
        <w:rPr/>
        <w:t>商誉和使用寿命不确定的无形资产至少在每年年度终了进行减值测试。 </w:t>
      </w:r>
      <w:r>
        <w:rPr>
          <w:spacing w:val="-2"/>
        </w:rPr>
        <w:t>本公司进行商誉减值测试，对于因企业合并形成的商誉的账面价值，自购买日起按照合理的方法分摊至相关的资产组；</w:t>
      </w:r>
    </w:p>
    <w:p>
      <w:pPr>
        <w:pStyle w:val="BodyText"/>
        <w:spacing w:line="316" w:lineRule="auto" w:before="19"/>
        <w:ind w:right="1033"/>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6" w:right="1033" w:hanging="423"/>
        <w:jc w:val="left"/>
      </w:pPr>
      <w:r>
        <w:rPr/>
        <w:t>量的，按照各资产组或者资产组组合的账面价值占相关资产组或者资产组组合账面价值总额的比例进行分摊。 </w:t>
      </w:r>
      <w:r>
        <w:rPr>
          <w:spacing w:val="-2"/>
        </w:rPr>
        <w:t>在对包含商誉的相关资产组或者资产组组合进行减值测试时，如与商誉相关的资产组或者资产组组合存在减值迹象的，</w:t>
      </w:r>
    </w:p>
    <w:p>
      <w:pPr>
        <w:pStyle w:val="BodyText"/>
        <w:spacing w:line="319" w:lineRule="auto" w:before="19"/>
        <w:ind w:right="1033"/>
        <w:jc w:val="left"/>
      </w:pP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5"/>
        <w:rPr>
          <w:rFonts w:ascii="宋体" w:hAnsi="宋体" w:cs="宋体" w:eastAsia="宋体" w:hint="default"/>
          <w:sz w:val="22"/>
          <w:szCs w:val="22"/>
        </w:rPr>
      </w:pPr>
    </w:p>
    <w:p>
      <w:pPr>
        <w:pStyle w:val="Heading3"/>
        <w:spacing w:line="240" w:lineRule="auto"/>
        <w:ind w:right="1033"/>
        <w:jc w:val="left"/>
        <w:rPr>
          <w:b w:val="0"/>
          <w:bCs w:val="0"/>
        </w:rPr>
      </w:pPr>
      <w:bookmarkStart w:name="20、长期待摊费用" w:id="193"/>
      <w:bookmarkEnd w:id="193"/>
      <w:r>
        <w:rPr>
          <w:b w:val="0"/>
          <w:bCs w:val="0"/>
        </w:rPr>
      </w: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50" w:firstLine="422"/>
        <w:jc w:val="left"/>
      </w:pPr>
      <w:r>
        <w:rPr/>
        <w:t>长期待摊费用为已经发生但应由本期和以后各期负担的分摊期限在一年以上的各项费用。本公司长期待摊费用包括装 修费和技术支持费。</w:t>
      </w:r>
    </w:p>
    <w:p>
      <w:pPr>
        <w:pStyle w:val="BodyText"/>
        <w:spacing w:line="240" w:lineRule="auto" w:before="19"/>
        <w:ind w:left="1556" w:right="1033"/>
        <w:jc w:val="left"/>
      </w:pPr>
      <w:r>
        <w:rPr/>
        <w:t>长期待摊费用在受益期内平均摊销</w:t>
      </w:r>
    </w:p>
    <w:p>
      <w:pPr>
        <w:spacing w:line="240" w:lineRule="auto" w:before="12"/>
        <w:rPr>
          <w:rFonts w:ascii="宋体" w:hAnsi="宋体" w:cs="宋体" w:eastAsia="宋体" w:hint="default"/>
          <w:sz w:val="26"/>
          <w:szCs w:val="26"/>
        </w:rPr>
      </w:pPr>
    </w:p>
    <w:p>
      <w:pPr>
        <w:pStyle w:val="Heading3"/>
        <w:spacing w:line="240" w:lineRule="auto"/>
        <w:ind w:left="1134" w:right="1033"/>
        <w:jc w:val="left"/>
        <w:rPr>
          <w:b w:val="0"/>
          <w:bCs w:val="0"/>
        </w:rPr>
      </w:pPr>
      <w:bookmarkStart w:name="21、职工薪酬" w:id="194"/>
      <w:bookmarkEnd w:id="194"/>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短期薪酬的会计处理方法" w:id="195"/>
      <w:bookmarkEnd w:id="19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56" w:right="1150"/>
        <w:jc w:val="left"/>
      </w:pPr>
      <w:r>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w:t>
      </w:r>
    </w:p>
    <w:p>
      <w:pPr>
        <w:pStyle w:val="BodyText"/>
        <w:spacing w:line="316" w:lineRule="auto" w:before="19"/>
        <w:ind w:left="1556" w:right="4453" w:hanging="423"/>
        <w:jc w:val="left"/>
      </w:pPr>
      <w:r>
        <w:rPr/>
        <w:t>务的会计期间，根据规定的计提基础和计提比例计算确定相应的职工薪酬金额。 职工福利费为非货币性福利的，如能够可靠计量的，按照公允价值计量。</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2）离职后福利的会计处理方法" w:id="196"/>
      <w:bookmarkEnd w:id="19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56" w:right="1150"/>
        <w:jc w:val="left"/>
      </w:pPr>
      <w:r>
        <w:rPr/>
        <w:t>（</w:t>
      </w:r>
      <w:r>
        <w:rPr>
          <w:rFonts w:ascii="宋体" w:hAnsi="宋体" w:cs="宋体" w:eastAsia="宋体" w:hint="default"/>
        </w:rPr>
        <w:t>1</w:t>
      </w:r>
      <w:r>
        <w:rPr/>
        <w:t>）设定提存计划 本公司按当地政府的相关规定为职工缴纳基本养老保险和失业保险，在职工为本公司提供服务的会计期间，按以当地</w:t>
      </w:r>
    </w:p>
    <w:p>
      <w:pPr>
        <w:pStyle w:val="BodyText"/>
        <w:spacing w:line="316" w:lineRule="auto" w:before="19"/>
        <w:ind w:left="1556" w:right="1112" w:hanging="423"/>
        <w:jc w:val="left"/>
      </w:pPr>
      <w:r>
        <w:rPr/>
        <w:t>规定的缴纳基数和比例计算应缴纳金额，确认为负债，并计入当期损益或相关资产成本。 </w:t>
      </w:r>
      <w:r>
        <w:rPr>
          <w:spacing w:val="-1"/>
        </w:rPr>
        <w:t>除基本养老保险外，本公司还依据国家企业年金制度的相关政策建立了企业年金缴费制度（补充养老保险）</w:t>
      </w:r>
      <w:r>
        <w:rPr>
          <w:rFonts w:ascii="宋体" w:hAnsi="宋体" w:cs="宋体" w:eastAsia="宋体" w:hint="default"/>
          <w:spacing w:val="-1"/>
        </w:rPr>
        <w:t>/</w:t>
      </w:r>
      <w:r>
        <w:rPr>
          <w:spacing w:val="-1"/>
        </w:rPr>
        <w:t>企业年金</w:t>
      </w:r>
    </w:p>
    <w:p>
      <w:pPr>
        <w:pStyle w:val="BodyText"/>
        <w:spacing w:line="240" w:lineRule="auto" w:before="19"/>
        <w:ind w:right="0"/>
        <w:jc w:val="left"/>
      </w:pPr>
      <w:r>
        <w:rPr/>
        <w:t>计划。本公司按职工工资总额的一定比例向当地社会保险机构缴费</w:t>
      </w:r>
      <w:r>
        <w:rPr>
          <w:rFonts w:ascii="宋体" w:hAnsi="宋体" w:cs="宋体" w:eastAsia="宋体" w:hint="default"/>
        </w:rPr>
        <w:t>/</w:t>
      </w:r>
      <w:r>
        <w:rPr/>
        <w:t>年金计划缴费，相应支出计入当期损益或相关资产成本。</w:t>
      </w:r>
    </w:p>
    <w:p>
      <w:pPr>
        <w:pStyle w:val="BodyText"/>
        <w:spacing w:line="316" w:lineRule="auto" w:before="76"/>
        <w:ind w:left="1556" w:right="1150"/>
        <w:jc w:val="left"/>
      </w:pPr>
      <w:r>
        <w:rPr/>
        <w:t>（</w:t>
      </w:r>
      <w:r>
        <w:rPr>
          <w:rFonts w:ascii="宋体" w:hAnsi="宋体" w:cs="宋体" w:eastAsia="宋体" w:hint="default"/>
        </w:rPr>
        <w:t>2</w:t>
      </w:r>
      <w:r>
        <w:rPr/>
        <w:t>）设定受益计划 本公司根据预期累计福利单位法确定的公式将设定受益计划产生的福利义务归属于职工提供服务的期间，并计入当期</w:t>
      </w:r>
    </w:p>
    <w:p>
      <w:pPr>
        <w:pStyle w:val="BodyText"/>
        <w:spacing w:line="316" w:lineRule="auto" w:before="19"/>
        <w:ind w:left="1556" w:right="1330" w:hanging="423"/>
        <w:jc w:val="left"/>
      </w:pPr>
      <w:r>
        <w:rPr/>
        <w:t>损益或相关资产成本。 设定受益计划义务现值减去设定受益计划资产公允价值所形成的赤字或盈余确认为一项设定受益计划净负债或净资</w:t>
      </w:r>
    </w:p>
    <w:p>
      <w:pPr>
        <w:pStyle w:val="BodyText"/>
        <w:spacing w:line="316" w:lineRule="auto" w:before="19"/>
        <w:ind w:left="1556" w:right="1150" w:hanging="423"/>
        <w:jc w:val="left"/>
      </w:pPr>
      <w:r>
        <w:rPr/>
        <w:t>产。设定受益计划存在盈余的，本公司以设定受益计划的盈余和资产上限两项的孰低者计量设定受益计划净资产。 所有设定受益计划义务，包括预期在职工提供服务的年度报告期间结束后的十二个月内支付的义务，根据资产负债表</w:t>
      </w:r>
    </w:p>
    <w:p>
      <w:pPr>
        <w:pStyle w:val="BodyText"/>
        <w:spacing w:line="316" w:lineRule="auto" w:before="19"/>
        <w:ind w:left="1556" w:right="1150" w:hanging="423"/>
        <w:jc w:val="left"/>
      </w:pPr>
      <w:r>
        <w:rPr/>
        <w:t>日与设定受益计划义务期限和币种相匹配的国债或活跃市场上的高质量公司债券的市场收益率予以折现。 设定受益计划产生的服务成本和设定受益计划净负债或净资产的利息净额计入当期损益或相关资产成本；重新计量设</w:t>
      </w:r>
    </w:p>
    <w:p>
      <w:pPr>
        <w:pStyle w:val="BodyText"/>
        <w:spacing w:line="316" w:lineRule="auto" w:before="19"/>
        <w:ind w:right="1033"/>
        <w:jc w:val="left"/>
      </w:pPr>
      <w:r>
        <w:rPr>
          <w:spacing w:val="-2"/>
        </w:rPr>
        <w:t>定受益计划净负债或净资产所产生的变动计入其他综合收益，并且在后续会计期间不转回至损益，在原设定受益计划终止时</w:t>
      </w:r>
      <w:r>
        <w:rPr>
          <w:spacing w:val="-64"/>
        </w:rPr>
        <w:t> </w:t>
      </w:r>
      <w:r>
        <w:rPr>
          <w:spacing w:val="-64"/>
        </w:rPr>
      </w:r>
      <w:r>
        <w:rPr/>
        <w:t>在权益范围内将原计入其他综合收益的部分全部结转至未分配利润。</w:t>
      </w:r>
    </w:p>
    <w:p>
      <w:pPr>
        <w:pStyle w:val="BodyText"/>
        <w:spacing w:line="240" w:lineRule="auto" w:before="19"/>
        <w:ind w:left="1556" w:right="1033"/>
        <w:jc w:val="left"/>
      </w:pPr>
      <w:r>
        <w:rPr/>
        <w:t>在设定受益计划结算时，按在结算日确定的设定受益计划义务现值和结算价格两者的差额，确认结算利得或损失。</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3）辞退福利的会计处理方法" w:id="197"/>
      <w:bookmarkEnd w:id="19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51" w:firstLine="422"/>
        <w:jc w:val="left"/>
      </w:pPr>
      <w:r>
        <w:rPr/>
        <w:t>本公司在不能单方面撤回因解除劳动关系计划或裁减建议所提供的辞退福利时，或确认与涉及支付辞退福利的重组相 关的成本或费用时（两者孰早），确认辞退福利产生的职工薪酬负债，并计入当期损益。</w:t>
      </w:r>
    </w:p>
    <w:p>
      <w:pPr>
        <w:spacing w:after="0" w:line="31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1033"/>
        <w:jc w:val="left"/>
        <w:rPr>
          <w:b w:val="0"/>
          <w:bCs w:val="0"/>
        </w:rPr>
      </w:pPr>
      <w:bookmarkStart w:name="22、股份支付" w:id="198"/>
      <w:bookmarkEnd w:id="198"/>
      <w:r>
        <w:rPr>
          <w:b w:val="0"/>
          <w:bCs w:val="0"/>
        </w:rPr>
      </w:r>
      <w:r>
        <w:rPr>
          <w:rFonts w:ascii="Times New Roman" w:hAnsi="Times New Roman" w:cs="Times New Roman" w:eastAsia="Times New Roman" w:hint="default"/>
        </w:rPr>
        <w:t>22</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330" w:firstLine="422"/>
        <w:jc w:val="left"/>
      </w:pPr>
      <w:r>
        <w:rPr/>
        <w:t>本公司的股份支付是为了获取职工</w:t>
      </w:r>
      <w:r>
        <w:rPr>
          <w:rFonts w:ascii="宋体" w:hAnsi="宋体" w:cs="宋体" w:eastAsia="宋体" w:hint="default"/>
        </w:rPr>
        <w:t>[</w:t>
      </w:r>
      <w:r>
        <w:rPr/>
        <w:t>或其他方</w:t>
      </w:r>
      <w:r>
        <w:rPr>
          <w:rFonts w:ascii="宋体" w:hAnsi="宋体" w:cs="宋体" w:eastAsia="宋体" w:hint="default"/>
        </w:rPr>
        <w:t>]</w:t>
      </w:r>
      <w:r>
        <w:rPr/>
        <w:t>提供服务而授予权益工具或者承担以权益工具为基础确定的负债的交 易。本公司的股份支付分为以权益结算的股份支付和以现金结算的股份支付。</w:t>
      </w:r>
    </w:p>
    <w:p>
      <w:pPr>
        <w:spacing w:line="240" w:lineRule="auto" w:before="4"/>
        <w:rPr>
          <w:rFonts w:ascii="宋体" w:hAnsi="宋体" w:cs="宋体" w:eastAsia="宋体" w:hint="default"/>
          <w:sz w:val="25"/>
          <w:szCs w:val="25"/>
        </w:rPr>
      </w:pPr>
    </w:p>
    <w:p>
      <w:pPr>
        <w:pStyle w:val="BodyText"/>
        <w:spacing w:line="316" w:lineRule="auto"/>
        <w:ind w:right="1027" w:firstLine="422"/>
        <w:jc w:val="left"/>
      </w:pPr>
      <w:r>
        <w:rPr/>
        <w:t>以权益结算的股份支付换取职工提供服务的，以授予职工权益工具的公允价值计量。在等待期内每个资产负债表日， 本公司根据最新取得的</w:t>
      </w:r>
      <w:r>
        <w:rPr>
          <w:rFonts w:ascii="宋体" w:hAnsi="宋体" w:cs="宋体" w:eastAsia="宋体" w:hint="default"/>
        </w:rPr>
        <w:t>[</w:t>
      </w:r>
      <w:r>
        <w:rPr/>
        <w:t>可行权职工人数变动</w:t>
      </w:r>
      <w:r>
        <w:rPr>
          <w:rFonts w:ascii="宋体" w:hAnsi="宋体" w:cs="宋体" w:eastAsia="宋体" w:hint="default"/>
        </w:rPr>
        <w:t>]</w:t>
      </w:r>
      <w:r>
        <w:rPr>
          <w:rFonts w:ascii="宋体" w:hAnsi="宋体" w:cs="宋体" w:eastAsia="宋体" w:hint="default"/>
          <w:spacing w:val="21"/>
        </w:rPr>
        <w:t> </w:t>
      </w:r>
      <w:r>
        <w:rPr>
          <w:spacing w:val="-3"/>
        </w:rPr>
        <w:t>、</w:t>
      </w:r>
      <w:r>
        <w:rPr>
          <w:rFonts w:ascii="宋体" w:hAnsi="宋体" w:cs="宋体" w:eastAsia="宋体" w:hint="default"/>
          <w:spacing w:val="-3"/>
        </w:rPr>
        <w:t>[</w:t>
      </w:r>
      <w:r>
        <w:rPr>
          <w:spacing w:val="-3"/>
        </w:rPr>
        <w:t>是否达到规定业绩条件</w:t>
      </w:r>
      <w:r>
        <w:rPr>
          <w:rFonts w:ascii="宋体" w:hAnsi="宋体" w:cs="宋体" w:eastAsia="宋体" w:hint="default"/>
          <w:spacing w:val="-3"/>
        </w:rPr>
        <w:t>]</w:t>
      </w:r>
      <w:r>
        <w:rPr>
          <w:spacing w:val="-3"/>
        </w:rPr>
        <w:t>等后续信息对可行权权益工具数量作出最佳估计，</w:t>
      </w:r>
      <w:r>
        <w:rPr/>
        <w:t> </w:t>
      </w:r>
      <w:r>
        <w:rPr>
          <w:spacing w:val="-2"/>
        </w:rPr>
        <w:t>以此为基础，按照授予日的公允价值，将当期取得的服务计入相关成本或费用，相应增加资本公积。在可行权日之后不再对</w:t>
      </w:r>
      <w:r>
        <w:rPr>
          <w:spacing w:val="-66"/>
        </w:rPr>
        <w:t> </w:t>
      </w:r>
      <w:r>
        <w:rPr>
          <w:spacing w:val="-66"/>
        </w:rPr>
      </w:r>
      <w:r>
        <w:rPr>
          <w:spacing w:val="-4"/>
        </w:rPr>
        <w:t>已确认的相关成本或费用和所有者权益总额进行调整。但授予后立即可行权的，在授予日按照公允价值计入相关成本或费用，</w:t>
      </w:r>
      <w:r>
        <w:rPr>
          <w:spacing w:val="-44"/>
        </w:rPr>
        <w:t> </w:t>
      </w:r>
      <w:r>
        <w:rPr>
          <w:spacing w:val="-44"/>
        </w:rPr>
      </w:r>
      <w:r>
        <w:rPr/>
        <w:t>相应增加资本公积。</w:t>
      </w:r>
    </w:p>
    <w:p>
      <w:pPr>
        <w:pStyle w:val="BodyText"/>
        <w:spacing w:line="316" w:lineRule="auto" w:before="19"/>
        <w:ind w:left="1134" w:right="1150" w:firstLine="422"/>
        <w:jc w:val="left"/>
      </w:pPr>
      <w:r>
        <w:rPr/>
        <w:t>对于最终未能行权的股份支付，不确认成本或费用，除非行权条件是市场条件或非可行权条件，此时无论是否满足市 场条件或非可行权条件，只要满足所有可行权条件中的非市场条件，即视为可行权。</w:t>
      </w:r>
    </w:p>
    <w:p>
      <w:pPr>
        <w:pStyle w:val="BodyText"/>
        <w:spacing w:line="316" w:lineRule="auto" w:before="19"/>
        <w:ind w:right="1131" w:firstLine="422"/>
        <w:jc w:val="both"/>
      </w:pPr>
      <w:r>
        <w:rPr/>
        <w:t>如果取消了以权益结算的股份支付，则于取消日作为加速行权处理，立即确认尚未确认的金额。职工或其他方能够选 </w:t>
      </w:r>
      <w:r>
        <w:rPr>
          <w:spacing w:val="-2"/>
        </w:rPr>
        <w:t>择满足非可行权条件但在等待期内未满足的，作为取消以权益结算的股份支付处理。但是，如果授予新的权益工具，并在新</w:t>
      </w:r>
      <w:r>
        <w:rPr>
          <w:spacing w:val="-66"/>
        </w:rPr>
        <w:t> </w:t>
      </w:r>
      <w:r>
        <w:rPr>
          <w:spacing w:val="-66"/>
        </w:rPr>
      </w:r>
      <w:r>
        <w:rPr>
          <w:spacing w:val="-2"/>
        </w:rPr>
        <w:t>权益工具授予日认定所授予的新权益工具是用于替代被取消的权益工具的，则以与处理原权益工具条款和条件修改相同的方</w:t>
      </w:r>
      <w:r>
        <w:rPr>
          <w:spacing w:val="-64"/>
        </w:rPr>
        <w:t> </w:t>
      </w:r>
      <w:r>
        <w:rPr>
          <w:spacing w:val="-64"/>
        </w:rPr>
      </w:r>
      <w:r>
        <w:rPr/>
        <w:t>式，对所授予的替代权益工具进行处理。</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23、收入" w:id="199"/>
      <w:bookmarkEnd w:id="199"/>
      <w:r>
        <w:rPr>
          <w:b w:val="0"/>
          <w:bCs w:val="0"/>
        </w:rPr>
      </w:r>
      <w:r>
        <w:rPr>
          <w:rFonts w:ascii="Times New Roman" w:hAnsi="Times New Roman" w:cs="Times New Roman" w:eastAsia="Times New Roman" w:hint="default"/>
        </w:rPr>
        <w:t>23</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tabs>
          <w:tab w:pos="1974" w:val="left" w:leader="none"/>
        </w:tabs>
        <w:spacing w:line="302" w:lineRule="auto" w:before="28"/>
        <w:ind w:left="1556" w:right="1169" w:firstLine="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b/>
          <w:bCs/>
          <w:sz w:val="18"/>
          <w:szCs w:val="18"/>
        </w:rPr>
        <w:t>销售商品收入确认时间的具体原则</w:t>
      </w:r>
      <w:r>
        <w:rPr>
          <w:rFonts w:ascii="宋体" w:hAnsi="宋体" w:cs="宋体" w:eastAsia="宋体" w:hint="default"/>
          <w:b/>
          <w:bCs/>
          <w:w w:val="99"/>
          <w:sz w:val="18"/>
          <w:szCs w:val="18"/>
        </w:rPr>
        <w:t> </w:t>
      </w:r>
      <w:r>
        <w:rPr>
          <w:rFonts w:ascii="宋体" w:hAnsi="宋体" w:cs="宋体" w:eastAsia="宋体" w:hint="default"/>
          <w:sz w:val="18"/>
          <w:szCs w:val="18"/>
        </w:rPr>
        <w:t>公司已将商品所有权上的主要风险和报酬转移给购买方；公司既没有保留与所有权相联系的继续管理权，也没有对已</w:t>
      </w:r>
    </w:p>
    <w:p>
      <w:pPr>
        <w:pStyle w:val="BodyText"/>
        <w:spacing w:line="316" w:lineRule="auto" w:before="29"/>
        <w:ind w:right="1131"/>
        <w:jc w:val="both"/>
      </w:pPr>
      <w:r>
        <w:rPr>
          <w:spacing w:val="-2"/>
        </w:rPr>
        <w:t>售出的商品实施有效控制；收入的金额能够可靠地计量；相关的经济利益很可能流入企业；相关的已发生或将发生的成本能</w:t>
      </w:r>
      <w:r>
        <w:rPr>
          <w:spacing w:val="-66"/>
        </w:rPr>
        <w:t> </w:t>
      </w:r>
      <w:r>
        <w:rPr>
          <w:spacing w:val="-66"/>
        </w:rPr>
      </w:r>
      <w:r>
        <w:rPr>
          <w:spacing w:val="-2"/>
        </w:rPr>
        <w:t>够可靠地计量时，确认商品销售收入实现。合同或协议价款的收取采用递延方式，实质上具有融资性质的，按照应收的合同</w:t>
      </w:r>
      <w:r>
        <w:rPr>
          <w:spacing w:val="-66"/>
        </w:rPr>
        <w:t> </w:t>
      </w:r>
      <w:r>
        <w:rPr>
          <w:spacing w:val="-66"/>
        </w:rPr>
      </w:r>
      <w:r>
        <w:rPr/>
        <w:t>或协议价款的公允价值确定销售商品收入金额。</w:t>
      </w:r>
    </w:p>
    <w:p>
      <w:pPr>
        <w:pStyle w:val="BodyText"/>
        <w:spacing w:line="240" w:lineRule="auto" w:before="19"/>
        <w:ind w:left="1556" w:right="1033"/>
        <w:jc w:val="left"/>
      </w:pPr>
      <w:r>
        <w:rPr/>
        <w:t>具体地，本公司产品销售收入确认时点，根据合同约定而分为两种：</w:t>
      </w:r>
    </w:p>
    <w:p>
      <w:pPr>
        <w:pStyle w:val="BodyText"/>
        <w:spacing w:line="316" w:lineRule="auto" w:before="76"/>
        <w:ind w:left="1134" w:right="1131" w:firstLine="422"/>
        <w:jc w:val="both"/>
      </w:pPr>
      <w:r>
        <w:rPr>
          <w:spacing w:val="-2"/>
        </w:rPr>
        <w:t>（</w:t>
      </w:r>
      <w:r>
        <w:rPr>
          <w:rFonts w:ascii="宋体" w:hAnsi="宋体" w:cs="宋体" w:eastAsia="宋体" w:hint="default"/>
          <w:spacing w:val="-2"/>
        </w:rPr>
        <w:t>1</w:t>
      </w:r>
      <w:r>
        <w:rPr>
          <w:spacing w:val="-2"/>
        </w:rPr>
        <w:t>）软件销售合同：指销售软件并附带提供相关培训、安装调试、技术支持和售后服务的合同，软件销售合同在产品</w:t>
      </w:r>
      <w:r>
        <w:rPr/>
        <w:t> 发出并经客户验收合格时确认收入。</w:t>
      </w:r>
    </w:p>
    <w:p>
      <w:pPr>
        <w:pStyle w:val="BodyText"/>
        <w:spacing w:line="316" w:lineRule="auto" w:before="19"/>
        <w:ind w:left="1134" w:right="1131" w:firstLine="422"/>
        <w:jc w:val="both"/>
      </w:pPr>
      <w:r>
        <w:rPr>
          <w:spacing w:val="-2"/>
        </w:rPr>
        <w:t>（</w:t>
      </w:r>
      <w:r>
        <w:rPr>
          <w:rFonts w:ascii="宋体" w:hAnsi="宋体" w:cs="宋体" w:eastAsia="宋体" w:hint="default"/>
          <w:spacing w:val="-2"/>
        </w:rPr>
        <w:t>2</w:t>
      </w:r>
      <w:r>
        <w:rPr>
          <w:spacing w:val="-2"/>
        </w:rPr>
        <w:t>）硬件销售合同：指销售硬件并附带销售配套软件或者单独销售硬件的合同，硬件销售合同在硬件或者软硬件组成</w:t>
      </w:r>
      <w:r>
        <w:rPr/>
        <w:t> 的系统经客户验收合格后确认收入。</w:t>
      </w:r>
    </w:p>
    <w:p>
      <w:pPr>
        <w:tabs>
          <w:tab w:pos="1974" w:val="left" w:leader="none"/>
        </w:tabs>
        <w:spacing w:line="302" w:lineRule="auto" w:before="19"/>
        <w:ind w:left="1556" w:right="1167" w:firstLine="0"/>
        <w:jc w:val="left"/>
        <w:rPr>
          <w:rFonts w:ascii="宋体" w:hAnsi="宋体" w:cs="宋体" w:eastAsia="宋体" w:hint="default"/>
          <w:sz w:val="18"/>
          <w:szCs w:val="18"/>
        </w:rPr>
      </w:pPr>
      <w:r>
        <w:rPr>
          <w:rFonts w:ascii="Wingdings" w:hAnsi="Wingdings" w:cs="Wingdings" w:eastAsia="Wingdings" w:hint="default"/>
          <w:sz w:val="18"/>
          <w:szCs w:val="18"/>
        </w:rPr>
        <w:t></w:t>
      </w:r>
      <w:r>
        <w:rPr>
          <w:rFonts w:ascii="Times New Roman" w:hAnsi="Times New Roman" w:cs="Times New Roman" w:eastAsia="Times New Roman" w:hint="default"/>
          <w:sz w:val="18"/>
          <w:szCs w:val="18"/>
        </w:rPr>
        <w:tab/>
      </w:r>
      <w:r>
        <w:rPr>
          <w:rFonts w:ascii="宋体" w:hAnsi="宋体" w:cs="宋体" w:eastAsia="宋体" w:hint="default"/>
          <w:b/>
          <w:bCs/>
          <w:sz w:val="18"/>
          <w:szCs w:val="18"/>
        </w:rPr>
        <w:t>劳务收入确认时间的具体判断标准</w:t>
      </w:r>
      <w:r>
        <w:rPr>
          <w:rFonts w:ascii="宋体" w:hAnsi="宋体" w:cs="宋体" w:eastAsia="宋体" w:hint="default"/>
          <w:b/>
          <w:bCs/>
          <w:w w:val="99"/>
          <w:sz w:val="18"/>
          <w:szCs w:val="18"/>
        </w:rPr>
        <w:t> </w:t>
      </w:r>
      <w:r>
        <w:rPr>
          <w:rFonts w:ascii="宋体" w:hAnsi="宋体" w:cs="宋体" w:eastAsia="宋体" w:hint="default"/>
          <w:sz w:val="18"/>
          <w:szCs w:val="18"/>
        </w:rPr>
        <w:t>在资产负债表日劳务交易的结果能够可靠估计的，采用完工百分比法确认提供劳务收入。本公司根据已经提供的劳务</w:t>
      </w:r>
    </w:p>
    <w:p>
      <w:pPr>
        <w:pStyle w:val="BodyText"/>
        <w:spacing w:line="316" w:lineRule="auto" w:before="29"/>
        <w:ind w:left="1556" w:right="1033" w:hanging="423"/>
        <w:jc w:val="left"/>
      </w:pPr>
      <w:r>
        <w:rPr/>
        <w:t>占应提供劳务总量的比例，确定提供劳务交易的完工进度（完工百分比）。 在资产负债表日提供劳务交易结果不能够可靠估计的，分别下列情况处理： </w:t>
      </w:r>
      <w:r>
        <w:rPr>
          <w:rFonts w:ascii="宋体" w:hAnsi="宋体" w:cs="宋体" w:eastAsia="宋体" w:hint="default"/>
          <w:spacing w:val="-2"/>
        </w:rPr>
        <w:t>A</w:t>
      </w:r>
      <w:r>
        <w:rPr>
          <w:spacing w:val="-2"/>
        </w:rPr>
        <w:t>、已经发生的劳务成本预计能够得到补偿的，按照已经发生的劳务成本金额确认提供劳务收入，并按相同金额结转劳</w:t>
      </w:r>
    </w:p>
    <w:p>
      <w:pPr>
        <w:pStyle w:val="BodyText"/>
        <w:spacing w:line="240" w:lineRule="auto" w:before="19"/>
        <w:ind w:right="1033"/>
        <w:jc w:val="left"/>
      </w:pPr>
      <w:r>
        <w:rPr/>
        <w:t>务成本。</w:t>
      </w:r>
    </w:p>
    <w:p>
      <w:pPr>
        <w:pStyle w:val="BodyText"/>
        <w:spacing w:line="316" w:lineRule="auto" w:before="76"/>
        <w:ind w:left="1556" w:right="1600"/>
        <w:jc w:val="left"/>
      </w:pPr>
      <w:r>
        <w:rPr>
          <w:rFonts w:ascii="宋体" w:hAnsi="宋体" w:cs="宋体" w:eastAsia="宋体" w:hint="default"/>
        </w:rPr>
        <w:t>B</w:t>
      </w:r>
      <w:r>
        <w:rPr/>
        <w:t>、已经发生的劳务成本预计不能够得到补偿的，将已经发生的劳务成本计入当期损益，不确认提供劳务收入。 具体地：</w:t>
      </w:r>
    </w:p>
    <w:p>
      <w:pPr>
        <w:pStyle w:val="BodyText"/>
        <w:spacing w:line="319" w:lineRule="auto" w:before="19"/>
        <w:ind w:left="1134" w:right="1130" w:firstLine="422"/>
        <w:jc w:val="both"/>
      </w:pPr>
      <w:r>
        <w:rPr>
          <w:spacing w:val="-2"/>
        </w:rPr>
        <w:t>（</w:t>
      </w:r>
      <w:r>
        <w:rPr>
          <w:rFonts w:ascii="宋体" w:hAnsi="宋体" w:cs="宋体" w:eastAsia="宋体" w:hint="default"/>
          <w:spacing w:val="-2"/>
        </w:rPr>
        <w:t>1</w:t>
      </w:r>
      <w:r>
        <w:rPr>
          <w:spacing w:val="-2"/>
        </w:rPr>
        <w:t>）增值服务合同：指在公司销售软件的基础上，完成客户特定需求的定制开发合同。增值服务合同按照合同约定的</w:t>
      </w:r>
      <w:r>
        <w:rPr/>
        <w:t> </w:t>
      </w:r>
      <w:r>
        <w:rPr>
          <w:spacing w:val="-2"/>
        </w:rPr>
        <w:t>时间节点和里程碑，取得经客户确认的相关交付、初验、试运行、终验或者项目进度报告等文件时，结合客户付款方式分段</w:t>
      </w:r>
      <w:r>
        <w:rPr>
          <w:spacing w:val="-66"/>
        </w:rPr>
        <w:t> </w:t>
      </w:r>
      <w:r>
        <w:rPr>
          <w:spacing w:val="-66"/>
        </w:rPr>
      </w:r>
      <w:r>
        <w:rPr/>
        <w:t>确认收入。</w:t>
      </w:r>
    </w:p>
    <w:p>
      <w:pPr>
        <w:pStyle w:val="BodyText"/>
        <w:spacing w:line="316" w:lineRule="auto" w:before="17"/>
        <w:ind w:left="1134" w:right="1130" w:firstLine="422"/>
        <w:jc w:val="both"/>
      </w:pPr>
      <w:r>
        <w:rPr>
          <w:spacing w:val="-2"/>
        </w:rPr>
        <w:t>（</w:t>
      </w:r>
      <w:r>
        <w:rPr>
          <w:rFonts w:ascii="宋体" w:hAnsi="宋体" w:cs="宋体" w:eastAsia="宋体" w:hint="default"/>
          <w:spacing w:val="-2"/>
        </w:rPr>
        <w:t>2</w:t>
      </w:r>
      <w:r>
        <w:rPr>
          <w:spacing w:val="-2"/>
        </w:rPr>
        <w:t>）网络优化测试及维保和技术服务，合同约定了服务期限、合同总价，以及以“人日”、“人月”等作为计价结算</w:t>
      </w:r>
      <w:r>
        <w:rPr/>
        <w:t> </w:t>
      </w:r>
      <w:r>
        <w:rPr>
          <w:spacing w:val="-2"/>
        </w:rPr>
        <w:t>方式的，按照合同约定的方式按期结算并确认收入；不以“人日”、“人月”等作为计价结算方式的，根据服务期限按直线</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6" w:right="1150" w:hanging="423"/>
        <w:jc w:val="left"/>
      </w:pPr>
      <w:r>
        <w:rPr/>
        <w:t>法确认收入。如果合同约定按里程碑验收并结算的，则根据客户确认的里程碑分阶段确认收入。 本公司与其他企业签订的合同或协议包括销售商品和提供劳务时，销售商品部分和提供劳务部分能够区分且能够单独</w:t>
      </w:r>
    </w:p>
    <w:p>
      <w:pPr>
        <w:pStyle w:val="BodyText"/>
        <w:spacing w:line="316" w:lineRule="auto" w:before="19"/>
        <w:ind w:right="1033"/>
        <w:jc w:val="left"/>
      </w:pPr>
      <w:r>
        <w:rPr>
          <w:spacing w:val="-2"/>
        </w:rPr>
        <w:t>计量的，将销售商品的部分作为销售商品处理，将提供劳务的部分作为提供劳务处理。销售商品部分和提供劳务部分不能够</w:t>
      </w:r>
      <w:r>
        <w:rPr>
          <w:spacing w:val="-66"/>
        </w:rPr>
        <w:t> </w:t>
      </w:r>
      <w:r>
        <w:rPr>
          <w:spacing w:val="-66"/>
        </w:rPr>
      </w:r>
      <w:r>
        <w:rPr/>
        <w:t>区分，或虽能区分但不能够单独计量的，将销售商品部分和提供劳务部分全部作为销售商品处理。</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24、政府补助" w:id="200"/>
      <w:bookmarkEnd w:id="200"/>
      <w:r>
        <w:rPr>
          <w:b w:val="0"/>
          <w:bCs w:val="0"/>
        </w:rPr>
      </w:r>
      <w:r>
        <w:rPr>
          <w:rFonts w:ascii="Times New Roman" w:hAnsi="Times New Roman" w:cs="Times New Roman" w:eastAsia="Times New Roman" w:hint="default"/>
        </w:rPr>
        <w:t>24</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与资产相关的政府补助判断依据及会计处理方法" w:id="201"/>
      <w:bookmarkEnd w:id="201"/>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56" w:right="1150"/>
        <w:jc w:val="left"/>
      </w:pPr>
      <w:r>
        <w:rPr/>
        <w:t>本公司将政府补助划分为与资产相关的具体标准为：政府补助文件中明确约定该补助金额与长期资产相关。 </w:t>
      </w:r>
      <w:r>
        <w:rPr>
          <w:rFonts w:ascii="宋体" w:hAnsi="宋体" w:cs="宋体" w:eastAsia="宋体" w:hint="default"/>
        </w:rPr>
        <w:t>1</w:t>
      </w:r>
      <w:r>
        <w:rPr/>
        <w:t>、确认时点 与政府补助相关的递延收益，在收到补助金额时确认。与研发项目相关的递延收益，在长期资产折旧，或者摊销时，</w:t>
      </w:r>
    </w:p>
    <w:p>
      <w:pPr>
        <w:pStyle w:val="BodyText"/>
        <w:spacing w:line="316" w:lineRule="auto" w:before="19"/>
        <w:ind w:right="1033"/>
        <w:jc w:val="left"/>
      </w:pPr>
      <w:r>
        <w:rPr>
          <w:spacing w:val="-4"/>
        </w:rPr>
        <w:t>配比转入营业外收入或其他收益。补偿已发生费用、损失的补助，收到时计入营业外收入或其他收益。补偿以后期间的补助，</w:t>
      </w:r>
      <w:r>
        <w:rPr>
          <w:spacing w:val="-46"/>
        </w:rPr>
        <w:t> </w:t>
      </w:r>
      <w:r>
        <w:rPr>
          <w:spacing w:val="-46"/>
        </w:rPr>
      </w:r>
      <w:r>
        <w:rPr/>
        <w:t>于相关费用、损失发生时计入营业外收入或其他收益。</w:t>
      </w:r>
    </w:p>
    <w:p>
      <w:pPr>
        <w:pStyle w:val="BodyText"/>
        <w:spacing w:line="316" w:lineRule="auto" w:before="19"/>
        <w:ind w:left="1556" w:right="1150"/>
        <w:jc w:val="left"/>
      </w:pPr>
      <w:r>
        <w:rPr>
          <w:rFonts w:ascii="宋体" w:hAnsi="宋体" w:cs="宋体" w:eastAsia="宋体" w:hint="default"/>
        </w:rPr>
        <w:t>2</w:t>
      </w:r>
      <w:r>
        <w:rPr/>
        <w:t>、会计处理 与资产相关的政府补助，冲减相关资产账面价值或确认为递延收益。确认为递延收益的，在相关资产使用寿命内按照</w:t>
      </w:r>
    </w:p>
    <w:p>
      <w:pPr>
        <w:pStyle w:val="BodyText"/>
        <w:spacing w:line="316" w:lineRule="auto" w:before="19"/>
        <w:ind w:right="1033"/>
        <w:jc w:val="left"/>
      </w:pPr>
      <w:r>
        <w:rPr>
          <w:spacing w:val="-2"/>
        </w:rPr>
        <w:t>合理、系统的方法分期计入当期损益（与本公司日常活动相关的，计入其他收益；与本公司日常活动无关的，计入营业外收</w:t>
      </w:r>
      <w:r>
        <w:rPr>
          <w:spacing w:val="-66"/>
        </w:rPr>
        <w:t> </w:t>
      </w:r>
      <w:r>
        <w:rPr>
          <w:spacing w:val="-66"/>
        </w:rPr>
      </w:r>
      <w:r>
        <w:rPr/>
        <w:t>入）；</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2）与收益相关的政府补助判断依据及会计处理方法" w:id="202"/>
      <w:bookmarkEnd w:id="202"/>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50" w:firstLine="422"/>
        <w:jc w:val="left"/>
      </w:pPr>
      <w:r>
        <w:rPr/>
        <w:t>本公司将政府补助划分为与收益相关的具体标准为：政府补助文件中除明确约定其补助金额与长期资产相关外的补助 金额，一律作为与收益相关的政府补助。</w:t>
      </w:r>
    </w:p>
    <w:p>
      <w:pPr>
        <w:pStyle w:val="BodyText"/>
        <w:spacing w:line="316" w:lineRule="auto" w:before="17"/>
        <w:ind w:left="1556" w:right="1150"/>
        <w:jc w:val="left"/>
      </w:pPr>
      <w:r>
        <w:rPr>
          <w:rFonts w:ascii="宋体" w:hAnsi="宋体" w:cs="宋体" w:eastAsia="宋体" w:hint="default"/>
        </w:rPr>
        <w:t>1</w:t>
      </w:r>
      <w:r>
        <w:rPr/>
        <w:t>、确认时点 与政府补助相关的递延收益，在收到补助金额时确认。与研发项目相关的递延收益，在长期资产折旧，或者摊销时，</w:t>
      </w:r>
    </w:p>
    <w:p>
      <w:pPr>
        <w:pStyle w:val="BodyText"/>
        <w:spacing w:line="316" w:lineRule="auto" w:before="19"/>
        <w:ind w:right="1033"/>
        <w:jc w:val="left"/>
      </w:pPr>
      <w:r>
        <w:rPr>
          <w:spacing w:val="-4"/>
        </w:rPr>
        <w:t>配比转入营业外收入或其他收益。补偿已发生费用、损失的补助，收到时计入营业外收入或其他收益。补偿以后期间的补助，</w:t>
      </w:r>
      <w:r>
        <w:rPr>
          <w:spacing w:val="-46"/>
        </w:rPr>
        <w:t> </w:t>
      </w:r>
      <w:r>
        <w:rPr>
          <w:spacing w:val="-46"/>
        </w:rPr>
      </w:r>
      <w:r>
        <w:rPr/>
        <w:t>于相关费用、损失发生时计入营业外收入或其他收益。</w:t>
      </w:r>
    </w:p>
    <w:p>
      <w:pPr>
        <w:pStyle w:val="BodyText"/>
        <w:spacing w:line="316" w:lineRule="auto" w:before="19"/>
        <w:ind w:left="1556" w:right="1150"/>
        <w:jc w:val="left"/>
      </w:pPr>
      <w:r>
        <w:rPr>
          <w:rFonts w:ascii="宋体" w:hAnsi="宋体" w:cs="宋体" w:eastAsia="宋体" w:hint="default"/>
        </w:rPr>
        <w:t>2</w:t>
      </w:r>
      <w:r>
        <w:rPr/>
        <w:t>、会计处理 与资产相关的政府补助，冲减相关资产账面价值或确认为递延收益。确认为递延收益的，在相关资产使用寿命内按照</w:t>
      </w:r>
    </w:p>
    <w:p>
      <w:pPr>
        <w:pStyle w:val="BodyText"/>
        <w:spacing w:line="316" w:lineRule="auto" w:before="19"/>
        <w:ind w:right="1033"/>
        <w:jc w:val="left"/>
      </w:pPr>
      <w:r>
        <w:rPr>
          <w:spacing w:val="-2"/>
        </w:rPr>
        <w:t>合理、系统的方法分期计入当期损益（与本公司日常活动相关的，计入其他收益；与本公司日常活动无关的，计入营业外收</w:t>
      </w:r>
      <w:r>
        <w:rPr>
          <w:spacing w:val="-66"/>
        </w:rPr>
        <w:t> </w:t>
      </w:r>
      <w:r>
        <w:rPr>
          <w:spacing w:val="-66"/>
        </w:rPr>
      </w:r>
      <w:r>
        <w:rPr/>
        <w:t>入）；</w:t>
      </w:r>
    </w:p>
    <w:p>
      <w:pPr>
        <w:pStyle w:val="BodyText"/>
        <w:spacing w:line="316" w:lineRule="auto" w:before="19"/>
        <w:ind w:right="1033" w:firstLine="422"/>
        <w:jc w:val="left"/>
      </w:pPr>
      <w:r>
        <w:rPr/>
        <w:t>与收益相关的政府补助，用于补偿本公司以后期间的相关成本费用或损失的，确认为递延收益，并在确认相关成本费 用或损失的期间，计入当期损益（与本公司日常活动相关的，计入其他收益；与本公司日常活动无关的，计入营业外收入） </w:t>
      </w:r>
      <w:r>
        <w:rPr>
          <w:spacing w:val="-2"/>
        </w:rPr>
        <w:t>或冲减相关成本费用或损失；用于补偿本公司已发生的相关成本费用或损失的，直接计入当期损益（与本公司日常活动相关</w:t>
      </w:r>
      <w:r>
        <w:rPr>
          <w:spacing w:val="-66"/>
        </w:rPr>
        <w:t> </w:t>
      </w:r>
      <w:r>
        <w:rPr>
          <w:spacing w:val="-66"/>
        </w:rPr>
      </w:r>
      <w:r>
        <w:rPr/>
        <w:t>的，计入其他收益；与本公司日常活动无关的，计入营业外收入）或冲减相关成本费用或损失。</w:t>
      </w:r>
    </w:p>
    <w:p>
      <w:pPr>
        <w:pStyle w:val="BodyText"/>
        <w:spacing w:line="240" w:lineRule="auto" w:before="19"/>
        <w:ind w:left="1556" w:right="1033"/>
        <w:jc w:val="left"/>
      </w:pPr>
      <w:r>
        <w:rPr/>
        <w:t>本公司取得的政策性优惠贷款贴息，区分以下两种情况，分别进行会计处理：</w:t>
      </w:r>
    </w:p>
    <w:p>
      <w:pPr>
        <w:pStyle w:val="BodyText"/>
        <w:spacing w:line="316" w:lineRule="auto" w:before="76"/>
        <w:ind w:right="1033" w:firstLine="422"/>
        <w:jc w:val="left"/>
      </w:pPr>
      <w:r>
        <w:rPr>
          <w:spacing w:val="-2"/>
        </w:rPr>
        <w:t>（</w:t>
      </w:r>
      <w:r>
        <w:rPr>
          <w:rFonts w:ascii="宋体" w:hAnsi="宋体" w:cs="宋体" w:eastAsia="宋体" w:hint="default"/>
          <w:spacing w:val="-2"/>
        </w:rPr>
        <w:t>1</w:t>
      </w:r>
      <w:r>
        <w:rPr>
          <w:spacing w:val="-2"/>
        </w:rPr>
        <w:t>）财政将贴息资金拨付给贷款银行，由贷款银行以政策性优惠利率向本公司提供贷款的，本公司以实际收到的借款</w:t>
      </w:r>
      <w:r>
        <w:rPr/>
        <w:t> 金额作为借款的入账价值，按照借款本金和该政策性优惠利率计算相关借款费用。</w:t>
      </w:r>
    </w:p>
    <w:p>
      <w:pPr>
        <w:pStyle w:val="BodyText"/>
        <w:spacing w:line="240" w:lineRule="auto" w:before="19"/>
        <w:ind w:left="1556" w:right="1033"/>
        <w:jc w:val="left"/>
      </w:pPr>
      <w:r>
        <w:rPr/>
        <w:t>（</w:t>
      </w:r>
      <w:r>
        <w:rPr>
          <w:rFonts w:ascii="宋体" w:hAnsi="宋体" w:cs="宋体" w:eastAsia="宋体" w:hint="default"/>
        </w:rPr>
        <w:t>2</w:t>
      </w:r>
      <w:r>
        <w:rPr/>
        <w:t>）财政将贴息资金直接拨付给本公司的，本公司将对应的贴息冲减相关借款费用。</w:t>
      </w:r>
    </w:p>
    <w:p>
      <w:pPr>
        <w:spacing w:line="240" w:lineRule="auto" w:before="12"/>
        <w:rPr>
          <w:rFonts w:ascii="宋体" w:hAnsi="宋体" w:cs="宋体" w:eastAsia="宋体" w:hint="default"/>
          <w:sz w:val="26"/>
          <w:szCs w:val="26"/>
        </w:rPr>
      </w:pPr>
    </w:p>
    <w:p>
      <w:pPr>
        <w:pStyle w:val="Heading3"/>
        <w:spacing w:line="240" w:lineRule="auto"/>
        <w:ind w:right="1033"/>
        <w:jc w:val="left"/>
        <w:rPr>
          <w:b w:val="0"/>
          <w:bCs w:val="0"/>
        </w:rPr>
      </w:pPr>
      <w:bookmarkStart w:name="25、递延所得税资产/递延所得税负债" w:id="203"/>
      <w:bookmarkEnd w:id="203"/>
      <w:r>
        <w:rPr>
          <w:b w:val="0"/>
          <w:bCs w:val="0"/>
        </w:rPr>
      </w:r>
      <w:r>
        <w:rPr>
          <w:rFonts w:ascii="Times New Roman" w:hAnsi="Times New Roman" w:cs="Times New Roman" w:eastAsia="Times New Roman" w:hint="default"/>
        </w:rPr>
        <w:t>25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22"/>
        <w:jc w:val="both"/>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6" w:right="1150"/>
        <w:jc w:val="left"/>
      </w:pPr>
      <w:r>
        <w:rPr/>
        <w:t>对于应纳税暂时性差异，除特殊情况外，确认递延所得税负债。 不确认递延所得税资产或递延所得税负债的特殊情况包括：商誉的初始确认；除企业合并以外的发生时既不影响会计</w:t>
      </w:r>
    </w:p>
    <w:p>
      <w:pPr>
        <w:pStyle w:val="BodyText"/>
        <w:spacing w:line="316" w:lineRule="auto" w:before="19"/>
        <w:ind w:left="1556" w:right="1150" w:hanging="423"/>
        <w:jc w:val="left"/>
      </w:pPr>
      <w:r>
        <w:rPr/>
        <w:t>利润也不影响应纳税所得额（或可抵扣亏损）的其他交易或事项。 当拥有以净额结算的法定权利，且意图以净额结算或取得资产、清偿负债同时进行时，当期所得税资产及当期所得税</w:t>
      </w:r>
    </w:p>
    <w:p>
      <w:pPr>
        <w:pStyle w:val="BodyText"/>
        <w:spacing w:line="316" w:lineRule="auto" w:before="19"/>
        <w:ind w:left="1556" w:right="1150" w:hanging="423"/>
        <w:jc w:val="left"/>
      </w:pPr>
      <w:r>
        <w:rPr/>
        <w:t>负债以抵销后的净额列报。 当拥有以净额结算当期所得税资产及当期所得税负债的法定权利，且递延所得税资产及递延所得税负债是与同一税收</w:t>
      </w:r>
    </w:p>
    <w:p>
      <w:pPr>
        <w:pStyle w:val="BodyText"/>
        <w:spacing w:line="316" w:lineRule="auto" w:before="19"/>
        <w:ind w:right="1131"/>
        <w:jc w:val="both"/>
      </w:pP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债转回的期间内，涉及的纳税主体意图以净额结算当期所得税资产和负债或是同时取得资产、清偿负债时，递延所得税资产</w:t>
      </w:r>
      <w:r>
        <w:rPr>
          <w:spacing w:val="-66"/>
        </w:rPr>
        <w:t> </w:t>
      </w:r>
      <w:r>
        <w:rPr>
          <w:spacing w:val="-66"/>
        </w:rPr>
      </w:r>
      <w:r>
        <w:rPr/>
        <w:t>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1033"/>
        <w:jc w:val="left"/>
        <w:rPr>
          <w:b w:val="0"/>
          <w:bCs w:val="0"/>
        </w:rPr>
      </w:pPr>
      <w:bookmarkStart w:name="26、租赁" w:id="204"/>
      <w:bookmarkEnd w:id="204"/>
      <w:r>
        <w:rPr>
          <w:b w:val="0"/>
          <w:bCs w:val="0"/>
        </w:rPr>
      </w:r>
      <w:r>
        <w:rPr>
          <w:rFonts w:ascii="Times New Roman" w:hAnsi="Times New Roman" w:cs="Times New Roman" w:eastAsia="Times New Roman" w:hint="default"/>
        </w:rPr>
        <w:t>26</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经营租赁的会计处理方法" w:id="205"/>
      <w:bookmarkEnd w:id="20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1" w:firstLine="422"/>
        <w:jc w:val="both"/>
      </w:pPr>
      <w:r>
        <w:rPr>
          <w:spacing w:val="-2"/>
        </w:rPr>
        <w:t>（</w:t>
      </w:r>
      <w:r>
        <w:rPr>
          <w:rFonts w:ascii="宋体" w:hAnsi="宋体" w:cs="宋体" w:eastAsia="宋体" w:hint="default"/>
          <w:spacing w:val="-2"/>
        </w:rPr>
        <w:t>1</w:t>
      </w:r>
      <w:r>
        <w:rPr>
          <w:spacing w:val="-2"/>
        </w:rPr>
        <w:t>）公司租入资产所支付的租赁费，在不扣除免租期的整个租赁期内，按直线法进行分摊，计入当期费用。公司支付</w:t>
      </w:r>
      <w:r>
        <w:rPr/>
        <w:t> 的与租赁交易相关的初始直接费用，计入当期费用。</w:t>
      </w:r>
    </w:p>
    <w:p>
      <w:pPr>
        <w:pStyle w:val="BodyText"/>
        <w:spacing w:line="316" w:lineRule="auto" w:before="19"/>
        <w:ind w:left="1134" w:right="1169" w:firstLine="422"/>
        <w:jc w:val="both"/>
      </w:pPr>
      <w:r>
        <w:rPr/>
        <w:t>资产出租方承担了应由公司承担的与租赁相关的费用时，公司将该部分费用从租金总额中扣除，按扣除后的租金费用 在租赁期内分摊，计入当期费用。</w:t>
      </w:r>
    </w:p>
    <w:p>
      <w:pPr>
        <w:pStyle w:val="BodyText"/>
        <w:spacing w:line="316" w:lineRule="auto" w:before="19"/>
        <w:ind w:left="1134" w:right="1131" w:firstLine="422"/>
        <w:jc w:val="both"/>
      </w:pPr>
      <w:r>
        <w:rPr>
          <w:spacing w:val="-2"/>
        </w:rPr>
        <w:t>（</w:t>
      </w:r>
      <w:r>
        <w:rPr>
          <w:rFonts w:ascii="宋体" w:hAnsi="宋体" w:cs="宋体" w:eastAsia="宋体" w:hint="default"/>
          <w:spacing w:val="-2"/>
        </w:rPr>
        <w:t>2</w:t>
      </w:r>
      <w:r>
        <w:rPr>
          <w:spacing w:val="-2"/>
        </w:rPr>
        <w:t>）公司出租资产所收取的租赁费，在不扣除免租期的整个租赁期内，按直线法进行分摊，确认为租赁相关收入。公</w:t>
      </w:r>
      <w:r>
        <w:rPr/>
        <w:t> </w:t>
      </w:r>
      <w:r>
        <w:rPr>
          <w:spacing w:val="-2"/>
        </w:rPr>
        <w:t>司支付的与租赁交易相关的初始直接费用，计入当期费用；如金额较大的，则予以资本化，在整个租赁期间内按照与租赁相</w:t>
      </w:r>
      <w:r>
        <w:rPr>
          <w:spacing w:val="-66"/>
        </w:rPr>
        <w:t> </w:t>
      </w:r>
      <w:r>
        <w:rPr>
          <w:spacing w:val="-66"/>
        </w:rPr>
      </w:r>
      <w:r>
        <w:rPr/>
        <w:t>关收入确认相同的基础分期计入当期收益。</w:t>
      </w:r>
    </w:p>
    <w:p>
      <w:pPr>
        <w:pStyle w:val="BodyText"/>
        <w:spacing w:line="319" w:lineRule="auto" w:before="19"/>
        <w:ind w:left="1134" w:right="1169" w:firstLine="422"/>
        <w:jc w:val="both"/>
      </w:pPr>
      <w:r>
        <w:rPr/>
        <w:t>公司承担了应由承租方承担的与租赁相关的费用时，公司将该部分费用从租金收入总额中扣除，按扣除后的租金费用 在租赁期内分配。</w:t>
      </w:r>
    </w:p>
    <w:p>
      <w:pPr>
        <w:spacing w:line="240" w:lineRule="auto" w:before="5"/>
        <w:rPr>
          <w:rFonts w:ascii="宋体" w:hAnsi="宋体" w:cs="宋体" w:eastAsia="宋体" w:hint="default"/>
          <w:sz w:val="22"/>
          <w:szCs w:val="22"/>
        </w:rPr>
      </w:pPr>
    </w:p>
    <w:p>
      <w:pPr>
        <w:pStyle w:val="Heading3"/>
        <w:spacing w:line="240" w:lineRule="auto"/>
        <w:ind w:left="1134" w:right="1033"/>
        <w:jc w:val="left"/>
        <w:rPr>
          <w:b w:val="0"/>
          <w:bCs w:val="0"/>
        </w:rPr>
      </w:pPr>
      <w:bookmarkStart w:name="27、重要会计政策和会计估计变更" w:id="206"/>
      <w:bookmarkEnd w:id="206"/>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重要会计政策变更" w:id="207"/>
      <w:bookmarkEnd w:id="20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）与本公司日常活动相关的政府补 助，计入其他收益，不再计入营业外收 入。比较数据不调整。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31,022,068.89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 </w:t>
            </w:r>
            <w:r>
              <w:rPr>
                <w:rFonts w:ascii="宋体" w:hAnsi="宋体" w:cs="宋体" w:eastAsia="宋体" w:hint="default"/>
                <w:spacing w:val="-5"/>
                <w:w w:val="100"/>
                <w:sz w:val="18"/>
                <w:szCs w:val="18"/>
              </w:rPr>
              <w:t>目，将部分原列示为</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营业外收入</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的资产</w:t>
            </w:r>
            <w:r>
              <w:rPr>
                <w:rFonts w:ascii="宋体" w:hAnsi="宋体" w:cs="宋体" w:eastAsia="宋体" w:hint="default"/>
                <w:spacing w:val="-82"/>
                <w:w w:val="100"/>
                <w:sz w:val="18"/>
                <w:szCs w:val="18"/>
              </w:rPr>
              <w:t> </w:t>
            </w:r>
            <w:r>
              <w:rPr>
                <w:rFonts w:ascii="宋体" w:hAnsi="宋体" w:cs="宋体" w:eastAsia="宋体" w:hint="default"/>
                <w:sz w:val="18"/>
                <w:szCs w:val="18"/>
              </w:rPr>
              <w:t>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 比较数据不相应调整。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董事会</w:t>
            </w:r>
          </w:p>
          <w:p>
            <w:pPr>
              <w:pStyle w:val="TableParagraph"/>
              <w:spacing w:line="195"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95"/>
              <w:jc w:val="left"/>
              <w:rPr>
                <w:rFonts w:ascii="宋体" w:hAnsi="宋体" w:cs="宋体" w:eastAsia="宋体" w:hint="default"/>
                <w:sz w:val="18"/>
                <w:szCs w:val="18"/>
              </w:rPr>
            </w:pPr>
            <w:r>
              <w:rPr>
                <w:rFonts w:ascii="宋体" w:hAnsi="宋体" w:cs="宋体" w:eastAsia="宋体" w:hint="default"/>
                <w:sz w:val="18"/>
                <w:szCs w:val="18"/>
              </w:rPr>
              <w:t>本期营业外支出减少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183,484.06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元，重 分类至资产处置收益。</w:t>
            </w:r>
          </w:p>
        </w:tc>
      </w:tr>
    </w:tbl>
    <w:p>
      <w:pPr>
        <w:pStyle w:val="BodyText"/>
        <w:spacing w:line="316" w:lineRule="auto" w:before="10"/>
        <w:ind w:right="1241" w:firstLine="422"/>
        <w:jc w:val="left"/>
      </w:pPr>
      <w:r>
        <w:rPr/>
        <w:pict>
          <v:group style="position:absolute;margin-left:216.5pt;margin-top:-44.098286pt;width:159pt;height:43.6pt;mso-position-horizontal-relative:page;mso-position-vertical-relative:paragraph;z-index:-1031296" coordorigin="4330,-882" coordsize="3180,872">
            <v:group style="position:absolute;left:4341;top:-871;width:2;height:393" coordorigin="4341,-871" coordsize="2,393">
              <v:shape style="position:absolute;left:4341;top:-871;width:2;height:393" coordorigin="4341,-871" coordsize="0,393" path="m4341,-871l4341,-478e" filled="false" stroked="true" strokeweight="1.140pt" strokecolor="#ffffff">
                <v:path arrowok="t"/>
              </v:shape>
            </v:group>
            <v:group style="position:absolute;left:4330;top:-478;width:3180;height:468" coordorigin="4330,-478" coordsize="3180,468">
              <v:shape style="position:absolute;left:4330;top:-478;width:3180;height:468" coordorigin="4330,-478" coordsize="3180,468" path="m4330,-10l7509,-10,7509,-478,4330,-478,4330,-10xe" filled="true" fillcolor="#ffffff" stroked="false">
                <v:path arrowok="t"/>
                <v:fill type="solid"/>
              </v:shape>
            </v:group>
            <v:group style="position:absolute;left:4353;top:-871;width:3134;height:393" coordorigin="4353,-871" coordsize="3134,393">
              <v:shape style="position:absolute;left:4353;top:-871;width:3134;height:393" coordorigin="4353,-871" coordsize="3134,393" path="m4353,-478l7486,-478,7486,-871,4353,-871,4353,-478xe" filled="true" fillcolor="#ffffff" stroked="false">
                <v:path arrowok="t"/>
                <v:fill type="solid"/>
              </v:shape>
            </v:group>
            <w10:wrap type="none"/>
          </v:group>
        </w:pict>
      </w:r>
      <w:r>
        <w:rPr/>
        <w:t>财政部于</w:t>
      </w:r>
      <w:r>
        <w:rPr>
          <w:rFonts w:ascii="宋体" w:hAnsi="宋体" w:cs="宋体" w:eastAsia="宋体" w:hint="default"/>
        </w:rPr>
        <w:t>2017</w:t>
      </w:r>
      <w:r>
        <w:rPr/>
        <w:t>年度发布了《企业会计准则第</w:t>
      </w:r>
      <w:r>
        <w:rPr>
          <w:rFonts w:ascii="宋体" w:hAnsi="宋体" w:cs="宋体" w:eastAsia="宋体" w:hint="default"/>
        </w:rPr>
        <w:t>42</w:t>
      </w:r>
      <w:r>
        <w:rPr/>
        <w:t>号——持有待售的非流动资产、处置组和终止经营》，自</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28 </w:t>
      </w:r>
      <w:r>
        <w:rPr/>
        <w:t>日起施行，对于施行日存在的持有待售的非流动资产、处置组和终止经营，要求采用未来适用法处理。</w:t>
      </w:r>
    </w:p>
    <w:p>
      <w:pPr>
        <w:pStyle w:val="BodyText"/>
        <w:spacing w:line="316" w:lineRule="auto" w:before="19"/>
        <w:ind w:right="1033" w:firstLine="422"/>
        <w:jc w:val="left"/>
      </w:pPr>
      <w:r>
        <w:rPr/>
        <w:t>财政部于</w:t>
      </w:r>
      <w:r>
        <w:rPr>
          <w:rFonts w:ascii="宋体" w:hAnsi="宋体" w:cs="宋体" w:eastAsia="宋体" w:hint="default"/>
        </w:rPr>
        <w:t>2017</w:t>
      </w:r>
      <w:r>
        <w:rPr/>
        <w:t>年度修订了《企业会计准则第</w:t>
      </w:r>
      <w:r>
        <w:rPr>
          <w:rFonts w:ascii="宋体" w:hAnsi="宋体" w:cs="宋体" w:eastAsia="宋体" w:hint="default"/>
        </w:rPr>
        <w:t>16</w:t>
      </w:r>
      <w:r>
        <w:rPr/>
        <w:t>号——政府补助》，修订后的准则自</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日起施行，对于</w:t>
      </w:r>
      <w:r>
        <w:rPr>
          <w:rFonts w:ascii="宋体" w:hAnsi="宋体" w:cs="宋体" w:eastAsia="宋体" w:hint="default"/>
        </w:rPr>
        <w:t>2017 </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日存在的政府补助，要求采用未来适用法处理；对于</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日至施行日新增的政府补助，也要求按照修订后的准</w:t>
      </w:r>
      <w:r>
        <w:rPr>
          <w:spacing w:val="-58"/>
        </w:rPr>
        <w:t> </w:t>
      </w:r>
      <w:r>
        <w:rPr>
          <w:spacing w:val="-58"/>
        </w:rPr>
      </w:r>
      <w:r>
        <w:rPr/>
        <w:t>则进行调整。</w:t>
      </w:r>
    </w:p>
    <w:p>
      <w:pPr>
        <w:pStyle w:val="BodyText"/>
        <w:spacing w:line="316" w:lineRule="auto" w:before="19"/>
        <w:ind w:left="1134" w:right="1150" w:firstLine="422"/>
        <w:jc w:val="left"/>
      </w:pPr>
      <w:r>
        <w:rPr/>
        <w:t>财政部于</w:t>
      </w:r>
      <w:r>
        <w:rPr>
          <w:rFonts w:ascii="宋体" w:hAnsi="宋体" w:cs="宋体" w:eastAsia="宋体" w:hint="default"/>
        </w:rPr>
        <w:t>2017</w:t>
      </w:r>
      <w:r>
        <w:rPr/>
        <w:t>年度发布了《财政部关于修订印发一般企业财务报表格式的通知》，对一般企业财务报表格式进行了修 订，适用于</w:t>
      </w:r>
      <w:r>
        <w:rPr>
          <w:rFonts w:ascii="宋体" w:hAnsi="宋体" w:cs="宋体" w:eastAsia="宋体" w:hint="default"/>
        </w:rPr>
        <w:t>2017</w:t>
      </w:r>
      <w:r>
        <w:rPr/>
        <w:t>年度及以后期间的财务报表。</w:t>
      </w:r>
    </w:p>
    <w:p>
      <w:pPr>
        <w:spacing w:after="0" w:line="31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1033"/>
        <w:jc w:val="left"/>
        <w:rPr>
          <w:b w:val="0"/>
          <w:bCs w:val="0"/>
        </w:rPr>
      </w:pPr>
      <w:bookmarkStart w:name="（2）重要会计估计变更" w:id="208"/>
      <w:bookmarkEnd w:id="20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33"/>
        <w:jc w:val="left"/>
        <w:rPr>
          <w:b w:val="0"/>
          <w:bCs w:val="0"/>
        </w:rPr>
      </w:pPr>
      <w:bookmarkStart w:name="六、税项" w:id="209"/>
      <w:bookmarkEnd w:id="209"/>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主要税种及税率" w:id="210"/>
      <w:bookmarkEnd w:id="21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128"/>
        <w:gridCol w:w="5671"/>
        <w:gridCol w:w="1771"/>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2" w:hRule="exact"/>
        </w:trPr>
        <w:tc>
          <w:tcPr>
            <w:tcW w:w="2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1"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56"/>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按税法规定计算的销售货物和应税劳务收入为基础计算销项税额，在扣 除当期允许抵扣的进项税额后，差额部分为应交增值税</w:t>
            </w: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1" w:hRule="exact"/>
        </w:trPr>
        <w:tc>
          <w:tcPr>
            <w:tcW w:w="21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671" w:type="dxa"/>
            <w:vMerge/>
            <w:tcBorders>
              <w:left w:val="single" w:sz="9" w:space="0" w:color="D2D2D2"/>
              <w:right w:val="single" w:sz="4" w:space="0" w:color="000000"/>
            </w:tcBorders>
          </w:tcPr>
          <w:p>
            <w:pPr/>
          </w:p>
        </w:tc>
        <w:tc>
          <w:tcPr>
            <w:tcW w:w="1771" w:type="dxa"/>
            <w:vMerge/>
            <w:tcBorders>
              <w:left w:val="single" w:sz="4" w:space="0" w:color="000000"/>
              <w:right w:val="single" w:sz="4" w:space="0" w:color="000000"/>
            </w:tcBorders>
          </w:tcPr>
          <w:p>
            <w:pPr/>
          </w:p>
        </w:tc>
      </w:tr>
      <w:tr>
        <w:trPr>
          <w:trHeight w:val="161" w:hRule="exact"/>
        </w:trPr>
        <w:tc>
          <w:tcPr>
            <w:tcW w:w="2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1" w:type="dxa"/>
            <w:vMerge/>
            <w:tcBorders>
              <w:left w:val="single" w:sz="9" w:space="0" w:color="D2D2D2"/>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6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6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按实际缴纳的增值税计缴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134" w:right="1033"/>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成都东方通科技有限责任公司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上海东方通泰软件科技有限公司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北京惠捷朗科技有限公司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北京微智信业科技有限公司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北京东方通宇技术有限公司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北京数字天堂信息科技有限责任公司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东方通科技无锡有限公司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税收优惠" w:id="211"/>
      <w:bookmarkEnd w:id="21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tabs>
          <w:tab w:pos="2155" w:val="left" w:leader="none"/>
        </w:tabs>
        <w:spacing w:line="302" w:lineRule="auto"/>
        <w:ind w:left="1556" w:right="1136"/>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增值税</w:t>
      </w:r>
      <w:r>
        <w:rPr>
          <w:rFonts w:ascii="宋体" w:hAnsi="宋体" w:cs="宋体" w:eastAsia="宋体" w:hint="default"/>
          <w:b/>
          <w:bCs/>
          <w:w w:val="99"/>
        </w:rPr>
        <w:t> </w:t>
      </w:r>
      <w:r>
        <w:rPr>
          <w:spacing w:val="-2"/>
        </w:rPr>
        <w:t>根据《国务院关于印发进一步鼓励软件产业和集成电路产业发展若干政策的通知》（国发</w:t>
      </w:r>
      <w:r>
        <w:rPr>
          <w:rFonts w:ascii="宋体" w:hAnsi="宋体" w:cs="宋体" w:eastAsia="宋体" w:hint="default"/>
          <w:spacing w:val="-2"/>
        </w:rPr>
        <w:t>[2011]4</w:t>
      </w:r>
      <w:r>
        <w:rPr>
          <w:spacing w:val="-2"/>
        </w:rPr>
        <w:t>号）及《财政部、国</w:t>
      </w:r>
    </w:p>
    <w:p>
      <w:pPr>
        <w:pStyle w:val="BodyText"/>
        <w:spacing w:line="316" w:lineRule="auto" w:before="29"/>
        <w:ind w:right="1033"/>
        <w:jc w:val="left"/>
      </w:pPr>
      <w:r>
        <w:rPr>
          <w:spacing w:val="-2"/>
        </w:rPr>
        <w:t>家税务总局关于软件产品增值税政策的通知》（财税</w:t>
      </w:r>
      <w:r>
        <w:rPr>
          <w:rFonts w:ascii="宋体" w:hAnsi="宋体" w:cs="宋体" w:eastAsia="宋体" w:hint="default"/>
          <w:spacing w:val="-2"/>
        </w:rPr>
        <w:t>[2011]100</w:t>
      </w:r>
      <w:r>
        <w:rPr>
          <w:spacing w:val="-2"/>
        </w:rPr>
        <w:t>号）的规定，本公司及子公司销售自行开发生产的软件产品，</w:t>
      </w:r>
      <w:r>
        <w:rPr>
          <w:spacing w:val="-55"/>
        </w:rPr>
        <w:t> </w:t>
      </w:r>
      <w:r>
        <w:rPr>
          <w:spacing w:val="-55"/>
        </w:rPr>
      </w:r>
      <w:r>
        <w:rPr/>
        <w:t>按</w:t>
      </w:r>
      <w:r>
        <w:rPr>
          <w:rFonts w:ascii="宋体" w:hAnsi="宋体" w:cs="宋体" w:eastAsia="宋体" w:hint="default"/>
        </w:rPr>
        <w:t>17%</w:t>
      </w:r>
      <w:r>
        <w:rPr/>
        <w:t>的法定税率征收增值税后，享受增值税实际税负超过</w:t>
      </w:r>
      <w:r>
        <w:rPr>
          <w:rFonts w:ascii="宋体" w:hAnsi="宋体" w:cs="宋体" w:eastAsia="宋体" w:hint="default"/>
        </w:rPr>
        <w:t>3%</w:t>
      </w:r>
      <w:r>
        <w:rPr/>
        <w:t>的部分即征即退的优惠政策。</w:t>
      </w:r>
    </w:p>
    <w:p>
      <w:pPr>
        <w:pStyle w:val="BodyText"/>
        <w:tabs>
          <w:tab w:pos="1974" w:val="left" w:leader="none"/>
        </w:tabs>
        <w:spacing w:line="302" w:lineRule="auto" w:before="19"/>
        <w:ind w:left="1556" w:right="1130"/>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88"/>
        </w:rPr>
        <w:t> </w:t>
      </w:r>
      <w:r>
        <w:rPr>
          <w:rFonts w:ascii="宋体" w:hAnsi="宋体" w:cs="宋体" w:eastAsia="宋体" w:hint="default"/>
          <w:b/>
          <w:bCs/>
        </w:rPr>
        <w:t>所得税</w:t>
      </w:r>
      <w:r>
        <w:rPr>
          <w:rFonts w:ascii="宋体" w:hAnsi="宋体" w:cs="宋体" w:eastAsia="宋体" w:hint="default"/>
          <w:b/>
          <w:bCs/>
          <w:w w:val="99"/>
        </w:rPr>
        <w:t> </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10</w:t>
      </w:r>
      <w:r>
        <w:rPr>
          <w:spacing w:val="-1"/>
        </w:rPr>
        <w:t>日，本公司被北京市科学技术委员会、北京市财政局、北京市国家税务局、北京市地方税务局认定为高新</w:t>
      </w:r>
    </w:p>
    <w:p>
      <w:pPr>
        <w:pStyle w:val="BodyText"/>
        <w:spacing w:line="316" w:lineRule="auto" w:before="29"/>
        <w:ind w:left="1556" w:right="1115" w:hanging="423"/>
        <w:jc w:val="left"/>
      </w:pPr>
      <w:r>
        <w:rPr/>
        <w:t>技术企业，有效期三年，自</w:t>
      </w:r>
      <w:r>
        <w:rPr>
          <w:rFonts w:ascii="宋体" w:hAnsi="宋体" w:cs="宋体" w:eastAsia="宋体" w:hint="default"/>
        </w:rPr>
        <w:t>2017</w:t>
      </w:r>
      <w:r>
        <w:rPr/>
        <w:t>年开始减按</w:t>
      </w:r>
      <w:r>
        <w:rPr>
          <w:rFonts w:ascii="宋体" w:hAnsi="宋体" w:cs="宋体" w:eastAsia="宋体" w:hint="default"/>
        </w:rPr>
        <w:t>15%</w:t>
      </w:r>
      <w:r>
        <w:rPr/>
        <w:t>税率征收企业所得税。 </w:t>
      </w:r>
      <w:r>
        <w:rPr>
          <w:spacing w:val="-1"/>
        </w:rPr>
        <w:t>上海东方通泰软件科技有限公司于</w:t>
      </w:r>
      <w:r>
        <w:rPr>
          <w:rFonts w:ascii="宋体" w:hAnsi="宋体" w:cs="宋体" w:eastAsia="宋体" w:hint="default"/>
          <w:spacing w:val="-1"/>
        </w:rPr>
        <w:t>2015</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19</w:t>
      </w:r>
      <w:r>
        <w:rPr>
          <w:spacing w:val="-1"/>
        </w:rPr>
        <w:t>日被上海市科学技术委员会、上海市财政局、上海市国家税务局、上海</w:t>
      </w:r>
    </w:p>
    <w:p>
      <w:pPr>
        <w:pStyle w:val="BodyText"/>
        <w:spacing w:line="316" w:lineRule="auto" w:before="19"/>
        <w:ind w:left="1556" w:right="1115" w:hanging="423"/>
        <w:jc w:val="left"/>
      </w:pPr>
      <w:r>
        <w:rPr/>
        <w:t>市地方税务局认定为高新技术企业，有效期三年，自</w:t>
      </w:r>
      <w:r>
        <w:rPr>
          <w:rFonts w:ascii="宋体" w:hAnsi="宋体" w:cs="宋体" w:eastAsia="宋体" w:hint="default"/>
        </w:rPr>
        <w:t>2015</w:t>
      </w:r>
      <w:r>
        <w:rPr/>
        <w:t>年开始减按</w:t>
      </w:r>
      <w:r>
        <w:rPr>
          <w:rFonts w:ascii="宋体" w:hAnsi="宋体" w:cs="宋体" w:eastAsia="宋体" w:hint="default"/>
        </w:rPr>
        <w:t>15%</w:t>
      </w:r>
      <w:r>
        <w:rPr/>
        <w:t>税率征收企业所得税。 </w:t>
      </w:r>
      <w:r>
        <w:rPr>
          <w:spacing w:val="-1"/>
        </w:rPr>
        <w:t>北京惠捷朗科技有限公司于</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10</w:t>
      </w:r>
      <w:r>
        <w:rPr>
          <w:spacing w:val="-1"/>
        </w:rPr>
        <w:t>日被北京市科学技术委员会、北京市财政局、北京市国家税务局、北京市地方</w:t>
      </w:r>
    </w:p>
    <w:p>
      <w:pPr>
        <w:pStyle w:val="BodyText"/>
        <w:spacing w:line="316" w:lineRule="auto" w:before="19"/>
        <w:ind w:left="1556" w:right="1026" w:hanging="423"/>
        <w:jc w:val="left"/>
      </w:pPr>
      <w:r>
        <w:rPr/>
        <w:t>税务局认定为高新技术企业，有效期三年。自</w:t>
      </w:r>
      <w:r>
        <w:rPr>
          <w:rFonts w:ascii="宋体" w:hAnsi="宋体" w:cs="宋体" w:eastAsia="宋体" w:hint="default"/>
        </w:rPr>
        <w:t>2017</w:t>
      </w:r>
      <w:r>
        <w:rPr/>
        <w:t>年减按</w:t>
      </w:r>
      <w:r>
        <w:rPr>
          <w:rFonts w:ascii="宋体" w:hAnsi="宋体" w:cs="宋体" w:eastAsia="宋体" w:hint="default"/>
        </w:rPr>
        <w:t>15%</w:t>
      </w:r>
      <w:r>
        <w:rPr/>
        <w:t>税率缴纳企业所得税。 </w:t>
      </w:r>
      <w:r>
        <w:rPr>
          <w:spacing w:val="-1"/>
        </w:rPr>
        <w:t>北京数字天堂信息科技有限责任公司于</w:t>
      </w:r>
      <w:r>
        <w:rPr>
          <w:rFonts w:ascii="宋体" w:hAnsi="宋体" w:cs="宋体" w:eastAsia="宋体" w:hint="default"/>
          <w:spacing w:val="-1"/>
        </w:rPr>
        <w:t>2015</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24</w:t>
      </w:r>
      <w:r>
        <w:rPr>
          <w:spacing w:val="-1"/>
        </w:rPr>
        <w:t>日被北京市科学技术委员会、北京市财政局、北京市国家税务局、</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556" w:right="1115" w:hanging="423"/>
        <w:jc w:val="left"/>
      </w:pPr>
      <w:r>
        <w:rPr/>
        <w:t>北京市地方税务局认定为高新技术企业，有效期三年。自</w:t>
      </w:r>
      <w:r>
        <w:rPr>
          <w:rFonts w:ascii="宋体" w:hAnsi="宋体" w:cs="宋体" w:eastAsia="宋体" w:hint="default"/>
        </w:rPr>
        <w:t>2015</w:t>
      </w:r>
      <w:r>
        <w:rPr/>
        <w:t>年减按</w:t>
      </w:r>
      <w:r>
        <w:rPr>
          <w:rFonts w:ascii="宋体" w:hAnsi="宋体" w:cs="宋体" w:eastAsia="宋体" w:hint="default"/>
        </w:rPr>
        <w:t>15%</w:t>
      </w:r>
      <w:r>
        <w:rPr/>
        <w:t>税率缴纳企业所得税。 </w:t>
      </w:r>
      <w:r>
        <w:rPr>
          <w:spacing w:val="-1"/>
        </w:rPr>
        <w:t>北京微智信业科技有限公司于</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10</w:t>
      </w:r>
      <w:r>
        <w:rPr>
          <w:spacing w:val="-1"/>
        </w:rPr>
        <w:t>日被北京市科学技术委员会、北京市财政局、北京市国家税务局、北京市地</w:t>
      </w:r>
    </w:p>
    <w:p>
      <w:pPr>
        <w:pStyle w:val="BodyText"/>
        <w:spacing w:line="240" w:lineRule="auto" w:before="19"/>
        <w:ind w:left="1134" w:right="1033"/>
        <w:jc w:val="left"/>
      </w:pPr>
      <w:r>
        <w:rPr/>
        <w:t>方税务局认定为高新技术企业，</w:t>
      </w:r>
      <w:r>
        <w:rPr>
          <w:rFonts w:ascii="宋体" w:hAnsi="宋体" w:cs="宋体" w:eastAsia="宋体" w:hint="default"/>
        </w:rPr>
        <w:t>2017</w:t>
      </w:r>
      <w:r>
        <w:rPr/>
        <w:t>年至</w:t>
      </w:r>
      <w:r>
        <w:rPr>
          <w:rFonts w:ascii="宋体" w:hAnsi="宋体" w:cs="宋体" w:eastAsia="宋体" w:hint="default"/>
        </w:rPr>
        <w:t>2019</w:t>
      </w:r>
      <w:r>
        <w:rPr/>
        <w:t>年可减按</w:t>
      </w:r>
      <w:r>
        <w:rPr>
          <w:rFonts w:ascii="宋体" w:hAnsi="宋体" w:cs="宋体" w:eastAsia="宋体" w:hint="default"/>
        </w:rPr>
        <w:t>15%</w:t>
      </w:r>
      <w:r>
        <w:rPr/>
        <w:t>的税率计算缴纳企业所得税。</w:t>
      </w:r>
    </w:p>
    <w:p>
      <w:pPr>
        <w:spacing w:line="240" w:lineRule="auto" w:before="2"/>
        <w:rPr>
          <w:rFonts w:ascii="宋体" w:hAnsi="宋体" w:cs="宋体" w:eastAsia="宋体" w:hint="default"/>
          <w:sz w:val="25"/>
          <w:szCs w:val="25"/>
        </w:rPr>
      </w:pPr>
    </w:p>
    <w:p>
      <w:pPr>
        <w:pStyle w:val="Heading2"/>
        <w:spacing w:line="240" w:lineRule="auto"/>
        <w:ind w:right="1033"/>
        <w:jc w:val="left"/>
        <w:rPr>
          <w:b w:val="0"/>
          <w:bCs w:val="0"/>
        </w:rPr>
      </w:pPr>
      <w:bookmarkStart w:name="七、合并财务报表项目注释" w:id="212"/>
      <w:bookmarkEnd w:id="212"/>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货币资金" w:id="213"/>
      <w:bookmarkEnd w:id="21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30,084.66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86,035.01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593,649,204.93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655,613,339.10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4,944,842.11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3,878,382.87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598,624,131.70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659,577,756.98</w:t>
            </w:r>
          </w:p>
        </w:tc>
      </w:tr>
    </w:tbl>
    <w:p>
      <w:pPr>
        <w:pStyle w:val="BodyText"/>
        <w:spacing w:line="240" w:lineRule="auto" w:before="51"/>
        <w:ind w:left="1134" w:right="1033"/>
        <w:jc w:val="left"/>
      </w:pPr>
      <w:r>
        <w:rPr/>
        <w:t>其他说明</w:t>
      </w:r>
    </w:p>
    <w:p>
      <w:pPr>
        <w:spacing w:before="89"/>
        <w:ind w:left="1848" w:right="1033" w:firstLine="0"/>
        <w:jc w:val="left"/>
        <w:rPr>
          <w:rFonts w:ascii="宋体" w:hAnsi="宋体" w:cs="宋体" w:eastAsia="宋体" w:hint="default"/>
          <w:sz w:val="21"/>
          <w:szCs w:val="21"/>
        </w:rPr>
      </w:pPr>
      <w:r>
        <w:rPr>
          <w:rFonts w:ascii="宋体" w:hAnsi="宋体" w:cs="宋体" w:eastAsia="宋体" w:hint="default"/>
          <w:sz w:val="21"/>
          <w:szCs w:val="21"/>
        </w:rPr>
        <w:t>受到限制的货币资金明细如下：</w:t>
      </w:r>
    </w:p>
    <w:p>
      <w:pPr>
        <w:spacing w:line="240" w:lineRule="auto" w:before="11"/>
        <w:rPr>
          <w:rFonts w:ascii="宋体" w:hAnsi="宋体" w:cs="宋体" w:eastAsia="宋体" w:hint="default"/>
          <w:sz w:val="27"/>
          <w:szCs w:val="27"/>
        </w:rPr>
      </w:pPr>
    </w:p>
    <w:tbl>
      <w:tblPr>
        <w:tblW w:w="0" w:type="auto"/>
        <w:jc w:val="left"/>
        <w:tblInd w:w="1119" w:type="dxa"/>
        <w:tblLayout w:type="fixed"/>
        <w:tblCellMar>
          <w:top w:w="0" w:type="dxa"/>
          <w:left w:w="0" w:type="dxa"/>
          <w:bottom w:w="0" w:type="dxa"/>
          <w:right w:w="0" w:type="dxa"/>
        </w:tblCellMar>
        <w:tblLook w:val="01E0"/>
      </w:tblPr>
      <w:tblGrid>
        <w:gridCol w:w="3696"/>
        <w:gridCol w:w="3703"/>
        <w:gridCol w:w="2260"/>
      </w:tblGrid>
      <w:tr>
        <w:trPr>
          <w:trHeight w:val="342" w:hRule="exact"/>
        </w:trPr>
        <w:tc>
          <w:tcPr>
            <w:tcW w:w="3696" w:type="dxa"/>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240" w:lineRule="auto" w:before="21"/>
              <w:ind w:right="1450"/>
              <w:jc w:val="right"/>
              <w:rPr>
                <w:rFonts w:ascii="宋体" w:hAnsi="宋体" w:cs="宋体" w:eastAsia="宋体" w:hint="default"/>
                <w:sz w:val="18"/>
                <w:szCs w:val="18"/>
              </w:rPr>
            </w:pPr>
            <w:r>
              <w:rPr>
                <w:rFonts w:ascii="宋体" w:hAnsi="宋体" w:cs="宋体" w:eastAsia="宋体" w:hint="default"/>
                <w:sz w:val="18"/>
                <w:szCs w:val="18"/>
              </w:rPr>
              <w:t>项目</w:t>
            </w:r>
          </w:p>
        </w:tc>
        <w:tc>
          <w:tcPr>
            <w:tcW w:w="3703" w:type="dxa"/>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240" w:lineRule="auto" w:before="21"/>
              <w:ind w:right="7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60" w:type="dxa"/>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240" w:lineRule="auto" w:before="21"/>
              <w:ind w:left="516"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3696"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703"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514"/>
              <w:jc w:val="right"/>
              <w:rPr>
                <w:rFonts w:ascii="Times New Roman" w:hAnsi="Times New Roman" w:cs="Times New Roman" w:eastAsia="Times New Roman" w:hint="default"/>
                <w:sz w:val="18"/>
                <w:szCs w:val="18"/>
              </w:rPr>
            </w:pPr>
            <w:r>
              <w:rPr>
                <w:rFonts w:ascii="Times New Roman"/>
                <w:spacing w:val="-1"/>
                <w:sz w:val="18"/>
              </w:rPr>
              <w:t>4,944,842.11</w:t>
            </w:r>
          </w:p>
        </w:tc>
        <w:tc>
          <w:tcPr>
            <w:tcW w:w="2260"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3,878,382.87</w:t>
            </w:r>
          </w:p>
        </w:tc>
      </w:tr>
      <w:tr>
        <w:trPr>
          <w:trHeight w:val="343" w:hRule="exact"/>
        </w:trPr>
        <w:tc>
          <w:tcPr>
            <w:tcW w:w="3696"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1450"/>
              <w:jc w:val="right"/>
              <w:rPr>
                <w:rFonts w:ascii="宋体" w:hAnsi="宋体" w:cs="宋体" w:eastAsia="宋体" w:hint="default"/>
                <w:sz w:val="18"/>
                <w:szCs w:val="18"/>
              </w:rPr>
            </w:pPr>
            <w:r>
              <w:rPr>
                <w:rFonts w:ascii="宋体" w:hAnsi="宋体" w:cs="宋体" w:eastAsia="宋体" w:hint="default"/>
                <w:sz w:val="18"/>
                <w:szCs w:val="18"/>
              </w:rPr>
              <w:t>合计</w:t>
            </w:r>
          </w:p>
        </w:tc>
        <w:tc>
          <w:tcPr>
            <w:tcW w:w="3703"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514"/>
              <w:jc w:val="right"/>
              <w:rPr>
                <w:rFonts w:ascii="Times New Roman" w:hAnsi="Times New Roman" w:cs="Times New Roman" w:eastAsia="Times New Roman" w:hint="default"/>
                <w:sz w:val="18"/>
                <w:szCs w:val="18"/>
              </w:rPr>
            </w:pPr>
            <w:r>
              <w:rPr>
                <w:rFonts w:ascii="Times New Roman"/>
                <w:spacing w:val="-1"/>
                <w:sz w:val="18"/>
              </w:rPr>
              <w:t>4,944,842.11</w:t>
            </w:r>
          </w:p>
        </w:tc>
        <w:tc>
          <w:tcPr>
            <w:tcW w:w="2260"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3,878,382.87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left="1134" w:right="1033"/>
        <w:jc w:val="left"/>
        <w:rPr>
          <w:b w:val="0"/>
          <w:bCs w:val="0"/>
        </w:rPr>
      </w:pPr>
      <w:bookmarkStart w:name="2、应收票据" w:id="214"/>
      <w:bookmarkEnd w:id="214"/>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应收票据分类列示" w:id="215"/>
      <w:bookmarkEnd w:id="21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3,308,640.00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2,579,914.27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5,277,600.00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3,308,640.00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7,857,514.27</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应收账款" w:id="216"/>
      <w:bookmarkEnd w:id="216"/>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应收账款分类披露" w:id="217"/>
      <w:bookmarkEnd w:id="21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368,342,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289.28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67,309,2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50.79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18.27%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301,033,0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38.49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354,235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,253.28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45,447,76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308,787,49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1.67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1,834,79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1,834,79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1,834,7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94.45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1,834,794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370,177,</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083.73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69,144,0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45.24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301,033,0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38.49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356,070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,047.73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47,282,55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6.06</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308,787,49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1.67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195,715,192.27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9,785,759.60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64,841,111.00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6,484,111.11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48,504,157.90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9,700,831.58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22,108,784.78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8,843,513.91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23,390,043.68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18,712,034.94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13,782,999.65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13,782,999.65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368,342,289.28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67,309,250.79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right="1033"/>
        <w:jc w:val="left"/>
        <w:rPr>
          <w:b w:val="0"/>
          <w:bCs w:val="0"/>
        </w:rPr>
      </w:pPr>
      <w:bookmarkStart w:name="（2）本期计提、收回或转回的坏账准备情况" w:id="218"/>
      <w:bookmarkEnd w:id="21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before="44"/>
        <w:ind w:left="1134" w:right="-18"/>
        <w:jc w:val="left"/>
      </w:pPr>
      <w:r>
        <w:rPr/>
        <w:t>本期计提坏账准备金额</w:t>
      </w:r>
      <w:r>
        <w:rPr>
          <w:spacing w:val="-47"/>
        </w:rPr>
        <w:t> </w:t>
      </w:r>
      <w:r>
        <w:rPr>
          <w:rFonts w:ascii="Times New Roman" w:hAnsi="Times New Roman" w:cs="Times New Roman" w:eastAsia="Times New Roman" w:hint="default"/>
        </w:rPr>
        <w:t>21,861,489.18</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119" w:space="1710"/>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按欠款方归集的期末余额前五名的应收账款情况" w:id="219"/>
      <w:bookmarkEnd w:id="219"/>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公司是否需要遵守特殊行业的披露要求</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33"/>
        <w:jc w:val="left"/>
      </w:pPr>
      <w:r>
        <w:rPr/>
        <w:t>否</w:t>
      </w:r>
    </w:p>
    <w:p>
      <w:pPr>
        <w:spacing w:line="240" w:lineRule="auto" w:before="10"/>
        <w:rPr>
          <w:rFonts w:ascii="宋体" w:hAnsi="宋体" w:cs="宋体" w:eastAsia="宋体" w:hint="default"/>
          <w:sz w:val="7"/>
          <w:szCs w:val="7"/>
        </w:rPr>
      </w:pPr>
    </w:p>
    <w:tbl>
      <w:tblPr>
        <w:tblW w:w="0" w:type="auto"/>
        <w:jc w:val="left"/>
        <w:tblInd w:w="1119" w:type="dxa"/>
        <w:tblLayout w:type="fixed"/>
        <w:tblCellMar>
          <w:top w:w="0" w:type="dxa"/>
          <w:left w:w="0" w:type="dxa"/>
          <w:bottom w:w="0" w:type="dxa"/>
          <w:right w:w="0" w:type="dxa"/>
        </w:tblCellMar>
        <w:tblLook w:val="01E0"/>
      </w:tblPr>
      <w:tblGrid>
        <w:gridCol w:w="4154"/>
        <w:gridCol w:w="2007"/>
        <w:gridCol w:w="1990"/>
        <w:gridCol w:w="1509"/>
      </w:tblGrid>
      <w:tr>
        <w:trPr>
          <w:trHeight w:val="344" w:hRule="exact"/>
        </w:trPr>
        <w:tc>
          <w:tcPr>
            <w:tcW w:w="4154" w:type="dxa"/>
            <w:vMerge w:val="restart"/>
            <w:tcBorders>
              <w:top w:val="single" w:sz="4" w:space="0" w:color="000000"/>
              <w:left w:val="nil" w:sz="6" w:space="0" w:color="auto"/>
              <w:right w:val="nil" w:sz="6" w:space="0" w:color="auto"/>
            </w:tcBorders>
            <w:shd w:val="clear" w:color="auto" w:fill="DDD9C3"/>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505" w:type="dxa"/>
            <w:gridSpan w:val="3"/>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4154" w:type="dxa"/>
            <w:vMerge/>
            <w:tcBorders>
              <w:left w:val="nil" w:sz="6" w:space="0" w:color="auto"/>
              <w:bottom w:val="single" w:sz="4" w:space="0" w:color="000000"/>
              <w:right w:val="nil" w:sz="6" w:space="0" w:color="auto"/>
            </w:tcBorders>
            <w:shd w:val="clear" w:color="auto" w:fill="DDD9C3"/>
          </w:tcPr>
          <w:p>
            <w:pPr/>
          </w:p>
        </w:tc>
        <w:tc>
          <w:tcPr>
            <w:tcW w:w="2007" w:type="dxa"/>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90" w:type="dxa"/>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316" w:lineRule="auto" w:before="21"/>
              <w:ind w:left="534" w:right="327"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509" w:type="dxa"/>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415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中国电信集团公司江苏分公司</w:t>
            </w:r>
          </w:p>
        </w:tc>
        <w:tc>
          <w:tcPr>
            <w:tcW w:w="2007"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38"/>
              <w:jc w:val="right"/>
              <w:rPr>
                <w:rFonts w:ascii="Times New Roman" w:hAnsi="Times New Roman" w:cs="Times New Roman" w:eastAsia="Times New Roman" w:hint="default"/>
                <w:sz w:val="18"/>
                <w:szCs w:val="18"/>
              </w:rPr>
            </w:pPr>
            <w:r>
              <w:rPr>
                <w:rFonts w:ascii="Times New Roman"/>
                <w:spacing w:val="-1"/>
                <w:sz w:val="18"/>
              </w:rPr>
              <w:t>57,820,634.61</w:t>
            </w:r>
          </w:p>
        </w:tc>
        <w:tc>
          <w:tcPr>
            <w:tcW w:w="1990"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63"/>
              <w:jc w:val="right"/>
              <w:rPr>
                <w:rFonts w:ascii="Times New Roman" w:hAnsi="Times New Roman" w:cs="Times New Roman" w:eastAsia="Times New Roman" w:hint="default"/>
                <w:sz w:val="18"/>
                <w:szCs w:val="18"/>
              </w:rPr>
            </w:pPr>
            <w:r>
              <w:rPr>
                <w:rFonts w:ascii="Times New Roman"/>
                <w:sz w:val="18"/>
              </w:rPr>
              <w:t>15.62</w:t>
            </w:r>
          </w:p>
        </w:tc>
        <w:tc>
          <w:tcPr>
            <w:tcW w:w="1509"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1,333,300.98</w:t>
            </w:r>
          </w:p>
        </w:tc>
      </w:tr>
      <w:tr>
        <w:trPr>
          <w:trHeight w:val="342" w:hRule="exact"/>
        </w:trPr>
        <w:tc>
          <w:tcPr>
            <w:tcW w:w="415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中国联合网络通信有限公司上海市分公司</w:t>
            </w:r>
          </w:p>
        </w:tc>
        <w:tc>
          <w:tcPr>
            <w:tcW w:w="2007"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38"/>
              <w:jc w:val="right"/>
              <w:rPr>
                <w:rFonts w:ascii="Times New Roman" w:hAnsi="Times New Roman" w:cs="Times New Roman" w:eastAsia="Times New Roman" w:hint="default"/>
                <w:sz w:val="18"/>
                <w:szCs w:val="18"/>
              </w:rPr>
            </w:pPr>
            <w:r>
              <w:rPr>
                <w:rFonts w:ascii="Times New Roman"/>
                <w:spacing w:val="-1"/>
                <w:sz w:val="18"/>
              </w:rPr>
              <w:t>16,506,675.14</w:t>
            </w:r>
          </w:p>
        </w:tc>
        <w:tc>
          <w:tcPr>
            <w:tcW w:w="1990"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63"/>
              <w:jc w:val="right"/>
              <w:rPr>
                <w:rFonts w:ascii="Times New Roman" w:hAnsi="Times New Roman" w:cs="Times New Roman" w:eastAsia="Times New Roman" w:hint="default"/>
                <w:sz w:val="18"/>
                <w:szCs w:val="18"/>
              </w:rPr>
            </w:pPr>
            <w:r>
              <w:rPr>
                <w:rFonts w:ascii="Times New Roman"/>
                <w:sz w:val="18"/>
              </w:rPr>
              <w:t>4.46</w:t>
            </w:r>
          </w:p>
        </w:tc>
        <w:tc>
          <w:tcPr>
            <w:tcW w:w="1509"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839,608.08</w:t>
            </w:r>
          </w:p>
        </w:tc>
      </w:tr>
      <w:tr>
        <w:trPr>
          <w:trHeight w:val="342" w:hRule="exact"/>
        </w:trPr>
        <w:tc>
          <w:tcPr>
            <w:tcW w:w="415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中国移动通信集团上海有限公司</w:t>
            </w:r>
          </w:p>
        </w:tc>
        <w:tc>
          <w:tcPr>
            <w:tcW w:w="2007"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38"/>
              <w:jc w:val="right"/>
              <w:rPr>
                <w:rFonts w:ascii="Times New Roman" w:hAnsi="Times New Roman" w:cs="Times New Roman" w:eastAsia="Times New Roman" w:hint="default"/>
                <w:sz w:val="18"/>
                <w:szCs w:val="18"/>
              </w:rPr>
            </w:pPr>
            <w:r>
              <w:rPr>
                <w:rFonts w:ascii="Times New Roman"/>
                <w:spacing w:val="-1"/>
                <w:sz w:val="18"/>
              </w:rPr>
              <w:t>16,442,211.61</w:t>
            </w:r>
          </w:p>
        </w:tc>
        <w:tc>
          <w:tcPr>
            <w:tcW w:w="1990"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63"/>
              <w:jc w:val="right"/>
              <w:rPr>
                <w:rFonts w:ascii="Times New Roman" w:hAnsi="Times New Roman" w:cs="Times New Roman" w:eastAsia="Times New Roman" w:hint="default"/>
                <w:sz w:val="18"/>
                <w:szCs w:val="18"/>
              </w:rPr>
            </w:pPr>
            <w:r>
              <w:rPr>
                <w:rFonts w:ascii="Times New Roman"/>
                <w:sz w:val="18"/>
              </w:rPr>
              <w:t>4.44</w:t>
            </w:r>
          </w:p>
        </w:tc>
        <w:tc>
          <w:tcPr>
            <w:tcW w:w="1509"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1,173,132.05</w:t>
            </w:r>
          </w:p>
        </w:tc>
      </w:tr>
      <w:tr>
        <w:trPr>
          <w:trHeight w:val="342" w:hRule="exact"/>
        </w:trPr>
        <w:tc>
          <w:tcPr>
            <w:tcW w:w="415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中移在线服务有限公司</w:t>
            </w:r>
          </w:p>
        </w:tc>
        <w:tc>
          <w:tcPr>
            <w:tcW w:w="2007"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38"/>
              <w:jc w:val="right"/>
              <w:rPr>
                <w:rFonts w:ascii="Times New Roman" w:hAnsi="Times New Roman" w:cs="Times New Roman" w:eastAsia="Times New Roman" w:hint="default"/>
                <w:sz w:val="18"/>
                <w:szCs w:val="18"/>
              </w:rPr>
            </w:pPr>
            <w:r>
              <w:rPr>
                <w:rFonts w:ascii="Times New Roman"/>
                <w:spacing w:val="-1"/>
                <w:sz w:val="18"/>
              </w:rPr>
              <w:t>10,324,649.43</w:t>
            </w:r>
          </w:p>
        </w:tc>
        <w:tc>
          <w:tcPr>
            <w:tcW w:w="1990"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63"/>
              <w:jc w:val="right"/>
              <w:rPr>
                <w:rFonts w:ascii="Times New Roman" w:hAnsi="Times New Roman" w:cs="Times New Roman" w:eastAsia="Times New Roman" w:hint="default"/>
                <w:sz w:val="18"/>
                <w:szCs w:val="18"/>
              </w:rPr>
            </w:pPr>
            <w:r>
              <w:rPr>
                <w:rFonts w:ascii="Times New Roman"/>
                <w:sz w:val="18"/>
              </w:rPr>
              <w:t>2.79</w:t>
            </w:r>
          </w:p>
        </w:tc>
        <w:tc>
          <w:tcPr>
            <w:tcW w:w="1509"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446,103.20</w:t>
            </w:r>
          </w:p>
        </w:tc>
      </w:tr>
      <w:tr>
        <w:trPr>
          <w:trHeight w:val="342" w:hRule="exact"/>
        </w:trPr>
        <w:tc>
          <w:tcPr>
            <w:tcW w:w="415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亿阳安全技术有限公司</w:t>
            </w:r>
          </w:p>
        </w:tc>
        <w:tc>
          <w:tcPr>
            <w:tcW w:w="2007"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38"/>
              <w:jc w:val="right"/>
              <w:rPr>
                <w:rFonts w:ascii="Times New Roman" w:hAnsi="Times New Roman" w:cs="Times New Roman" w:eastAsia="Times New Roman" w:hint="default"/>
                <w:sz w:val="18"/>
                <w:szCs w:val="18"/>
              </w:rPr>
            </w:pPr>
            <w:r>
              <w:rPr>
                <w:rFonts w:ascii="Times New Roman"/>
                <w:spacing w:val="-1"/>
                <w:sz w:val="18"/>
              </w:rPr>
              <w:t>8,502,074.67</w:t>
            </w:r>
          </w:p>
        </w:tc>
        <w:tc>
          <w:tcPr>
            <w:tcW w:w="1990"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63"/>
              <w:jc w:val="right"/>
              <w:rPr>
                <w:rFonts w:ascii="Times New Roman" w:hAnsi="Times New Roman" w:cs="Times New Roman" w:eastAsia="Times New Roman" w:hint="default"/>
                <w:sz w:val="18"/>
                <w:szCs w:val="18"/>
              </w:rPr>
            </w:pPr>
            <w:r>
              <w:rPr>
                <w:rFonts w:ascii="Times New Roman"/>
                <w:sz w:val="18"/>
              </w:rPr>
              <w:t>2.30</w:t>
            </w:r>
          </w:p>
        </w:tc>
        <w:tc>
          <w:tcPr>
            <w:tcW w:w="1509"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430,675.20</w:t>
            </w:r>
          </w:p>
        </w:tc>
      </w:tr>
      <w:tr>
        <w:trPr>
          <w:trHeight w:val="343" w:hRule="exact"/>
        </w:trPr>
        <w:tc>
          <w:tcPr>
            <w:tcW w:w="4154"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07"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38"/>
              <w:jc w:val="right"/>
              <w:rPr>
                <w:rFonts w:ascii="Times New Roman" w:hAnsi="Times New Roman" w:cs="Times New Roman" w:eastAsia="Times New Roman" w:hint="default"/>
                <w:sz w:val="18"/>
                <w:szCs w:val="18"/>
              </w:rPr>
            </w:pPr>
            <w:r>
              <w:rPr>
                <w:rFonts w:ascii="Times New Roman"/>
                <w:spacing w:val="-1"/>
                <w:sz w:val="18"/>
              </w:rPr>
              <w:t>109,596,245.46</w:t>
            </w:r>
          </w:p>
        </w:tc>
        <w:tc>
          <w:tcPr>
            <w:tcW w:w="1990"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63"/>
              <w:jc w:val="right"/>
              <w:rPr>
                <w:rFonts w:ascii="Times New Roman" w:hAnsi="Times New Roman" w:cs="Times New Roman" w:eastAsia="Times New Roman" w:hint="default"/>
                <w:sz w:val="18"/>
                <w:szCs w:val="18"/>
              </w:rPr>
            </w:pPr>
            <w:r>
              <w:rPr>
                <w:rFonts w:ascii="Times New Roman"/>
                <w:sz w:val="18"/>
              </w:rPr>
              <w:t>29.61</w:t>
            </w:r>
          </w:p>
        </w:tc>
        <w:tc>
          <w:tcPr>
            <w:tcW w:w="1509"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4,222,819.51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134" w:right="1033"/>
        <w:jc w:val="left"/>
        <w:rPr>
          <w:b w:val="0"/>
          <w:bCs w:val="0"/>
        </w:rPr>
      </w:pPr>
      <w:bookmarkStart w:name="4、预付款项" w:id="220"/>
      <w:bookmarkEnd w:id="220"/>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预付款项按账龄列示" w:id="221"/>
      <w:bookmarkEnd w:id="22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5,222,592.67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4,884,596.40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5,812,592.67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5,464,596.40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按预付对象归集的期末余额前五名的预付款情况" w:id="222"/>
      <w:bookmarkEnd w:id="22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19" w:type="dxa"/>
        <w:tblLayout w:type="fixed"/>
        <w:tblCellMar>
          <w:top w:w="0" w:type="dxa"/>
          <w:left w:w="0" w:type="dxa"/>
          <w:bottom w:w="0" w:type="dxa"/>
          <w:right w:w="0" w:type="dxa"/>
        </w:tblCellMar>
        <w:tblLook w:val="01E0"/>
      </w:tblPr>
      <w:tblGrid>
        <w:gridCol w:w="4059"/>
        <w:gridCol w:w="2786"/>
        <w:gridCol w:w="2813"/>
      </w:tblGrid>
      <w:tr>
        <w:trPr>
          <w:trHeight w:val="341" w:hRule="exact"/>
        </w:trPr>
        <w:tc>
          <w:tcPr>
            <w:tcW w:w="4059" w:type="dxa"/>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240" w:lineRule="auto" w:before="20"/>
              <w:ind w:left="304"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786" w:type="dxa"/>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240" w:lineRule="auto" w:before="20"/>
              <w:ind w:left="11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13" w:type="dxa"/>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240" w:lineRule="auto" w:before="20"/>
              <w:ind w:left="39" w:right="0"/>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占预付款项期末余额合计数的比例</w:t>
            </w:r>
          </w:p>
        </w:tc>
      </w:tr>
      <w:tr>
        <w:trPr>
          <w:trHeight w:val="343" w:hRule="exact"/>
        </w:trPr>
        <w:tc>
          <w:tcPr>
            <w:tcW w:w="4059"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北京信息基础设施建设股份有限公司</w:t>
            </w:r>
          </w:p>
        </w:tc>
        <w:tc>
          <w:tcPr>
            <w:tcW w:w="2786"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37"/>
              <w:jc w:val="right"/>
              <w:rPr>
                <w:rFonts w:ascii="Times New Roman" w:hAnsi="Times New Roman" w:cs="Times New Roman" w:eastAsia="Times New Roman" w:hint="default"/>
                <w:sz w:val="18"/>
                <w:szCs w:val="18"/>
              </w:rPr>
            </w:pPr>
            <w:r>
              <w:rPr>
                <w:rFonts w:ascii="Times New Roman"/>
                <w:sz w:val="18"/>
              </w:rPr>
              <w:t>891,893.19</w:t>
            </w:r>
          </w:p>
        </w:tc>
        <w:tc>
          <w:tcPr>
            <w:tcW w:w="2813"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15.34</w:t>
            </w:r>
          </w:p>
        </w:tc>
      </w:tr>
      <w:tr>
        <w:trPr>
          <w:trHeight w:val="342" w:hRule="exact"/>
        </w:trPr>
        <w:tc>
          <w:tcPr>
            <w:tcW w:w="4059"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2786"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37"/>
              <w:jc w:val="right"/>
              <w:rPr>
                <w:rFonts w:ascii="Times New Roman" w:hAnsi="Times New Roman" w:cs="Times New Roman" w:eastAsia="Times New Roman" w:hint="default"/>
                <w:sz w:val="18"/>
                <w:szCs w:val="18"/>
              </w:rPr>
            </w:pPr>
            <w:r>
              <w:rPr>
                <w:rFonts w:ascii="Times New Roman"/>
                <w:sz w:val="18"/>
              </w:rPr>
              <w:t>825,471.66</w:t>
            </w:r>
          </w:p>
        </w:tc>
        <w:tc>
          <w:tcPr>
            <w:tcW w:w="2813"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14.20</w:t>
            </w:r>
          </w:p>
        </w:tc>
      </w:tr>
      <w:tr>
        <w:trPr>
          <w:trHeight w:val="342" w:hRule="exact"/>
        </w:trPr>
        <w:tc>
          <w:tcPr>
            <w:tcW w:w="4059"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中软信息系统工程有限公司</w:t>
            </w:r>
          </w:p>
        </w:tc>
        <w:tc>
          <w:tcPr>
            <w:tcW w:w="2786"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37"/>
              <w:jc w:val="right"/>
              <w:rPr>
                <w:rFonts w:ascii="Times New Roman" w:hAnsi="Times New Roman" w:cs="Times New Roman" w:eastAsia="Times New Roman" w:hint="default"/>
                <w:sz w:val="18"/>
                <w:szCs w:val="18"/>
              </w:rPr>
            </w:pPr>
            <w:r>
              <w:rPr>
                <w:rFonts w:ascii="Times New Roman"/>
                <w:sz w:val="18"/>
              </w:rPr>
              <w:t>430,000.00</w:t>
            </w:r>
          </w:p>
        </w:tc>
        <w:tc>
          <w:tcPr>
            <w:tcW w:w="2813"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7.40</w:t>
            </w:r>
          </w:p>
        </w:tc>
      </w:tr>
      <w:tr>
        <w:trPr>
          <w:trHeight w:val="342" w:hRule="exact"/>
        </w:trPr>
        <w:tc>
          <w:tcPr>
            <w:tcW w:w="4059"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北京正达凯旋物业管理有限公司</w:t>
            </w:r>
          </w:p>
        </w:tc>
        <w:tc>
          <w:tcPr>
            <w:tcW w:w="2786"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37"/>
              <w:jc w:val="right"/>
              <w:rPr>
                <w:rFonts w:ascii="Times New Roman" w:hAnsi="Times New Roman" w:cs="Times New Roman" w:eastAsia="Times New Roman" w:hint="default"/>
                <w:sz w:val="18"/>
                <w:szCs w:val="18"/>
              </w:rPr>
            </w:pPr>
            <w:r>
              <w:rPr>
                <w:rFonts w:ascii="Times New Roman"/>
                <w:sz w:val="18"/>
              </w:rPr>
              <w:t>261,333.06</w:t>
            </w:r>
          </w:p>
        </w:tc>
        <w:tc>
          <w:tcPr>
            <w:tcW w:w="2813"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4.50</w:t>
            </w:r>
          </w:p>
        </w:tc>
      </w:tr>
      <w:tr>
        <w:trPr>
          <w:trHeight w:val="342" w:hRule="exact"/>
        </w:trPr>
        <w:tc>
          <w:tcPr>
            <w:tcW w:w="4059"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left="9" w:right="0"/>
              <w:jc w:val="left"/>
              <w:rPr>
                <w:rFonts w:ascii="Times New Roman" w:hAnsi="Times New Roman" w:cs="Times New Roman" w:eastAsia="Times New Roman" w:hint="default"/>
                <w:sz w:val="18"/>
                <w:szCs w:val="18"/>
              </w:rPr>
            </w:pPr>
            <w:r>
              <w:rPr>
                <w:rFonts w:ascii="Times New Roman"/>
                <w:sz w:val="18"/>
              </w:rPr>
              <w:t>ORACLE</w:t>
            </w:r>
            <w:r>
              <w:rPr>
                <w:rFonts w:ascii="Times New Roman"/>
                <w:spacing w:val="-3"/>
                <w:sz w:val="18"/>
              </w:rPr>
              <w:t> </w:t>
            </w:r>
            <w:r>
              <w:rPr>
                <w:rFonts w:ascii="Times New Roman"/>
                <w:sz w:val="18"/>
              </w:rPr>
              <w:t>AMERICA,INC</w:t>
            </w:r>
          </w:p>
        </w:tc>
        <w:tc>
          <w:tcPr>
            <w:tcW w:w="2786"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37"/>
              <w:jc w:val="right"/>
              <w:rPr>
                <w:rFonts w:ascii="Times New Roman" w:hAnsi="Times New Roman" w:cs="Times New Roman" w:eastAsia="Times New Roman" w:hint="default"/>
                <w:sz w:val="18"/>
                <w:szCs w:val="18"/>
              </w:rPr>
            </w:pPr>
            <w:r>
              <w:rPr>
                <w:rFonts w:ascii="Times New Roman"/>
                <w:sz w:val="18"/>
              </w:rPr>
              <w:t>211,993.08</w:t>
            </w:r>
          </w:p>
        </w:tc>
        <w:tc>
          <w:tcPr>
            <w:tcW w:w="2813"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3.65</w:t>
            </w:r>
          </w:p>
        </w:tc>
      </w:tr>
      <w:tr>
        <w:trPr>
          <w:trHeight w:val="342" w:hRule="exact"/>
        </w:trPr>
        <w:tc>
          <w:tcPr>
            <w:tcW w:w="4059"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30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86"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38"/>
              <w:jc w:val="right"/>
              <w:rPr>
                <w:rFonts w:ascii="Times New Roman" w:hAnsi="Times New Roman" w:cs="Times New Roman" w:eastAsia="Times New Roman" w:hint="default"/>
                <w:sz w:val="18"/>
                <w:szCs w:val="18"/>
              </w:rPr>
            </w:pPr>
            <w:r>
              <w:rPr>
                <w:rFonts w:ascii="Times New Roman"/>
                <w:spacing w:val="-1"/>
                <w:sz w:val="18"/>
              </w:rPr>
              <w:t>2,620,690.99</w:t>
            </w:r>
          </w:p>
        </w:tc>
        <w:tc>
          <w:tcPr>
            <w:tcW w:w="2813"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45.09</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1033"/>
        <w:jc w:val="left"/>
        <w:rPr>
          <w:b w:val="0"/>
          <w:bCs w:val="0"/>
        </w:rPr>
      </w:pPr>
      <w:bookmarkStart w:name="5、应收利息" w:id="223"/>
      <w:bookmarkEnd w:id="223"/>
      <w:r>
        <w:rPr>
          <w:b w:val="0"/>
          <w:bCs w:val="0"/>
        </w:rPr>
      </w: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应收利息分类" w:id="224"/>
      <w:bookmarkEnd w:id="224"/>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2,208,839.45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2,269,045.82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2,208,839.45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2,269,045.82</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6、其他应收款" w:id="225"/>
      <w:bookmarkEnd w:id="225"/>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其他应收款分类披露" w:id="226"/>
      <w:bookmarkEnd w:id="22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5,561,21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97.13%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5,561,212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13,914,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477.10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61,776.00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13,852,701.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164,189.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164,189.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5,725,40</w:t>
            </w:r>
          </w:p>
          <w:p>
            <w:pPr>
              <w:pStyle w:val="TableParagraph"/>
              <w:spacing w:line="240" w:lineRule="auto" w:before="105"/>
              <w:ind w:left="420" w:right="0"/>
              <w:jc w:val="left"/>
              <w:rPr>
                <w:rFonts w:ascii="Times New Roman" w:hAnsi="Times New Roman" w:cs="Times New Roman" w:eastAsia="Times New Roman" w:hint="default"/>
                <w:sz w:val="18"/>
                <w:szCs w:val="18"/>
              </w:rPr>
            </w:pPr>
            <w:r>
              <w:rPr>
                <w:rFonts w:ascii="Times New Roman"/>
                <w:sz w:val="18"/>
              </w:rPr>
              <w:t>2.09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164,189.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2.87%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5,561,212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13,914,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477.10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61,776.00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0.44%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13,852,701.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1033"/>
        <w:jc w:val="left"/>
      </w:pPr>
      <w:r>
        <w:rPr/>
        <w:t>期末单项金额重大并单项计提坏账准备的其他应收款：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40" w:lineRule="auto" w:before="42"/>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0"/>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2）本期计提、收回或转回的坏账准备情况" w:id="227"/>
      <w:bookmarkEnd w:id="22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本期计提坏账准备金额</w:t>
      </w:r>
      <w:r>
        <w:rPr>
          <w:spacing w:val="-46"/>
        </w:rPr>
        <w:t> </w:t>
      </w:r>
      <w:r>
        <w:rPr>
          <w:rFonts w:ascii="Times New Roman" w:hAnsi="Times New Roman" w:cs="Times New Roman" w:eastAsia="Times New Roman" w:hint="default"/>
        </w:rPr>
        <w:t>164,189.94</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61,776.00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3）其他应收款按款项性质分类情况" w:id="228"/>
      <w:bookmarkEnd w:id="228"/>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备用金及职工暂借款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861,668.44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1,122,473.32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2,573,704.70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2,679,129.39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1,523,559.44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1,776,084.84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301,720.56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480,257.17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464,748.95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863,938.06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未收期权款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6,992,594.32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5,725,402.09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13,914,477.10</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4）按欠款方归集的期末余额前五名的其他应收款情况" w:id="229"/>
      <w:bookmarkEnd w:id="229"/>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中国移动通信集团 天津有限公司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933,952.37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北京信息基础设施 建设股份有限公司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租房押金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366,353.54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海关总署物资装备 采购中心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前锦网络信息技术</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（上海）有限公司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五险一金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248,364.91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上海通信招标有限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231,680.00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2,074,850.82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18.08%</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5）转移其他应收款且继续涉入形成的资产、负债金额" w:id="230"/>
      <w:bookmarkEnd w:id="230"/>
      <w:r>
        <w:rPr>
          <w:b w:val="0"/>
          <w:bCs w:val="0"/>
        </w:rPr>
      </w:r>
      <w:r>
        <w:rPr/>
        <w:t>（</w:t>
      </w:r>
      <w:r>
        <w:rPr>
          <w:rFonts w:ascii="Times New Roman" w:hAnsi="Times New Roman" w:cs="Times New Roman" w:eastAsia="Times New Roman" w:hint="default"/>
        </w:rPr>
        <w:t>5</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33"/>
        <w:jc w:val="left"/>
      </w:pPr>
      <w:r>
        <w:rPr/>
        <w:t>其他说明：</w:t>
      </w:r>
    </w:p>
    <w:p>
      <w:pPr>
        <w:pStyle w:val="BodyText"/>
        <w:spacing w:line="360" w:lineRule="auto" w:before="116"/>
        <w:ind w:left="1493" w:right="3735"/>
        <w:jc w:val="left"/>
      </w:pPr>
      <w:r>
        <w:rPr/>
        <w:t>报告期内本公司无单项金额重大并单项计提坏账准备的其他应收款。 报告期内本公司单项金额虽不重大但单项计提坏账准备的其他应收款</w:t>
      </w:r>
      <w:r>
        <w:rPr>
          <w:spacing w:val="-46"/>
        </w:rPr>
        <w:t> </w:t>
      </w:r>
      <w:r>
        <w:rPr>
          <w:rFonts w:ascii="Times New Roman" w:hAnsi="Times New Roman" w:cs="Times New Roman" w:eastAsia="Times New Roman" w:hint="default"/>
        </w:rPr>
        <w:t>164,189.94</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18"/>
          <w:szCs w:val="18"/>
        </w:rPr>
      </w:pPr>
    </w:p>
    <w:p>
      <w:pPr>
        <w:pStyle w:val="Heading3"/>
        <w:spacing w:line="240" w:lineRule="auto"/>
        <w:ind w:right="1033"/>
        <w:jc w:val="left"/>
        <w:rPr>
          <w:b w:val="0"/>
          <w:bCs w:val="0"/>
        </w:rPr>
      </w:pPr>
      <w:bookmarkStart w:name="7、存货" w:id="231"/>
      <w:bookmarkEnd w:id="231"/>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3"/>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left="1134" w:right="1033"/>
        <w:jc w:val="left"/>
        <w:rPr>
          <w:b w:val="0"/>
          <w:bCs w:val="0"/>
        </w:rPr>
      </w:pPr>
      <w:bookmarkStart w:name="（1）存货分类" w:id="232"/>
      <w:bookmarkEnd w:id="23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68"/>
        <w:gridCol w:w="1357"/>
        <w:gridCol w:w="1367"/>
        <w:gridCol w:w="1367"/>
        <w:gridCol w:w="1367"/>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091"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67" w:right="0"/>
              <w:jc w:val="left"/>
              <w:rPr>
                <w:rFonts w:ascii="Times New Roman" w:hAnsi="Times New Roman" w:cs="Times New Roman" w:eastAsia="Times New Roman" w:hint="default"/>
                <w:sz w:val="18"/>
                <w:szCs w:val="18"/>
              </w:rPr>
            </w:pPr>
            <w:r>
              <w:rPr>
                <w:rFonts w:ascii="Times New Roman"/>
                <w:sz w:val="18"/>
              </w:rPr>
              <w:t>4,289,554.54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4,289,554.54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507,642.46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507,642.46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28,959,268.86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28,959,268.86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15,571,377.58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15,571,377.58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33,248,823.40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33,248,823.40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16,079,020.04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16,079,020.04</w:t>
            </w:r>
          </w:p>
        </w:tc>
      </w:tr>
    </w:tbl>
    <w:p>
      <w:pPr>
        <w:pStyle w:val="BodyText"/>
        <w:spacing w:line="340"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2"/>
        <w:rPr>
          <w:rFonts w:ascii="宋体" w:hAnsi="宋体" w:cs="宋体" w:eastAsia="宋体" w:hint="default"/>
          <w:sz w:val="21"/>
          <w:szCs w:val="21"/>
        </w:rPr>
      </w:pPr>
    </w:p>
    <w:p>
      <w:pPr>
        <w:pStyle w:val="Heading3"/>
        <w:spacing w:line="240" w:lineRule="auto"/>
        <w:ind w:left="1134" w:right="1033"/>
        <w:jc w:val="left"/>
        <w:rPr>
          <w:b w:val="0"/>
          <w:bCs w:val="0"/>
        </w:rPr>
      </w:pPr>
      <w:bookmarkStart w:name="（2）存货跌价准备" w:id="233"/>
      <w:bookmarkEnd w:id="23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存货期末余额含有借款费用资本化金额的说明" w:id="234"/>
      <w:bookmarkEnd w:id="23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4）期末建造合同形成的已完工未结算资产情况" w:id="235"/>
      <w:bookmarkEnd w:id="23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8、一年内到期的非流动资产" w:id="236"/>
      <w:bookmarkEnd w:id="236"/>
      <w:r>
        <w:rPr>
          <w:b w:val="0"/>
          <w:bCs w:val="0"/>
        </w:rPr>
      </w:r>
      <w:r>
        <w:rPr>
          <w:rFonts w:ascii="Times New Roman" w:hAnsi="Times New Roman" w:cs="Times New Roman" w:eastAsia="Times New Roman" w:hint="default"/>
        </w:rPr>
        <w:t>8</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207,858.03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207,858.03</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9、其他流动资产" w:id="237"/>
      <w:bookmarkEnd w:id="237"/>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40,890.56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40,890.56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362.24</w:t>
            </w:r>
          </w:p>
        </w:tc>
      </w:tr>
    </w:tbl>
    <w:p>
      <w:pPr>
        <w:pStyle w:val="BodyText"/>
        <w:spacing w:line="240" w:lineRule="auto" w:before="51"/>
        <w:ind w:left="1134" w:right="1033"/>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1033"/>
        <w:jc w:val="left"/>
        <w:rPr>
          <w:b w:val="0"/>
          <w:bCs w:val="0"/>
        </w:rPr>
      </w:pPr>
      <w:bookmarkStart w:name="10、可供出售金融资产" w:id="238"/>
      <w:bookmarkEnd w:id="238"/>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3"/>
        <w:jc w:val="left"/>
        <w:rPr>
          <w:b w:val="0"/>
          <w:bCs w:val="0"/>
        </w:rPr>
      </w:pPr>
      <w:bookmarkStart w:name="（1）可供出售金融资产情况" w:id="239"/>
      <w:bookmarkEnd w:id="23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期末按成本计量的可供出售金融资产" w:id="240"/>
      <w:bookmarkEnd w:id="240"/>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上海软件 产业促进 中心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12.50%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可供出售权益工具期末公允价值严重下跌或非暂时性下跌但未计提减值准备的相关说" w:id="241"/>
      <w:bookmarkEnd w:id="241"/>
      <w:r>
        <w:rPr>
          <w:b w:val="0"/>
          <w:bCs w:val="0"/>
        </w:rPr>
      </w:r>
      <w:r>
        <w:rPr/>
        <w:t>（</w:t>
      </w:r>
      <w:r>
        <w:rPr>
          <w:rFonts w:ascii="Times New Roman" w:hAnsi="Times New Roman" w:cs="Times New Roman" w:eastAsia="Times New Roman" w:hint="default"/>
        </w:rPr>
        <w:t>3</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134" w:right="1033"/>
        <w:jc w:val="left"/>
      </w:pPr>
      <w:r>
        <w:rPr/>
        <w:t>其他说明</w:t>
      </w:r>
    </w:p>
    <w:p>
      <w:pPr>
        <w:pStyle w:val="BodyText"/>
        <w:spacing w:line="240" w:lineRule="auto" w:before="116"/>
        <w:ind w:left="0" w:right="113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t>日，上海东方通泰软件科技有限公司向上海软件产业促进中心出资</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万元，该出资事项由上海信光会</w:t>
      </w:r>
    </w:p>
    <w:p>
      <w:pPr>
        <w:pStyle w:val="BodyText"/>
        <w:spacing w:line="240" w:lineRule="auto" w:before="64"/>
        <w:ind w:right="1033"/>
        <w:jc w:val="left"/>
      </w:pPr>
      <w:r>
        <w:rPr/>
        <w:t>计师事务所有限公司审验，并出具沪信光会验</w:t>
      </w:r>
      <w:r>
        <w:rPr>
          <w:rFonts w:ascii="Times New Roman" w:hAnsi="Times New Roman" w:cs="Times New Roman" w:eastAsia="Times New Roman" w:hint="default"/>
        </w:rPr>
        <w:t>(2010)</w:t>
      </w:r>
      <w:r>
        <w:rPr/>
        <w:t>第</w:t>
      </w:r>
      <w:r>
        <w:rPr>
          <w:spacing w:val="-46"/>
        </w:rPr>
        <w:t> </w:t>
      </w:r>
      <w:r>
        <w:rPr>
          <w:rFonts w:ascii="Times New Roman" w:hAnsi="Times New Roman" w:cs="Times New Roman" w:eastAsia="Times New Roman" w:hint="default"/>
        </w:rPr>
        <w:t>022</w:t>
      </w:r>
      <w:r>
        <w:rPr>
          <w:rFonts w:ascii="Times New Roman" w:hAnsi="Times New Roman" w:cs="Times New Roman" w:eastAsia="Times New Roman" w:hint="default"/>
          <w:spacing w:val="-1"/>
        </w:rPr>
        <w:t> </w:t>
      </w:r>
      <w:r>
        <w:rPr/>
        <w:t>号验资报告。</w:t>
      </w:r>
    </w:p>
    <w:p>
      <w:pPr>
        <w:pStyle w:val="BodyText"/>
        <w:spacing w:line="300" w:lineRule="auto" w:before="101"/>
        <w:ind w:right="1132" w:firstLine="360"/>
        <w:jc w:val="both"/>
      </w:pPr>
      <w:r>
        <w:rPr/>
        <w:t>上海软件产业促进中心于</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日在上海市闸北区民政局注册，开办资金</w:t>
      </w:r>
      <w:r>
        <w:rPr>
          <w:spacing w:val="-49"/>
        </w:rPr>
        <w:t> </w:t>
      </w:r>
      <w:r>
        <w:rPr>
          <w:rFonts w:ascii="Times New Roman" w:hAnsi="Times New Roman" w:cs="Times New Roman" w:eastAsia="Times New Roman" w:hint="default"/>
        </w:rPr>
        <w:t>160</w:t>
      </w:r>
      <w:r>
        <w:rPr>
          <w:rFonts w:ascii="Times New Roman" w:hAnsi="Times New Roman" w:cs="Times New Roman" w:eastAsia="Times New Roman" w:hint="default"/>
          <w:spacing w:val="-4"/>
        </w:rPr>
        <w:t> </w:t>
      </w:r>
      <w:r>
        <w:rPr>
          <w:spacing w:val="-4"/>
        </w:rPr>
        <w:t>万元，法定代表人唐全荣，法定</w:t>
      </w:r>
      <w:r>
        <w:rPr/>
        <w:t> 住所上海市闸北区江场三路</w:t>
      </w:r>
      <w:r>
        <w:rPr>
          <w:spacing w:val="-46"/>
        </w:rPr>
        <w:t> </w:t>
      </w:r>
      <w:r>
        <w:rPr>
          <w:rFonts w:ascii="Times New Roman" w:hAnsi="Times New Roman" w:cs="Times New Roman" w:eastAsia="Times New Roman" w:hint="default"/>
        </w:rPr>
        <w:t>26</w:t>
      </w:r>
      <w:r>
        <w:rPr/>
        <w:t>、</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号</w:t>
      </w:r>
      <w:r>
        <w:rPr>
          <w:spacing w:val="-46"/>
        </w:rPr>
        <w:t> </w:t>
      </w:r>
      <w:r>
        <w:rPr>
          <w:rFonts w:ascii="Times New Roman" w:hAnsi="Times New Roman" w:cs="Times New Roman" w:eastAsia="Times New Roman" w:hint="default"/>
        </w:rPr>
        <w:t>301</w:t>
      </w:r>
      <w:r>
        <w:rPr>
          <w:rFonts w:ascii="Times New Roman" w:hAnsi="Times New Roman" w:cs="Times New Roman" w:eastAsia="Times New Roman" w:hint="default"/>
          <w:spacing w:val="-1"/>
        </w:rPr>
        <w:t> </w:t>
      </w:r>
      <w:r>
        <w:rPr/>
        <w:t>室，业务范围为为软件应用及培训、咨询提供服务，加强交流，促进技术创新， 承接政府委托项目，为软件产业发展服务。</w:t>
      </w:r>
    </w:p>
    <w:p>
      <w:pPr>
        <w:pStyle w:val="BodyText"/>
        <w:spacing w:line="240" w:lineRule="auto" w:before="72"/>
        <w:ind w:left="1493" w:right="1033"/>
        <w:jc w:val="left"/>
      </w:pPr>
      <w:r>
        <w:rPr/>
        <w:t>上海软件产业促进中心是从事非营利性社会服务活动的社会组织。</w:t>
      </w:r>
    </w:p>
    <w:p>
      <w:pPr>
        <w:spacing w:line="240" w:lineRule="auto" w:before="10"/>
        <w:rPr>
          <w:rFonts w:ascii="宋体" w:hAnsi="宋体" w:cs="宋体" w:eastAsia="宋体" w:hint="default"/>
          <w:sz w:val="26"/>
          <w:szCs w:val="26"/>
        </w:rPr>
      </w:pPr>
    </w:p>
    <w:p>
      <w:pPr>
        <w:pStyle w:val="Heading3"/>
        <w:spacing w:line="240" w:lineRule="auto"/>
        <w:ind w:right="1033"/>
        <w:jc w:val="left"/>
        <w:rPr>
          <w:b w:val="0"/>
          <w:bCs w:val="0"/>
        </w:rPr>
      </w:pPr>
      <w:bookmarkStart w:name="11、长期股权投资" w:id="242"/>
      <w:bookmarkEnd w:id="242"/>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权益法下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其他权益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宣告发放</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计提减值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3" w:right="33" w:hanging="90"/>
              <w:jc w:val="left"/>
              <w:rPr>
                <w:rFonts w:ascii="宋体" w:hAnsi="宋体" w:cs="宋体" w:eastAsia="宋体" w:hint="default"/>
                <w:sz w:val="18"/>
                <w:szCs w:val="18"/>
              </w:rPr>
            </w:pPr>
            <w:r>
              <w:rPr>
                <w:rFonts w:ascii="宋体" w:hAnsi="宋体" w:cs="宋体" w:eastAsia="宋体" w:hint="default"/>
                <w:sz w:val="18"/>
                <w:szCs w:val="18"/>
              </w:rPr>
              <w:t>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北京核高 基软件有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261,257.5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-6,188.06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255,069.5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261,257.5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59,600,00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-6,188.06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255,069.5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杭州清响 投资管理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59,600,00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-3,948,82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55,651,17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59,600,00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-3,948,82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55,651,17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261,257.5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59,600,00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-3,955,01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55,906,24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6.82</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12、固定资产" w:id="243"/>
      <w:bookmarkEnd w:id="243"/>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固定资产情况" w:id="244"/>
      <w:bookmarkEnd w:id="24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392"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4,274,348.13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8,282,825.26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12,557,173.39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1,063,984.99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1,063,984.99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1,063,984.99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1,063,984.99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2,484,020.50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2,484,020.50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2,484,020.50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2,484,020.50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4,274,348.13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6,862,789.75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11,137,137.88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2,509,499.84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5,130,250.91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7,639,750.75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479,846.44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1,208,445.23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1,688,291.67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479,846.44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1,208,445.23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1,688,291.67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2,118,842.00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2,118,842.00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2,118,842.00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2,118,842.00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2,989,346.28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4,219,854.14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7,209,200.42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1,285,001.85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2,642,935.61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3,927,937.46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1,764,848.29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3,152,574.35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4,917,422.64</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13、无形资产" w:id="245"/>
      <w:bookmarkEnd w:id="245"/>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无形资产情况" w:id="246"/>
      <w:bookmarkEnd w:id="24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3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1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20"/>
        <w:gridCol w:w="1357"/>
        <w:gridCol w:w="1594"/>
        <w:gridCol w:w="1594"/>
        <w:gridCol w:w="1595"/>
        <w:gridCol w:w="1594"/>
      </w:tblGrid>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13" w:space="0" w:color="D2D2D2"/>
              <w:bottom w:val="single" w:sz="4" w:space="0" w:color="000000"/>
              <w:right w:val="single" w:sz="9" w:space="0" w:color="D2D2D2"/>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5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5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55,152,352.69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55,152,352.69</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5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2,770,440.44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2,770,440.44</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5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2,770,440.44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2,770,440.44</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5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5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844"/>
        <w:gridCol w:w="1345"/>
        <w:gridCol w:w="1594"/>
        <w:gridCol w:w="1594"/>
        <w:gridCol w:w="1595"/>
        <w:gridCol w:w="1594"/>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57,922,793.13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57,922,793.13</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30,413,094.61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30,413,094.61</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10,580,729.50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10,580,729.50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10,580,729.50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10,580,729.50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40,993,824.11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40,993,824.11</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16,928,969.02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16,928,969.02</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24,739,258.08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24,739,258.08</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14、商誉" w:id="247"/>
      <w:bookmarkEnd w:id="247"/>
      <w:r>
        <w:rPr>
          <w:b w:val="0"/>
          <w:bCs w:val="0"/>
        </w:rPr>
      </w:r>
      <w:r>
        <w:rPr>
          <w:rFonts w:ascii="Times New Roman" w:hAnsi="Times New Roman" w:cs="Times New Roman" w:eastAsia="Times New Roman" w:hint="default"/>
        </w:rPr>
        <w:t>14</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商誉账面原值" w:id="248"/>
      <w:bookmarkEnd w:id="24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12" w:space="0" w:color="E0FFFF"/>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北京惠捷朗科技</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left="204" w:right="0"/>
              <w:jc w:val="left"/>
              <w:rPr>
                <w:rFonts w:ascii="Times New Roman" w:hAnsi="Times New Roman" w:cs="Times New Roman" w:eastAsia="Times New Roman" w:hint="default"/>
                <w:sz w:val="18"/>
                <w:szCs w:val="18"/>
              </w:rPr>
            </w:pPr>
            <w:r>
              <w:rPr>
                <w:rFonts w:ascii="Times New Roman"/>
                <w:sz w:val="18"/>
              </w:rPr>
              <w:t>363,369,417.11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363,369,417.11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北京同德一心科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29,607,378.92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29,607,378.92</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北京数字天堂信 息科技有限责任 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34,847,082.00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34,847,082.00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北京微智信业科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479,175,592.37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479,175,592.37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906,999,470.40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906,999,470.40</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商誉减值准备" w:id="249"/>
      <w:bookmarkEnd w:id="24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北京惠捷朗科技 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337,929,523.60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337,929,523.60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北京同德一心科 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29,607,378.92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29,607,378.92</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3"/>
              <w:ind w:left="22" w:right="61"/>
              <w:jc w:val="both"/>
              <w:rPr>
                <w:rFonts w:ascii="宋体" w:hAnsi="宋体" w:cs="宋体" w:eastAsia="宋体" w:hint="default"/>
                <w:sz w:val="18"/>
                <w:szCs w:val="18"/>
              </w:rPr>
            </w:pPr>
            <w:r>
              <w:rPr>
                <w:rFonts w:ascii="宋体" w:hAnsi="宋体" w:cs="宋体" w:eastAsia="宋体" w:hint="default"/>
                <w:sz w:val="18"/>
                <w:szCs w:val="18"/>
              </w:rPr>
              <w:t>北京数字天堂信 息科技有限责任 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17,280,395.46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17,280,395.46</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384,817,297.98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384,817,297.98</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15、长期待摊费用" w:id="250"/>
      <w:bookmarkEnd w:id="250"/>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553,035.83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241,350.75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311,685.08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553,035.83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241,350.75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311,685.08</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16、递延所得税资产/递延所得税负债" w:id="251"/>
      <w:bookmarkEnd w:id="251"/>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33"/>
        <w:jc w:val="left"/>
        <w:rPr>
          <w:b w:val="0"/>
          <w:bCs w:val="0"/>
        </w:rPr>
      </w:pPr>
      <w:bookmarkStart w:name="（1）未经抵销的递延所得税资产" w:id="252"/>
      <w:bookmarkEnd w:id="25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69,308,235.18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11,391,641.00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47,344,332.06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8,031,476.05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4,164,941.14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1,041,235.29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16,518,531.03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4,129,632.76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3,979,724.78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596,958.72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2,033,394.78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305,009.23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77,452,901.10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13,029,835.01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65,896,257.87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12,466,118.04</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未经抵销的递延所得税负债" w:id="253"/>
      <w:bookmarkEnd w:id="25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4,624,485.80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693,672.87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11,323,251.74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1,698,487.76</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4,624,485.80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693,672.87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11,323,251.74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1,698,487.76</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以抵销后净额列示的递延所得税资产或负债" w:id="254"/>
      <w:bookmarkEnd w:id="25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2"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13,029,835.01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12,466,118.04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693,672.87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1,698,487.76</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17、应付账款" w:id="255"/>
      <w:bookmarkEnd w:id="255"/>
      <w:r>
        <w:rPr>
          <w:b w:val="0"/>
          <w:bCs w:val="0"/>
        </w:rPr>
      </w:r>
      <w:r>
        <w:rPr>
          <w:rFonts w:ascii="Times New Roman" w:hAnsi="Times New Roman" w:cs="Times New Roman" w:eastAsia="Times New Roman" w:hint="default"/>
        </w:rPr>
        <w:t>17</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应付账款列示" w:id="256"/>
      <w:bookmarkEnd w:id="25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51,041,832.31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35,175,977.28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18,448,007.95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3,656,000.00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1,869,000.00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1,970,760.44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2,222,800.26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384,115.30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73,581,640.52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41,186,853.02</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账龄超过1年的重要应付账款" w:id="257"/>
      <w:bookmarkEnd w:id="25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北京百卓网络技术有限公司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17,915,007.95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深圳优特利通信技术有限公司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中国电信号百信息服务分公司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北京顺景天诚科技有限公司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21,378,007.95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18、预收款项" w:id="258"/>
      <w:bookmarkEnd w:id="258"/>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预收款项列示" w:id="259"/>
      <w:bookmarkEnd w:id="25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4,157,841.02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4,529,853.34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459,700.00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177,771.64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153,528.31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4,369,869.33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5,167,324.98</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19、应付职工薪酬" w:id="260"/>
      <w:bookmarkEnd w:id="260"/>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应付职工薪酬列示" w:id="261"/>
      <w:bookmarkEnd w:id="26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10,062,168.63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87,052,477.87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86,493,476.34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10,621,170.16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12,805.97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7,714,047.41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7,684,973.43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41,879.95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10,074,974.60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94,766,525.28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94,178,449.77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10,663,050.11</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短期薪酬列示" w:id="262"/>
      <w:bookmarkEnd w:id="26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2,038,332.82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74,978,186.11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75,207,664.19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1,808,854.74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786,238.88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785,438.88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4,367.66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3,834,380.89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3,817,643.30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21,105.25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4,351.77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3,516,659.36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3,501,524.97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19,486.16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82,189.83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81,855.68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235,531.70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234,262.65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1,280.62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6,473,029.92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6,479,646.92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8,012,611.15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980,642.07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203,083.05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8,790,170.17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10,062,168.63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87,052,477.87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86,493,476.34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10,621,170.16</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设定提存计划列示" w:id="263"/>
      <w:bookmarkEnd w:id="26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12,292.70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7,444,878.60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7,416,703.89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40,467.41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269,168.81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268,269.54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1,412.54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7,714,047.41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7,684,973.43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41,879.95</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0、应交税费" w:id="264"/>
      <w:bookmarkEnd w:id="264"/>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4,633,482.07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8,922,332.01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13,849,465.60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8,215,695.31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1,304,713.66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23,415,965.59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450,208.78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596,928.91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192,946.71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311,403.31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128,631.07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252,174.43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副食品价格调控基金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7,976.57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16,033.26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20,575,670.04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41,722,480.33</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1、其他应付款" w:id="265"/>
      <w:bookmarkEnd w:id="265"/>
      <w:r>
        <w:rPr>
          <w:b w:val="0"/>
          <w:bCs w:val="0"/>
        </w:rPr>
      </w:r>
      <w:r>
        <w:rPr>
          <w:rFonts w:ascii="Times New Roman" w:hAnsi="Times New Roman" w:cs="Times New Roman" w:eastAsia="Times New Roman" w:hint="default"/>
        </w:rPr>
        <w:t>21</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按款项性质列示其他应付款" w:id="266"/>
      <w:bookmarkEnd w:id="266"/>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、单位往来款项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216,540.64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195,260.00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、应付职工个人款项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747,970.28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968,131.32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86,532,900.77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55,032.12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271,090.32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1,019,543.04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87,967,382.41</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2、递延收益" w:id="267"/>
      <w:bookmarkEnd w:id="267"/>
      <w:r>
        <w:rPr>
          <w:b w:val="0"/>
          <w:bCs w:val="0"/>
        </w:rPr>
      </w:r>
      <w:r>
        <w:rPr>
          <w:rFonts w:ascii="Times New Roman" w:hAnsi="Times New Roman" w:cs="Times New Roman" w:eastAsia="Times New Roman" w:hint="default"/>
        </w:rPr>
        <w:t>22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2,033,394.78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3,783,200.00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1,836,870.00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3,979,724.78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政府拨款</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2,033,394.78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3,783,200.00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1,836,870.00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3,979,724.78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军用软件特 色开发库与 迁移维护工 具集</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2,013,394.78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1,283,200.00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1,469,079.29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1,827,515.49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支持大数据 的政务服务 数据交换平 台</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347,790.71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2,152,209.29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软件和集成 电路产业发 展专项资金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2,033,394.78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3,783,200.00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1,836,870.00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3,979,724.78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23、股本" w:id="268"/>
      <w:bookmarkEnd w:id="268"/>
      <w:r>
        <w:rPr>
          <w:b w:val="0"/>
          <w:bCs w:val="0"/>
        </w:rPr>
      </w:r>
      <w:r>
        <w:rPr>
          <w:rFonts w:ascii="Times New Roman" w:hAnsi="Times New Roman" w:cs="Times New Roman" w:eastAsia="Times New Roman" w:hint="default"/>
        </w:rPr>
        <w:t>23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138,393,484.00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138,515,854.00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122,370.00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138,638,224.00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277,031,708.00</w:t>
            </w:r>
          </w:p>
        </w:tc>
      </w:tr>
    </w:tbl>
    <w:p>
      <w:pPr>
        <w:pStyle w:val="BodyText"/>
        <w:spacing w:line="240" w:lineRule="auto" w:before="51"/>
        <w:ind w:left="1134" w:right="1033"/>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1033"/>
        <w:jc w:val="left"/>
        <w:rPr>
          <w:b w:val="0"/>
          <w:bCs w:val="0"/>
        </w:rPr>
      </w:pPr>
      <w:bookmarkStart w:name="24、资本公积" w:id="269"/>
      <w:bookmarkEnd w:id="269"/>
      <w:r>
        <w:rPr>
          <w:b w:val="0"/>
          <w:bCs w:val="0"/>
        </w:rPr>
      </w:r>
      <w:r>
        <w:rPr>
          <w:rFonts w:ascii="Times New Roman" w:hAnsi="Times New Roman" w:cs="Times New Roman" w:eastAsia="Times New Roman" w:hint="default"/>
        </w:rPr>
        <w:t>24</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1,310,256,947.09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7,791,173.11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138,515,854.00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1,179,532,266.20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1,706,369.59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264,622.93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128,453.90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1,842,538.62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1,311,963,316.68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8,055,796.04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138,644,307.90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1,181,374,804.82</w:t>
            </w:r>
          </w:p>
        </w:tc>
      </w:tr>
    </w:tbl>
    <w:p>
      <w:pPr>
        <w:pStyle w:val="BodyText"/>
        <w:spacing w:line="240" w:lineRule="auto" w:before="51"/>
        <w:ind w:left="1134" w:right="1033"/>
        <w:jc w:val="left"/>
      </w:pPr>
      <w:r>
        <w:rPr/>
        <w:t>其他说明，包括本期增减变动情况、变动原因说明：</w:t>
      </w:r>
    </w:p>
    <w:p>
      <w:pPr>
        <w:pStyle w:val="BodyText"/>
        <w:spacing w:line="240" w:lineRule="auto" w:before="115"/>
        <w:ind w:left="0" w:right="1132"/>
        <w:jc w:val="right"/>
      </w:pPr>
      <w:r>
        <w:rPr>
          <w:rFonts w:ascii="Times New Roman" w:hAnsi="Times New Roman" w:cs="Times New Roman" w:eastAsia="Times New Roman" w:hint="default"/>
          <w:spacing w:val="-15"/>
        </w:rPr>
        <w:t>1</w:t>
      </w:r>
      <w:r>
        <w:rPr>
          <w:spacing w:val="-15"/>
        </w:rPr>
        <w:t>、根据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5  </w:t>
      </w:r>
      <w:r>
        <w:rPr/>
        <w:t>日公司召开的 </w:t>
      </w:r>
      <w:r>
        <w:rPr>
          <w:rFonts w:ascii="Times New Roman" w:hAnsi="Times New Roman" w:cs="Times New Roman" w:eastAsia="Times New Roman" w:hint="default"/>
        </w:rPr>
        <w:t>2016  </w:t>
      </w:r>
      <w:r>
        <w:rPr>
          <w:spacing w:val="-5"/>
        </w:rPr>
        <w:t>年年度股东大会决议，</w:t>
      </w:r>
      <w:r>
        <w:rPr>
          <w:rFonts w:ascii="Times New Roman" w:hAnsi="Times New Roman" w:cs="Times New Roman" w:eastAsia="Times New Roman" w:hint="default"/>
          <w:spacing w:val="-5"/>
        </w:rPr>
        <w:t>2016  </w:t>
      </w:r>
      <w:r>
        <w:rPr/>
        <w:t>年度公 </w:t>
      </w:r>
      <w:r>
        <w:rPr>
          <w:spacing w:val="-5"/>
        </w:rPr>
        <w:t>司利润分配方案为：以公司 </w:t>
      </w:r>
      <w:r>
        <w:rPr>
          <w:rFonts w:ascii="Times New Roman" w:hAnsi="Times New Roman" w:cs="Times New Roman" w:eastAsia="Times New Roman" w:hint="default"/>
        </w:rPr>
        <w:t>2017  </w:t>
      </w:r>
      <w:r>
        <w:rPr>
          <w:rFonts w:ascii="Times New Roman" w:hAnsi="Times New Roman" w:cs="Times New Roman" w:eastAsia="Times New Roman" w:hint="default"/>
          <w:spacing w:val="1"/>
        </w:rPr>
        <w:t> </w:t>
      </w:r>
      <w:r>
        <w:rPr/>
        <w:t>年</w:t>
      </w:r>
    </w:p>
    <w:p>
      <w:pPr>
        <w:pStyle w:val="BodyText"/>
        <w:spacing w:line="240" w:lineRule="auto" w:before="63"/>
        <w:ind w:right="0"/>
        <w:jc w:val="left"/>
      </w:pPr>
      <w:r>
        <w:rPr>
          <w:rFonts w:ascii="Times New Roman" w:hAnsi="Times New Roman" w:cs="Times New Roman" w:eastAsia="Times New Roman" w:hint="default"/>
        </w:rPr>
        <w:t>3  </w:t>
      </w:r>
      <w:r>
        <w:rPr/>
        <w:t>月 </w:t>
      </w:r>
      <w:r>
        <w:rPr>
          <w:rFonts w:ascii="Times New Roman" w:hAnsi="Times New Roman" w:cs="Times New Roman" w:eastAsia="Times New Roman" w:hint="default"/>
        </w:rPr>
        <w:t>29  </w:t>
      </w:r>
      <w:r>
        <w:rPr/>
        <w:t>日收盘的总股本 </w:t>
      </w:r>
      <w:r>
        <w:rPr>
          <w:rFonts w:ascii="Times New Roman" w:hAnsi="Times New Roman" w:cs="Times New Roman" w:eastAsia="Times New Roman" w:hint="default"/>
        </w:rPr>
        <w:t>138,515,854  </w:t>
      </w:r>
      <w:r>
        <w:rPr/>
        <w:t>股</w:t>
      </w:r>
      <w:r>
        <w:rPr>
          <w:spacing w:val="-2"/>
        </w:rPr>
        <w:t>为</w:t>
      </w:r>
      <w:r>
        <w:rPr/>
        <w:t>基数</w:t>
      </w:r>
      <w:r>
        <w:rPr>
          <w:spacing w:val="-87"/>
        </w:rPr>
        <w:t>，</w:t>
      </w:r>
      <w:r>
        <w:rPr/>
        <w:t>以资本公积金向全体股东每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10  </w:t>
      </w:r>
      <w:r>
        <w:rPr/>
        <w:t>股</w:t>
      </w:r>
      <w:r>
        <w:rPr>
          <w:spacing w:val="-87"/>
        </w:rPr>
        <w:t>，</w:t>
      </w:r>
      <w:r>
        <w:rPr/>
        <w:t>合计转增 </w:t>
      </w:r>
      <w:r>
        <w:rPr>
          <w:rFonts w:ascii="Times New Roman" w:hAnsi="Times New Roman" w:cs="Times New Roman" w:eastAsia="Times New Roman" w:hint="default"/>
        </w:rPr>
        <w:t>138,515,</w:t>
      </w:r>
      <w:r>
        <w:rPr>
          <w:rFonts w:ascii="Times New Roman" w:hAnsi="Times New Roman" w:cs="Times New Roman" w:eastAsia="Times New Roman" w:hint="default"/>
          <w:spacing w:val="-2"/>
        </w:rPr>
        <w:t>8</w:t>
      </w:r>
      <w:r>
        <w:rPr>
          <w:rFonts w:ascii="Times New Roman" w:hAnsi="Times New Roman" w:cs="Times New Roman" w:eastAsia="Times New Roman" w:hint="default"/>
        </w:rPr>
        <w:t>54  </w:t>
      </w:r>
      <w:r>
        <w:rPr/>
        <w:t>股，</w:t>
      </w:r>
    </w:p>
    <w:p>
      <w:pPr>
        <w:pStyle w:val="BodyText"/>
        <w:spacing w:line="240" w:lineRule="auto" w:before="64"/>
        <w:ind w:right="1033"/>
        <w:jc w:val="left"/>
      </w:pPr>
      <w:r>
        <w:rPr/>
        <w:t>转增后公司总股本为 </w:t>
      </w:r>
      <w:r>
        <w:rPr>
          <w:rFonts w:ascii="Times New Roman" w:hAnsi="Times New Roman" w:cs="Times New Roman" w:eastAsia="Times New Roman" w:hint="default"/>
        </w:rPr>
        <w:t>277,031,708</w:t>
      </w:r>
      <w:r>
        <w:rPr>
          <w:rFonts w:ascii="Times New Roman" w:hAnsi="Times New Roman" w:cs="Times New Roman" w:eastAsia="Times New Roman" w:hint="default"/>
          <w:spacing w:val="43"/>
        </w:rPr>
        <w:t> </w:t>
      </w:r>
      <w:r>
        <w:rPr/>
        <w:t>股。</w:t>
      </w:r>
    </w:p>
    <w:p>
      <w:pPr>
        <w:pStyle w:val="BodyText"/>
        <w:spacing w:line="240" w:lineRule="auto" w:before="102"/>
        <w:ind w:left="0" w:right="1185"/>
        <w:jc w:val="right"/>
        <w:rPr>
          <w:rFonts w:ascii="Times New Roman" w:hAnsi="Times New Roman" w:cs="Times New Roman" w:eastAsia="Times New Roman" w:hint="default"/>
        </w:rPr>
      </w:pPr>
      <w:r>
        <w:rPr>
          <w:rFonts w:ascii="Times New Roman" w:hAnsi="Times New Roman" w:cs="Times New Roman" w:eastAsia="Times New Roman" w:hint="default"/>
        </w:rPr>
        <w:t>2</w:t>
      </w:r>
      <w:r>
        <w:rPr/>
        <w:t>、根据本公司《第一期股票期权激励计划</w:t>
      </w:r>
      <w:r>
        <w:rPr>
          <w:spacing w:val="-90"/>
        </w:rPr>
        <w:t>》</w:t>
      </w:r>
      <w:r>
        <w:rPr/>
        <w:t>，详见本附注九、股份支付，截至</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r>
        <w:rPr>
          <w:spacing w:val="1"/>
        </w:rPr>
        <w:t>已</w:t>
      </w:r>
      <w:r>
        <w:rPr/>
        <w:t>行权</w:t>
      </w:r>
      <w:r>
        <w:rPr>
          <w:spacing w:val="-46"/>
        </w:rPr>
        <w:t> </w:t>
      </w:r>
      <w:r>
        <w:rPr>
          <w:rFonts w:ascii="Times New Roman" w:hAnsi="Times New Roman" w:cs="Times New Roman" w:eastAsia="Times New Roman" w:hint="default"/>
        </w:rPr>
        <w:t>122,370.00</w:t>
      </w:r>
    </w:p>
    <w:p>
      <w:pPr>
        <w:pStyle w:val="BodyText"/>
        <w:spacing w:line="240" w:lineRule="auto" w:before="64"/>
        <w:ind w:left="1134" w:right="1033"/>
        <w:jc w:val="left"/>
      </w:pPr>
      <w:r>
        <w:rPr/>
        <w:t>股增加股本，溢价</w:t>
      </w:r>
      <w:r>
        <w:rPr>
          <w:spacing w:val="-51"/>
        </w:rPr>
        <w:t> </w:t>
      </w:r>
      <w:r>
        <w:rPr>
          <w:rFonts w:ascii="Times New Roman" w:hAnsi="Times New Roman" w:cs="Times New Roman" w:eastAsia="Times New Roman" w:hint="default"/>
        </w:rPr>
        <w:t>7,791,173.11</w:t>
      </w:r>
      <w:r>
        <w:rPr>
          <w:rFonts w:ascii="Times New Roman" w:hAnsi="Times New Roman" w:cs="Times New Roman" w:eastAsia="Times New Roman" w:hint="default"/>
          <w:spacing w:val="-6"/>
        </w:rPr>
        <w:t> </w:t>
      </w:r>
      <w:r>
        <w:rPr/>
        <w:t>元计入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pStyle w:val="BodyText"/>
        <w:spacing w:line="240" w:lineRule="auto" w:before="101"/>
        <w:ind w:right="103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年共摊销第一期股票激励计划期权成本</w:t>
      </w:r>
      <w:r>
        <w:rPr>
          <w:spacing w:val="-46"/>
        </w:rPr>
        <w:t> </w:t>
      </w:r>
      <w:r>
        <w:rPr>
          <w:rFonts w:ascii="Times New Roman" w:hAnsi="Times New Roman" w:cs="Times New Roman" w:eastAsia="Times New Roman" w:hint="default"/>
        </w:rPr>
        <w:t>264,622.93 </w:t>
      </w:r>
      <w:r>
        <w:rPr/>
        <w:t>元计入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。同时将已行权部分的期权成本</w:t>
      </w:r>
    </w:p>
    <w:p>
      <w:pPr>
        <w:pStyle w:val="BodyText"/>
        <w:spacing w:line="240" w:lineRule="auto" w:before="64"/>
        <w:ind w:right="1033"/>
        <w:jc w:val="left"/>
      </w:pPr>
      <w:r>
        <w:rPr>
          <w:rFonts w:ascii="Times New Roman" w:hAnsi="Times New Roman" w:cs="Times New Roman" w:eastAsia="Times New Roman" w:hint="default"/>
        </w:rPr>
        <w:t>128,453.90</w:t>
      </w:r>
      <w:r>
        <w:rPr>
          <w:rFonts w:ascii="Times New Roman" w:hAnsi="Times New Roman" w:cs="Times New Roman" w:eastAsia="Times New Roman" w:hint="default"/>
          <w:spacing w:val="-4"/>
        </w:rPr>
        <w:t> </w:t>
      </w:r>
      <w:r>
        <w:rPr/>
        <w:t>元由</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转入</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25、盈余公积" w:id="270"/>
      <w:bookmarkEnd w:id="270"/>
      <w:r>
        <w:rPr>
          <w:b w:val="0"/>
          <w:bCs w:val="0"/>
        </w:rPr>
      </w:r>
      <w:r>
        <w:rPr>
          <w:rFonts w:ascii="Times New Roman" w:hAnsi="Times New Roman" w:cs="Times New Roman" w:eastAsia="Times New Roman" w:hint="default"/>
        </w:rPr>
        <w:t>25</w:t>
      </w:r>
      <w:r>
        <w:rPr/>
        <w:t>、盈余公积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26,325,950.60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26,325,950.60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26,325,950.60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26,325,950.60</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6、未分配利润" w:id="271"/>
      <w:bookmarkEnd w:id="271"/>
      <w:r>
        <w:rPr>
          <w:b w:val="0"/>
          <w:bCs w:val="0"/>
        </w:rPr>
      </w:r>
      <w:r>
        <w:rPr>
          <w:rFonts w:ascii="Times New Roman" w:hAnsi="Times New Roman" w:cs="Times New Roman" w:eastAsia="Times New Roman" w:hint="default"/>
        </w:rPr>
        <w:t>26</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297,699,259.96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212,329,879.92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297,699,259.96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212,329,879.92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-307,286,709.04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111,363,644.76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11,591,727.22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27,703,170.80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14,402,537.50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-37,290,619.88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297,699,259.96</w:t>
            </w:r>
          </w:p>
        </w:tc>
      </w:tr>
    </w:tbl>
    <w:p>
      <w:pPr>
        <w:pStyle w:val="BodyText"/>
        <w:spacing w:line="240" w:lineRule="auto" w:before="51"/>
        <w:ind w:left="1134" w:right="1033"/>
        <w:jc w:val="left"/>
      </w:pPr>
      <w:r>
        <w:rPr/>
        <w:t>调整期初未分配利润明细：</w:t>
      </w:r>
    </w:p>
    <w:p>
      <w:pPr>
        <w:pStyle w:val="BodyText"/>
        <w:spacing w:line="240" w:lineRule="auto" w:before="116"/>
        <w:ind w:left="1134" w:right="1033"/>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4"/>
        <w:ind w:right="1033"/>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1033"/>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134" w:right="1033"/>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1033"/>
        <w:jc w:val="left"/>
      </w:pPr>
      <w:r>
        <w:rPr>
          <w:rFonts w:ascii="Times New Roman" w:hAnsi="Times New Roman" w:cs="Times New Roman" w:eastAsia="Times New Roman" w:hint="default"/>
        </w:rPr>
        <w:t>5)</w:t>
      </w:r>
      <w:r>
        <w:rPr/>
        <w:t>、其他调整合计影响期初未分配利润元。</w:t>
      </w:r>
    </w:p>
    <w:p>
      <w:pPr>
        <w:spacing w:after="0" w:line="240" w:lineRule="auto"/>
        <w:jc w:val="left"/>
        <w:sectPr>
          <w:footerReference w:type="default" r:id="rId35"/>
          <w:pgSz w:w="11910" w:h="16840"/>
          <w:pgMar w:footer="979" w:header="747" w:top="1060" w:bottom="1160" w:left="0" w:right="0"/>
          <w:pgNumType w:start="157"/>
        </w:sectPr>
      </w:pPr>
    </w:p>
    <w:p>
      <w:pPr>
        <w:spacing w:line="240" w:lineRule="auto" w:before="9"/>
        <w:rPr>
          <w:rFonts w:ascii="宋体" w:hAnsi="宋体" w:cs="宋体" w:eastAsia="宋体" w:hint="default"/>
          <w:sz w:val="24"/>
          <w:szCs w:val="24"/>
        </w:rPr>
      </w:pPr>
    </w:p>
    <w:p>
      <w:pPr>
        <w:pStyle w:val="Heading3"/>
        <w:spacing w:line="240" w:lineRule="auto" w:before="35"/>
        <w:ind w:right="1033"/>
        <w:jc w:val="left"/>
        <w:rPr>
          <w:b w:val="0"/>
          <w:bCs w:val="0"/>
        </w:rPr>
      </w:pPr>
      <w:bookmarkStart w:name="27、营业收入和营业成本" w:id="272"/>
      <w:bookmarkEnd w:id="272"/>
      <w:r>
        <w:rPr>
          <w:b w:val="0"/>
          <w:bCs w:val="0"/>
        </w:rPr>
      </w:r>
      <w:r>
        <w:rPr>
          <w:rFonts w:ascii="Times New Roman" w:hAnsi="Times New Roman" w:cs="Times New Roman" w:eastAsia="Times New Roman" w:hint="default"/>
        </w:rPr>
        <w:t>27</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292,786,400.27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74,034,535.88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325,397,640.15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72,123,852.29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292,786,400.27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74,034,535.88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325,397,640.15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72,123,852.29</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8、税金及附加" w:id="273"/>
      <w:bookmarkEnd w:id="273"/>
      <w:r>
        <w:rPr>
          <w:b w:val="0"/>
          <w:bCs w:val="0"/>
        </w:rPr>
      </w:r>
      <w:r>
        <w:rPr>
          <w:rFonts w:ascii="Times New Roman" w:hAnsi="Times New Roman" w:cs="Times New Roman" w:eastAsia="Times New Roman" w:hint="default"/>
        </w:rPr>
        <w:t>28</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2,186,632.77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2,748,960.33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939,688.71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1,177,903.93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-107,651.99</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624,375.08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785,269.32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副食品价格调控基金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6,166.92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20,942.51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178,830.26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789,734.05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3,938,889.54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5,415,162.35</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29、销售费用" w:id="274"/>
      <w:bookmarkEnd w:id="274"/>
      <w:r>
        <w:rPr>
          <w:b w:val="0"/>
          <w:bCs w:val="0"/>
        </w:rPr>
      </w:r>
      <w:r>
        <w:rPr>
          <w:rFonts w:ascii="Times New Roman" w:hAnsi="Times New Roman" w:cs="Times New Roman" w:eastAsia="Times New Roman" w:hint="default"/>
        </w:rPr>
        <w:t>29</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23,907,326.98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32,762,457.54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68,758.43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79,629.23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7,041,127.54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5,895,769.10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广告及业务宣传费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560,129.55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1,793,398.17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3,060,983.28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4,324,437.32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3,670,857.23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4,433,906.28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1,019,434.34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1,908,326.91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405,263.02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386,255.45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1,268,167.98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1,212,682.37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145,363.65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162,287.62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2,395,031.90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2,198,061.93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275,622.30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603,681.94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43,818,066.20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55,760,893.86</w:t>
            </w:r>
          </w:p>
        </w:tc>
      </w:tr>
    </w:tbl>
    <w:p>
      <w:pPr>
        <w:spacing w:line="240" w:lineRule="auto" w:before="3"/>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0、管理费用" w:id="275"/>
      <w:bookmarkEnd w:id="275"/>
      <w:r>
        <w:rPr>
          <w:b w:val="0"/>
          <w:bCs w:val="0"/>
        </w:rPr>
      </w:r>
      <w:r>
        <w:rPr>
          <w:rFonts w:ascii="Times New Roman" w:hAnsi="Times New Roman" w:cs="Times New Roman" w:eastAsia="Times New Roman" w:hint="default"/>
        </w:rPr>
        <w:t>30</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19,128,089.67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20,300,074.53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855,455.90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1,545,707.30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10,242,910.74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9,235,094.06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长期待费用摊销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1,879,433.33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137,593.41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754,994.60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1,116,755.37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778,783.60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1,003,867.72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149,111.41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310,032.10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6,209,376.29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5,988,541.59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2,551,778.78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924,762.85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2,563,055.16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1,674,579.22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研究与开发费用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62,092,582.36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51,856,356.31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809,497.28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259,956.65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516,418.15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743,684.04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113,845.64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196,281.12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1,921,197.18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1,663,192.90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网络服务费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86,163.75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309,410.25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419,463.15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177,065.00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2,258,952.81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1,510,576.35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期权成本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264,622.93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1,530,851.59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113,595,732.73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100,484,382.36</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1、财务费用" w:id="276"/>
      <w:bookmarkEnd w:id="276"/>
      <w:r>
        <w:rPr>
          <w:b w:val="0"/>
          <w:bCs w:val="0"/>
        </w:rPr>
      </w:r>
      <w:r>
        <w:rPr>
          <w:rFonts w:ascii="Times New Roman" w:hAnsi="Times New Roman" w:cs="Times New Roman" w:eastAsia="Times New Roman" w:hint="default"/>
        </w:rPr>
        <w:t>31</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773.33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9,286,283.66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5,182,661.10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129,236.74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103,500.49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-9,157,046.92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-5,078,387.28</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2、资产减值损失" w:id="277"/>
      <w:bookmarkEnd w:id="277"/>
      <w:r>
        <w:rPr>
          <w:b w:val="0"/>
          <w:bCs w:val="0"/>
        </w:rPr>
      </w:r>
      <w:r>
        <w:rPr>
          <w:rFonts w:ascii="Times New Roman" w:hAnsi="Times New Roman" w:cs="Times New Roman" w:eastAsia="Times New Roman" w:hint="default"/>
        </w:rPr>
        <w:t>32</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21,963,903.12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14,128,859.67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384,817,297.98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406,781,201.10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14,128,859.67</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3、投资收益" w:id="278"/>
      <w:bookmarkEnd w:id="278"/>
      <w:r>
        <w:rPr>
          <w:b w:val="0"/>
          <w:bCs w:val="0"/>
        </w:rPr>
      </w:r>
      <w:r>
        <w:rPr>
          <w:rFonts w:ascii="Times New Roman" w:hAnsi="Times New Roman" w:cs="Times New Roman" w:eastAsia="Times New Roman" w:hint="default"/>
        </w:rPr>
        <w:t>33</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-3,955,010.76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-17,894.64</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215,130.70</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-3,955,010.76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197,236.06</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4、资产处置收益" w:id="279"/>
      <w:bookmarkEnd w:id="279"/>
      <w:r>
        <w:rPr>
          <w:b w:val="0"/>
          <w:bCs w:val="0"/>
        </w:rPr>
      </w:r>
      <w:r>
        <w:rPr>
          <w:rFonts w:ascii="Times New Roman" w:hAnsi="Times New Roman" w:cs="Times New Roman" w:eastAsia="Times New Roman" w:hint="default"/>
        </w:rPr>
        <w:t>34</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-183,484.06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-183,484.06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5、其他收益" w:id="280"/>
      <w:bookmarkEnd w:id="280"/>
      <w:r>
        <w:rPr>
          <w:b w:val="0"/>
          <w:bCs w:val="0"/>
        </w:rPr>
      </w:r>
      <w:r>
        <w:rPr>
          <w:rFonts w:ascii="Times New Roman" w:hAnsi="Times New Roman" w:cs="Times New Roman" w:eastAsia="Times New Roman" w:hint="default"/>
        </w:rPr>
        <w:t>35</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26,402,424.89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4,619,644.00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31,022,068.89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6、营业外收入" w:id="281"/>
      <w:bookmarkEnd w:id="281"/>
      <w:r>
        <w:rPr>
          <w:b w:val="0"/>
          <w:bCs w:val="0"/>
        </w:rPr>
      </w:r>
      <w:r>
        <w:rPr>
          <w:rFonts w:ascii="Times New Roman" w:hAnsi="Times New Roman" w:cs="Times New Roman" w:eastAsia="Times New Roman" w:hint="default"/>
        </w:rPr>
        <w:t>36</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41,501,200.70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1,779.73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14,170,751.26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3,212,470.90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14,170,751.26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14,170,751.26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44,715,451.33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14,170,751.26</w:t>
            </w:r>
          </w:p>
        </w:tc>
      </w:tr>
    </w:tbl>
    <w:p>
      <w:pPr>
        <w:pStyle w:val="BodyText"/>
        <w:spacing w:line="240" w:lineRule="auto" w:before="51"/>
        <w:ind w:left="1134" w:right="1033"/>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31"/>
              <w:jc w:val="left"/>
              <w:rPr>
                <w:rFonts w:ascii="宋体" w:hAnsi="宋体" w:cs="宋体" w:eastAsia="宋体" w:hint="default"/>
                <w:sz w:val="18"/>
                <w:szCs w:val="18"/>
              </w:rPr>
            </w:pPr>
            <w:r>
              <w:rPr>
                <w:rFonts w:ascii="宋体" w:hAnsi="宋体" w:cs="宋体" w:eastAsia="宋体" w:hint="default"/>
                <w:sz w:val="18"/>
                <w:szCs w:val="18"/>
              </w:rPr>
              <w:t>增值税即征 即退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北京市丰台 区国家税务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32,584,269.6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both"/>
              <w:rPr>
                <w:rFonts w:ascii="Times New Roman" w:hAnsi="Times New Roman" w:cs="Times New Roman" w:eastAsia="Times New Roman" w:hint="default"/>
                <w:sz w:val="18"/>
                <w:szCs w:val="18"/>
              </w:rPr>
            </w:pPr>
            <w:r>
              <w:rPr>
                <w:rFonts w:ascii="Times New Roman"/>
                <w:sz w:val="18"/>
              </w:rPr>
              <w:t>2015ZX0104</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0101-002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军</w:t>
            </w:r>
          </w:p>
          <w:p>
            <w:pPr>
              <w:pStyle w:val="TableParagraph"/>
              <w:spacing w:line="319" w:lineRule="auto" w:before="63"/>
              <w:ind w:left="22" w:right="131"/>
              <w:jc w:val="both"/>
              <w:rPr>
                <w:rFonts w:ascii="宋体" w:hAnsi="宋体" w:cs="宋体" w:eastAsia="宋体" w:hint="default"/>
                <w:sz w:val="18"/>
                <w:szCs w:val="18"/>
              </w:rPr>
            </w:pPr>
            <w:r>
              <w:rPr>
                <w:rFonts w:ascii="宋体" w:hAnsi="宋体" w:cs="宋体" w:eastAsia="宋体" w:hint="default"/>
                <w:sz w:val="18"/>
                <w:szCs w:val="18"/>
              </w:rPr>
              <w:t>用软件特色 开发库与迁 移维护工具 集</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中国人民解 放军装备学 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3,393,331.02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中小企业发 展和管理专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left"/>
              <w:rPr>
                <w:rFonts w:ascii="宋体" w:hAnsi="宋体" w:cs="宋体" w:eastAsia="宋体" w:hint="default"/>
                <w:sz w:val="18"/>
                <w:szCs w:val="18"/>
              </w:rPr>
            </w:pPr>
            <w:r>
              <w:rPr>
                <w:rFonts w:ascii="宋体" w:hAnsi="宋体" w:cs="宋体" w:eastAsia="宋体" w:hint="default"/>
                <w:sz w:val="18"/>
                <w:szCs w:val="18"/>
              </w:rPr>
              <w:t>北京市丰台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创制标准奖 政策奖励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园区丰台园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海淀区企业 专利商用化 专利资金补 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left"/>
              <w:rPr>
                <w:rFonts w:ascii="宋体" w:hAnsi="宋体" w:cs="宋体" w:eastAsia="宋体" w:hint="default"/>
                <w:sz w:val="18"/>
                <w:szCs w:val="18"/>
              </w:rPr>
            </w:pPr>
            <w:r>
              <w:rPr>
                <w:rFonts w:ascii="宋体" w:hAnsi="宋体" w:cs="宋体" w:eastAsia="宋体" w:hint="default"/>
                <w:sz w:val="18"/>
                <w:szCs w:val="18"/>
              </w:rPr>
              <w:t>中关村管委 会海淀园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丰台区专利 转化及专利 服务补助款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left"/>
              <w:rPr>
                <w:rFonts w:ascii="宋体" w:hAnsi="宋体" w:cs="宋体" w:eastAsia="宋体" w:hint="default"/>
                <w:sz w:val="18"/>
                <w:szCs w:val="18"/>
              </w:rPr>
            </w:pPr>
            <w:r>
              <w:rPr>
                <w:rFonts w:ascii="宋体" w:hAnsi="宋体" w:cs="宋体" w:eastAsia="宋体" w:hint="default"/>
                <w:sz w:val="18"/>
                <w:szCs w:val="18"/>
              </w:rPr>
              <w:t>丰台区科学 技术委员会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31"/>
              <w:jc w:val="both"/>
              <w:rPr>
                <w:rFonts w:ascii="宋体" w:hAnsi="宋体" w:cs="宋体" w:eastAsia="宋体" w:hint="default"/>
                <w:sz w:val="18"/>
                <w:szCs w:val="18"/>
              </w:rPr>
            </w:pPr>
            <w:r>
              <w:rPr>
                <w:rFonts w:ascii="宋体" w:hAnsi="宋体" w:cs="宋体" w:eastAsia="宋体" w:hint="default"/>
                <w:sz w:val="18"/>
                <w:szCs w:val="18"/>
              </w:rPr>
              <w:t>软件和集成 电路产业发 展专项资金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both"/>
              <w:rPr>
                <w:rFonts w:ascii="宋体" w:hAnsi="宋体" w:cs="宋体" w:eastAsia="宋体" w:hint="default"/>
                <w:sz w:val="18"/>
                <w:szCs w:val="18"/>
              </w:rPr>
            </w:pPr>
            <w:r>
              <w:rPr>
                <w:rFonts w:ascii="宋体" w:hAnsi="宋体" w:cs="宋体" w:eastAsia="宋体" w:hint="default"/>
                <w:sz w:val="18"/>
                <w:szCs w:val="18"/>
              </w:rPr>
              <w:t>上海市经济 和信息化委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52.7pt;height:15.6pt;mso-position-horizontal-relative:char;mso-position-vertical-relative:line" coordorigin="0,0" coordsize="1054,312">
                  <v:group style="position:absolute;left:0;top:0;width:1054;height:312" coordorigin="0,0" coordsize="1054,312">
                    <v:shape style="position:absolute;left:0;top:0;width:1054;height:312" coordorigin="0,0" coordsize="1054,312" path="m0,312l1054,312,1054,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89"/>
              <w:jc w:val="righ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2"/>
                <w:sz w:val="18"/>
                <w:szCs w:val="18"/>
              </w:rPr>
              <w:t>云计算、大数</w:t>
            </w:r>
            <w:r>
              <w:rPr>
                <w:rFonts w:ascii="宋体" w:hAnsi="宋体" w:cs="宋体" w:eastAsia="宋体" w:hint="default"/>
                <w:sz w:val="18"/>
                <w:szCs w:val="18"/>
              </w:rPr>
              <w:t> </w:t>
            </w:r>
            <w:r>
              <w:rPr>
                <w:rFonts w:ascii="宋体" w:hAnsi="宋体" w:cs="宋体" w:eastAsia="宋体" w:hint="default"/>
                <w:spacing w:val="-12"/>
                <w:sz w:val="18"/>
                <w:szCs w:val="18"/>
              </w:rPr>
              <w:t>据、下一代互</w:t>
            </w:r>
            <w:r>
              <w:rPr>
                <w:rFonts w:ascii="宋体" w:hAnsi="宋体" w:cs="宋体" w:eastAsia="宋体" w:hint="default"/>
                <w:sz w:val="18"/>
                <w:szCs w:val="18"/>
              </w:rPr>
              <w:t> 联网示范应 用项目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区经贸发展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政府扶持基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上海市静安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中关村企业 并购项目政 府补助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标准制修订 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7"/>
              <w:jc w:val="left"/>
              <w:rPr>
                <w:rFonts w:ascii="宋体" w:hAnsi="宋体" w:cs="宋体" w:eastAsia="宋体" w:hint="default"/>
                <w:sz w:val="18"/>
                <w:szCs w:val="18"/>
              </w:rPr>
            </w:pPr>
            <w:r>
              <w:rPr>
                <w:rFonts w:ascii="宋体" w:hAnsi="宋体" w:cs="宋体" w:eastAsia="宋体" w:hint="default"/>
                <w:sz w:val="18"/>
                <w:szCs w:val="18"/>
              </w:rPr>
              <w:t>北京市质量 技术监督局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其他政府补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66"/>
              <w:jc w:val="righ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41,501,200.7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t>其他说明：</w:t>
      </w:r>
    </w:p>
    <w:p>
      <w:pPr>
        <w:pStyle w:val="BodyText"/>
        <w:spacing w:line="240" w:lineRule="auto" w:before="117"/>
        <w:ind w:left="1494" w:right="1033"/>
        <w:jc w:val="left"/>
      </w:pPr>
      <w:r>
        <w:rPr/>
        <w:t>其他系根据《盈利承诺补偿协议》数字天堂管理团队未能实现盈利承诺，无须支付的二期股权转让款</w:t>
      </w:r>
      <w:r>
        <w:rPr>
          <w:spacing w:val="-45"/>
        </w:rPr>
        <w:t> </w:t>
      </w:r>
      <w:r>
        <w:rPr>
          <w:rFonts w:ascii="Times New Roman" w:hAnsi="Times New Roman" w:cs="Times New Roman" w:eastAsia="Times New Roman" w:hint="default"/>
        </w:rPr>
        <w:t>1,400</w:t>
      </w:r>
      <w:r>
        <w:rPr>
          <w:rFonts w:ascii="Times New Roman" w:hAnsi="Times New Roman" w:cs="Times New Roman" w:eastAsia="Times New Roman" w:hint="default"/>
          <w:spacing w:val="-1"/>
        </w:rPr>
        <w:t> </w:t>
      </w:r>
      <w:r>
        <w:rPr/>
        <w:t>万元。</w:t>
      </w:r>
    </w:p>
    <w:p>
      <w:pPr>
        <w:spacing w:line="240" w:lineRule="auto" w:before="9"/>
        <w:rPr>
          <w:rFonts w:ascii="宋体" w:hAnsi="宋体" w:cs="宋体" w:eastAsia="宋体" w:hint="default"/>
          <w:sz w:val="25"/>
          <w:szCs w:val="25"/>
        </w:rPr>
      </w:pPr>
    </w:p>
    <w:p>
      <w:pPr>
        <w:pStyle w:val="Heading3"/>
        <w:spacing w:line="240" w:lineRule="auto"/>
        <w:ind w:left="1134" w:right="1033"/>
        <w:jc w:val="left"/>
        <w:rPr>
          <w:b w:val="0"/>
          <w:bCs w:val="0"/>
        </w:rPr>
      </w:pPr>
      <w:bookmarkStart w:name="37、营业外支出" w:id="282"/>
      <w:bookmarkEnd w:id="282"/>
      <w:r>
        <w:rPr>
          <w:b w:val="0"/>
          <w:bCs w:val="0"/>
        </w:rPr>
      </w:r>
      <w:r>
        <w:rPr>
          <w:rFonts w:ascii="Times New Roman" w:hAnsi="Times New Roman" w:cs="Times New Roman" w:eastAsia="Times New Roman" w:hint="default"/>
        </w:rPr>
        <w:t>37</w:t>
      </w:r>
      <w:r>
        <w:rPr/>
        <w:t>、营业外支出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020"/>
        <w:gridCol w:w="2764"/>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1,291,826.36</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186,510.38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288,000.08</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186,510.38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186,510.38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1,579,826.44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186,510.38</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8、所得税费用" w:id="283"/>
      <w:bookmarkEnd w:id="283"/>
      <w:r>
        <w:rPr>
          <w:b w:val="0"/>
          <w:bCs w:val="0"/>
        </w:rPr>
      </w:r>
      <w:r>
        <w:rPr>
          <w:rFonts w:ascii="Times New Roman" w:hAnsi="Times New Roman" w:cs="Times New Roman" w:eastAsia="Times New Roman" w:hint="default"/>
        </w:rPr>
        <w:t>38</w:t>
      </w:r>
      <w:r>
        <w:rPr/>
        <w:t>、所得税费用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所得税费用表" w:id="284"/>
      <w:bookmarkEnd w:id="28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9,498,046.09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16,422,529.79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-1,568,500.36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-1,890,436.70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7,929,545.73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14,532,093.09</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会计利润与所得税费用调整过程" w:id="285"/>
      <w:bookmarkEnd w:id="28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085"/>
        <w:gridCol w:w="3483"/>
      </w:tblGrid>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4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-299,357,163.31</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4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-44,903,574.50</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4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-117,887.15</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4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-7,790,952.10</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4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1,328,255.12</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4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59,413,704.36</w:t>
            </w:r>
          </w:p>
        </w:tc>
      </w:tr>
      <w:tr>
        <w:trPr>
          <w:trHeight w:val="40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4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7,929,545.73</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9、现金流量表项目" w:id="286"/>
      <w:bookmarkEnd w:id="286"/>
      <w:r>
        <w:rPr>
          <w:b w:val="0"/>
          <w:bCs w:val="0"/>
        </w:rPr>
      </w:r>
      <w:r>
        <w:rPr>
          <w:rFonts w:ascii="Times New Roman" w:hAnsi="Times New Roman" w:cs="Times New Roman" w:eastAsia="Times New Roman" w:hint="default"/>
        </w:rPr>
        <w:t>39</w:t>
      </w:r>
      <w:r>
        <w:rPr/>
        <w:t>、现金流量表项目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3"/>
        <w:jc w:val="left"/>
        <w:rPr>
          <w:b w:val="0"/>
          <w:bCs w:val="0"/>
        </w:rPr>
      </w:pPr>
      <w:bookmarkStart w:name="（1）收到的其他与经营活动有关的现金" w:id="287"/>
      <w:bookmarkEnd w:id="28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5,123,795.98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2,913,546.75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或者研发项目经费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6,152,065.04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7,528,400.00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10,236,164.51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7,015,190.34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职工暂借款及备用金返还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6,738,008.21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35,953,101.86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324,128.50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483,525.16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849,549.97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1,535,493.48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29,423,712.21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55,429,257.59</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支付的其他与经营活动有关的现金" w:id="288"/>
      <w:bookmarkEnd w:id="28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129,236.74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102,948.21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1,007,283.28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10,443,405.75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2,632,783.48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支付代收项目经费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1,428,688.10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备用金及职工暂借款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5,399,603.98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35,833,697.01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直接付现的销售费用、管理费用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45,862,172.92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38,755,774.02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预付房租、物业费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8,429,992.89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7,530,883.29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1,227,307.39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6,303,574.19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71,491,719.67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93,595,631.58</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支付的其他与筹资活动有关的现金" w:id="289"/>
      <w:bookmarkEnd w:id="289"/>
      <w:r>
        <w:rPr>
          <w:b w:val="0"/>
          <w:bCs w:val="0"/>
        </w:rPr>
      </w: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利润分配时支付的相关费用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221,625.36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41,743.14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退还非公开发行认购保证金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非公开发行相关费用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250,937.11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1,964,954.74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472,562.47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21,006,697.88</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40、现金流量表补充资料" w:id="290"/>
      <w:bookmarkEnd w:id="290"/>
      <w:r>
        <w:rPr>
          <w:b w:val="0"/>
          <w:bCs w:val="0"/>
        </w:rPr>
      </w:r>
      <w:r>
        <w:rPr>
          <w:rFonts w:ascii="Times New Roman" w:hAnsi="Times New Roman" w:cs="Times New Roman" w:eastAsia="Times New Roman" w:hint="default"/>
        </w:rPr>
        <w:t>40</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3"/>
        <w:jc w:val="left"/>
        <w:rPr>
          <w:b w:val="0"/>
          <w:bCs w:val="0"/>
        </w:rPr>
      </w:pPr>
      <w:bookmarkStart w:name="（1）现金流量表补充资料" w:id="291"/>
      <w:bookmarkEnd w:id="29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089"/>
        <w:gridCol w:w="2285"/>
        <w:gridCol w:w="3184"/>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-307,286,709.04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111,363,644.76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406,781,201.10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14,128,859.67</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固定资产折旧、油气资产折耗、生产性生物资产折旧</w:t>
            </w:r>
          </w:p>
        </w:tc>
        <w:tc>
          <w:tcPr>
            <w:tcW w:w="2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1,688,291.67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2,207,535.61</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10,580,729.50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9,246,388.70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241,350.75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1,401,510.47</w:t>
            </w: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-183,484.06</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1,290,046.71</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5" w:type="dxa"/>
            <w:tcBorders>
              <w:top w:val="single" w:sz="4" w:space="0" w:color="000000"/>
              <w:left w:val="single" w:sz="10"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773.33</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3,955,010.76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-197,236.06</w:t>
            </w:r>
            <w:r>
              <w:rPr>
                <w:rFonts w:ascii="Times New Roman"/>
                <w:sz w:val="18"/>
              </w:rPr>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-563,716.97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-223,855.58</w:t>
            </w:r>
            <w:r>
              <w:rPr>
                <w:rFonts w:ascii="Times New Roman"/>
                <w:sz w:val="18"/>
              </w:rPr>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-1,004,814.89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-4,818.90</w:t>
            </w:r>
            <w:r>
              <w:rPr>
                <w:rFonts w:ascii="Times New Roman"/>
                <w:sz w:val="18"/>
              </w:rPr>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-17,169,803.36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-4,035,372.02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20,246,820.13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8,754,255.77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4089"/>
        <w:gridCol w:w="2285"/>
        <w:gridCol w:w="3184"/>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-8,116,336.66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3,459,525.11</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109,168,538.93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147,391,257.57</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593,679,289.59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655,699,374.11</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655,699,374.11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181,478,584.46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-62,020,084.52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474,220,789.65</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本期支付的取得子公司的现金净额" w:id="292"/>
      <w:bookmarkEnd w:id="29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95,044,991.00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北京微智信业科技有限公司</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94,544,991.00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北京同德一心科技有限公司</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95,044,991.00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现金和现金等价物的构成" w:id="293"/>
      <w:bookmarkEnd w:id="293"/>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593,679,289.59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655,699,374.11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30,084.66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86,035.01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593,649,204.93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655,613,339.10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593,679,289.59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655,699,374.11</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3"/>
        <w:jc w:val="left"/>
        <w:rPr>
          <w:b w:val="0"/>
          <w:bCs w:val="0"/>
        </w:rPr>
      </w:pPr>
      <w:bookmarkStart w:name="八、在其他主体中的权益" w:id="294"/>
      <w:bookmarkEnd w:id="294"/>
      <w:r>
        <w:rPr>
          <w:b w:val="0"/>
          <w:bCs w:val="0"/>
        </w:rPr>
      </w:r>
      <w:r>
        <w:rPr/>
        <w:t>八、在其他主体中的权益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在子公司中的权益" w:id="295"/>
      <w:bookmarkEnd w:id="295"/>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企业集团的构成" w:id="296"/>
      <w:bookmarkEnd w:id="29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成都东方通科技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成都高新区天府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大道中段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天府软件园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上海东方通泰软 件科技有限公司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江场三路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北京东方通宇技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北京市海淀区西 直门北大街</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号楼一层</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B11</w:t>
            </w:r>
            <w:r>
              <w:rPr>
                <w:rFonts w:ascii="Times New Roman" w:hAnsi="Times New Roman" w:cs="Times New Roman" w:eastAsia="Times New Roman" w:hint="default"/>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北京惠捷朗科技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北京市海淀区花 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中城写字楼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北京数字天堂信 息科技有限责任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北京市海淀区四 道口路皂君庙乙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号院第四幢平 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东方通科技无锡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无锡市新区震泽 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号无锡软件 园二期</w:t>
            </w:r>
            <w:r>
              <w:rPr>
                <w:rFonts w:ascii="Times New Roman" w:hAnsi="Times New Roman" w:cs="Times New Roman" w:eastAsia="Times New Roman" w:hint="default"/>
                <w:sz w:val="18"/>
                <w:szCs w:val="18"/>
              </w:rPr>
              <w:t>--</w:t>
            </w:r>
            <w:r>
              <w:rPr>
                <w:rFonts w:ascii="宋体" w:hAnsi="宋体" w:cs="宋体" w:eastAsia="宋体" w:hint="default"/>
                <w:sz w:val="18"/>
                <w:szCs w:val="18"/>
              </w:rPr>
              <w:t>巨蟹座 </w:t>
            </w:r>
            <w:r>
              <w:rPr>
                <w:rFonts w:ascii="Times New Roman" w:hAnsi="Times New Roman" w:cs="Times New Roman" w:eastAsia="Times New Roman" w:hint="default"/>
                <w:sz w:val="18"/>
                <w:szCs w:val="18"/>
              </w:rPr>
              <w:t>A-507</w:t>
            </w:r>
            <w:r>
              <w:rPr>
                <w:rFonts w:ascii="宋体" w:hAnsi="宋体" w:cs="宋体" w:eastAsia="宋体" w:hint="default"/>
                <w:sz w:val="18"/>
                <w:szCs w:val="18"/>
              </w:rPr>
              <w:t>、</w:t>
            </w:r>
            <w:r>
              <w:rPr>
                <w:rFonts w:ascii="Times New Roman" w:hAnsi="Times New Roman" w:cs="Times New Roman" w:eastAsia="Times New Roman" w:hint="default"/>
                <w:sz w:val="18"/>
                <w:szCs w:val="18"/>
              </w:rPr>
              <w:t>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北京微智信业科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北京市海淀区龙 翔路甲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号泰翔</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商务楼二层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p>
            <w:pPr>
              <w:pStyle w:val="TableParagraph"/>
              <w:spacing w:line="195"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bl>
    <w:p>
      <w:pPr>
        <w:pStyle w:val="BodyText"/>
        <w:spacing w:line="240" w:lineRule="auto" w:before="51"/>
        <w:ind w:left="1134" w:right="1033"/>
        <w:jc w:val="left"/>
      </w:pPr>
      <w:r>
        <w:rPr/>
        <w:pict>
          <v:group style="position:absolute;margin-left:262.239990pt;margin-top:-44.088295pt;width:67.9pt;height:43.6pt;mso-position-horizontal-relative:page;mso-position-vertical-relative:paragraph;z-index:-1031032" coordorigin="5245,-882" coordsize="1358,872">
            <v:group style="position:absolute;left:5256;top:-870;width:2;height:393" coordorigin="5256,-870" coordsize="2,393">
              <v:shape style="position:absolute;left:5256;top:-870;width:2;height:393" coordorigin="5256,-870" coordsize="0,393" path="m5256,-870l5256,-478e" filled="false" stroked="true" strokeweight="1.140pt" strokecolor="#ffffff">
                <v:path arrowok="t"/>
              </v:shape>
            </v:group>
            <v:group style="position:absolute;left:5245;top:-478;width:1358;height:468" coordorigin="5245,-478" coordsize="1358,468">
              <v:shape style="position:absolute;left:5245;top:-478;width:1358;height:468" coordorigin="5245,-478" coordsize="1358,468" path="m5245,-10l6602,-10,6602,-478,5245,-478,5245,-10xe" filled="true" fillcolor="#ffffff" stroked="false">
                <v:path arrowok="t"/>
                <v:fill type="solid"/>
              </v:shape>
            </v:group>
            <v:group style="position:absolute;left:5268;top:-870;width:1312;height:393" coordorigin="5268,-870" coordsize="1312,393">
              <v:shape style="position:absolute;left:5268;top:-870;width:1312;height:393" coordorigin="5268,-870" coordsize="1312,393" path="m5268,-478l6579,-478,6579,-870,5268,-870,5268,-478xe" filled="true" fillcolor="#ffffff" stroked="false">
                <v:path arrowok="t"/>
                <v:fill type="solid"/>
              </v:shape>
            </v:group>
            <w10:wrap type="none"/>
          </v:group>
        </w:pict>
      </w:r>
      <w:r>
        <w:rPr/>
        <w:t>在子公司的持股比例不同于表决权比例的说明：</w:t>
      </w:r>
    </w:p>
    <w:p>
      <w:pPr>
        <w:pStyle w:val="BodyText"/>
        <w:spacing w:line="360" w:lineRule="auto" w:before="116"/>
        <w:ind w:left="1134" w:right="2832" w:firstLine="1260"/>
        <w:jc w:val="left"/>
      </w:pPr>
      <w:r>
        <w:rPr/>
        <w:t>本公司无持股比例与表决权比例不同的子公司。 持有半数或以下表决权但仍控制被投资单位、以及持有半数以上表决权但不控制被投资单位的依据：</w:t>
      </w:r>
    </w:p>
    <w:p>
      <w:pPr>
        <w:pStyle w:val="BodyText"/>
        <w:spacing w:line="316" w:lineRule="auto" w:before="25"/>
        <w:ind w:left="2394" w:right="3912"/>
        <w:jc w:val="left"/>
      </w:pPr>
      <w:r>
        <w:rPr/>
        <w:t>本公司无持有半数或半数以下表决权，仍能够对其实施控制的子公司。 本公司无持有半数以上表决权而不能对其实施控制的子公司。</w:t>
      </w:r>
    </w:p>
    <w:p>
      <w:pPr>
        <w:pStyle w:val="BodyText"/>
        <w:spacing w:line="360" w:lineRule="auto" w:before="59"/>
        <w:ind w:left="1134" w:right="6432"/>
        <w:jc w:val="left"/>
      </w:pPr>
      <w:r>
        <w:rPr/>
        <w:t>对于纳入合并范围的重要的结构化主体，控制的依据： 确定公司是代理人还是委托人的依据：</w:t>
      </w:r>
    </w:p>
    <w:p>
      <w:pPr>
        <w:pStyle w:val="BodyText"/>
        <w:spacing w:line="240" w:lineRule="auto" w:before="26"/>
        <w:ind w:left="1134" w:right="10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4" w:right="1033"/>
        <w:jc w:val="left"/>
        <w:rPr>
          <w:b w:val="0"/>
          <w:bCs w:val="0"/>
        </w:rPr>
      </w:pPr>
      <w:bookmarkStart w:name="2、在合营安排或联营企业中的权益" w:id="297"/>
      <w:bookmarkEnd w:id="297"/>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重要的合营企业或联营企业" w:id="298"/>
      <w:bookmarkEnd w:id="29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5"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北京核高基软件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北京市海淀区北 四环西路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40"/>
              <w:ind w:left="22" w:right="0"/>
              <w:jc w:val="left"/>
              <w:rPr>
                <w:rFonts w:ascii="Times New Roman" w:hAnsi="Times New Roman" w:cs="Times New Roman" w:eastAsia="Times New Roman" w:hint="default"/>
                <w:sz w:val="18"/>
                <w:szCs w:val="18"/>
              </w:rPr>
            </w:pPr>
            <w:r>
              <w:rPr>
                <w:rFonts w:ascii="Times New Roman"/>
                <w:sz w:val="18"/>
              </w:rPr>
              <w:t>2108-212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基础软件应用软 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杭州清响投资管 理合伙企业（有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杭州市余杭区仓 前街道景兴路 </w:t>
            </w:r>
            <w:r>
              <w:rPr>
                <w:rFonts w:ascii="Times New Roman" w:hAnsi="Times New Roman" w:cs="Times New Roman" w:eastAsia="Times New Roman" w:hint="default"/>
                <w:sz w:val="18"/>
                <w:szCs w:val="18"/>
              </w:rPr>
              <w:t>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134" w:right="1033"/>
        <w:jc w:val="left"/>
      </w:pPr>
      <w:r>
        <w:rPr/>
        <w:t>在合营企业或联营企业的持股比例不同于表决权比例的说明：</w:t>
      </w:r>
    </w:p>
    <w:p>
      <w:pPr>
        <w:pStyle w:val="BodyText"/>
        <w:spacing w:line="240" w:lineRule="auto" w:before="117"/>
        <w:ind w:left="1134" w:right="1033"/>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left="1134" w:right="1033"/>
        <w:jc w:val="left"/>
        <w:rPr>
          <w:b w:val="0"/>
          <w:bCs w:val="0"/>
        </w:rPr>
      </w:pPr>
      <w:bookmarkStart w:name="（2）重要合营企业的主要财务信息" w:id="299"/>
      <w:bookmarkEnd w:id="29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096"/>
        <w:gridCol w:w="3272"/>
        <w:gridCol w:w="3191"/>
      </w:tblGrid>
      <w:tr>
        <w:trPr>
          <w:trHeight w:val="403"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096" w:type="dxa"/>
            <w:tcBorders>
              <w:top w:val="single" w:sz="4" w:space="0" w:color="000000"/>
              <w:left w:val="single" w:sz="4" w:space="0" w:color="000000"/>
              <w:bottom w:val="single" w:sz="4" w:space="0" w:color="000000"/>
              <w:right w:val="single" w:sz="13" w:space="0" w:color="E0FFFF"/>
            </w:tcBorders>
            <w:shd w:val="clear" w:color="auto" w:fill="D2D2D2"/>
          </w:tcPr>
          <w:p>
            <w:pPr/>
          </w:p>
        </w:tc>
        <w:tc>
          <w:tcPr>
            <w:tcW w:w="3272"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640" w:right="0"/>
              <w:jc w:val="left"/>
              <w:rPr>
                <w:rFonts w:ascii="宋体" w:hAnsi="宋体" w:cs="宋体" w:eastAsia="宋体" w:hint="default"/>
                <w:sz w:val="18"/>
                <w:szCs w:val="18"/>
              </w:rPr>
            </w:pPr>
            <w:r>
              <w:rPr>
                <w:rFonts w:ascii="宋体" w:hAnsi="宋体" w:cs="宋体" w:eastAsia="宋体" w:hint="default"/>
                <w:sz w:val="18"/>
                <w:szCs w:val="18"/>
              </w:rPr>
              <w:t>北京核高基软件有限公司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600" w:right="0"/>
              <w:jc w:val="left"/>
              <w:rPr>
                <w:rFonts w:ascii="宋体" w:hAnsi="宋体" w:cs="宋体" w:eastAsia="宋体" w:hint="default"/>
                <w:sz w:val="18"/>
                <w:szCs w:val="18"/>
              </w:rPr>
            </w:pPr>
            <w:r>
              <w:rPr>
                <w:rFonts w:ascii="宋体" w:hAnsi="宋体" w:cs="宋体" w:eastAsia="宋体" w:hint="default"/>
                <w:sz w:val="18"/>
                <w:szCs w:val="18"/>
              </w:rPr>
              <w:t>北京核高基软件有限公司</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272"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417"/>
              <w:jc w:val="right"/>
              <w:rPr>
                <w:rFonts w:ascii="Times New Roman" w:hAnsi="Times New Roman" w:cs="Times New Roman" w:eastAsia="Times New Roman" w:hint="default"/>
                <w:sz w:val="18"/>
                <w:szCs w:val="18"/>
              </w:rPr>
            </w:pPr>
            <w:r>
              <w:rPr>
                <w:rFonts w:ascii="Times New Roman"/>
                <w:sz w:val="18"/>
              </w:rPr>
              <w:t>255,069.52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48"/>
              <w:jc w:val="right"/>
              <w:rPr>
                <w:rFonts w:ascii="Times New Roman" w:hAnsi="Times New Roman" w:cs="Times New Roman" w:eastAsia="Times New Roman" w:hint="default"/>
                <w:sz w:val="18"/>
                <w:szCs w:val="18"/>
              </w:rPr>
            </w:pPr>
            <w:r>
              <w:rPr>
                <w:rFonts w:ascii="Times New Roman"/>
                <w:sz w:val="18"/>
              </w:rPr>
              <w:t>261,257.58</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按持股比例计算的净利润</w:t>
            </w:r>
          </w:p>
        </w:tc>
        <w:tc>
          <w:tcPr>
            <w:tcW w:w="3272"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417"/>
              <w:jc w:val="right"/>
              <w:rPr>
                <w:rFonts w:ascii="Times New Roman" w:hAnsi="Times New Roman" w:cs="Times New Roman" w:eastAsia="Times New Roman" w:hint="default"/>
                <w:sz w:val="18"/>
                <w:szCs w:val="18"/>
              </w:rPr>
            </w:pPr>
            <w:r>
              <w:rPr>
                <w:rFonts w:ascii="Times New Roman"/>
                <w:w w:val="95"/>
                <w:sz w:val="18"/>
              </w:rPr>
              <w:t>-6,188.06</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48"/>
              <w:jc w:val="right"/>
              <w:rPr>
                <w:rFonts w:ascii="Times New Roman" w:hAnsi="Times New Roman" w:cs="Times New Roman" w:eastAsia="Times New Roman" w:hint="default"/>
                <w:sz w:val="18"/>
                <w:szCs w:val="18"/>
              </w:rPr>
            </w:pPr>
            <w:r>
              <w:rPr>
                <w:rFonts w:ascii="Times New Roman"/>
                <w:w w:val="95"/>
                <w:sz w:val="18"/>
              </w:rPr>
              <w:t>-17,894.64</w:t>
            </w:r>
            <w:r>
              <w:rPr>
                <w:rFonts w:ascii="Times New Roman"/>
                <w:sz w:val="18"/>
              </w:rPr>
            </w:r>
          </w:p>
        </w:tc>
      </w:tr>
      <w:tr>
        <w:trPr>
          <w:trHeight w:val="403" w:hRule="exact"/>
        </w:trPr>
        <w:tc>
          <w:tcPr>
            <w:tcW w:w="30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按持股比例计算的综合收益总额</w:t>
            </w:r>
          </w:p>
        </w:tc>
        <w:tc>
          <w:tcPr>
            <w:tcW w:w="3272"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417"/>
              <w:jc w:val="right"/>
              <w:rPr>
                <w:rFonts w:ascii="Times New Roman" w:hAnsi="Times New Roman" w:cs="Times New Roman" w:eastAsia="Times New Roman" w:hint="default"/>
                <w:sz w:val="18"/>
                <w:szCs w:val="18"/>
              </w:rPr>
            </w:pPr>
            <w:r>
              <w:rPr>
                <w:rFonts w:ascii="Times New Roman"/>
                <w:w w:val="95"/>
                <w:sz w:val="18"/>
              </w:rPr>
              <w:t>-6,188.06</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48"/>
              <w:jc w:val="right"/>
              <w:rPr>
                <w:rFonts w:ascii="Times New Roman" w:hAnsi="Times New Roman" w:cs="Times New Roman" w:eastAsia="Times New Roman" w:hint="default"/>
                <w:sz w:val="18"/>
                <w:szCs w:val="18"/>
              </w:rPr>
            </w:pPr>
            <w:r>
              <w:rPr>
                <w:rFonts w:ascii="Times New Roman"/>
                <w:w w:val="95"/>
                <w:sz w:val="18"/>
              </w:rPr>
              <w:t>-17,894.64</w:t>
            </w:r>
            <w:r>
              <w:rPr>
                <w:rFonts w:ascii="Times New Roman"/>
                <w:sz w:val="18"/>
              </w:rPr>
            </w:r>
          </w:p>
        </w:tc>
      </w:tr>
    </w:tbl>
    <w:p>
      <w:pPr>
        <w:pStyle w:val="BodyText"/>
        <w:spacing w:line="240" w:lineRule="auto" w:before="51"/>
        <w:ind w:left="1134" w:right="1033"/>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033"/>
        <w:jc w:val="left"/>
        <w:rPr>
          <w:b w:val="0"/>
          <w:bCs w:val="0"/>
        </w:rPr>
      </w:pPr>
      <w:bookmarkStart w:name="（3）重要联营企业的主要财务信息" w:id="300"/>
      <w:bookmarkEnd w:id="300"/>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626"/>
        <w:gridCol w:w="2766"/>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2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13" w:space="0" w:color="E0FFFF"/>
            </w:tcBorders>
            <w:shd w:val="clear" w:color="auto" w:fill="D2D2D2"/>
          </w:tcPr>
          <w:p>
            <w:pPr/>
          </w:p>
        </w:tc>
        <w:tc>
          <w:tcPr>
            <w:tcW w:w="3626"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杭州清响投资管理合伙企业（有限合伙）</w:t>
            </w:r>
          </w:p>
        </w:tc>
        <w:tc>
          <w:tcPr>
            <w:tcW w:w="2766"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6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left="2152" w:right="0"/>
              <w:jc w:val="left"/>
              <w:rPr>
                <w:rFonts w:ascii="Times New Roman" w:hAnsi="Times New Roman" w:cs="Times New Roman" w:eastAsia="Times New Roman" w:hint="default"/>
                <w:sz w:val="18"/>
                <w:szCs w:val="18"/>
              </w:rPr>
            </w:pPr>
            <w:r>
              <w:rPr>
                <w:rFonts w:ascii="Times New Roman"/>
                <w:sz w:val="18"/>
              </w:rPr>
              <w:t>55,651,177.30</w:t>
            </w:r>
          </w:p>
        </w:tc>
        <w:tc>
          <w:tcPr>
            <w:tcW w:w="27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按持股比例计算的净利润</w:t>
            </w:r>
          </w:p>
        </w:tc>
        <w:tc>
          <w:tcPr>
            <w:tcW w:w="36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left="2182" w:right="0"/>
              <w:jc w:val="left"/>
              <w:rPr>
                <w:rFonts w:ascii="Times New Roman" w:hAnsi="Times New Roman" w:cs="Times New Roman" w:eastAsia="Times New Roman" w:hint="default"/>
                <w:sz w:val="18"/>
                <w:szCs w:val="18"/>
              </w:rPr>
            </w:pPr>
            <w:r>
              <w:rPr>
                <w:rFonts w:ascii="Times New Roman"/>
                <w:sz w:val="18"/>
              </w:rPr>
              <w:t>-3,948,822.70</w:t>
            </w:r>
          </w:p>
        </w:tc>
        <w:tc>
          <w:tcPr>
            <w:tcW w:w="27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按持股比例计算的综合收益总额</w:t>
            </w:r>
          </w:p>
        </w:tc>
        <w:tc>
          <w:tcPr>
            <w:tcW w:w="36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left="2182" w:right="0"/>
              <w:jc w:val="left"/>
              <w:rPr>
                <w:rFonts w:ascii="Times New Roman" w:hAnsi="Times New Roman" w:cs="Times New Roman" w:eastAsia="Times New Roman" w:hint="default"/>
                <w:sz w:val="18"/>
                <w:szCs w:val="18"/>
              </w:rPr>
            </w:pPr>
            <w:r>
              <w:rPr>
                <w:rFonts w:ascii="Times New Roman"/>
                <w:sz w:val="18"/>
              </w:rPr>
              <w:t>-3,948,822.70</w:t>
            </w:r>
          </w:p>
        </w:tc>
        <w:tc>
          <w:tcPr>
            <w:tcW w:w="27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1033"/>
        <w:jc w:val="left"/>
        <w:rPr>
          <w:b w:val="0"/>
          <w:bCs w:val="0"/>
        </w:rPr>
      </w:pPr>
      <w:bookmarkStart w:name="九、关联方及关联交易" w:id="301"/>
      <w:bookmarkEnd w:id="301"/>
      <w:r>
        <w:rPr>
          <w:b w:val="0"/>
          <w:bCs w:val="0"/>
        </w:rPr>
      </w:r>
      <w:r>
        <w:rPr/>
        <w:t>九、关联方及关联交易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本企业的母公司情况" w:id="302"/>
      <w:bookmarkEnd w:id="30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3"/>
        <w:jc w:val="left"/>
      </w:pPr>
      <w:r>
        <w:rPr/>
        <w:t>本企业的母公司情况的说明 本企业最终控制方是黄永军。</w:t>
      </w:r>
    </w:p>
    <w:p>
      <w:pPr>
        <w:spacing w:line="240" w:lineRule="auto" w:before="1"/>
        <w:rPr>
          <w:rFonts w:ascii="宋体" w:hAnsi="宋体" w:cs="宋体" w:eastAsia="宋体" w:hint="default"/>
          <w:sz w:val="20"/>
          <w:szCs w:val="20"/>
        </w:rPr>
      </w:pPr>
    </w:p>
    <w:p>
      <w:pPr>
        <w:pStyle w:val="Heading3"/>
        <w:spacing w:line="240" w:lineRule="auto"/>
        <w:ind w:left="1134" w:right="1033"/>
        <w:jc w:val="left"/>
        <w:rPr>
          <w:b w:val="0"/>
          <w:bCs w:val="0"/>
        </w:rPr>
      </w:pPr>
      <w:bookmarkStart w:name="2、本企业合营和联营企业情况" w:id="303"/>
      <w:bookmarkEnd w:id="303"/>
      <w:r>
        <w:rPr>
          <w:b w:val="0"/>
          <w:bCs w:val="0"/>
        </w:rPr>
      </w:r>
      <w:r>
        <w:rPr>
          <w:rFonts w:ascii="Times New Roman" w:hAnsi="Times New Roman" w:cs="Times New Roman" w:eastAsia="Times New Roman" w:hint="default"/>
        </w:rPr>
        <w:t>2</w:t>
      </w:r>
      <w:r>
        <w:rPr/>
        <w:t>、本企业合营和联营企业情况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229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北京核高基软件有限公司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杭州清响投资管理合伙企业（有限合伙）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其他关联方情况" w:id="304"/>
      <w:bookmarkEnd w:id="304"/>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5955"/>
        <w:gridCol w:w="3614"/>
      </w:tblGrid>
      <w:tr>
        <w:trPr>
          <w:trHeight w:val="401" w:hRule="exact"/>
        </w:trPr>
        <w:tc>
          <w:tcPr>
            <w:tcW w:w="5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5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pacing w:val="-2"/>
                <w:sz w:val="18"/>
                <w:szCs w:val="18"/>
              </w:rPr>
              <w:t>本公司董事、监事、高级管理人员、主要投资者及其关系密切的家庭成员等</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33"/>
        <w:jc w:val="left"/>
        <w:rPr>
          <w:b w:val="0"/>
          <w:bCs w:val="0"/>
        </w:rPr>
      </w:pPr>
      <w:bookmarkStart w:name="十、股份支付" w:id="305"/>
      <w:bookmarkEnd w:id="305"/>
      <w:r>
        <w:rPr>
          <w:b w:val="0"/>
          <w:bCs w:val="0"/>
        </w:rPr>
      </w:r>
      <w:r>
        <w:rPr/>
        <w:t>十、股份支付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33"/>
        <w:jc w:val="left"/>
        <w:rPr>
          <w:b w:val="0"/>
          <w:bCs w:val="0"/>
        </w:rPr>
      </w:pPr>
      <w:bookmarkStart w:name="1、股份支付总体情况" w:id="306"/>
      <w:bookmarkEnd w:id="306"/>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104"/>
        <w:gridCol w:w="4465"/>
      </w:tblGrid>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7,755,810.60</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65,499,427.20</w:t>
            </w:r>
          </w:p>
        </w:tc>
      </w:tr>
      <w:tr>
        <w:trPr>
          <w:trHeight w:val="714"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第一期股票期权激励计划授予的股票期权的行权价格</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元，合同有效期，合同剩余期限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bl>
    <w:p>
      <w:pPr>
        <w:pStyle w:val="BodyText"/>
        <w:spacing w:line="240" w:lineRule="auto" w:before="51"/>
        <w:ind w:left="1134" w:right="10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033"/>
        <w:jc w:val="left"/>
        <w:rPr>
          <w:b w:val="0"/>
          <w:bCs w:val="0"/>
        </w:rPr>
      </w:pPr>
      <w:bookmarkStart w:name="2、以权益结算的股份支付情况" w:id="307"/>
      <w:bookmarkEnd w:id="30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4"/>
        <w:gridCol w:w="5315"/>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714"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在等待期的每个资产负债表日，根据最新取得的可行权人数变动、 业绩指标完成情况等信息，修正预计可行权的股票期权数量</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2,307,874.52</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264,622.93</w:t>
            </w:r>
          </w:p>
        </w:tc>
      </w:tr>
    </w:tbl>
    <w:p>
      <w:pPr>
        <w:pStyle w:val="BodyText"/>
        <w:spacing w:line="240" w:lineRule="auto" w:before="51"/>
        <w:ind w:left="1134" w:right="0"/>
        <w:jc w:val="both"/>
      </w:pPr>
      <w:r>
        <w:rPr/>
        <w:t>其他说明</w:t>
      </w:r>
    </w:p>
    <w:p>
      <w:pPr>
        <w:pStyle w:val="BodyText"/>
        <w:spacing w:line="240" w:lineRule="auto" w:before="116"/>
        <w:ind w:left="1494" w:right="1033"/>
        <w:jc w:val="left"/>
        <w:rPr>
          <w:rFonts w:ascii="Times New Roman" w:hAnsi="Times New Roman" w:cs="Times New Roman" w:eastAsia="Times New Roman" w:hint="default"/>
        </w:rPr>
      </w:pPr>
      <w:r>
        <w:rPr/>
        <w:t>根据本公</w:t>
      </w:r>
      <w:r>
        <w:rPr>
          <w:spacing w:val="-44"/>
        </w:rPr>
        <w:t>司</w:t>
      </w:r>
      <w:r>
        <w:rPr/>
        <w:t>《关于公</w:t>
      </w:r>
      <w:r>
        <w:rPr>
          <w:spacing w:val="-44"/>
        </w:rPr>
        <w:t>司</w:t>
      </w:r>
      <w:r>
        <w:rPr/>
        <w:t>《第一期股票期权激励计划</w:t>
      </w:r>
      <w:r>
        <w:rPr>
          <w:spacing w:val="-44"/>
        </w:rPr>
        <w:t>》</w:t>
      </w:r>
      <w:r>
        <w:rPr/>
        <w:t>首次授予期权相关事项的方案</w:t>
      </w:r>
      <w:r>
        <w:rPr>
          <w:spacing w:val="-90"/>
        </w:rPr>
        <w:t>》</w:t>
      </w:r>
      <w:r>
        <w:rPr>
          <w:spacing w:val="-44"/>
        </w:rPr>
        <w:t>，</w:t>
      </w:r>
      <w:r>
        <w:rPr/>
        <w:t>公司向</w:t>
      </w:r>
      <w:r>
        <w:rPr>
          <w:spacing w:val="-45"/>
        </w:rPr>
        <w:t> </w:t>
      </w:r>
      <w:r>
        <w:rPr>
          <w:rFonts w:ascii="Times New Roman" w:hAnsi="Times New Roman" w:cs="Times New Roman" w:eastAsia="Times New Roman" w:hint="default"/>
        </w:rPr>
        <w:t>261</w:t>
      </w:r>
      <w:r>
        <w:rPr>
          <w:rFonts w:ascii="Times New Roman" w:hAnsi="Times New Roman" w:cs="Times New Roman" w:eastAsia="Times New Roman" w:hint="default"/>
          <w:spacing w:val="-1"/>
        </w:rPr>
        <w:t> </w:t>
      </w:r>
      <w:r>
        <w:rPr/>
        <w:t>名激</w:t>
      </w:r>
      <w:r>
        <w:rPr>
          <w:spacing w:val="1"/>
        </w:rPr>
        <w:t>励</w:t>
      </w:r>
      <w:r>
        <w:rPr/>
        <w:t>对象获授</w:t>
      </w:r>
      <w:r>
        <w:rPr>
          <w:spacing w:val="-46"/>
        </w:rPr>
        <w:t> </w:t>
      </w:r>
      <w:r>
        <w:rPr>
          <w:rFonts w:ascii="Times New Roman" w:hAnsi="Times New Roman" w:cs="Times New Roman" w:eastAsia="Times New Roman" w:hint="default"/>
        </w:rPr>
        <w:t>433.25</w:t>
      </w:r>
    </w:p>
    <w:p>
      <w:pPr>
        <w:pStyle w:val="BodyText"/>
        <w:spacing w:line="300" w:lineRule="auto" w:before="63"/>
        <w:ind w:left="1134" w:right="1130"/>
        <w:jc w:val="both"/>
      </w:pPr>
      <w:r>
        <w:rPr/>
        <w:t>万份股票期权，授予日为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8 </w:t>
      </w:r>
      <w:r>
        <w:rPr/>
        <w:t>日。公司选择 </w:t>
      </w:r>
      <w:r>
        <w:rPr>
          <w:rFonts w:ascii="Times New Roman" w:hAnsi="Times New Roman" w:cs="Times New Roman" w:eastAsia="Times New Roman" w:hint="default"/>
        </w:rPr>
        <w:t>Black-Scholes </w:t>
      </w:r>
      <w:r>
        <w:rPr/>
        <w:t>模型来计算期权公允价值，授予的 </w:t>
      </w:r>
      <w:r>
        <w:rPr>
          <w:rFonts w:ascii="Times New Roman" w:hAnsi="Times New Roman" w:cs="Times New Roman" w:eastAsia="Times New Roman" w:hint="default"/>
        </w:rPr>
        <w:t>433.25</w:t>
      </w:r>
      <w:r>
        <w:rPr>
          <w:rFonts w:ascii="Times New Roman" w:hAnsi="Times New Roman" w:cs="Times New Roman" w:eastAsia="Times New Roman" w:hint="default"/>
          <w:spacing w:val="-5"/>
        </w:rPr>
        <w:t> </w:t>
      </w:r>
      <w:r>
        <w:rPr/>
        <w:t>万份股票 期权总价值为</w:t>
      </w:r>
      <w:r>
        <w:rPr>
          <w:spacing w:val="-18"/>
        </w:rPr>
        <w:t> </w:t>
      </w:r>
      <w:r>
        <w:rPr>
          <w:rFonts w:ascii="Times New Roman" w:hAnsi="Times New Roman" w:cs="Times New Roman" w:eastAsia="Times New Roman" w:hint="default"/>
        </w:rPr>
        <w:t>454.79</w:t>
      </w:r>
      <w:r>
        <w:rPr>
          <w:rFonts w:ascii="Times New Roman" w:hAnsi="Times New Roman" w:cs="Times New Roman" w:eastAsia="Times New Roman" w:hint="default"/>
          <w:spacing w:val="-10"/>
        </w:rPr>
        <w:t> </w:t>
      </w:r>
      <w:r>
        <w:rPr/>
        <w:t>万元。由于激励对象存在业绩考核不达标或在股票期权的等待期内离职等情况，</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年分摊期权成本 </w:t>
      </w:r>
      <w:r>
        <w:rPr>
          <w:rFonts w:ascii="Times New Roman" w:hAnsi="Times New Roman" w:cs="Times New Roman" w:eastAsia="Times New Roman" w:hint="default"/>
        </w:rPr>
        <w:t>512,400.00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年分摊期权成本</w:t>
      </w:r>
      <w:r>
        <w:rPr>
          <w:spacing w:val="-47"/>
        </w:rPr>
        <w:t> </w:t>
      </w:r>
      <w:r>
        <w:rPr>
          <w:rFonts w:ascii="Times New Roman" w:hAnsi="Times New Roman" w:cs="Times New Roman" w:eastAsia="Times New Roman" w:hint="default"/>
        </w:rPr>
        <w:t>1,235,851.59</w:t>
      </w:r>
      <w:r>
        <w:rPr>
          <w:rFonts w:ascii="Times New Roman" w:hAnsi="Times New Roman" w:cs="Times New Roman" w:eastAsia="Times New Roman" w:hint="default"/>
          <w:spacing w:val="-1"/>
        </w:rPr>
        <w:t> </w:t>
      </w:r>
      <w:r>
        <w:rPr/>
        <w:t>元。</w:t>
      </w:r>
    </w:p>
    <w:p>
      <w:pPr>
        <w:pStyle w:val="BodyText"/>
        <w:spacing w:line="240" w:lineRule="auto" w:before="51"/>
        <w:ind w:left="1493" w:right="1033"/>
        <w:jc w:val="left"/>
      </w:pPr>
      <w:r>
        <w:rPr/>
        <w:t>根据公司《关于公司</w:t>
      </w:r>
      <w:r>
        <w:rPr>
          <w:rFonts w:ascii="Times New Roman" w:hAnsi="Times New Roman" w:cs="Times New Roman" w:eastAsia="Times New Roman" w:hint="default"/>
        </w:rPr>
        <w:t>&lt;</w:t>
      </w:r>
      <w:r>
        <w:rPr/>
        <w:t>第一期股票期权激励计划</w:t>
      </w:r>
      <w:r>
        <w:rPr>
          <w:rFonts w:ascii="Times New Roman" w:hAnsi="Times New Roman" w:cs="Times New Roman" w:eastAsia="Times New Roman" w:hint="default"/>
        </w:rPr>
        <w:t>&gt;</w:t>
      </w:r>
      <w:r>
        <w:rPr/>
        <w:t>预留股票期权授予相关事项的议案</w:t>
      </w:r>
      <w:r>
        <w:rPr>
          <w:spacing w:val="-90"/>
        </w:rPr>
        <w:t>》</w:t>
      </w:r>
      <w:r>
        <w:rPr/>
        <w:t>，向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名激励</w:t>
      </w:r>
      <w:r>
        <w:rPr>
          <w:spacing w:val="1"/>
        </w:rPr>
        <w:t>对</w:t>
      </w:r>
      <w:r>
        <w:rPr/>
        <w:t>象授予</w:t>
      </w:r>
      <w:r>
        <w:rPr>
          <w:spacing w:val="-46"/>
        </w:rPr>
        <w:t> </w:t>
      </w:r>
      <w:r>
        <w:rPr>
          <w:rFonts w:ascii="Times New Roman" w:hAnsi="Times New Roman" w:cs="Times New Roman" w:eastAsia="Times New Roman" w:hint="default"/>
        </w:rPr>
        <w:t>26.75</w:t>
      </w:r>
      <w:r>
        <w:rPr>
          <w:rFonts w:ascii="Times New Roman" w:hAnsi="Times New Roman" w:cs="Times New Roman" w:eastAsia="Times New Roman" w:hint="default"/>
          <w:spacing w:val="-1"/>
        </w:rPr>
        <w:t> </w:t>
      </w:r>
      <w:r>
        <w:rPr/>
        <w:t>万份</w:t>
      </w:r>
    </w:p>
    <w:p>
      <w:pPr>
        <w:pStyle w:val="BodyText"/>
        <w:spacing w:line="240" w:lineRule="auto" w:before="63"/>
        <w:ind w:left="1134" w:right="0"/>
        <w:jc w:val="both"/>
        <w:rPr>
          <w:rFonts w:ascii="Times New Roman" w:hAnsi="Times New Roman" w:cs="Times New Roman" w:eastAsia="Times New Roman" w:hint="default"/>
        </w:rPr>
      </w:pPr>
      <w:r>
        <w:rPr/>
        <w:t>预留股票期权</w:t>
      </w:r>
      <w:r>
        <w:rPr>
          <w:spacing w:val="-90"/>
        </w:rPr>
        <w:t>，</w:t>
      </w:r>
      <w:r>
        <w:rPr/>
        <w:t>授予日为</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5"/>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r>
        <w:rPr>
          <w:spacing w:val="-59"/>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日</w:t>
      </w:r>
      <w:r>
        <w:rPr>
          <w:spacing w:val="-90"/>
        </w:rPr>
        <w:t>。</w:t>
      </w:r>
      <w:r>
        <w:rPr>
          <w:spacing w:val="-2"/>
        </w:rPr>
        <w:t>授</w:t>
      </w:r>
      <w:r>
        <w:rPr/>
        <w:t>予的</w:t>
      </w:r>
      <w:r>
        <w:rPr>
          <w:spacing w:val="-59"/>
        </w:rPr>
        <w:t> </w:t>
      </w:r>
      <w:r>
        <w:rPr>
          <w:rFonts w:ascii="Times New Roman" w:hAnsi="Times New Roman" w:cs="Times New Roman" w:eastAsia="Times New Roman" w:hint="default"/>
        </w:rPr>
        <w:t>26.75</w:t>
      </w:r>
      <w:r>
        <w:rPr>
          <w:rFonts w:ascii="Times New Roman" w:hAnsi="Times New Roman" w:cs="Times New Roman" w:eastAsia="Times New Roman" w:hint="default"/>
          <w:spacing w:val="-14"/>
        </w:rPr>
        <w:t> </w:t>
      </w:r>
      <w:r>
        <w:rPr/>
        <w:t>万</w:t>
      </w:r>
      <w:r>
        <w:rPr>
          <w:spacing w:val="-2"/>
        </w:rPr>
        <w:t>份</w:t>
      </w:r>
      <w:r>
        <w:rPr/>
        <w:t>股票期权总价值为</w:t>
      </w:r>
      <w:r>
        <w:rPr>
          <w:spacing w:val="-59"/>
        </w:rPr>
        <w:t> </w:t>
      </w:r>
      <w:r>
        <w:rPr>
          <w:rFonts w:ascii="Times New Roman" w:hAnsi="Times New Roman" w:cs="Times New Roman" w:eastAsia="Times New Roman" w:hint="default"/>
        </w:rPr>
        <w:t>166.33</w:t>
      </w:r>
      <w:r>
        <w:rPr>
          <w:rFonts w:ascii="Times New Roman" w:hAnsi="Times New Roman" w:cs="Times New Roman" w:eastAsia="Times New Roman" w:hint="default"/>
          <w:spacing w:val="-14"/>
        </w:rPr>
        <w:t> </w:t>
      </w:r>
      <w:r>
        <w:rPr>
          <w:spacing w:val="-2"/>
        </w:rPr>
        <w:t>万</w:t>
      </w:r>
      <w:r>
        <w:rPr/>
        <w:t>元</w:t>
      </w:r>
      <w:r>
        <w:rPr>
          <w:spacing w:val="-90"/>
        </w:rPr>
        <w:t>，</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年分摊期权成本</w:t>
      </w:r>
      <w:r>
        <w:rPr>
          <w:spacing w:val="-59"/>
        </w:rPr>
        <w:t> </w:t>
      </w:r>
      <w:r>
        <w:rPr>
          <w:rFonts w:ascii="Times New Roman" w:hAnsi="Times New Roman" w:cs="Times New Roman" w:eastAsia="Times New Roman" w:hint="default"/>
        </w:rPr>
        <w:t>295,</w:t>
      </w:r>
      <w:r>
        <w:rPr>
          <w:rFonts w:ascii="Times New Roman" w:hAnsi="Times New Roman" w:cs="Times New Roman" w:eastAsia="Times New Roman" w:hint="default"/>
          <w:spacing w:val="-2"/>
        </w:rPr>
        <w:t>0</w:t>
      </w:r>
      <w:r>
        <w:rPr>
          <w:rFonts w:ascii="Times New Roman" w:hAnsi="Times New Roman" w:cs="Times New Roman" w:eastAsia="Times New Roman" w:hint="default"/>
        </w:rPr>
        <w:t>00.00</w:t>
      </w:r>
    </w:p>
    <w:p>
      <w:pPr>
        <w:pStyle w:val="BodyText"/>
        <w:spacing w:line="240" w:lineRule="auto" w:before="64"/>
        <w:ind w:right="0"/>
        <w:jc w:val="both"/>
      </w:pPr>
      <w:r>
        <w:rPr/>
        <w:t>元。</w:t>
      </w:r>
    </w:p>
    <w:p>
      <w:pPr>
        <w:pStyle w:val="BodyText"/>
        <w:spacing w:line="240" w:lineRule="auto" w:before="116"/>
        <w:ind w:left="1494" w:right="1033"/>
        <w:jc w:val="left"/>
        <w:rPr>
          <w:rFonts w:ascii="Times New Roman" w:hAnsi="Times New Roman" w:cs="Times New Roman" w:eastAsia="Times New Roman" w:hint="default"/>
        </w:rPr>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5  </w:t>
      </w:r>
      <w:r>
        <w:rPr/>
        <w:t>日公司召开的 </w:t>
      </w:r>
      <w:r>
        <w:rPr>
          <w:rFonts w:ascii="Times New Roman" w:hAnsi="Times New Roman" w:cs="Times New Roman" w:eastAsia="Times New Roman" w:hint="default"/>
        </w:rPr>
        <w:t>2016  </w:t>
      </w:r>
      <w:r>
        <w:rPr>
          <w:spacing w:val="-3"/>
        </w:rPr>
        <w:t>年年度股东大会决议，</w:t>
      </w:r>
      <w:r>
        <w:rPr>
          <w:rFonts w:ascii="Times New Roman" w:hAnsi="Times New Roman" w:cs="Times New Roman" w:eastAsia="Times New Roman" w:hint="default"/>
          <w:spacing w:val="-3"/>
        </w:rPr>
        <w:t>2016  </w:t>
      </w:r>
      <w:r>
        <w:rPr>
          <w:spacing w:val="-3"/>
        </w:rPr>
        <w:t>年度公司利润分配方案为：以公司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3  </w:t>
      </w:r>
      <w:r>
        <w:rPr/>
        <w:t>月</w:t>
      </w:r>
      <w:r>
        <w:rPr>
          <w:spacing w:val="14"/>
        </w:rPr>
        <w:t> </w:t>
      </w:r>
      <w:r>
        <w:rPr>
          <w:rFonts w:ascii="Times New Roman" w:hAnsi="Times New Roman" w:cs="Times New Roman" w:eastAsia="Times New Roman" w:hint="default"/>
        </w:rPr>
        <w:t>29</w:t>
      </w:r>
    </w:p>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right="0"/>
        <w:jc w:val="both"/>
      </w:pPr>
      <w:r>
        <w:rPr/>
        <w:t>日收盘的总股</w:t>
      </w:r>
      <w:r>
        <w:rPr>
          <w:spacing w:val="-46"/>
        </w:rPr>
        <w:t> </w:t>
      </w:r>
      <w:r>
        <w:rPr>
          <w:rFonts w:ascii="Times New Roman" w:hAnsi="Times New Roman" w:cs="Times New Roman" w:eastAsia="Times New Roman" w:hint="default"/>
        </w:rPr>
        <w:t>138,515,854 </w:t>
      </w:r>
      <w:r>
        <w:rPr>
          <w:rFonts w:ascii="Times New Roman" w:hAnsi="Times New Roman" w:cs="Times New Roman" w:eastAsia="Times New Roman" w:hint="default"/>
          <w:spacing w:val="1"/>
        </w:rPr>
        <w:t> </w:t>
      </w:r>
      <w:r>
        <w:rPr>
          <w:spacing w:val="-3"/>
        </w:rPr>
        <w:t>股为基数，以资本公积金向全体股东每</w:t>
      </w:r>
      <w:r>
        <w:rPr>
          <w:spacing w:val="1"/>
        </w:rPr>
        <w:t> </w:t>
      </w:r>
      <w:r>
        <w:rPr>
          <w:rFonts w:ascii="Times New Roman" w:hAnsi="Times New Roman" w:cs="Times New Roman" w:eastAsia="Times New Roman" w:hint="default"/>
        </w:rPr>
        <w:t>10 </w:t>
      </w:r>
      <w:r>
        <w:rPr>
          <w:rFonts w:ascii="Times New Roman" w:hAnsi="Times New Roman" w:cs="Times New Roman" w:eastAsia="Times New Roman" w:hint="default"/>
          <w:spacing w:val="1"/>
        </w:rPr>
        <w:t> </w:t>
      </w:r>
      <w:r>
        <w:rPr/>
        <w:t>股转增</w:t>
      </w:r>
      <w:r>
        <w:rPr>
          <w:spacing w:val="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3"/>
        </w:rPr>
        <w:t>股，首次授予股票期权授予数量</w:t>
      </w:r>
      <w:r>
        <w:rPr>
          <w:spacing w:val="-46"/>
        </w:rPr>
        <w:t> </w:t>
      </w:r>
      <w:r>
        <w:rPr>
          <w:rFonts w:ascii="Times New Roman" w:hAnsi="Times New Roman" w:cs="Times New Roman" w:eastAsia="Times New Roman" w:hint="default"/>
        </w:rPr>
        <w:t>433.25 </w:t>
      </w:r>
      <w:r>
        <w:rPr>
          <w:rFonts w:ascii="Times New Roman" w:hAnsi="Times New Roman" w:cs="Times New Roman" w:eastAsia="Times New Roman" w:hint="default"/>
          <w:spacing w:val="2"/>
        </w:rPr>
        <w:t> </w:t>
      </w:r>
      <w:r>
        <w:rPr/>
        <w:t>万</w:t>
      </w:r>
    </w:p>
    <w:p>
      <w:pPr>
        <w:pStyle w:val="BodyText"/>
        <w:spacing w:line="240" w:lineRule="auto" w:before="63"/>
        <w:ind w:left="1134" w:right="0"/>
        <w:jc w:val="both"/>
      </w:pPr>
      <w:r>
        <w:rPr/>
        <w:t>股调整为</w:t>
      </w:r>
      <w:r>
        <w:rPr>
          <w:spacing w:val="-46"/>
        </w:rPr>
        <w:t> </w:t>
      </w:r>
      <w:r>
        <w:rPr>
          <w:rFonts w:ascii="Times New Roman" w:hAnsi="Times New Roman" w:cs="Times New Roman" w:eastAsia="Times New Roman" w:hint="default"/>
        </w:rPr>
        <w:t>866.5</w:t>
      </w:r>
      <w:r>
        <w:rPr>
          <w:rFonts w:ascii="Times New Roman" w:hAnsi="Times New Roman" w:cs="Times New Roman" w:eastAsia="Times New Roman" w:hint="default"/>
          <w:spacing w:val="-1"/>
        </w:rPr>
        <w:t> </w:t>
      </w:r>
      <w:r>
        <w:rPr/>
        <w:t>万股。第一期股票期权激励计划授予的股票期权的行权价格</w:t>
      </w:r>
      <w:r>
        <w:rPr>
          <w:spacing w:val="-46"/>
        </w:rPr>
        <w:t> </w:t>
      </w:r>
      <w:r>
        <w:rPr>
          <w:rFonts w:ascii="Times New Roman" w:hAnsi="Times New Roman" w:cs="Times New Roman" w:eastAsia="Times New Roman" w:hint="default"/>
        </w:rPr>
        <w:t>31.69</w:t>
      </w:r>
      <w:r>
        <w:rPr>
          <w:rFonts w:ascii="Times New Roman" w:hAnsi="Times New Roman" w:cs="Times New Roman" w:eastAsia="Times New Roman" w:hint="default"/>
          <w:spacing w:val="-1"/>
        </w:rPr>
        <w:t> </w:t>
      </w:r>
      <w:r>
        <w:rPr/>
        <w:t>元，第一期股票期权激励计划预留期权授</w:t>
      </w:r>
    </w:p>
    <w:p>
      <w:pPr>
        <w:pStyle w:val="BodyText"/>
        <w:spacing w:line="240" w:lineRule="auto" w:before="64"/>
        <w:ind w:left="1134" w:right="0"/>
        <w:jc w:val="both"/>
      </w:pPr>
      <w:r>
        <w:rPr/>
        <w:t>予的股票期权的行权价格</w:t>
      </w:r>
      <w:r>
        <w:rPr>
          <w:spacing w:val="-46"/>
        </w:rPr>
        <w:t> </w:t>
      </w:r>
      <w:r>
        <w:rPr>
          <w:rFonts w:ascii="Times New Roman" w:hAnsi="Times New Roman" w:cs="Times New Roman" w:eastAsia="Times New Roman" w:hint="default"/>
        </w:rPr>
        <w:t>34.76</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年分摊期权成本</w:t>
      </w:r>
      <w:r>
        <w:rPr>
          <w:spacing w:val="-46"/>
        </w:rPr>
        <w:t> </w:t>
      </w:r>
      <w:r>
        <w:rPr>
          <w:rFonts w:ascii="Times New Roman" w:hAnsi="Times New Roman" w:cs="Times New Roman" w:eastAsia="Times New Roman" w:hint="default"/>
        </w:rPr>
        <w:t>264,622.93</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3、以现金结算的股份支付情况" w:id="308"/>
      <w:bookmarkEnd w:id="30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4、股份支付的修改、终止情况" w:id="309"/>
      <w:bookmarkEnd w:id="30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103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22 </w:t>
      </w:r>
      <w:r>
        <w:rPr/>
        <w:t>日，第三届董事会第六次会议审议通过了《关于调整股票期权激励计划期权数量和行权价格的议案</w:t>
      </w:r>
      <w:r>
        <w:rPr>
          <w:spacing w:val="-90"/>
        </w:rPr>
        <w:t>》</w:t>
      </w:r>
      <w:r>
        <w:rPr/>
        <w:t>，</w:t>
      </w:r>
    </w:p>
    <w:p>
      <w:pPr>
        <w:pStyle w:val="BodyText"/>
        <w:spacing w:line="240" w:lineRule="auto" w:before="63"/>
        <w:ind w:right="0"/>
        <w:jc w:val="both"/>
      </w:pPr>
      <w:r>
        <w:rPr/>
        <w:t>因公司实施</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年度利润分配及资本公积转增股本方案，公司对第一期股票期权激励计划期权数量和行权价格作出相应调</w:t>
      </w:r>
    </w:p>
    <w:p>
      <w:pPr>
        <w:pStyle w:val="BodyText"/>
        <w:spacing w:line="240" w:lineRule="auto" w:before="63"/>
        <w:ind w:right="0"/>
        <w:jc w:val="both"/>
      </w:pPr>
      <w:r>
        <w:rPr/>
        <w:t>整，首次授予股票期权授予数量由</w:t>
      </w:r>
      <w:r>
        <w:rPr>
          <w:spacing w:val="-46"/>
        </w:rPr>
        <w:t> </w:t>
      </w:r>
      <w:r>
        <w:rPr>
          <w:rFonts w:ascii="Times New Roman" w:hAnsi="Times New Roman" w:cs="Times New Roman" w:eastAsia="Times New Roman" w:hint="default"/>
        </w:rPr>
        <w:t>400.8</w:t>
      </w:r>
      <w:r>
        <w:rPr>
          <w:rFonts w:ascii="Times New Roman" w:hAnsi="Times New Roman" w:cs="Times New Roman" w:eastAsia="Times New Roman" w:hint="default"/>
          <w:spacing w:val="-1"/>
        </w:rPr>
        <w:t> </w:t>
      </w:r>
      <w:r>
        <w:rPr/>
        <w:t>万份调整为</w:t>
      </w:r>
      <w:r>
        <w:rPr>
          <w:spacing w:val="-46"/>
        </w:rPr>
        <w:t> </w:t>
      </w:r>
      <w:r>
        <w:rPr>
          <w:rFonts w:ascii="Times New Roman" w:hAnsi="Times New Roman" w:cs="Times New Roman" w:eastAsia="Times New Roman" w:hint="default"/>
        </w:rPr>
        <w:t>801.6</w:t>
      </w:r>
      <w:r>
        <w:rPr>
          <w:rFonts w:ascii="Times New Roman" w:hAnsi="Times New Roman" w:cs="Times New Roman" w:eastAsia="Times New Roman" w:hint="default"/>
          <w:spacing w:val="-1"/>
        </w:rPr>
        <w:t> </w:t>
      </w:r>
      <w:r>
        <w:rPr/>
        <w:t>万份，行权价格由</w:t>
      </w:r>
      <w:r>
        <w:rPr>
          <w:spacing w:val="-46"/>
        </w:rPr>
        <w:t> </w:t>
      </w:r>
      <w:r>
        <w:rPr>
          <w:rFonts w:ascii="Times New Roman" w:hAnsi="Times New Roman" w:cs="Times New Roman" w:eastAsia="Times New Roman" w:hint="default"/>
        </w:rPr>
        <w:t>63.57</w:t>
      </w:r>
      <w:r>
        <w:rPr>
          <w:rFonts w:ascii="Times New Roman" w:hAnsi="Times New Roman" w:cs="Times New Roman" w:eastAsia="Times New Roman" w:hint="default"/>
          <w:spacing w:val="-1"/>
        </w:rPr>
        <w:t> </w:t>
      </w:r>
      <w:r>
        <w:rPr/>
        <w:t>元调整为</w:t>
      </w:r>
      <w:r>
        <w:rPr>
          <w:spacing w:val="-46"/>
        </w:rPr>
        <w:t> </w:t>
      </w:r>
      <w:r>
        <w:rPr>
          <w:rFonts w:ascii="Times New Roman" w:hAnsi="Times New Roman" w:cs="Times New Roman" w:eastAsia="Times New Roman" w:hint="default"/>
        </w:rPr>
        <w:t>31.69</w:t>
      </w:r>
      <w:r>
        <w:rPr>
          <w:rFonts w:ascii="Times New Roman" w:hAnsi="Times New Roman" w:cs="Times New Roman" w:eastAsia="Times New Roman" w:hint="default"/>
          <w:spacing w:val="-1"/>
        </w:rPr>
        <w:t> </w:t>
      </w:r>
      <w:r>
        <w:rPr/>
        <w:t>元。预留部分（已授予）</w:t>
      </w:r>
    </w:p>
    <w:p>
      <w:pPr>
        <w:pStyle w:val="BodyText"/>
        <w:spacing w:line="240" w:lineRule="auto" w:before="64"/>
        <w:ind w:right="0"/>
        <w:jc w:val="both"/>
      </w:pPr>
      <w:r>
        <w:rPr/>
        <w:t>股票期权授予数量由</w:t>
      </w:r>
      <w:r>
        <w:rPr>
          <w:spacing w:val="-46"/>
        </w:rPr>
        <w:t> </w:t>
      </w:r>
      <w:r>
        <w:rPr>
          <w:rFonts w:ascii="Times New Roman" w:hAnsi="Times New Roman" w:cs="Times New Roman" w:eastAsia="Times New Roman" w:hint="default"/>
        </w:rPr>
        <w:t>26.75</w:t>
      </w:r>
      <w:r>
        <w:rPr>
          <w:rFonts w:ascii="Times New Roman" w:hAnsi="Times New Roman" w:cs="Times New Roman" w:eastAsia="Times New Roman" w:hint="default"/>
          <w:spacing w:val="-1"/>
        </w:rPr>
        <w:t> </w:t>
      </w:r>
      <w:r>
        <w:rPr/>
        <w:t>万份调整为</w:t>
      </w:r>
      <w:r>
        <w:rPr>
          <w:spacing w:val="-46"/>
        </w:rPr>
        <w:t> </w:t>
      </w:r>
      <w:r>
        <w:rPr>
          <w:rFonts w:ascii="Times New Roman" w:hAnsi="Times New Roman" w:cs="Times New Roman" w:eastAsia="Times New Roman" w:hint="default"/>
        </w:rPr>
        <w:t>53.5</w:t>
      </w:r>
      <w:r>
        <w:rPr>
          <w:rFonts w:ascii="Times New Roman" w:hAnsi="Times New Roman" w:cs="Times New Roman" w:eastAsia="Times New Roman" w:hint="default"/>
          <w:spacing w:val="-1"/>
        </w:rPr>
        <w:t> </w:t>
      </w:r>
      <w:r>
        <w:rPr/>
        <w:t>万份，行权价格由</w:t>
      </w:r>
      <w:r>
        <w:rPr>
          <w:spacing w:val="-46"/>
        </w:rPr>
        <w:t> </w:t>
      </w:r>
      <w:r>
        <w:rPr>
          <w:rFonts w:ascii="Times New Roman" w:hAnsi="Times New Roman" w:cs="Times New Roman" w:eastAsia="Times New Roman" w:hint="default"/>
        </w:rPr>
        <w:t>69.72</w:t>
      </w:r>
      <w:r>
        <w:rPr>
          <w:rFonts w:ascii="Times New Roman" w:hAnsi="Times New Roman" w:cs="Times New Roman" w:eastAsia="Times New Roman" w:hint="default"/>
          <w:spacing w:val="-1"/>
        </w:rPr>
        <w:t> </w:t>
      </w:r>
      <w:r>
        <w:rPr/>
        <w:t>元调整为</w:t>
      </w:r>
      <w:r>
        <w:rPr>
          <w:spacing w:val="-46"/>
        </w:rPr>
        <w:t> </w:t>
      </w:r>
      <w:r>
        <w:rPr>
          <w:rFonts w:ascii="Times New Roman" w:hAnsi="Times New Roman" w:cs="Times New Roman" w:eastAsia="Times New Roman" w:hint="default"/>
        </w:rPr>
        <w:t>34.76</w:t>
      </w:r>
      <w:r>
        <w:rPr>
          <w:rFonts w:ascii="Times New Roman" w:hAnsi="Times New Roman" w:cs="Times New Roman" w:eastAsia="Times New Roman" w:hint="default"/>
          <w:spacing w:val="-1"/>
        </w:rPr>
        <w:t> </w:t>
      </w:r>
      <w:r>
        <w:rPr/>
        <w:t>元。</w:t>
      </w:r>
    </w:p>
    <w:p>
      <w:pPr>
        <w:pStyle w:val="BodyText"/>
        <w:spacing w:line="240" w:lineRule="auto" w:before="101"/>
        <w:ind w:left="1493" w:right="1033"/>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5 </w:t>
      </w:r>
      <w:r>
        <w:rPr/>
        <w:t>日，第三届董事会第八次会议和第三届监事会第七次会议审议通过了《关于调整公司第一期股票期权激</w:t>
      </w:r>
    </w:p>
    <w:p>
      <w:pPr>
        <w:pStyle w:val="BodyText"/>
        <w:spacing w:line="240" w:lineRule="auto" w:before="63"/>
        <w:ind w:right="0"/>
        <w:jc w:val="both"/>
        <w:rPr>
          <w:rFonts w:ascii="Times New Roman" w:hAnsi="Times New Roman" w:cs="Times New Roman" w:eastAsia="Times New Roman" w:hint="default"/>
        </w:rPr>
      </w:pPr>
      <w:r>
        <w:rPr/>
        <w:t>励计划激励对象和期权数量的议案</w:t>
      </w:r>
      <w:r>
        <w:rPr>
          <w:spacing w:val="-90"/>
        </w:rPr>
        <w:t>》。</w:t>
      </w:r>
      <w:r>
        <w:rPr/>
        <w:t>公司第一期股票期权激励计划首次授予期权的第一个行权期为</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日至</w:t>
      </w:r>
      <w:r>
        <w:rPr>
          <w:spacing w:val="-51"/>
        </w:rPr>
        <w:t> </w:t>
      </w:r>
      <w:r>
        <w:rPr>
          <w:rFonts w:ascii="Times New Roman" w:hAnsi="Times New Roman" w:cs="Times New Roman" w:eastAsia="Times New Roman" w:hint="default"/>
        </w:rPr>
        <w:t>2017</w:t>
      </w:r>
    </w:p>
    <w:p>
      <w:pPr>
        <w:pStyle w:val="BodyText"/>
        <w:spacing w:line="240" w:lineRule="auto" w:before="63"/>
        <w:ind w:left="1134" w:right="0"/>
        <w:jc w:val="both"/>
      </w:pP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日，因</w:t>
      </w:r>
      <w:r>
        <w:rPr>
          <w:spacing w:val="-46"/>
        </w:rPr>
        <w:t> </w:t>
      </w:r>
      <w:r>
        <w:rPr>
          <w:rFonts w:ascii="Times New Roman" w:hAnsi="Times New Roman" w:cs="Times New Roman" w:eastAsia="Times New Roman" w:hint="default"/>
        </w:rPr>
        <w:t>101</w:t>
      </w:r>
      <w:r>
        <w:rPr>
          <w:rFonts w:ascii="Times New Roman" w:hAnsi="Times New Roman" w:cs="Times New Roman" w:eastAsia="Times New Roman" w:hint="default"/>
          <w:spacing w:val="-1"/>
        </w:rPr>
        <w:t> </w:t>
      </w:r>
      <w:r>
        <w:rPr/>
        <w:t>名激励对象放弃行权而失效的股票期权合计</w:t>
      </w:r>
      <w:r>
        <w:rPr>
          <w:spacing w:val="-46"/>
        </w:rPr>
        <w:t> </w:t>
      </w:r>
      <w:r>
        <w:rPr>
          <w:rFonts w:ascii="Times New Roman" w:hAnsi="Times New Roman" w:cs="Times New Roman" w:eastAsia="Times New Roman" w:hint="default"/>
        </w:rPr>
        <w:t>1,247,800</w:t>
      </w:r>
      <w:r>
        <w:rPr>
          <w:rFonts w:ascii="Times New Roman" w:hAnsi="Times New Roman" w:cs="Times New Roman" w:eastAsia="Times New Roman" w:hint="default"/>
          <w:spacing w:val="-1"/>
        </w:rPr>
        <w:t> </w:t>
      </w:r>
      <w:r>
        <w:rPr/>
        <w:t>份，按规定应予以注销；因</w:t>
      </w:r>
      <w:r>
        <w:rPr>
          <w:spacing w:val="-46"/>
        </w:rPr>
        <w:t> </w:t>
      </w:r>
      <w:r>
        <w:rPr>
          <w:rFonts w:ascii="Times New Roman" w:hAnsi="Times New Roman" w:cs="Times New Roman" w:eastAsia="Times New Roman" w:hint="default"/>
        </w:rPr>
        <w:t>73</w:t>
      </w:r>
      <w:r>
        <w:rPr>
          <w:rFonts w:ascii="Times New Roman" w:hAnsi="Times New Roman" w:cs="Times New Roman" w:eastAsia="Times New Roman" w:hint="default"/>
          <w:spacing w:val="-1"/>
        </w:rPr>
        <w:t> </w:t>
      </w:r>
      <w:r>
        <w:rPr/>
        <w:t>名激励对象离职，</w:t>
      </w:r>
    </w:p>
    <w:p>
      <w:pPr>
        <w:pStyle w:val="BodyText"/>
        <w:spacing w:line="240" w:lineRule="auto" w:before="63"/>
        <w:ind w:left="1134" w:right="0"/>
        <w:jc w:val="both"/>
      </w:pPr>
      <w:r>
        <w:rPr/>
        <w:t>其获授但尚未行权的股票期权合计</w:t>
      </w:r>
      <w:r>
        <w:rPr>
          <w:spacing w:val="-43"/>
        </w:rPr>
        <w:t> </w:t>
      </w:r>
      <w:r>
        <w:rPr>
          <w:rFonts w:ascii="Times New Roman" w:hAnsi="Times New Roman" w:cs="Times New Roman" w:eastAsia="Times New Roman" w:hint="default"/>
        </w:rPr>
        <w:t>1,762,980</w:t>
      </w:r>
      <w:r>
        <w:rPr>
          <w:rFonts w:ascii="Times New Roman" w:hAnsi="Times New Roman" w:cs="Times New Roman" w:eastAsia="Times New Roman" w:hint="default"/>
          <w:spacing w:val="2"/>
        </w:rPr>
        <w:t> </w:t>
      </w:r>
      <w:r>
        <w:rPr>
          <w:spacing w:val="-3"/>
        </w:rPr>
        <w:t>份，按规定应予以注销。应注销期权合计</w:t>
      </w:r>
      <w:r>
        <w:rPr>
          <w:spacing w:val="-43"/>
        </w:rPr>
        <w:t> </w:t>
      </w:r>
      <w:r>
        <w:rPr>
          <w:rFonts w:ascii="Times New Roman" w:hAnsi="Times New Roman" w:cs="Times New Roman" w:eastAsia="Times New Roman" w:hint="default"/>
        </w:rPr>
        <w:t>3,010,780</w:t>
      </w:r>
      <w:r>
        <w:rPr>
          <w:rFonts w:ascii="Times New Roman" w:hAnsi="Times New Roman" w:cs="Times New Roman" w:eastAsia="Times New Roman" w:hint="default"/>
          <w:spacing w:val="3"/>
        </w:rPr>
        <w:t> </w:t>
      </w:r>
      <w:r>
        <w:rPr>
          <w:spacing w:val="-4"/>
        </w:rPr>
        <w:t>份。本次调整后，公司第一</w:t>
      </w:r>
    </w:p>
    <w:p>
      <w:pPr>
        <w:pStyle w:val="BodyText"/>
        <w:spacing w:line="240" w:lineRule="auto" w:before="63"/>
        <w:ind w:left="1134" w:right="0"/>
        <w:jc w:val="both"/>
        <w:rPr>
          <w:rFonts w:ascii="Times New Roman" w:hAnsi="Times New Roman" w:cs="Times New Roman" w:eastAsia="Times New Roman" w:hint="default"/>
        </w:rPr>
      </w:pPr>
      <w:r>
        <w:rPr/>
        <w:t>期股票期权激励计划首次授予期权激励对象由</w:t>
      </w:r>
      <w:r>
        <w:rPr>
          <w:spacing w:val="-48"/>
        </w:rPr>
        <w:t> </w:t>
      </w:r>
      <w:r>
        <w:rPr>
          <w:rFonts w:ascii="Times New Roman" w:hAnsi="Times New Roman" w:cs="Times New Roman" w:eastAsia="Times New Roman" w:hint="default"/>
        </w:rPr>
        <w:t>215</w:t>
      </w:r>
      <w:r>
        <w:rPr>
          <w:rFonts w:ascii="Times New Roman" w:hAnsi="Times New Roman" w:cs="Times New Roman" w:eastAsia="Times New Roman" w:hint="default"/>
          <w:spacing w:val="-3"/>
        </w:rPr>
        <w:t> </w:t>
      </w:r>
      <w:r>
        <w:rPr/>
        <w:t>名调整为</w:t>
      </w:r>
      <w:r>
        <w:rPr>
          <w:spacing w:val="-48"/>
        </w:rPr>
        <w:t> </w:t>
      </w:r>
      <w:r>
        <w:rPr>
          <w:rFonts w:ascii="Times New Roman" w:hAnsi="Times New Roman" w:cs="Times New Roman" w:eastAsia="Times New Roman" w:hint="default"/>
        </w:rPr>
        <w:t>142</w:t>
      </w:r>
      <w:r>
        <w:rPr>
          <w:rFonts w:ascii="Times New Roman" w:hAnsi="Times New Roman" w:cs="Times New Roman" w:eastAsia="Times New Roman" w:hint="default"/>
          <w:spacing w:val="-3"/>
        </w:rPr>
        <w:t> </w:t>
      </w:r>
      <w:r>
        <w:rPr/>
        <w:t>人，激励对象获授但尚未行权的期权数量调整为</w:t>
      </w:r>
      <w:r>
        <w:rPr>
          <w:spacing w:val="-48"/>
        </w:rPr>
        <w:t> </w:t>
      </w:r>
      <w:r>
        <w:rPr>
          <w:rFonts w:ascii="Times New Roman" w:hAnsi="Times New Roman" w:cs="Times New Roman" w:eastAsia="Times New Roman" w:hint="default"/>
        </w:rPr>
        <w:t>4,118,800</w:t>
      </w:r>
    </w:p>
    <w:p>
      <w:pPr>
        <w:pStyle w:val="BodyText"/>
        <w:spacing w:line="240" w:lineRule="auto" w:before="64"/>
        <w:ind w:left="1134" w:right="0"/>
        <w:jc w:val="both"/>
      </w:pPr>
      <w:r>
        <w:rPr/>
        <w:t>份。</w:t>
      </w:r>
    </w:p>
    <w:p>
      <w:pPr>
        <w:pStyle w:val="BodyText"/>
        <w:spacing w:line="309" w:lineRule="auto" w:before="116"/>
        <w:ind w:left="1134" w:right="1033" w:firstLine="360"/>
        <w:jc w:val="left"/>
      </w:pPr>
      <w:r>
        <w:rPr>
          <w:spacing w:val="-4"/>
        </w:rPr>
        <w:t>由于预留授予期权的激励对象于冬斌因个人原因离职，不再具备激励对象资格，根据公司《股票期权激励计划（草案）》</w:t>
      </w:r>
      <w:r>
        <w:rPr/>
        <w:t> 的相关规定，对其持有的</w:t>
      </w:r>
      <w:r>
        <w:rPr>
          <w:spacing w:val="-56"/>
        </w:rPr>
        <w:t> </w:t>
      </w:r>
      <w:r>
        <w:rPr>
          <w:rFonts w:ascii="Times New Roman" w:hAnsi="Times New Roman" w:cs="Times New Roman" w:eastAsia="Times New Roman" w:hint="default"/>
        </w:rPr>
        <w:t>535,000</w:t>
      </w:r>
      <w:r>
        <w:rPr>
          <w:rFonts w:ascii="Times New Roman" w:hAnsi="Times New Roman" w:cs="Times New Roman" w:eastAsia="Times New Roman" w:hint="default"/>
          <w:spacing w:val="-11"/>
        </w:rPr>
        <w:t> </w:t>
      </w:r>
      <w:r>
        <w:rPr/>
        <w:t>份预留股票期权予以取消并办理注销手续。本次调整后，公司第一期股票期权激励计划预 留股票期权存量数为</w:t>
      </w:r>
      <w:r>
        <w:rPr>
          <w:spacing w:val="-46"/>
        </w:rPr>
        <w:t> </w:t>
      </w:r>
      <w:r>
        <w:rPr>
          <w:rFonts w:ascii="Times New Roman" w:hAnsi="Times New Roman" w:cs="Times New Roman" w:eastAsia="Times New Roman" w:hint="default"/>
        </w:rPr>
        <w:t>0</w:t>
      </w:r>
      <w:r>
        <w:rPr/>
        <w:t>，自行终止。</w:t>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bookmarkStart w:name="十一、资产负债表日后事项" w:id="310"/>
      <w:bookmarkEnd w:id="310"/>
      <w:r>
        <w:rPr>
          <w:b w:val="0"/>
          <w:bCs w:val="0"/>
        </w:rPr>
      </w:r>
      <w:r>
        <w:rPr/>
        <w:t>十一、资产负债表日后事项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其他资产负债表日后事项说明" w:id="311"/>
      <w:bookmarkEnd w:id="311"/>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134" w:right="1205" w:firstLine="360"/>
        <w:jc w:val="left"/>
      </w:pPr>
      <w:r>
        <w:rPr/>
        <w:t>公司持股</w:t>
      </w:r>
      <w:r>
        <w:rPr>
          <w:spacing w:val="-46"/>
        </w:rPr>
        <w:t> </w:t>
      </w:r>
      <w:r>
        <w:rPr>
          <w:rFonts w:ascii="Times New Roman" w:hAnsi="Times New Roman" w:cs="Times New Roman" w:eastAsia="Times New Roman" w:hint="default"/>
        </w:rPr>
        <w:t>5%</w:t>
      </w:r>
      <w:r>
        <w:rPr/>
        <w:t>以上股东张齐春女士与黄永军先生于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4"/>
        </w:rPr>
        <w:t>日签署了《表决权委托协议》，张齐春女士将其持有</w:t>
      </w:r>
      <w:r>
        <w:rPr/>
        <w:t> 的东方通</w:t>
      </w:r>
      <w:r>
        <w:rPr>
          <w:spacing w:val="-46"/>
        </w:rPr>
        <w:t> </w:t>
      </w:r>
      <w:r>
        <w:rPr>
          <w:rFonts w:ascii="Times New Roman" w:hAnsi="Times New Roman" w:cs="Times New Roman" w:eastAsia="Times New Roman" w:hint="default"/>
        </w:rPr>
        <w:t>33,822,218</w:t>
      </w:r>
      <w:r>
        <w:rPr>
          <w:rFonts w:ascii="Times New Roman" w:hAnsi="Times New Roman" w:cs="Times New Roman" w:eastAsia="Times New Roman" w:hint="default"/>
          <w:spacing w:val="-1"/>
        </w:rPr>
        <w:t> </w:t>
      </w:r>
      <w:r>
        <w:rPr/>
        <w:t>股股份（占总股本的</w:t>
      </w:r>
      <w:r>
        <w:rPr>
          <w:spacing w:val="-46"/>
        </w:rPr>
        <w:t> </w:t>
      </w:r>
      <w:r>
        <w:rPr>
          <w:rFonts w:ascii="Times New Roman" w:hAnsi="Times New Roman" w:cs="Times New Roman" w:eastAsia="Times New Roman" w:hint="default"/>
        </w:rPr>
        <w:t>12.2088%</w:t>
      </w:r>
      <w:r>
        <w:rPr/>
        <w:t>） 对应的表决权以及提名和提案权委托给黄永军先生行使。</w:t>
      </w:r>
    </w:p>
    <w:p>
      <w:pPr>
        <w:pStyle w:val="BodyText"/>
        <w:spacing w:line="300" w:lineRule="auto" w:before="49"/>
        <w:ind w:right="1119" w:firstLine="360"/>
        <w:jc w:val="left"/>
      </w:pPr>
      <w:r>
        <w:rPr/>
        <w:t>表决权委托后，张齐春女士享有的表决权股份数量为</w:t>
      </w:r>
      <w:r>
        <w:rPr>
          <w:spacing w:val="-59"/>
        </w:rPr>
        <w:t> </w:t>
      </w:r>
      <w:r>
        <w:rPr>
          <w:rFonts w:ascii="Times New Roman" w:hAnsi="Times New Roman" w:cs="Times New Roman" w:eastAsia="Times New Roman" w:hint="default"/>
        </w:rPr>
        <w:t>0</w:t>
      </w:r>
      <w:r>
        <w:rPr>
          <w:rFonts w:ascii="Times New Roman" w:hAnsi="Times New Roman" w:cs="Times New Roman" w:eastAsia="Times New Roman" w:hint="default"/>
          <w:spacing w:val="-14"/>
        </w:rPr>
        <w:t> </w:t>
      </w:r>
      <w:r>
        <w:rPr/>
        <w:t>股；黄永军先生享有的表决权股份数量为</w:t>
      </w:r>
      <w:r>
        <w:rPr>
          <w:spacing w:val="-59"/>
        </w:rPr>
        <w:t> </w:t>
      </w:r>
      <w:r>
        <w:rPr>
          <w:rFonts w:ascii="Times New Roman" w:hAnsi="Times New Roman" w:cs="Times New Roman" w:eastAsia="Times New Roman" w:hint="default"/>
        </w:rPr>
        <w:t>58,439,112</w:t>
      </w:r>
      <w:r>
        <w:rPr>
          <w:rFonts w:ascii="Times New Roman" w:hAnsi="Times New Roman" w:cs="Times New Roman" w:eastAsia="Times New Roman" w:hint="default"/>
          <w:spacing w:val="-14"/>
        </w:rPr>
        <w:t> </w:t>
      </w:r>
      <w:r>
        <w:rPr>
          <w:spacing w:val="-6"/>
        </w:rPr>
        <w:t>股（包括黄</w:t>
      </w:r>
      <w:r>
        <w:rPr/>
        <w:t> 永军直接持有</w:t>
      </w:r>
      <w:r>
        <w:rPr>
          <w:spacing w:val="-44"/>
        </w:rPr>
        <w:t> </w:t>
      </w:r>
      <w:r>
        <w:rPr>
          <w:rFonts w:ascii="Times New Roman" w:hAnsi="Times New Roman" w:cs="Times New Roman" w:eastAsia="Times New Roman" w:hint="default"/>
        </w:rPr>
        <w:t>18,615,066</w:t>
      </w:r>
      <w:r>
        <w:rPr>
          <w:rFonts w:ascii="Times New Roman" w:hAnsi="Times New Roman" w:cs="Times New Roman" w:eastAsia="Times New Roman" w:hint="default"/>
          <w:spacing w:val="1"/>
        </w:rPr>
        <w:t> </w:t>
      </w:r>
      <w:r>
        <w:rPr>
          <w:spacing w:val="-3"/>
        </w:rPr>
        <w:t>股东方通股票对应的表决权、通过云南国际信托有限公司－招信智赢点山</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号集合资金信托计划间</w:t>
      </w:r>
    </w:p>
    <w:p>
      <w:pPr>
        <w:pStyle w:val="BodyText"/>
        <w:spacing w:line="300" w:lineRule="auto" w:before="13"/>
        <w:ind w:right="1131"/>
        <w:jc w:val="both"/>
      </w:pPr>
      <w:r>
        <w:rPr/>
        <w:t>接持有</w:t>
      </w:r>
      <w:r>
        <w:rPr>
          <w:spacing w:val="-43"/>
        </w:rPr>
        <w:t> </w:t>
      </w:r>
      <w:r>
        <w:rPr>
          <w:rFonts w:ascii="Times New Roman" w:hAnsi="Times New Roman" w:cs="Times New Roman" w:eastAsia="Times New Roman" w:hint="default"/>
          <w:spacing w:val="-1"/>
        </w:rPr>
        <w:t>6,001,828</w:t>
      </w:r>
      <w:r>
        <w:rPr>
          <w:rFonts w:ascii="Times New Roman" w:hAnsi="Times New Roman" w:cs="Times New Roman" w:eastAsia="Times New Roman" w:hint="default"/>
          <w:spacing w:val="2"/>
        </w:rPr>
        <w:t> </w:t>
      </w:r>
      <w:r>
        <w:rPr/>
        <w:t>股东方通股票对应的表决权及通过表决权委托方式获得的东方通</w:t>
      </w:r>
      <w:r>
        <w:rPr>
          <w:spacing w:val="-43"/>
        </w:rPr>
        <w:t> </w:t>
      </w:r>
      <w:r>
        <w:rPr>
          <w:rFonts w:ascii="Times New Roman" w:hAnsi="Times New Roman" w:cs="Times New Roman" w:eastAsia="Times New Roman" w:hint="default"/>
        </w:rPr>
        <w:t>33,822,218</w:t>
      </w:r>
      <w:r>
        <w:rPr>
          <w:rFonts w:ascii="Times New Roman" w:hAnsi="Times New Roman" w:cs="Times New Roman" w:eastAsia="Times New Roman" w:hint="default"/>
          <w:spacing w:val="4"/>
        </w:rPr>
        <w:t> </w:t>
      </w:r>
      <w:r>
        <w:rPr>
          <w:spacing w:val="-13"/>
        </w:rPr>
        <w:t>股对应的表决权），占公司总股</w:t>
      </w:r>
      <w:r>
        <w:rPr/>
        <w:t> 本的</w:t>
      </w:r>
      <w:r>
        <w:rPr>
          <w:spacing w:val="-9"/>
        </w:rPr>
        <w:t> </w:t>
      </w:r>
      <w:r>
        <w:rPr>
          <w:rFonts w:ascii="Times New Roman" w:hAnsi="Times New Roman" w:cs="Times New Roman" w:eastAsia="Times New Roman" w:hint="default"/>
        </w:rPr>
        <w:t>21.0947%</w:t>
      </w:r>
      <w:r>
        <w:rPr/>
        <w:t>，成为可支配公司最大单一表决权的股东。本次表决权委托导致公司实际控制人发生变更，公司实际控制人 已由张齐春女士及其一致行动人变更为黄永军先生。</w:t>
      </w:r>
    </w:p>
    <w:p>
      <w:pPr>
        <w:spacing w:line="240" w:lineRule="auto" w:before="8"/>
        <w:rPr>
          <w:rFonts w:ascii="宋体" w:hAnsi="宋体" w:cs="宋体" w:eastAsia="宋体" w:hint="default"/>
          <w:sz w:val="21"/>
          <w:szCs w:val="21"/>
        </w:rPr>
      </w:pPr>
    </w:p>
    <w:p>
      <w:pPr>
        <w:pStyle w:val="Heading2"/>
        <w:spacing w:line="240" w:lineRule="auto"/>
        <w:ind w:left="1134" w:right="0"/>
        <w:jc w:val="both"/>
        <w:rPr>
          <w:b w:val="0"/>
          <w:bCs w:val="0"/>
        </w:rPr>
      </w:pPr>
      <w:bookmarkStart w:name="十二、母公司财务报表主要项目注释" w:id="312"/>
      <w:bookmarkEnd w:id="312"/>
      <w:r>
        <w:rPr>
          <w:b w:val="0"/>
          <w:bCs w:val="0"/>
        </w:rPr>
      </w:r>
      <w:r>
        <w:rPr/>
        <w:t>十二、母公司财务报表主要项目注释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应收账款" w:id="313"/>
      <w:bookmarkEnd w:id="313"/>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both"/>
        <w:rPr>
          <w:b w:val="0"/>
          <w:bCs w:val="0"/>
        </w:rPr>
      </w:pPr>
      <w:bookmarkStart w:name="（1）应收账款分类披露" w:id="314"/>
      <w:bookmarkEnd w:id="31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35"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35"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150,906,</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484.00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41,300,7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64.15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27.37%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109,605,7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19.85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148,564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,410.32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26,422,28</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7.93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122,142,12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2.39</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150,906,</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484.00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41,300,7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64.15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27.37%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109,605,7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19.85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148,564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,410.32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26,422,28</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7.93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17.79%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122,142,12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2.39</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footerReference w:type="default" r:id="rId36"/>
          <w:pgSz w:w="11910" w:h="16840"/>
          <w:pgMar w:footer="979" w:header="747" w:top="1060" w:bottom="1160" w:left="0" w:right="0"/>
          <w:pgNumType w:start="17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53,187,800.51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2,659,390.03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31,714,636.80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3,171,463.68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20,902,328.45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4,180,465.69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16,595,760.91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6,638,304.36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19,274,084.68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15,419,267.74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9,231,872.65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9,231,872.65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150,906,484.00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41,300,764.15</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1033"/>
        <w:jc w:val="left"/>
        <w:rPr>
          <w:b w:val="0"/>
          <w:bCs w:val="0"/>
        </w:rPr>
      </w:pPr>
      <w:bookmarkStart w:name="（2）本期计提、收回或转回的坏账准备情况" w:id="315"/>
      <w:bookmarkEnd w:id="31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本期计提坏账准备金额</w:t>
      </w:r>
      <w:r>
        <w:rPr>
          <w:spacing w:val="-47"/>
        </w:rPr>
        <w:t> </w:t>
      </w:r>
      <w:r>
        <w:rPr>
          <w:rFonts w:ascii="Times New Roman" w:hAnsi="Times New Roman" w:cs="Times New Roman" w:eastAsia="Times New Roman" w:hint="default"/>
        </w:rPr>
        <w:t>14,878,476.22</w:t>
      </w:r>
      <w:r>
        <w:rPr>
          <w:rFonts w:ascii="Times New Roman" w:hAnsi="Times New Roman" w:cs="Times New Roman" w:eastAsia="Times New Roman" w:hint="default"/>
          <w:spacing w:val="-1"/>
        </w:rPr>
        <w:t> </w:t>
      </w:r>
      <w:r>
        <w:rPr/>
        <w:t>元；本期收回或转回坏账准备金额元。</w:t>
      </w:r>
    </w:p>
    <w:p>
      <w:pPr>
        <w:spacing w:line="240" w:lineRule="auto" w:before="9"/>
        <w:rPr>
          <w:rFonts w:ascii="宋体" w:hAnsi="宋体" w:cs="宋体" w:eastAsia="宋体" w:hint="default"/>
          <w:sz w:val="25"/>
          <w:szCs w:val="25"/>
        </w:rPr>
      </w:pPr>
    </w:p>
    <w:p>
      <w:pPr>
        <w:pStyle w:val="Heading3"/>
        <w:spacing w:line="240" w:lineRule="auto"/>
        <w:ind w:left="1134" w:right="1033"/>
        <w:jc w:val="left"/>
        <w:rPr>
          <w:b w:val="0"/>
          <w:bCs w:val="0"/>
        </w:rPr>
      </w:pPr>
      <w:bookmarkStart w:name="（3）按欠款方归集的期末余额前五名的应收账款情况" w:id="316"/>
      <w:bookmarkEnd w:id="316"/>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25"/>
          <w:szCs w:val="25"/>
        </w:rPr>
      </w:pPr>
    </w:p>
    <w:tbl>
      <w:tblPr>
        <w:tblW w:w="0" w:type="auto"/>
        <w:jc w:val="left"/>
        <w:tblInd w:w="1119" w:type="dxa"/>
        <w:tblLayout w:type="fixed"/>
        <w:tblCellMar>
          <w:top w:w="0" w:type="dxa"/>
          <w:left w:w="0" w:type="dxa"/>
          <w:bottom w:w="0" w:type="dxa"/>
          <w:right w:w="0" w:type="dxa"/>
        </w:tblCellMar>
        <w:tblLook w:val="01E0"/>
      </w:tblPr>
      <w:tblGrid>
        <w:gridCol w:w="2986"/>
        <w:gridCol w:w="2447"/>
        <w:gridCol w:w="2654"/>
        <w:gridCol w:w="1572"/>
      </w:tblGrid>
      <w:tr>
        <w:trPr>
          <w:trHeight w:val="345" w:hRule="exact"/>
        </w:trPr>
        <w:tc>
          <w:tcPr>
            <w:tcW w:w="2986" w:type="dxa"/>
            <w:vMerge w:val="restart"/>
            <w:tcBorders>
              <w:top w:val="single" w:sz="4" w:space="0" w:color="000000"/>
              <w:left w:val="nil" w:sz="6" w:space="0" w:color="auto"/>
              <w:right w:val="nil" w:sz="6" w:space="0" w:color="auto"/>
            </w:tcBorders>
            <w:shd w:val="clear" w:color="auto" w:fill="DDD9C3"/>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673" w:type="dxa"/>
            <w:gridSpan w:val="3"/>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986" w:type="dxa"/>
            <w:vMerge/>
            <w:tcBorders>
              <w:left w:val="nil" w:sz="6" w:space="0" w:color="auto"/>
              <w:bottom w:val="single" w:sz="4" w:space="0" w:color="000000"/>
              <w:right w:val="nil" w:sz="6" w:space="0" w:color="auto"/>
            </w:tcBorders>
            <w:shd w:val="clear" w:color="auto" w:fill="DDD9C3"/>
          </w:tcPr>
          <w:p>
            <w:pPr/>
          </w:p>
        </w:tc>
        <w:tc>
          <w:tcPr>
            <w:tcW w:w="2447" w:type="dxa"/>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240" w:lineRule="auto" w:before="21"/>
              <w:ind w:right="35"/>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654" w:type="dxa"/>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240" w:lineRule="auto" w:before="21"/>
              <w:ind w:left="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572" w:type="dxa"/>
            <w:tcBorders>
              <w:top w:val="single" w:sz="4" w:space="0" w:color="000000"/>
              <w:left w:val="nil" w:sz="6" w:space="0" w:color="auto"/>
              <w:bottom w:val="single" w:sz="4" w:space="0" w:color="000000"/>
              <w:right w:val="nil" w:sz="6" w:space="0" w:color="auto"/>
            </w:tcBorders>
            <w:shd w:val="clear" w:color="auto" w:fill="DDD9C3"/>
          </w:tcPr>
          <w:p>
            <w:pPr>
              <w:pStyle w:val="TableParagraph"/>
              <w:spacing w:line="240" w:lineRule="auto" w:before="21"/>
              <w:ind w:left="28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2986"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中国软件与技术服务股份有限公司</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43"/>
              <w:jc w:val="right"/>
              <w:rPr>
                <w:rFonts w:ascii="Times New Roman" w:hAnsi="Times New Roman" w:cs="Times New Roman" w:eastAsia="Times New Roman" w:hint="default"/>
                <w:sz w:val="18"/>
                <w:szCs w:val="18"/>
              </w:rPr>
            </w:pPr>
            <w:r>
              <w:rPr>
                <w:rFonts w:ascii="Times New Roman"/>
                <w:spacing w:val="-1"/>
                <w:sz w:val="18"/>
              </w:rPr>
              <w:t>5,879,385.75</w:t>
            </w:r>
          </w:p>
        </w:tc>
        <w:tc>
          <w:tcPr>
            <w:tcW w:w="2654"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84"/>
              <w:jc w:val="right"/>
              <w:rPr>
                <w:rFonts w:ascii="Times New Roman" w:hAnsi="Times New Roman" w:cs="Times New Roman" w:eastAsia="Times New Roman" w:hint="default"/>
                <w:sz w:val="18"/>
                <w:szCs w:val="18"/>
              </w:rPr>
            </w:pPr>
            <w:r>
              <w:rPr>
                <w:rFonts w:ascii="Times New Roman"/>
                <w:sz w:val="18"/>
              </w:rPr>
              <w:t>3.90</w:t>
            </w:r>
          </w:p>
        </w:tc>
        <w:tc>
          <w:tcPr>
            <w:tcW w:w="1572"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3,514,780.37</w:t>
            </w:r>
          </w:p>
        </w:tc>
      </w:tr>
      <w:tr>
        <w:trPr>
          <w:trHeight w:val="342" w:hRule="exact"/>
        </w:trPr>
        <w:tc>
          <w:tcPr>
            <w:tcW w:w="2986"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北京柯泰恩自动化技术有限公司</w:t>
            </w:r>
          </w:p>
        </w:tc>
        <w:tc>
          <w:tcPr>
            <w:tcW w:w="2447"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43"/>
              <w:jc w:val="right"/>
              <w:rPr>
                <w:rFonts w:ascii="Times New Roman" w:hAnsi="Times New Roman" w:cs="Times New Roman" w:eastAsia="Times New Roman" w:hint="default"/>
                <w:sz w:val="18"/>
                <w:szCs w:val="18"/>
              </w:rPr>
            </w:pPr>
            <w:r>
              <w:rPr>
                <w:rFonts w:ascii="Times New Roman"/>
                <w:spacing w:val="-1"/>
                <w:sz w:val="18"/>
              </w:rPr>
              <w:t>3,912,469.34</w:t>
            </w:r>
          </w:p>
        </w:tc>
        <w:tc>
          <w:tcPr>
            <w:tcW w:w="2654"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284"/>
              <w:jc w:val="right"/>
              <w:rPr>
                <w:rFonts w:ascii="Times New Roman" w:hAnsi="Times New Roman" w:cs="Times New Roman" w:eastAsia="Times New Roman" w:hint="default"/>
                <w:sz w:val="18"/>
                <w:szCs w:val="18"/>
              </w:rPr>
            </w:pPr>
            <w:r>
              <w:rPr>
                <w:rFonts w:ascii="Times New Roman"/>
                <w:sz w:val="18"/>
              </w:rPr>
              <w:t>2.59</w:t>
            </w:r>
          </w:p>
        </w:tc>
        <w:tc>
          <w:tcPr>
            <w:tcW w:w="1572"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195,623.47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1"/>
        <w:rPr>
          <w:rFonts w:ascii="宋体" w:hAnsi="宋体" w:cs="宋体" w:eastAsia="宋体" w:hint="default"/>
          <w:b/>
          <w:bCs/>
          <w:sz w:val="3"/>
          <w:szCs w:val="3"/>
        </w:rPr>
      </w:pPr>
    </w:p>
    <w:tbl>
      <w:tblPr>
        <w:tblW w:w="0" w:type="auto"/>
        <w:jc w:val="left"/>
        <w:tblInd w:w="1124" w:type="dxa"/>
        <w:tblLayout w:type="fixed"/>
        <w:tblCellMar>
          <w:top w:w="0" w:type="dxa"/>
          <w:left w:w="0" w:type="dxa"/>
          <w:bottom w:w="0" w:type="dxa"/>
          <w:right w:w="0" w:type="dxa"/>
        </w:tblCellMar>
        <w:tblLook w:val="01E0"/>
      </w:tblPr>
      <w:tblGrid>
        <w:gridCol w:w="3441"/>
        <w:gridCol w:w="2950"/>
        <w:gridCol w:w="1861"/>
        <w:gridCol w:w="1406"/>
      </w:tblGrid>
      <w:tr>
        <w:trPr>
          <w:trHeight w:val="674" w:hRule="exact"/>
        </w:trPr>
        <w:tc>
          <w:tcPr>
            <w:tcW w:w="3441"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北京思华互联通讯设备有限公司</w:t>
            </w:r>
          </w:p>
        </w:tc>
        <w:tc>
          <w:tcPr>
            <w:tcW w:w="2950"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1001"/>
              <w:jc w:val="right"/>
              <w:rPr>
                <w:rFonts w:ascii="Times New Roman" w:hAnsi="Times New Roman" w:cs="Times New Roman" w:eastAsia="Times New Roman" w:hint="default"/>
                <w:sz w:val="18"/>
                <w:szCs w:val="18"/>
              </w:rPr>
            </w:pPr>
            <w:r>
              <w:rPr>
                <w:rFonts w:ascii="Times New Roman"/>
                <w:spacing w:val="-1"/>
                <w:sz w:val="18"/>
              </w:rPr>
              <w:t>3,600,000.00</w:t>
            </w:r>
          </w:p>
        </w:tc>
        <w:tc>
          <w:tcPr>
            <w:tcW w:w="1861"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449"/>
              <w:jc w:val="right"/>
              <w:rPr>
                <w:rFonts w:ascii="Times New Roman" w:hAnsi="Times New Roman" w:cs="Times New Roman" w:eastAsia="Times New Roman" w:hint="default"/>
                <w:sz w:val="18"/>
                <w:szCs w:val="18"/>
              </w:rPr>
            </w:pPr>
            <w:r>
              <w:rPr>
                <w:rFonts w:ascii="Times New Roman"/>
                <w:sz w:val="18"/>
              </w:rPr>
              <w:t>2.39</w:t>
            </w: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2,880,000.00</w:t>
            </w:r>
          </w:p>
        </w:tc>
      </w:tr>
      <w:tr>
        <w:trPr>
          <w:trHeight w:val="342" w:hRule="exact"/>
        </w:trPr>
        <w:tc>
          <w:tcPr>
            <w:tcW w:w="3441"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华建暖星（北京）科技有限公司</w:t>
            </w:r>
          </w:p>
        </w:tc>
        <w:tc>
          <w:tcPr>
            <w:tcW w:w="2950"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1001"/>
              <w:jc w:val="right"/>
              <w:rPr>
                <w:rFonts w:ascii="Times New Roman" w:hAnsi="Times New Roman" w:cs="Times New Roman" w:eastAsia="Times New Roman" w:hint="default"/>
                <w:sz w:val="18"/>
                <w:szCs w:val="18"/>
              </w:rPr>
            </w:pPr>
            <w:r>
              <w:rPr>
                <w:rFonts w:ascii="Times New Roman"/>
                <w:spacing w:val="-1"/>
                <w:sz w:val="18"/>
              </w:rPr>
              <w:t>3,430,743.20</w:t>
            </w:r>
          </w:p>
        </w:tc>
        <w:tc>
          <w:tcPr>
            <w:tcW w:w="1861"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449"/>
              <w:jc w:val="right"/>
              <w:rPr>
                <w:rFonts w:ascii="Times New Roman" w:hAnsi="Times New Roman" w:cs="Times New Roman" w:eastAsia="Times New Roman" w:hint="default"/>
                <w:sz w:val="18"/>
                <w:szCs w:val="18"/>
              </w:rPr>
            </w:pPr>
            <w:r>
              <w:rPr>
                <w:rFonts w:ascii="Times New Roman"/>
                <w:sz w:val="18"/>
              </w:rPr>
              <w:t>2.27</w:t>
            </w: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481,938.64</w:t>
            </w:r>
          </w:p>
        </w:tc>
      </w:tr>
      <w:tr>
        <w:trPr>
          <w:trHeight w:val="342" w:hRule="exact"/>
        </w:trPr>
        <w:tc>
          <w:tcPr>
            <w:tcW w:w="3441"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950"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1001"/>
              <w:jc w:val="right"/>
              <w:rPr>
                <w:rFonts w:ascii="Times New Roman" w:hAnsi="Times New Roman" w:cs="Times New Roman" w:eastAsia="Times New Roman" w:hint="default"/>
                <w:sz w:val="18"/>
                <w:szCs w:val="18"/>
              </w:rPr>
            </w:pPr>
            <w:r>
              <w:rPr>
                <w:rFonts w:ascii="Times New Roman"/>
                <w:spacing w:val="-1"/>
                <w:sz w:val="18"/>
              </w:rPr>
              <w:t>3,527,539.02</w:t>
            </w:r>
          </w:p>
        </w:tc>
        <w:tc>
          <w:tcPr>
            <w:tcW w:w="1861"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449"/>
              <w:jc w:val="right"/>
              <w:rPr>
                <w:rFonts w:ascii="Times New Roman" w:hAnsi="Times New Roman" w:cs="Times New Roman" w:eastAsia="Times New Roman" w:hint="default"/>
                <w:sz w:val="18"/>
                <w:szCs w:val="18"/>
              </w:rPr>
            </w:pPr>
            <w:r>
              <w:rPr>
                <w:rFonts w:ascii="Times New Roman"/>
                <w:sz w:val="18"/>
              </w:rPr>
              <w:t>2.34</w:t>
            </w: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343,644.24</w:t>
            </w:r>
          </w:p>
        </w:tc>
      </w:tr>
      <w:tr>
        <w:trPr>
          <w:trHeight w:val="342" w:hRule="exact"/>
        </w:trPr>
        <w:tc>
          <w:tcPr>
            <w:tcW w:w="3441"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453"/>
              <w:jc w:val="center"/>
              <w:rPr>
                <w:rFonts w:ascii="宋体" w:hAnsi="宋体" w:cs="宋体" w:eastAsia="宋体" w:hint="default"/>
                <w:sz w:val="18"/>
                <w:szCs w:val="18"/>
              </w:rPr>
            </w:pPr>
            <w:r>
              <w:rPr>
                <w:rFonts w:ascii="宋体" w:hAnsi="宋体" w:cs="宋体" w:eastAsia="宋体" w:hint="default"/>
                <w:sz w:val="18"/>
                <w:szCs w:val="18"/>
              </w:rPr>
              <w:t>合计</w:t>
            </w:r>
          </w:p>
        </w:tc>
        <w:tc>
          <w:tcPr>
            <w:tcW w:w="2950"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1001"/>
              <w:jc w:val="right"/>
              <w:rPr>
                <w:rFonts w:ascii="Times New Roman" w:hAnsi="Times New Roman" w:cs="Times New Roman" w:eastAsia="Times New Roman" w:hint="default"/>
                <w:sz w:val="18"/>
                <w:szCs w:val="18"/>
              </w:rPr>
            </w:pPr>
            <w:r>
              <w:rPr>
                <w:rFonts w:ascii="Times New Roman"/>
                <w:spacing w:val="-1"/>
                <w:sz w:val="18"/>
              </w:rPr>
              <w:t>20,350,137.31</w:t>
            </w:r>
          </w:p>
        </w:tc>
        <w:tc>
          <w:tcPr>
            <w:tcW w:w="1861"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449"/>
              <w:jc w:val="right"/>
              <w:rPr>
                <w:rFonts w:ascii="Times New Roman" w:hAnsi="Times New Roman" w:cs="Times New Roman" w:eastAsia="Times New Roman" w:hint="default"/>
                <w:sz w:val="18"/>
                <w:szCs w:val="18"/>
              </w:rPr>
            </w:pPr>
            <w:r>
              <w:rPr>
                <w:rFonts w:ascii="Times New Roman"/>
                <w:sz w:val="18"/>
              </w:rPr>
              <w:t>13.49</w:t>
            </w: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7,415,986.71</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1033"/>
        <w:jc w:val="left"/>
        <w:rPr>
          <w:b w:val="0"/>
          <w:bCs w:val="0"/>
        </w:rPr>
      </w:pPr>
      <w:r>
        <w:rPr/>
        <w:pict>
          <v:group style="position:absolute;margin-left:55.200001pt;margin-top:-97.846329pt;width:485pt;height:.1pt;mso-position-horizontal-relative:page;mso-position-vertical-relative:paragraph;z-index:-1031008" coordorigin="1104,-1957" coordsize="9700,2">
            <v:shape style="position:absolute;left:1104;top:-1957;width:9700;height:2" coordorigin="1104,-1957" coordsize="9700,0" path="m1104,-1957l10804,-1957e" filled="false" stroked="true" strokeweight=".72pt" strokecolor="#000000">
              <v:path arrowok="t"/>
            </v:shape>
            <w10:wrap type="none"/>
          </v:group>
        </w:pict>
      </w:r>
      <w:bookmarkStart w:name="2、其他应收款" w:id="317"/>
      <w:bookmarkEnd w:id="31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1033"/>
        <w:jc w:val="left"/>
        <w:rPr>
          <w:b w:val="0"/>
          <w:bCs w:val="0"/>
        </w:rPr>
      </w:pPr>
      <w:bookmarkStart w:name="（1）其他应收款分类披露" w:id="318"/>
      <w:bookmarkEnd w:id="31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21,885,3</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57.73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21,885,35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7.73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12,730,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472.14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61,776.00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12,668,696.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21,885,3</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57.73</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21,885,35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7.73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12,730,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472.14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61,776.00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0.49%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12,668,696.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1033"/>
        <w:jc w:val="left"/>
      </w:pPr>
      <w:r>
        <w:rPr/>
        <w:t>期末单项金额重大并单项计提坏账准备的其他应收款：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40" w:lineRule="auto" w:before="42"/>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0"/>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2）本期计提、收回或转回的坏账准备情况" w:id="319"/>
      <w:bookmarkEnd w:id="31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33"/>
        <w:jc w:val="left"/>
      </w:pPr>
      <w:r>
        <w:rPr/>
        <w:t>本期计提坏账准备金额元；本期收回或转回坏账准备金额</w:t>
      </w:r>
      <w:r>
        <w:rPr>
          <w:spacing w:val="-45"/>
        </w:rPr>
        <w:t> </w:t>
      </w:r>
      <w:r>
        <w:rPr>
          <w:rFonts w:ascii="Times New Roman" w:hAnsi="Times New Roman" w:cs="Times New Roman" w:eastAsia="Times New Roman" w:hint="default"/>
        </w:rPr>
        <w:t>61,776.00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033"/>
        <w:jc w:val="left"/>
        <w:rPr>
          <w:b w:val="0"/>
          <w:bCs w:val="0"/>
        </w:rPr>
      </w:pPr>
      <w:bookmarkStart w:name="（3）其他应收款按款项性质分类情况" w:id="320"/>
      <w:bookmarkEnd w:id="320"/>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备用金及职工暂借款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20,478.50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736,026.00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616,031.00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655,139.83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655,146.29</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650,903.00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474,357.17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未收期权款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6,992,594.32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422,810.40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582,343.36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21,885,357.73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12,730,472.14</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4）按欠款方归集的期末余额前五名的其他应收款情况" w:id="321"/>
      <w:bookmarkEnd w:id="321"/>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北京微智信业科技有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67.33%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9"/>
              <w:jc w:val="left"/>
              <w:rPr>
                <w:rFonts w:ascii="宋体" w:hAnsi="宋体" w:cs="宋体" w:eastAsia="宋体" w:hint="default"/>
                <w:sz w:val="18"/>
                <w:szCs w:val="18"/>
              </w:rPr>
            </w:pPr>
            <w:r>
              <w:rPr>
                <w:rFonts w:ascii="宋体" w:hAnsi="宋体" w:cs="宋体" w:eastAsia="宋体" w:hint="default"/>
                <w:sz w:val="18"/>
                <w:szCs w:val="18"/>
              </w:rPr>
              <w:t>北京数字天堂信息科 技有限责任公司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 以内，</w:t>
            </w:r>
            <w:r>
              <w:rPr>
                <w:rFonts w:ascii="Times New Roman" w:hAnsi="Times New Roman" w:cs="Times New Roman" w:eastAsia="Times New Roman" w:hint="default"/>
                <w:sz w:val="18"/>
                <w:szCs w:val="18"/>
              </w:rPr>
              <w:t>2000,000.00 </w:t>
            </w: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1400,000</w:t>
            </w:r>
          </w:p>
          <w:p>
            <w:pPr>
              <w:pStyle w:val="TableParagraph"/>
              <w:spacing w:line="240" w:lineRule="auto" w:before="14"/>
              <w:ind w:left="22" w:right="0"/>
              <w:jc w:val="both"/>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北京东方通宇技术有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388,799.00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202,596.00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以内，</w:t>
            </w:r>
            <w:r>
              <w:rPr>
                <w:rFonts w:ascii="Times New Roman" w:hAnsi="Times New Roman" w:cs="Times New Roman" w:eastAsia="Times New Roman" w:hint="default"/>
                <w:sz w:val="18"/>
                <w:szCs w:val="18"/>
              </w:rPr>
              <w:t>186,203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海关总署物资装备采 购中心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294,500.00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前锦网络信息技术</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（上海）有限公司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五险一金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248,364.91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20,331,663.91</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91.26%</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3、长期股权投资" w:id="322"/>
      <w:bookmarkEnd w:id="32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1,125,370,000.00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355,209,919.06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770,160,080.94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1,065,370,000.00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1,065,370,000.00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55,906,246.82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55,906,246.82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261,257.58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261,257.58</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1,181,276,246.82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355,209,919.06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826,066,327.76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1,065,631,257.58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1,065,631,257.58</w:t>
            </w:r>
          </w:p>
        </w:tc>
      </w:tr>
    </w:tbl>
    <w:p>
      <w:pPr>
        <w:spacing w:line="240" w:lineRule="auto" w:before="3"/>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1）对子公司投资" w:id="323"/>
      <w:bookmarkEnd w:id="32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7"/>
        <w:gridCol w:w="1336"/>
        <w:gridCol w:w="1336"/>
        <w:gridCol w:w="1334"/>
        <w:gridCol w:w="1335"/>
        <w:gridCol w:w="1389"/>
        <w:gridCol w:w="1390"/>
      </w:tblGrid>
      <w:tr>
        <w:trPr>
          <w:trHeight w:val="401"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9" w:right="0"/>
              <w:jc w:val="left"/>
              <w:rPr>
                <w:rFonts w:ascii="宋体" w:hAnsi="宋体" w:cs="宋体" w:eastAsia="宋体" w:hint="default"/>
                <w:sz w:val="18"/>
                <w:szCs w:val="18"/>
              </w:rPr>
            </w:pPr>
            <w:r>
              <w:rPr>
                <w:rFonts w:ascii="宋体" w:hAnsi="宋体" w:cs="宋体" w:eastAsia="宋体" w:hint="default"/>
                <w:sz w:val="18"/>
                <w:szCs w:val="18"/>
              </w:rPr>
              <w:t>本期计提减值准</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8" w:right="0"/>
              <w:jc w:val="left"/>
              <w:rPr>
                <w:rFonts w:ascii="宋体" w:hAnsi="宋体" w:cs="宋体" w:eastAsia="宋体" w:hint="default"/>
                <w:sz w:val="18"/>
                <w:szCs w:val="18"/>
              </w:rPr>
            </w:pPr>
            <w:r>
              <w:rPr>
                <w:rFonts w:ascii="宋体" w:hAnsi="宋体" w:cs="宋体" w:eastAsia="宋体" w:hint="default"/>
                <w:sz w:val="18"/>
                <w:szCs w:val="18"/>
              </w:rPr>
              <w:t>减值准备期末余</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成都东方通科技 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上海东方通泰软 件科技有限公司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北京东方通宇技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北京惠捷朗科技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337,929,523.60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337,929,523.60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北京数字天堂信 息科技有限责任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41,370,000.00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41,370,000.00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17,280,395.46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17,280,395.46</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北京微智信业科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1,065,370,000.00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1,125,370,000.00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355,209,919.06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355,209,919.06</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2）对联营、合营企业投资" w:id="324"/>
      <w:bookmarkEnd w:id="32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北京核高 基软件有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261,257.5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-6,188.06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255,069.5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261,257.5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59,600,00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-6,188.06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255,069.5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vMerge w:val="restart"/>
            <w:tcBorders>
              <w:top w:val="single" w:sz="4" w:space="0" w:color="000000"/>
              <w:left w:val="single" w:sz="4" w:space="0" w:color="000000"/>
              <w:right w:val="single" w:sz="4" w:space="0" w:color="000000"/>
            </w:tcBorders>
          </w:tcPr>
          <w:p>
            <w:pP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杭州清响 投资管理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59,600,00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-3,948,82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55,651,17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59,600,00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-3,948,82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55,651,17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261,257.5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59,600,00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-3,955,01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55,906,24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6.82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1033"/>
        <w:jc w:val="left"/>
        <w:rPr>
          <w:b w:val="0"/>
          <w:bCs w:val="0"/>
        </w:rPr>
      </w:pPr>
      <w:bookmarkStart w:name="4、营业收入和营业成本" w:id="325"/>
      <w:bookmarkEnd w:id="32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94,914,544.88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13,328,476.84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103,431,861.06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10,211,302.31</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94,914,544.88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13,328,476.84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103,431,861.06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10,211,302.31</w:t>
            </w:r>
          </w:p>
        </w:tc>
      </w:tr>
    </w:tbl>
    <w:p>
      <w:pPr>
        <w:spacing w:line="240" w:lineRule="auto" w:before="2"/>
        <w:rPr>
          <w:rFonts w:ascii="宋体" w:hAnsi="宋体" w:cs="宋体" w:eastAsia="宋体" w:hint="default"/>
          <w:sz w:val="19"/>
          <w:szCs w:val="19"/>
        </w:rPr>
      </w:pPr>
    </w:p>
    <w:p>
      <w:pPr>
        <w:pStyle w:val="Heading3"/>
        <w:spacing w:line="240" w:lineRule="auto" w:before="35"/>
        <w:ind w:left="1134" w:right="1033"/>
        <w:jc w:val="left"/>
        <w:rPr>
          <w:b w:val="0"/>
          <w:bCs w:val="0"/>
        </w:rPr>
      </w:pPr>
      <w:bookmarkStart w:name="5、投资收益" w:id="326"/>
      <w:bookmarkEnd w:id="32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100,445,589.34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-3,955,010.76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-17,894.64</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122,544,989.24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100,427,694.70</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33"/>
        <w:jc w:val="left"/>
        <w:rPr>
          <w:b w:val="0"/>
          <w:bCs w:val="0"/>
        </w:rPr>
      </w:pPr>
      <w:bookmarkStart w:name="十三、补充资料" w:id="327"/>
      <w:bookmarkEnd w:id="327"/>
      <w:r>
        <w:rPr>
          <w:b w:val="0"/>
          <w:bCs w:val="0"/>
        </w:rPr>
      </w:r>
      <w:r>
        <w:rPr/>
        <w:t>十三、补充资料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33"/>
        <w:jc w:val="left"/>
        <w:rPr>
          <w:b w:val="0"/>
          <w:bCs w:val="0"/>
        </w:rPr>
      </w:pPr>
      <w:bookmarkStart w:name="1、当期非经常性损益明细表" w:id="328"/>
      <w:bookmarkEnd w:id="32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-183,484.06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4,619,644.00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13,984,240.88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2,762,319.84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15,658,080.98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33"/>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10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033"/>
        <w:jc w:val="left"/>
        <w:rPr>
          <w:b w:val="0"/>
          <w:bCs w:val="0"/>
        </w:rPr>
      </w:pPr>
      <w:bookmarkStart w:name="2、净资产收益率及每股收益" w:id="329"/>
      <w:bookmarkEnd w:id="32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5"/>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-1.1102</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-1.1668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-1.1668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583" w:right="3584"/>
        <w:jc w:val="center"/>
        <w:rPr>
          <w:b w:val="0"/>
          <w:bCs w:val="0"/>
        </w:rPr>
      </w:pPr>
      <w:bookmarkStart w:name="_TOC_250000" w:id="330"/>
      <w:bookmarkStart w:name="第十二节 备查文件目录" w:id="331"/>
      <w:r>
        <w:rPr>
          <w:b w:val="0"/>
          <w:bCs w:val="0"/>
        </w:rPr>
      </w:r>
      <w:r>
        <w:rPr/>
        <w:t>第十二节</w:t>
      </w:r>
      <w:r>
        <w:rPr>
          <w:spacing w:val="-8"/>
        </w:rPr>
        <w:t> </w:t>
      </w:r>
      <w:r>
        <w:rPr/>
        <w:t>备查文件目录</w:t>
      </w:r>
      <w:bookmarkEnd w:id="330"/>
      <w:r>
        <w:rPr>
          <w:b w:val="0"/>
          <w:bCs w:val="0"/>
        </w:rPr>
      </w:r>
    </w:p>
    <w:p>
      <w:pPr>
        <w:spacing w:line="240" w:lineRule="auto" w:before="7"/>
        <w:rPr>
          <w:rFonts w:ascii="宋体" w:hAnsi="宋体" w:cs="宋体" w:eastAsia="宋体" w:hint="default"/>
          <w:b/>
          <w:bCs/>
          <w:sz w:val="42"/>
          <w:szCs w:val="42"/>
        </w:rPr>
      </w:pPr>
    </w:p>
    <w:p>
      <w:pPr>
        <w:pStyle w:val="BodyText"/>
        <w:spacing w:line="316" w:lineRule="auto"/>
        <w:ind w:right="3553"/>
        <w:jc w:val="left"/>
      </w:pPr>
      <w:r>
        <w:rPr/>
        <w:t>一、载有法定代表人、财务负责人、财务报表编制人签名并盖章的会计报表。 二、载有会计师事务所盖章、注册会计师签名并盖章的审计报告原件。 三、报告期内在中国证监会指定信息披露网站上披露的所有公司文件的正本及公告的原稿。 以上备查文件的备置地点：公司董事会秘书办公室。</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2088" type="#_x0000_t75" stroked="false">
          <v:imagedata r:id="rId1" o:title=""/>
        </v:shape>
      </w:pict>
    </w:r>
    <w:r>
      <w:rPr/>
      <w:pict>
        <v:shape style="position:absolute;margin-left:533.179993pt;margin-top:795.517944pt;width:6.5pt;height:11pt;mso-position-horizontal-relative:page;mso-position-vertical-relative:page;z-index:-10320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2040" type="#_x0000_t75" stroked="false">
          <v:imagedata r:id="rId1" o:title=""/>
        </v:shape>
      </w:pict>
    </w:r>
    <w:r>
      <w:rPr/>
      <w:pict>
        <v:shape style="position:absolute;margin-left:527.679993pt;margin-top:781.957947pt;width:13pt;height:11pt;mso-position-horizontal-relative:page;mso-position-vertical-relative:page;z-index:-1032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1992" type="#_x0000_t75" stroked="false">
          <v:imagedata r:id="rId1" o:title=""/>
        </v:shape>
      </w:pict>
    </w:r>
    <w:r>
      <w:rPr/>
      <w:pict>
        <v:shape style="position:absolute;margin-left:524.179993pt;margin-top:781.957947pt;width:15.5pt;height:11pt;mso-position-horizontal-relative:page;mso-position-vertical-relative:page;z-index:-10319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1944" type="#_x0000_t75" stroked="false">
          <v:imagedata r:id="rId1" o:title=""/>
        </v:shape>
      </w:pict>
    </w:r>
    <w:r>
      <w:rPr/>
      <w:pict>
        <v:shape style="position:absolute;margin-left:523.179993pt;margin-top:781.957947pt;width:17.5pt;height:11pt;mso-position-horizontal-relative:page;mso-position-vertical-relative:page;z-index:-1031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1896" type="#_x0000_t75" stroked="false">
          <v:imagedata r:id="rId1" o:title=""/>
        </v:shape>
      </w:pict>
    </w:r>
    <w:r>
      <w:rPr/>
      <w:pict>
        <v:shape style="position:absolute;margin-left:523.179993pt;margin-top:781.957947pt;width:17.5pt;height:11pt;mso-position-horizontal-relative:page;mso-position-vertical-relative:page;z-index:-1031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1848" type="#_x0000_t75" stroked="false">
          <v:imagedata r:id="rId1" o:title=""/>
        </v:shape>
      </w:pict>
    </w:r>
    <w:r>
      <w:rPr/>
      <w:pict>
        <v:shape style="position:absolute;margin-left:523.179993pt;margin-top:781.957947pt;width:17.5pt;height:11pt;mso-position-horizontal-relative:page;mso-position-vertical-relative:page;z-index:-1031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31800" type="#_x0000_t75" stroked="false">
          <v:imagedata r:id="rId1" o:title=""/>
        </v:shape>
      </w:pict>
    </w:r>
    <w:r>
      <w:rPr/>
      <w:pict>
        <v:shape style="position:absolute;margin-left:523.179993pt;margin-top:781.957947pt;width:17.5pt;height:11pt;mso-position-horizontal-relative:page;mso-position-vertical-relative:page;z-index:-1031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1032112" type="#_x0000_t202" filled="false" stroked="false">
          <v:textbox inset="0,0,0,0">
            <w:txbxContent>
              <w:p>
                <w:pPr>
                  <w:pStyle w:val="BodyText"/>
                  <w:spacing w:line="214" w:lineRule="exact"/>
                  <w:ind w:left="20" w:right="0"/>
                  <w:jc w:val="left"/>
                </w:pPr>
                <w:r>
                  <w:rPr/>
                  <w:t>北京东方通科技股份有限公司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3584"/>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Heading4" w:type="paragraph">
    <w:name w:val="Heading 4"/>
    <w:basedOn w:val="Normal"/>
    <w:uiPriority w:val="1"/>
    <w:qFormat/>
    <w:pPr>
      <w:ind w:left="149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tongtech.com/" TargetMode="External"/><Relationship Id="rId10" Type="http://schemas.openxmlformats.org/officeDocument/2006/relationships/hyperlink" Target="mailto:tongtech@tongtech.com"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footer" Target="footer3.xml"/><Relationship Id="rId33" Type="http://schemas.openxmlformats.org/officeDocument/2006/relationships/footer" Target="footer4.xml"/><Relationship Id="rId34" Type="http://schemas.openxmlformats.org/officeDocument/2006/relationships/footer" Target="footer5.xml"/><Relationship Id="rId35" Type="http://schemas.openxmlformats.org/officeDocument/2006/relationships/footer" Target="footer6.xml"/><Relationship Id="rId36"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北京东方通科技股份有限公司</dc:creator>
  <dc:title>北京东方通科技股份有限公司2017年年度报告全文</dc:title>
  <dcterms:created xsi:type="dcterms:W3CDTF">2020-05-03T00:40:14Z</dcterms:created>
  <dcterms:modified xsi:type="dcterms:W3CDTF">2020-05-03T00:40:14Z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2018-04-16T00:00:00Z</vt:filetime>
  </property>
  <property fmtid="{D5CDD505-2E9C-101B-9397-08002B2CF9AE}" pid="3" name="Creator">
    <vt:lpwstr>Microsoft® Office Word 2007</vt:lpwstr>
  </property>
  <property fmtid="{D5CDD505-2E9C-101B-9397-08002B2CF9AE}" pid="4" name="LastSaved">
    <vt:filetime>2020-05-02T00:00:00Z</vt:filetime>
  </property>
</Properties>
</file>