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957" w:lineRule="exact"/>
        <w:ind w:left="153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drawing>
          <wp:inline distT="0" distB="0" distL="0" distR="0">
            <wp:extent cx="4361678" cy="608076"/>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4361678" cy="608076"/>
                    </a:xfrm>
                    <a:prstGeom prst="rect">
                      <a:avLst/>
                    </a:prstGeom>
                  </pic:spPr>
                </pic:pic>
              </a:graphicData>
            </a:graphic>
          </wp:inline>
        </w:drawing>
      </w:r>
      <w:r>
        <w:rPr>
          <w:rFonts w:ascii="Times New Roman" w:hAnsi="Times New Roman" w:cs="Times New Roman" w:eastAsia="Times New Roman" w:hint="default"/>
          <w:position w:val="-18"/>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492" w:right="1470" w:firstLine="0"/>
        <w:jc w:val="center"/>
        <w:rPr>
          <w:rFonts w:ascii="宋体" w:hAnsi="宋体" w:cs="宋体" w:eastAsia="宋体" w:hint="default"/>
          <w:sz w:val="36"/>
          <w:szCs w:val="36"/>
        </w:rPr>
      </w:pPr>
      <w:r>
        <w:rPr>
          <w:rFonts w:ascii="宋体" w:hAnsi="宋体" w:cs="宋体" w:eastAsia="宋体" w:hint="default"/>
          <w:b/>
          <w:bCs/>
          <w:sz w:val="36"/>
          <w:szCs w:val="36"/>
        </w:rPr>
        <w:t>北京东方通科技股份有限公司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492" w:right="147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11"/>
        <w:rPr>
          <w:rFonts w:ascii="宋体" w:hAnsi="宋体" w:cs="宋体" w:eastAsia="宋体" w:hint="default"/>
          <w:b/>
          <w:bCs/>
          <w:sz w:val="29"/>
          <w:szCs w:val="29"/>
        </w:rPr>
      </w:pPr>
    </w:p>
    <w:p>
      <w:pPr>
        <w:spacing w:before="0"/>
        <w:ind w:left="492" w:right="1468" w:firstLine="0"/>
        <w:jc w:val="center"/>
        <w:rPr>
          <w:rFonts w:ascii="Times New Roman" w:hAnsi="Times New Roman" w:cs="Times New Roman" w:eastAsia="Times New Roman" w:hint="default"/>
          <w:sz w:val="22"/>
          <w:szCs w:val="22"/>
        </w:rPr>
      </w:pPr>
      <w:r>
        <w:rPr>
          <w:rFonts w:ascii="宋体" w:hAnsi="宋体" w:cs="宋体" w:eastAsia="宋体" w:hint="default"/>
          <w:b/>
          <w:bCs/>
          <w:sz w:val="22"/>
          <w:szCs w:val="22"/>
        </w:rPr>
        <w:t>定</w:t>
      </w:r>
      <w:r>
        <w:rPr>
          <w:rFonts w:ascii="宋体" w:hAnsi="宋体" w:cs="宋体" w:eastAsia="宋体" w:hint="default"/>
          <w:b/>
          <w:bCs/>
          <w:spacing w:val="-60"/>
          <w:sz w:val="22"/>
          <w:szCs w:val="22"/>
        </w:rPr>
        <w:t> </w:t>
      </w:r>
      <w:r>
        <w:rPr>
          <w:rFonts w:ascii="Times New Roman" w:hAnsi="Times New Roman" w:cs="Times New Roman" w:eastAsia="Times New Roman" w:hint="default"/>
          <w:b/>
          <w:bCs/>
          <w:sz w:val="22"/>
          <w:szCs w:val="22"/>
        </w:rPr>
        <w:t>2019-002</w:t>
      </w:r>
      <w:r>
        <w:rPr>
          <w:rFonts w:ascii="Times New Roman" w:hAnsi="Times New Roman" w:cs="Times New Roman" w:eastAsia="Times New Roman" w:hint="default"/>
          <w:sz w:val="22"/>
          <w:szCs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44"/>
        <w:ind w:left="492" w:right="146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967"/>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967" w:firstLine="562"/>
        <w:jc w:val="left"/>
        <w:rPr>
          <w:rFonts w:ascii="宋体" w:hAnsi="宋体" w:cs="宋体" w:eastAsia="宋体" w:hint="default"/>
          <w:sz w:val="28"/>
          <w:szCs w:val="28"/>
        </w:rPr>
      </w:pPr>
      <w:r>
        <w:rPr>
          <w:rFonts w:ascii="宋体" w:hAnsi="宋体" w:cs="宋体" w:eastAsia="宋体" w:hint="default"/>
          <w:b/>
          <w:bCs/>
          <w:w w:val="95"/>
          <w:sz w:val="28"/>
          <w:szCs w:val="28"/>
        </w:rPr>
        <w:t>公司负责人黄永军、主管会计工作负责人徐少璞及会计机构负责人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王巧瑞声明：保证年度报告中财务报告的真实、准确、完整。</w:t>
      </w:r>
      <w:r>
        <w:rPr>
          <w:rFonts w:ascii="宋体" w:hAnsi="宋体" w:cs="宋体" w:eastAsia="宋体" w:hint="default"/>
          <w:sz w:val="28"/>
          <w:szCs w:val="28"/>
        </w:rPr>
      </w:r>
    </w:p>
    <w:p>
      <w:pPr>
        <w:spacing w:line="472" w:lineRule="auto" w:before="147"/>
        <w:ind w:left="856" w:right="967" w:hanging="141"/>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本报告中如有涉及未来的计划、业绩预测等方面的内容，均不构成本公司</w:t>
      </w:r>
      <w:r>
        <w:rPr>
          <w:rFonts w:ascii="宋体" w:hAnsi="宋体" w:cs="宋体" w:eastAsia="宋体" w:hint="default"/>
          <w:spacing w:val="-2"/>
          <w:sz w:val="28"/>
          <w:szCs w:val="28"/>
        </w:rPr>
      </w:r>
    </w:p>
    <w:p>
      <w:pPr>
        <w:spacing w:line="410" w:lineRule="auto" w:before="0"/>
        <w:ind w:left="154" w:right="967"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对任何投资者及相关人士的承诺，投资者及相关人士均应对此保持足够的风险</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line="403" w:lineRule="auto" w:before="158"/>
        <w:ind w:left="154" w:right="967" w:firstLine="562"/>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、市场竞争风险。报告期内，信息安全和中间件业务是公司营业收入的重</w:t>
      </w:r>
      <w:r>
        <w:rPr>
          <w:rFonts w:ascii="宋体" w:hAnsi="宋体" w:cs="宋体" w:eastAsia="宋体" w:hint="default"/>
          <w:b/>
          <w:bCs/>
          <w:w w:val="99"/>
          <w:sz w:val="28"/>
          <w:szCs w:val="28"/>
        </w:rPr>
        <w:t> </w:t>
      </w:r>
      <w:r>
        <w:rPr>
          <w:rFonts w:ascii="宋体" w:hAnsi="宋体" w:cs="宋体" w:eastAsia="宋体" w:hint="default"/>
          <w:b/>
          <w:bCs/>
          <w:sz w:val="28"/>
          <w:szCs w:val="28"/>
        </w:rPr>
        <w:t>要组成部分。在国内中间件领域，</w:t>
      </w:r>
      <w:r>
        <w:rPr>
          <w:rFonts w:ascii="Times New Roman" w:hAnsi="Times New Roman" w:cs="Times New Roman" w:eastAsia="Times New Roman" w:hint="default"/>
          <w:b/>
          <w:bCs/>
          <w:sz w:val="28"/>
          <w:szCs w:val="28"/>
        </w:rPr>
        <w:t>IBM</w:t>
      </w: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Oracle</w:t>
      </w:r>
      <w:r>
        <w:rPr>
          <w:rFonts w:ascii="Times New Roman" w:hAnsi="Times New Roman" w:cs="Times New Roman" w:eastAsia="Times New Roman" w:hint="default"/>
          <w:b/>
          <w:bCs/>
          <w:spacing w:val="35"/>
          <w:sz w:val="28"/>
          <w:szCs w:val="28"/>
        </w:rPr>
        <w:t> </w:t>
      </w:r>
      <w:r>
        <w:rPr>
          <w:rFonts w:ascii="宋体" w:hAnsi="宋体" w:cs="宋体" w:eastAsia="宋体" w:hint="default"/>
          <w:b/>
          <w:bCs/>
          <w:sz w:val="28"/>
          <w:szCs w:val="28"/>
        </w:rPr>
        <w:t>两国外软件企业仍然所占市场</w:t>
      </w:r>
      <w:r>
        <w:rPr>
          <w:rFonts w:ascii="宋体" w:hAnsi="宋体" w:cs="宋体" w:eastAsia="宋体" w:hint="default"/>
          <w:b/>
          <w:bCs/>
          <w:w w:val="99"/>
          <w:sz w:val="28"/>
          <w:szCs w:val="28"/>
        </w:rPr>
        <w:t> </w:t>
      </w:r>
      <w:r>
        <w:rPr>
          <w:rFonts w:ascii="宋体" w:hAnsi="宋体" w:cs="宋体" w:eastAsia="宋体" w:hint="default"/>
          <w:b/>
          <w:bCs/>
          <w:spacing w:val="3"/>
          <w:sz w:val="28"/>
          <w:szCs w:val="28"/>
        </w:rPr>
        <w:t>份额最高，其市场占有率高的主要原因在于品牌影响力、技术积累及其在数据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库、服务器领域良好的配套支持。与国际知名软件厂商相比，公司在技术研发</w:t>
      </w:r>
      <w:r>
        <w:rPr>
          <w:rFonts w:ascii="宋体" w:hAnsi="宋体" w:cs="宋体" w:eastAsia="宋体" w:hint="default"/>
          <w:b/>
          <w:bCs/>
          <w:w w:val="99"/>
          <w:sz w:val="28"/>
          <w:szCs w:val="28"/>
        </w:rPr>
        <w:t> </w:t>
      </w:r>
      <w:r>
        <w:rPr>
          <w:rFonts w:ascii="宋体" w:hAnsi="宋体" w:cs="宋体" w:eastAsia="宋体" w:hint="default"/>
          <w:b/>
          <w:bCs/>
          <w:spacing w:val="3"/>
          <w:sz w:val="28"/>
          <w:szCs w:val="28"/>
        </w:rPr>
        <w:t>实力、市场培育、产品销售渠道建设等方面仍存在较大差距。随着软件国产化</w:t>
      </w:r>
      <w:r>
        <w:rPr>
          <w:rFonts w:ascii="宋体" w:hAnsi="宋体" w:cs="宋体" w:eastAsia="宋体" w:hint="default"/>
          <w:b/>
          <w:bCs/>
          <w:w w:val="99"/>
          <w:sz w:val="28"/>
          <w:szCs w:val="28"/>
        </w:rPr>
        <w:t> </w:t>
      </w:r>
      <w:r>
        <w:rPr>
          <w:rFonts w:ascii="宋体" w:hAnsi="宋体" w:cs="宋体" w:eastAsia="宋体" w:hint="default"/>
          <w:b/>
          <w:bCs/>
          <w:spacing w:val="3"/>
          <w:sz w:val="28"/>
          <w:szCs w:val="28"/>
        </w:rPr>
        <w:t>及企业信息化的不断推进，软件基础平台市场成长迅速，行业景气度的提升使</w:t>
      </w:r>
      <w:r>
        <w:rPr>
          <w:rFonts w:ascii="宋体" w:hAnsi="宋体" w:cs="宋体" w:eastAsia="宋体" w:hint="default"/>
          <w:b/>
          <w:bCs/>
          <w:w w:val="99"/>
          <w:sz w:val="28"/>
          <w:szCs w:val="28"/>
        </w:rPr>
        <w:t> </w:t>
      </w:r>
      <w:r>
        <w:rPr>
          <w:rFonts w:ascii="宋体" w:hAnsi="宋体" w:cs="宋体" w:eastAsia="宋体" w:hint="default"/>
          <w:b/>
          <w:bCs/>
          <w:spacing w:val="3"/>
          <w:sz w:val="28"/>
          <w:szCs w:val="28"/>
        </w:rPr>
        <w:t>得行业内原有竞争对手的规模和竞争力不断提高，同时市场新进入的竞争者会</w:t>
      </w:r>
      <w:r>
        <w:rPr>
          <w:rFonts w:ascii="宋体" w:hAnsi="宋体" w:cs="宋体" w:eastAsia="宋体" w:hint="default"/>
          <w:b/>
          <w:bCs/>
          <w:w w:val="99"/>
          <w:sz w:val="28"/>
          <w:szCs w:val="28"/>
        </w:rPr>
        <w:t> </w:t>
      </w:r>
      <w:r>
        <w:rPr>
          <w:rFonts w:ascii="宋体" w:hAnsi="宋体" w:cs="宋体" w:eastAsia="宋体" w:hint="default"/>
          <w:b/>
          <w:bCs/>
          <w:spacing w:val="3"/>
          <w:sz w:val="28"/>
          <w:szCs w:val="28"/>
        </w:rPr>
        <w:t>逐步增加。在信息安全领域，行业进入爆发式增长，竞争加剧。随着《国家网</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络空间安全战略》的发布，国家对于网络安全和信息安全的重视程度极大提升，</w:t>
      </w:r>
      <w:r>
        <w:rPr>
          <w:rFonts w:ascii="宋体" w:hAnsi="宋体" w:cs="宋体" w:eastAsia="宋体" w:hint="default"/>
          <w:b/>
          <w:bCs/>
          <w:spacing w:val="63"/>
          <w:w w:val="95"/>
          <w:sz w:val="28"/>
          <w:szCs w:val="28"/>
        </w:rPr>
        <w:t> </w:t>
      </w:r>
      <w:r>
        <w:rPr>
          <w:rFonts w:ascii="宋体" w:hAnsi="宋体" w:cs="宋体" w:eastAsia="宋体" w:hint="default"/>
          <w:b/>
          <w:bCs/>
          <w:spacing w:val="63"/>
          <w:w w:val="95"/>
          <w:sz w:val="28"/>
          <w:szCs w:val="28"/>
        </w:rPr>
      </w:r>
      <w:r>
        <w:rPr>
          <w:rFonts w:ascii="宋体" w:hAnsi="宋体" w:cs="宋体" w:eastAsia="宋体" w:hint="default"/>
          <w:b/>
          <w:bCs/>
          <w:spacing w:val="3"/>
          <w:sz w:val="28"/>
          <w:szCs w:val="28"/>
        </w:rPr>
        <w:t>安全领域成为局部热点，行业也更加细分，在细分的专业也出现了一批新型的</w:t>
      </w:r>
      <w:r>
        <w:rPr>
          <w:rFonts w:ascii="宋体" w:hAnsi="宋体" w:cs="宋体" w:eastAsia="宋体" w:hint="default"/>
          <w:spacing w:val="3"/>
          <w:sz w:val="28"/>
          <w:szCs w:val="28"/>
        </w:rPr>
      </w:r>
    </w:p>
    <w:p>
      <w:pPr>
        <w:spacing w:after="0" w:line="403" w:lineRule="auto"/>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spacing w:line="408" w:lineRule="auto" w:before="13"/>
        <w:ind w:left="154" w:right="967" w:firstLine="0"/>
        <w:jc w:val="left"/>
        <w:rPr>
          <w:rFonts w:ascii="宋体" w:hAnsi="宋体" w:cs="宋体" w:eastAsia="宋体" w:hint="default"/>
          <w:sz w:val="28"/>
          <w:szCs w:val="28"/>
        </w:rPr>
      </w:pPr>
      <w:r>
        <w:rPr>
          <w:rFonts w:ascii="宋体" w:hAnsi="宋体" w:cs="宋体" w:eastAsia="宋体" w:hint="default"/>
          <w:b/>
          <w:bCs/>
          <w:spacing w:val="3"/>
          <w:sz w:val="28"/>
          <w:szCs w:val="28"/>
        </w:rPr>
        <w:t>安全产品和服务提供厂家，竞争将更加激烈。进入大数据时代，信息安全技术</w:t>
      </w:r>
      <w:r>
        <w:rPr>
          <w:rFonts w:ascii="宋体" w:hAnsi="宋体" w:cs="宋体" w:eastAsia="宋体" w:hint="default"/>
          <w:b/>
          <w:bCs/>
          <w:w w:val="99"/>
          <w:sz w:val="28"/>
          <w:szCs w:val="28"/>
        </w:rPr>
        <w:t> </w:t>
      </w:r>
      <w:r>
        <w:rPr>
          <w:rFonts w:ascii="宋体" w:hAnsi="宋体" w:cs="宋体" w:eastAsia="宋体" w:hint="default"/>
          <w:b/>
          <w:bCs/>
          <w:spacing w:val="3"/>
          <w:sz w:val="28"/>
          <w:szCs w:val="28"/>
        </w:rPr>
        <w:t>的滞后于网络形态和数据规模的发展速度，可能影响新技术新业务甚至一些新</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兴行业的发展。信息安全市场的多元化发展趋势渐趋明朗，为行业内厂商的差</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异化定位提供了更大的发展空间，市场将逐渐向较具实力的信息安全企业集中。</w:t>
      </w:r>
      <w:r>
        <w:rPr>
          <w:rFonts w:ascii="宋体" w:hAnsi="宋体" w:cs="宋体" w:eastAsia="宋体" w:hint="default"/>
          <w:b/>
          <w:bCs/>
          <w:spacing w:val="68"/>
          <w:w w:val="95"/>
          <w:sz w:val="28"/>
          <w:szCs w:val="28"/>
        </w:rPr>
        <w:t> </w:t>
      </w:r>
      <w:r>
        <w:rPr>
          <w:rFonts w:ascii="宋体" w:hAnsi="宋体" w:cs="宋体" w:eastAsia="宋体" w:hint="default"/>
          <w:b/>
          <w:bCs/>
          <w:spacing w:val="68"/>
          <w:w w:val="95"/>
          <w:sz w:val="28"/>
          <w:szCs w:val="28"/>
        </w:rPr>
      </w:r>
      <w:r>
        <w:rPr>
          <w:rFonts w:ascii="宋体" w:hAnsi="宋体" w:cs="宋体" w:eastAsia="宋体" w:hint="default"/>
          <w:b/>
          <w:bCs/>
          <w:spacing w:val="3"/>
          <w:sz w:val="28"/>
          <w:szCs w:val="28"/>
        </w:rPr>
        <w:t>行业中具有一定规模和技术积累的公司，正在努力开拓技术门槛及毛利率均较</w:t>
      </w:r>
      <w:r>
        <w:rPr>
          <w:rFonts w:ascii="宋体" w:hAnsi="宋体" w:cs="宋体" w:eastAsia="宋体" w:hint="default"/>
          <w:b/>
          <w:bCs/>
          <w:w w:val="99"/>
          <w:sz w:val="28"/>
          <w:szCs w:val="28"/>
        </w:rPr>
        <w:t> </w:t>
      </w:r>
      <w:r>
        <w:rPr>
          <w:rFonts w:ascii="宋体" w:hAnsi="宋体" w:cs="宋体" w:eastAsia="宋体" w:hint="default"/>
          <w:b/>
          <w:bCs/>
          <w:spacing w:val="3"/>
          <w:sz w:val="28"/>
          <w:szCs w:val="28"/>
        </w:rPr>
        <w:t>高的新产品或新市场，以期获得市场竞争优势，而解决技术跨越，会出现复合</w:t>
      </w:r>
      <w:r>
        <w:rPr>
          <w:rFonts w:ascii="宋体" w:hAnsi="宋体" w:cs="宋体" w:eastAsia="宋体" w:hint="default"/>
          <w:b/>
          <w:bCs/>
          <w:w w:val="99"/>
          <w:sz w:val="28"/>
          <w:szCs w:val="28"/>
        </w:rPr>
        <w:t> </w:t>
      </w:r>
      <w:r>
        <w:rPr>
          <w:rFonts w:ascii="宋体" w:hAnsi="宋体" w:cs="宋体" w:eastAsia="宋体" w:hint="default"/>
          <w:b/>
          <w:bCs/>
          <w:spacing w:val="3"/>
          <w:sz w:val="28"/>
          <w:szCs w:val="28"/>
        </w:rPr>
        <w:t>型人才、关键技术、基础设施支撑等核心资源的紧张，存在研发投入是否准确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和有效的风险。若公司不能紧跟行业发展趋势、满足客户需求的变化增强产品</w:t>
      </w:r>
      <w:r>
        <w:rPr>
          <w:rFonts w:ascii="宋体" w:hAnsi="宋体" w:cs="宋体" w:eastAsia="宋体" w:hint="default"/>
          <w:b/>
          <w:bCs/>
          <w:w w:val="99"/>
          <w:sz w:val="28"/>
          <w:szCs w:val="28"/>
        </w:rPr>
        <w:t> </w:t>
      </w:r>
      <w:r>
        <w:rPr>
          <w:rFonts w:ascii="宋体" w:hAnsi="宋体" w:cs="宋体" w:eastAsia="宋体" w:hint="default"/>
          <w:b/>
          <w:bCs/>
          <w:spacing w:val="3"/>
          <w:sz w:val="28"/>
          <w:szCs w:val="28"/>
        </w:rPr>
        <w:t>研发、技术创新和客户服务等方面的实力，或在新的大数据时代不能通过自身</w:t>
      </w:r>
      <w:r>
        <w:rPr>
          <w:rFonts w:ascii="宋体" w:hAnsi="宋体" w:cs="宋体" w:eastAsia="宋体" w:hint="default"/>
          <w:b/>
          <w:bCs/>
          <w:w w:val="99"/>
          <w:sz w:val="28"/>
          <w:szCs w:val="28"/>
        </w:rPr>
        <w:t> </w:t>
      </w:r>
      <w:r>
        <w:rPr>
          <w:rFonts w:ascii="宋体" w:hAnsi="宋体" w:cs="宋体" w:eastAsia="宋体" w:hint="default"/>
          <w:b/>
          <w:bCs/>
          <w:spacing w:val="3"/>
          <w:sz w:val="28"/>
          <w:szCs w:val="28"/>
        </w:rPr>
        <w:t>的规模和技术、市场优势，去开拓技术门槛和毛利较高的新产品和新市场，则</w:t>
      </w:r>
      <w:r>
        <w:rPr>
          <w:rFonts w:ascii="宋体" w:hAnsi="宋体" w:cs="宋体" w:eastAsia="宋体" w:hint="default"/>
          <w:b/>
          <w:bCs/>
          <w:w w:val="99"/>
          <w:sz w:val="28"/>
          <w:szCs w:val="28"/>
        </w:rPr>
        <w:t> </w:t>
      </w:r>
      <w:r>
        <w:rPr>
          <w:rFonts w:ascii="宋体" w:hAnsi="宋体" w:cs="宋体" w:eastAsia="宋体" w:hint="default"/>
          <w:b/>
          <w:bCs/>
          <w:sz w:val="28"/>
          <w:szCs w:val="28"/>
        </w:rPr>
        <w:t>未来将面临市场竞争加剧的风险。</w:t>
      </w:r>
      <w:r>
        <w:rPr>
          <w:rFonts w:ascii="宋体" w:hAnsi="宋体" w:cs="宋体" w:eastAsia="宋体" w:hint="default"/>
          <w:sz w:val="28"/>
          <w:szCs w:val="28"/>
        </w:rPr>
      </w:r>
    </w:p>
    <w:p>
      <w:pPr>
        <w:spacing w:line="408" w:lineRule="auto" w:before="160"/>
        <w:ind w:left="154" w:right="1138"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应对措施：公司将继续顺应市场需求，以自主可控、安全可靠作为核心发</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展理念，加强自身技术创新与销售渠道建设，加大品牌宣传力度，加强营销体</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系建设。同时，通过差异化定位，以互补性合作、参股、并购等整合方式获得</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竞争优势，壮大公司主营业务，以应对市场竞争风险。</w:t>
      </w:r>
      <w:r>
        <w:rPr>
          <w:rFonts w:ascii="宋体" w:hAnsi="宋体" w:cs="宋体" w:eastAsia="宋体" w:hint="default"/>
          <w:sz w:val="28"/>
          <w:szCs w:val="28"/>
        </w:rPr>
      </w:r>
    </w:p>
    <w:p>
      <w:pPr>
        <w:spacing w:line="403" w:lineRule="auto" w:before="161"/>
        <w:ind w:left="154" w:right="1141"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w w:val="95"/>
          <w:sz w:val="28"/>
          <w:szCs w:val="28"/>
        </w:rPr>
        <w:t>2</w:t>
      </w:r>
      <w:r>
        <w:rPr>
          <w:rFonts w:ascii="宋体" w:hAnsi="宋体" w:cs="宋体" w:eastAsia="宋体" w:hint="default"/>
          <w:b/>
          <w:bCs/>
          <w:spacing w:val="-2"/>
          <w:w w:val="95"/>
          <w:sz w:val="28"/>
          <w:szCs w:val="28"/>
        </w:rPr>
        <w:t>、核心技术人员流失风险。软件行业属于智力密集型行业，面临人员流动</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大、知识结构更新快等人力资源管理方面的问题。公司作为软件企业，产品研</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发和技术创新依赖于优秀的研发人员，如果出现核心人员流失、人才结构失衡</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的情况，这将使公司的持续创新能力和市场竞争力受到影响，公司的经营将会</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受到较大的不利影响。</w:t>
      </w:r>
      <w:r>
        <w:rPr>
          <w:rFonts w:ascii="宋体" w:hAnsi="宋体" w:cs="宋体" w:eastAsia="宋体" w:hint="default"/>
          <w:sz w:val="28"/>
          <w:szCs w:val="28"/>
        </w:rPr>
      </w:r>
    </w:p>
    <w:p>
      <w:pPr>
        <w:spacing w:line="408" w:lineRule="auto" w:before="166"/>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应对措施：公司将通过建立完善有效的绩效考核机制，采用多种方式，包</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括不限于基本薪酬、绩效奖励、股权激励等手段，并加强企业文化建设，以吸</w:t>
      </w:r>
      <w:r>
        <w:rPr>
          <w:rFonts w:ascii="宋体" w:hAnsi="宋体" w:cs="宋体" w:eastAsia="宋体" w:hint="default"/>
          <w:spacing w:val="3"/>
          <w:sz w:val="28"/>
          <w:szCs w:val="28"/>
        </w:rPr>
      </w:r>
    </w:p>
    <w:p>
      <w:pPr>
        <w:spacing w:after="0" w:line="408" w:lineRule="auto"/>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before="13"/>
        <w:ind w:left="154" w:right="967" w:firstLine="0"/>
        <w:jc w:val="left"/>
        <w:rPr>
          <w:rFonts w:ascii="宋体" w:hAnsi="宋体" w:cs="宋体" w:eastAsia="宋体" w:hint="default"/>
          <w:sz w:val="28"/>
          <w:szCs w:val="28"/>
        </w:rPr>
      </w:pPr>
      <w:r>
        <w:rPr>
          <w:rFonts w:ascii="宋体" w:hAnsi="宋体" w:cs="宋体" w:eastAsia="宋体" w:hint="default"/>
          <w:b/>
          <w:bCs/>
          <w:sz w:val="28"/>
          <w:szCs w:val="28"/>
        </w:rPr>
        <w:t>引和留住人才。</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405" w:lineRule="auto" w:before="0"/>
        <w:ind w:left="154" w:right="1140"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w w:val="95"/>
          <w:sz w:val="28"/>
          <w:szCs w:val="28"/>
        </w:rPr>
        <w:t>3</w:t>
      </w:r>
      <w:r>
        <w:rPr>
          <w:rFonts w:ascii="宋体" w:hAnsi="宋体" w:cs="宋体" w:eastAsia="宋体" w:hint="default"/>
          <w:b/>
          <w:bCs/>
          <w:spacing w:val="-2"/>
          <w:w w:val="95"/>
          <w:sz w:val="28"/>
          <w:szCs w:val="28"/>
        </w:rPr>
        <w:t>、技术研发风险。基于软件技术的研发规律，新技术、新产品的研发在创</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新成果和开发周期上存在较大的不确定性。一方面，新技术、新产品的技术研</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发难度较大，研发周期较长，开发环节中的个别难题有可能影响最终产品的研</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发进度，使新产品的推出时间出现滞后；另一方面，即使新技术、新产品顺利</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开发完成并推向市场，也有得不到市场和客户足够认可的风险，导致新技术、</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新产品推出后的经济效益与预期收益存在较大差距。如果公司在技术开发方向</w:t>
      </w:r>
      <w:r>
        <w:rPr>
          <w:rFonts w:ascii="宋体" w:hAnsi="宋体" w:cs="宋体" w:eastAsia="宋体" w:hint="default"/>
          <w:b/>
          <w:bCs/>
          <w:spacing w:val="26"/>
          <w:w w:val="95"/>
          <w:sz w:val="28"/>
          <w:szCs w:val="28"/>
        </w:rPr>
        <w:t> </w:t>
      </w:r>
      <w:r>
        <w:rPr>
          <w:rFonts w:ascii="宋体" w:hAnsi="宋体" w:cs="宋体" w:eastAsia="宋体" w:hint="default"/>
          <w:b/>
          <w:bCs/>
          <w:spacing w:val="26"/>
          <w:w w:val="95"/>
          <w:sz w:val="28"/>
          <w:szCs w:val="28"/>
        </w:rPr>
      </w:r>
      <w:r>
        <w:rPr>
          <w:rFonts w:ascii="宋体" w:hAnsi="宋体" w:cs="宋体" w:eastAsia="宋体" w:hint="default"/>
          <w:b/>
          <w:bCs/>
          <w:spacing w:val="3"/>
          <w:w w:val="95"/>
          <w:sz w:val="28"/>
          <w:szCs w:val="28"/>
        </w:rPr>
        <w:t>决策上出现失误，未能及时跟上行业技术更新换代的速度，未能正确把握市场</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动向并顺应市场需求变化，或未能及时将最新技术运用于新产品的升级和开发</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等，可能导致公司丧失技术和市场的现有地位。</w:t>
      </w:r>
      <w:r>
        <w:rPr>
          <w:rFonts w:ascii="宋体" w:hAnsi="宋体" w:cs="宋体" w:eastAsia="宋体" w:hint="default"/>
          <w:sz w:val="28"/>
          <w:szCs w:val="28"/>
        </w:rPr>
      </w:r>
    </w:p>
    <w:p>
      <w:pPr>
        <w:spacing w:line="408" w:lineRule="auto" w:before="164"/>
        <w:ind w:left="154" w:right="1003" w:firstLine="562"/>
        <w:jc w:val="both"/>
        <w:rPr>
          <w:rFonts w:ascii="宋体" w:hAnsi="宋体" w:cs="宋体" w:eastAsia="宋体" w:hint="default"/>
          <w:sz w:val="28"/>
          <w:szCs w:val="28"/>
        </w:rPr>
      </w:pPr>
      <w:r>
        <w:rPr>
          <w:rFonts w:ascii="宋体" w:hAnsi="宋体" w:cs="宋体" w:eastAsia="宋体" w:hint="default"/>
          <w:b/>
          <w:bCs/>
          <w:spacing w:val="3"/>
          <w:sz w:val="28"/>
          <w:szCs w:val="28"/>
        </w:rPr>
        <w:t>应对措施：公司以国家政策和行业客户需求为导向，深入解读国家规划布</w:t>
      </w:r>
      <w:r>
        <w:rPr>
          <w:rFonts w:ascii="宋体" w:hAnsi="宋体" w:cs="宋体" w:eastAsia="宋体" w:hint="default"/>
          <w:b/>
          <w:bCs/>
          <w:w w:val="99"/>
          <w:sz w:val="28"/>
          <w:szCs w:val="28"/>
        </w:rPr>
        <w:t> </w:t>
      </w:r>
      <w:r>
        <w:rPr>
          <w:rFonts w:ascii="宋体" w:hAnsi="宋体" w:cs="宋体" w:eastAsia="宋体" w:hint="default"/>
          <w:b/>
          <w:bCs/>
          <w:spacing w:val="3"/>
          <w:sz w:val="28"/>
          <w:szCs w:val="28"/>
        </w:rPr>
        <w:t>局的发展方向，切合实际的结合行业客户的需求，提供最优解决方案和产品，</w:t>
      </w:r>
      <w:r>
        <w:rPr>
          <w:rFonts w:ascii="宋体" w:hAnsi="宋体" w:cs="宋体" w:eastAsia="宋体" w:hint="default"/>
          <w:b/>
          <w:bCs/>
          <w:w w:val="99"/>
          <w:sz w:val="28"/>
          <w:szCs w:val="28"/>
        </w:rPr>
        <w:t> </w:t>
      </w:r>
      <w:r>
        <w:rPr>
          <w:rFonts w:ascii="宋体" w:hAnsi="宋体" w:cs="宋体" w:eastAsia="宋体" w:hint="default"/>
          <w:b/>
          <w:bCs/>
          <w:spacing w:val="3"/>
          <w:sz w:val="28"/>
          <w:szCs w:val="28"/>
        </w:rPr>
        <w:t>走在市场的前端，同时完善市场调研、研发项目立项、核心技术研究、产品发</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布、市场推广、客户营销、售后服务等环节的闭环管理，以降低技术研发风险。</w:t>
      </w:r>
      <w:r>
        <w:rPr>
          <w:rFonts w:ascii="宋体" w:hAnsi="宋体" w:cs="宋体" w:eastAsia="宋体" w:hint="default"/>
          <w:spacing w:val="-2"/>
          <w:sz w:val="28"/>
          <w:szCs w:val="28"/>
        </w:rPr>
      </w:r>
    </w:p>
    <w:p>
      <w:pPr>
        <w:spacing w:line="405" w:lineRule="auto" w:before="160"/>
        <w:ind w:left="154" w:right="967" w:firstLine="562"/>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、重组整合风险。公司和重组、并购的子公司处于软件和信息技术服务业</w:t>
      </w:r>
      <w:r>
        <w:rPr>
          <w:rFonts w:ascii="宋体" w:hAnsi="宋体" w:cs="宋体" w:eastAsia="宋体" w:hint="default"/>
          <w:b/>
          <w:bCs/>
          <w:w w:val="99"/>
          <w:sz w:val="28"/>
          <w:szCs w:val="28"/>
        </w:rPr>
        <w:t> </w:t>
      </w:r>
      <w:r>
        <w:rPr>
          <w:rFonts w:ascii="宋体" w:hAnsi="宋体" w:cs="宋体" w:eastAsia="宋体" w:hint="default"/>
          <w:b/>
          <w:bCs/>
          <w:spacing w:val="3"/>
          <w:sz w:val="28"/>
          <w:szCs w:val="28"/>
        </w:rPr>
        <w:t>内不同的细分行业，业务模式存在一定程度的差异。重组、并购完成后公司间</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需要在业务体系、组织机构、管理制度、企业文化等方面进行整合，而在研发、</w:t>
      </w:r>
      <w:r>
        <w:rPr>
          <w:rFonts w:ascii="宋体" w:hAnsi="宋体" w:cs="宋体" w:eastAsia="宋体" w:hint="default"/>
          <w:b/>
          <w:bCs/>
          <w:spacing w:val="63"/>
          <w:w w:val="95"/>
          <w:sz w:val="28"/>
          <w:szCs w:val="28"/>
        </w:rPr>
        <w:t> </w:t>
      </w:r>
      <w:r>
        <w:rPr>
          <w:rFonts w:ascii="宋体" w:hAnsi="宋体" w:cs="宋体" w:eastAsia="宋体" w:hint="default"/>
          <w:b/>
          <w:bCs/>
          <w:spacing w:val="63"/>
          <w:w w:val="95"/>
          <w:sz w:val="28"/>
          <w:szCs w:val="28"/>
        </w:rPr>
      </w:r>
      <w:r>
        <w:rPr>
          <w:rFonts w:ascii="宋体" w:hAnsi="宋体" w:cs="宋体" w:eastAsia="宋体" w:hint="default"/>
          <w:b/>
          <w:bCs/>
          <w:spacing w:val="3"/>
          <w:sz w:val="28"/>
          <w:szCs w:val="28"/>
        </w:rPr>
        <w:t>采购、销售和管理等方面的整合到位需要一定时间，因此，东方通与重组并购</w:t>
      </w:r>
      <w:r>
        <w:rPr>
          <w:rFonts w:ascii="宋体" w:hAnsi="宋体" w:cs="宋体" w:eastAsia="宋体" w:hint="default"/>
          <w:b/>
          <w:bCs/>
          <w:w w:val="99"/>
          <w:sz w:val="28"/>
          <w:szCs w:val="28"/>
        </w:rPr>
        <w:t> </w:t>
      </w:r>
      <w:r>
        <w:rPr>
          <w:rFonts w:ascii="宋体" w:hAnsi="宋体" w:cs="宋体" w:eastAsia="宋体" w:hint="default"/>
          <w:b/>
          <w:bCs/>
          <w:spacing w:val="3"/>
          <w:sz w:val="28"/>
          <w:szCs w:val="28"/>
        </w:rPr>
        <w:t>企业之间能否顺利实现整合具有不确定性，整合过程中可能会对各公司的正常</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业务发展造成一定影响。另外，也存在并购后的子公司业绩达不到预期的风险。</w:t>
      </w:r>
      <w:r>
        <w:rPr>
          <w:rFonts w:ascii="宋体" w:hAnsi="宋体" w:cs="宋体" w:eastAsia="宋体" w:hint="default"/>
          <w:spacing w:val="-2"/>
          <w:sz w:val="28"/>
          <w:szCs w:val="28"/>
        </w:rPr>
      </w:r>
    </w:p>
    <w:p>
      <w:pPr>
        <w:spacing w:before="163"/>
        <w:ind w:left="716" w:right="967" w:firstLine="0"/>
        <w:jc w:val="left"/>
        <w:rPr>
          <w:rFonts w:ascii="宋体" w:hAnsi="宋体" w:cs="宋体" w:eastAsia="宋体" w:hint="default"/>
          <w:sz w:val="28"/>
          <w:szCs w:val="28"/>
        </w:rPr>
      </w:pPr>
      <w:r>
        <w:rPr>
          <w:rFonts w:ascii="宋体" w:hAnsi="宋体" w:cs="宋体" w:eastAsia="宋体" w:hint="default"/>
          <w:b/>
          <w:bCs/>
          <w:spacing w:val="-3"/>
          <w:sz w:val="28"/>
          <w:szCs w:val="28"/>
        </w:rPr>
        <w:t>应对措施：公司将在</w:t>
      </w:r>
      <w:r>
        <w:rPr>
          <w:rFonts w:ascii="宋体" w:hAnsi="宋体" w:cs="宋体" w:eastAsia="宋体" w:hint="default"/>
          <w:b/>
          <w:bCs/>
          <w:spacing w:val="-99"/>
          <w:sz w:val="28"/>
          <w:szCs w:val="28"/>
        </w:rPr>
        <w:t> </w:t>
      </w:r>
      <w:r>
        <w:rPr>
          <w:rFonts w:ascii="Times New Roman" w:hAnsi="Times New Roman" w:cs="Times New Roman" w:eastAsia="Times New Roman" w:hint="default"/>
          <w:b/>
          <w:bCs/>
          <w:sz w:val="28"/>
          <w:szCs w:val="28"/>
        </w:rPr>
        <w:t>2018</w:t>
      </w:r>
      <w:r>
        <w:rPr>
          <w:rFonts w:ascii="Times New Roman" w:hAnsi="Times New Roman" w:cs="Times New Roman" w:eastAsia="Times New Roman" w:hint="default"/>
          <w:b/>
          <w:bCs/>
          <w:spacing w:val="-30"/>
          <w:sz w:val="28"/>
          <w:szCs w:val="28"/>
        </w:rPr>
        <w:t> </w:t>
      </w:r>
      <w:r>
        <w:rPr>
          <w:rFonts w:ascii="宋体" w:hAnsi="宋体" w:cs="宋体" w:eastAsia="宋体" w:hint="default"/>
          <w:b/>
          <w:bCs/>
          <w:sz w:val="28"/>
          <w:szCs w:val="28"/>
        </w:rPr>
        <w:t>年基础上进一步进行集团内的协同整合，将各子</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405" w:lineRule="auto" w:before="13"/>
        <w:ind w:left="154" w:right="1137"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公司的财务管理和综合运营管理纳入到上市公司统一的管理系统中，并加强审</w:t>
      </w:r>
      <w:r>
        <w:rPr>
          <w:rFonts w:ascii="宋体" w:hAnsi="宋体" w:cs="宋体" w:eastAsia="宋体" w:hint="default"/>
          <w:b/>
          <w:bCs/>
          <w:spacing w:val="29"/>
          <w:w w:val="95"/>
          <w:sz w:val="28"/>
          <w:szCs w:val="28"/>
        </w:rPr>
        <w:t> </w:t>
      </w:r>
      <w:r>
        <w:rPr>
          <w:rFonts w:ascii="宋体" w:hAnsi="宋体" w:cs="宋体" w:eastAsia="宋体" w:hint="default"/>
          <w:b/>
          <w:bCs/>
          <w:spacing w:val="29"/>
          <w:w w:val="95"/>
          <w:sz w:val="28"/>
          <w:szCs w:val="28"/>
        </w:rPr>
      </w:r>
      <w:r>
        <w:rPr>
          <w:rFonts w:ascii="宋体" w:hAnsi="宋体" w:cs="宋体" w:eastAsia="宋体" w:hint="default"/>
          <w:b/>
          <w:bCs/>
          <w:spacing w:val="3"/>
          <w:w w:val="95"/>
          <w:sz w:val="28"/>
          <w:szCs w:val="28"/>
        </w:rPr>
        <w:t>计和监督，保证对各子公司重大事项的决策权，提高公司整体抗风险能力。公</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司进一步梳理了主航道业务，定位于作</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大安全</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领域的核心企业，将公司业务</w:t>
      </w:r>
      <w:r>
        <w:rPr>
          <w:rFonts w:ascii="宋体" w:hAnsi="宋体" w:cs="宋体" w:eastAsia="宋体" w:hint="default"/>
          <w:b/>
          <w:bCs/>
          <w:spacing w:val="27"/>
          <w:w w:val="95"/>
          <w:sz w:val="28"/>
          <w:szCs w:val="28"/>
        </w:rPr>
        <w:t> </w:t>
      </w:r>
      <w:r>
        <w:rPr>
          <w:rFonts w:ascii="宋体" w:hAnsi="宋体" w:cs="宋体" w:eastAsia="宋体" w:hint="default"/>
          <w:b/>
          <w:bCs/>
          <w:spacing w:val="27"/>
          <w:w w:val="95"/>
          <w:sz w:val="28"/>
          <w:szCs w:val="28"/>
        </w:rPr>
      </w:r>
      <w:r>
        <w:rPr>
          <w:rFonts w:ascii="宋体" w:hAnsi="宋体" w:cs="宋体" w:eastAsia="宋体" w:hint="default"/>
          <w:b/>
          <w:bCs/>
          <w:spacing w:val="3"/>
          <w:w w:val="95"/>
          <w:sz w:val="28"/>
          <w:szCs w:val="28"/>
        </w:rPr>
        <w:t>分为基础安全和行业安全两大板块，通过收购兼并、吸收合并、剥离改制等方</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式持续增强主航道业务的竞争能力。整合营销服务体系，形成两大板块的营销</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平台，通过发挥内部协同效应，实现业务结构的优势互补和管理模式的优化升  </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级。</w:t>
      </w:r>
      <w:r>
        <w:rPr>
          <w:rFonts w:ascii="宋体" w:hAnsi="宋体" w:cs="宋体" w:eastAsia="宋体" w:hint="default"/>
          <w:sz w:val="28"/>
          <w:szCs w:val="28"/>
        </w:rPr>
      </w:r>
    </w:p>
    <w:p>
      <w:pPr>
        <w:spacing w:line="398" w:lineRule="auto" w:before="162"/>
        <w:ind w:left="154" w:right="1133"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w w:val="95"/>
          <w:sz w:val="28"/>
          <w:szCs w:val="28"/>
        </w:rPr>
        <w:t>5</w:t>
      </w:r>
      <w:r>
        <w:rPr>
          <w:rFonts w:ascii="宋体" w:hAnsi="宋体" w:cs="宋体" w:eastAsia="宋体" w:hint="default"/>
          <w:b/>
          <w:bCs/>
          <w:spacing w:val="-2"/>
          <w:w w:val="95"/>
          <w:sz w:val="28"/>
          <w:szCs w:val="28"/>
        </w:rPr>
        <w:t>、业务规模迅速扩大导致的管理风险。随着公司的资产、业务、机构和人</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员等进一步扩张，公司目前拥有微智信业、泰策科技、东方通宇、东方通泰等</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w w:val="95"/>
          <w:sz w:val="28"/>
          <w:szCs w:val="28"/>
        </w:rPr>
        <w:t>七家全资子公司，业务涉及基础软件、大数据信息安全、应急安全、</w:t>
      </w:r>
      <w:r>
        <w:rPr>
          <w:rFonts w:ascii="Times New Roman" w:hAnsi="Times New Roman" w:cs="Times New Roman" w:eastAsia="Times New Roman" w:hint="default"/>
          <w:b/>
          <w:bCs/>
          <w:w w:val="95"/>
          <w:sz w:val="28"/>
          <w:szCs w:val="28"/>
        </w:rPr>
        <w:t>5G </w:t>
      </w:r>
      <w:r>
        <w:rPr>
          <w:rFonts w:ascii="宋体" w:hAnsi="宋体" w:cs="宋体" w:eastAsia="宋体" w:hint="default"/>
          <w:b/>
          <w:bCs/>
          <w:w w:val="95"/>
          <w:sz w:val="28"/>
          <w:szCs w:val="28"/>
        </w:rPr>
        <w:t>行业应</w:t>
      </w:r>
      <w:r>
        <w:rPr>
          <w:rFonts w:ascii="宋体" w:hAnsi="宋体" w:cs="宋体" w:eastAsia="宋体" w:hint="default"/>
          <w:b/>
          <w:bCs/>
          <w:spacing w:val="-3"/>
          <w:w w:val="95"/>
          <w:sz w:val="28"/>
          <w:szCs w:val="28"/>
        </w:rPr>
        <w:t> </w:t>
      </w:r>
      <w:r>
        <w:rPr>
          <w:rFonts w:ascii="宋体" w:hAnsi="宋体" w:cs="宋体" w:eastAsia="宋体" w:hint="default"/>
          <w:b/>
          <w:bCs/>
          <w:spacing w:val="3"/>
          <w:w w:val="95"/>
          <w:sz w:val="28"/>
          <w:szCs w:val="28"/>
        </w:rPr>
        <w:t>用、军工信息化业务，集团化发展趋势已经显现。公司将在制度建设、组织设</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置、运营管理、资金管理和内部控制等方面面临更大的挑战。</w:t>
      </w:r>
      <w:r>
        <w:rPr>
          <w:rFonts w:ascii="宋体" w:hAnsi="宋体" w:cs="宋体" w:eastAsia="宋体" w:hint="default"/>
          <w:sz w:val="28"/>
          <w:szCs w:val="28"/>
        </w:rPr>
      </w:r>
    </w:p>
    <w:p>
      <w:pPr>
        <w:spacing w:line="408" w:lineRule="auto" w:before="172"/>
        <w:ind w:left="154" w:right="1136"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应对措施：根据公司整体战略规划，通过收购兼并、吸收合并、剥离改制</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等方式持续增强主航道业务的竞争能力。合并同类业务领域，建立共享营销业</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务平台、共享研发平台、共享运营管理平台，以最大化利用当前公司已有的经</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营基础，整合已有人才资源，并积极引进先进人才。同时通过加强各环节制度</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管理、企业信息化建设等措施完善内部控制，降低内控风险。以增强集中及共</w:t>
      </w:r>
      <w:r>
        <w:rPr>
          <w:rFonts w:ascii="宋体" w:hAnsi="宋体" w:cs="宋体" w:eastAsia="宋体" w:hint="default"/>
          <w:b/>
          <w:bCs/>
          <w:spacing w:val="31"/>
          <w:w w:val="95"/>
          <w:sz w:val="28"/>
          <w:szCs w:val="28"/>
        </w:rPr>
        <w:t> </w:t>
      </w:r>
      <w:r>
        <w:rPr>
          <w:rFonts w:ascii="宋体" w:hAnsi="宋体" w:cs="宋体" w:eastAsia="宋体" w:hint="default"/>
          <w:b/>
          <w:bCs/>
          <w:spacing w:val="31"/>
          <w:w w:val="95"/>
          <w:sz w:val="28"/>
          <w:szCs w:val="28"/>
        </w:rPr>
      </w:r>
      <w:r>
        <w:rPr>
          <w:rFonts w:ascii="宋体" w:hAnsi="宋体" w:cs="宋体" w:eastAsia="宋体" w:hint="default"/>
          <w:b/>
          <w:bCs/>
          <w:sz w:val="28"/>
          <w:szCs w:val="28"/>
        </w:rPr>
        <w:t>享管理模式，加快实行集团化统一管理。</w:t>
      </w:r>
      <w:r>
        <w:rPr>
          <w:rFonts w:ascii="宋体" w:hAnsi="宋体" w:cs="宋体" w:eastAsia="宋体" w:hint="default"/>
          <w:sz w:val="28"/>
          <w:szCs w:val="28"/>
        </w:rPr>
      </w:r>
    </w:p>
    <w:p>
      <w:pPr>
        <w:spacing w:line="400" w:lineRule="auto" w:before="160"/>
        <w:ind w:left="154" w:right="1143"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w w:val="95"/>
          <w:sz w:val="28"/>
          <w:szCs w:val="28"/>
        </w:rPr>
        <w:t>6</w:t>
      </w:r>
      <w:r>
        <w:rPr>
          <w:rFonts w:ascii="宋体" w:hAnsi="宋体" w:cs="宋体" w:eastAsia="宋体" w:hint="default"/>
          <w:b/>
          <w:bCs/>
          <w:spacing w:val="-2"/>
          <w:w w:val="95"/>
          <w:sz w:val="28"/>
          <w:szCs w:val="28"/>
        </w:rPr>
        <w:t>、业务转型升级导致的经营风险。国内信息安全领域目前处于快速发展的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阶段中，预期微智信业和泰策科技的安全业务将保持持续发展势头。母公司除</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了始终专注于基础安全产品的研发与销售，也在积极拓展在特定行业解决方案</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的能力，通过多年的产品技术积累，向软件集成方向做有益的尝试。但业务转</w:t>
      </w:r>
      <w:r>
        <w:rPr>
          <w:rFonts w:ascii="宋体" w:hAnsi="宋体" w:cs="宋体" w:eastAsia="宋体" w:hint="default"/>
          <w:spacing w:val="3"/>
          <w:sz w:val="28"/>
          <w:szCs w:val="28"/>
        </w:rPr>
      </w:r>
    </w:p>
    <w:p>
      <w:pPr>
        <w:spacing w:after="0" w:line="400" w:lineRule="auto"/>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line="472" w:lineRule="auto" w:before="13"/>
        <w:ind w:left="716" w:right="967" w:hanging="562"/>
        <w:jc w:val="left"/>
        <w:rPr>
          <w:rFonts w:ascii="宋体" w:hAnsi="宋体" w:cs="宋体" w:eastAsia="宋体" w:hint="default"/>
          <w:sz w:val="28"/>
          <w:szCs w:val="28"/>
        </w:rPr>
      </w:pPr>
      <w:r>
        <w:rPr>
          <w:rFonts w:ascii="宋体" w:hAnsi="宋体" w:cs="宋体" w:eastAsia="宋体" w:hint="default"/>
          <w:b/>
          <w:bCs/>
          <w:sz w:val="28"/>
          <w:szCs w:val="28"/>
        </w:rPr>
        <w:t>型是个渐进的过程，若未把握住发展机会，可能导致出现一定的经营风险。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应对措施：公司管理层将紧跟国家政策导向以及行业客户实际需求，不断</w:t>
      </w:r>
      <w:r>
        <w:rPr>
          <w:rFonts w:ascii="宋体" w:hAnsi="宋体" w:cs="宋体" w:eastAsia="宋体" w:hint="default"/>
          <w:spacing w:val="3"/>
          <w:sz w:val="28"/>
          <w:szCs w:val="28"/>
        </w:rPr>
      </w:r>
    </w:p>
    <w:p>
      <w:pPr>
        <w:spacing w:line="408" w:lineRule="auto" w:before="0"/>
        <w:ind w:left="154" w:right="1136"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修订和完善公司未来战略发展规划，对应落实到主航道业务板块。同时，加强</w:t>
      </w:r>
      <w:r>
        <w:rPr>
          <w:rFonts w:ascii="宋体" w:hAnsi="宋体" w:cs="宋体" w:eastAsia="宋体" w:hint="default"/>
          <w:b/>
          <w:bCs/>
          <w:spacing w:val="31"/>
          <w:w w:val="95"/>
          <w:sz w:val="28"/>
          <w:szCs w:val="28"/>
        </w:rPr>
        <w:t> </w:t>
      </w:r>
      <w:r>
        <w:rPr>
          <w:rFonts w:ascii="宋体" w:hAnsi="宋体" w:cs="宋体" w:eastAsia="宋体" w:hint="default"/>
          <w:b/>
          <w:bCs/>
          <w:spacing w:val="31"/>
          <w:w w:val="95"/>
          <w:sz w:val="28"/>
          <w:szCs w:val="28"/>
        </w:rPr>
      </w:r>
      <w:r>
        <w:rPr>
          <w:rFonts w:ascii="宋体" w:hAnsi="宋体" w:cs="宋体" w:eastAsia="宋体" w:hint="default"/>
          <w:b/>
          <w:bCs/>
          <w:spacing w:val="3"/>
          <w:w w:val="95"/>
          <w:sz w:val="28"/>
          <w:szCs w:val="28"/>
        </w:rPr>
        <w:t>各级关键岗位人员能力的提升、加大基础人才的培养、加快项目管理及实施交</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付人才的引进和储备，并积极进行内部协同整合，充分挖掘内部潜力。</w:t>
      </w:r>
      <w:r>
        <w:rPr>
          <w:rFonts w:ascii="宋体" w:hAnsi="宋体" w:cs="宋体" w:eastAsia="宋体" w:hint="default"/>
          <w:sz w:val="28"/>
          <w:szCs w:val="28"/>
        </w:rPr>
      </w:r>
    </w:p>
    <w:p>
      <w:pPr>
        <w:spacing w:line="405" w:lineRule="auto" w:before="161"/>
        <w:ind w:left="154" w:right="1139"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w w:val="95"/>
          <w:sz w:val="28"/>
          <w:szCs w:val="28"/>
        </w:rPr>
        <w:t>7</w:t>
      </w:r>
      <w:r>
        <w:rPr>
          <w:rFonts w:ascii="宋体" w:hAnsi="宋体" w:cs="宋体" w:eastAsia="宋体" w:hint="default"/>
          <w:b/>
          <w:bCs/>
          <w:spacing w:val="-2"/>
          <w:w w:val="95"/>
          <w:sz w:val="28"/>
          <w:szCs w:val="28"/>
        </w:rPr>
        <w:t>、业绩季节性波动风险。公司及子公司客户群体以政府、电信运营商、金</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融等领域客户为主，受其采用的预算管理制度和集中采购制度等影响，通常在</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一季度制定本年度全年的信息技术采购计划和指标；在第二季度及第三季度上</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半段进行相关产品现场调研、邀请相关厂商进行产品测试以及对入围厂商进行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招标、投标、评标和定标；第三季度下半段及第四季度才正式确定所需采购产</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品并与中标厂商签订采购合同。因此，公司存在明显的季节性销售特征。近年</w:t>
      </w:r>
      <w:r>
        <w:rPr>
          <w:rFonts w:ascii="宋体" w:hAnsi="宋体" w:cs="宋体" w:eastAsia="宋体" w:hint="default"/>
          <w:b/>
          <w:bCs/>
          <w:spacing w:val="27"/>
          <w:w w:val="95"/>
          <w:sz w:val="28"/>
          <w:szCs w:val="28"/>
        </w:rPr>
        <w:t> </w:t>
      </w:r>
      <w:r>
        <w:rPr>
          <w:rFonts w:ascii="宋体" w:hAnsi="宋体" w:cs="宋体" w:eastAsia="宋体" w:hint="default"/>
          <w:b/>
          <w:bCs/>
          <w:spacing w:val="27"/>
          <w:w w:val="95"/>
          <w:sz w:val="28"/>
          <w:szCs w:val="28"/>
        </w:rPr>
      </w:r>
      <w:r>
        <w:rPr>
          <w:rFonts w:ascii="宋体" w:hAnsi="宋体" w:cs="宋体" w:eastAsia="宋体" w:hint="default"/>
          <w:b/>
          <w:bCs/>
          <w:sz w:val="28"/>
          <w:szCs w:val="28"/>
        </w:rPr>
        <w:t>公司销售和业绩的季节性特征有所改善，但总体趋势仍不会有大的变化。</w:t>
      </w:r>
      <w:r>
        <w:rPr>
          <w:rFonts w:ascii="宋体" w:hAnsi="宋体" w:cs="宋体" w:eastAsia="宋体" w:hint="default"/>
          <w:sz w:val="28"/>
          <w:szCs w:val="28"/>
        </w:rPr>
      </w:r>
    </w:p>
    <w:p>
      <w:pPr>
        <w:spacing w:line="408" w:lineRule="auto" w:before="162"/>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应对措施：公司将不断加强营销管理、项目过程管控、财务管理，强化公</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司整体预算的科学化、精细化，严格督导实际经营情况，尽可能改善业绩季节</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性波动风险。</w:t>
      </w:r>
      <w:r>
        <w:rPr>
          <w:rFonts w:ascii="宋体" w:hAnsi="宋体" w:cs="宋体" w:eastAsia="宋体" w:hint="default"/>
          <w:sz w:val="28"/>
          <w:szCs w:val="28"/>
        </w:rPr>
      </w:r>
    </w:p>
    <w:p>
      <w:pPr>
        <w:spacing w:line="403" w:lineRule="auto" w:before="160"/>
        <w:ind w:left="154" w:right="1085" w:firstLine="562"/>
        <w:jc w:val="both"/>
        <w:rPr>
          <w:rFonts w:ascii="宋体" w:hAnsi="宋体" w:cs="宋体" w:eastAsia="宋体" w:hint="default"/>
          <w:sz w:val="28"/>
          <w:szCs w:val="28"/>
        </w:rPr>
      </w:pPr>
      <w:r>
        <w:rPr>
          <w:rFonts w:ascii="Times New Roman" w:hAnsi="Times New Roman" w:cs="Times New Roman" w:eastAsia="Times New Roman" w:hint="default"/>
          <w:b/>
          <w:bCs/>
          <w:w w:val="95"/>
          <w:sz w:val="28"/>
          <w:szCs w:val="28"/>
        </w:rPr>
        <w:t>8</w:t>
      </w:r>
      <w:r>
        <w:rPr>
          <w:rFonts w:ascii="宋体" w:hAnsi="宋体" w:cs="宋体" w:eastAsia="宋体" w:hint="default"/>
          <w:b/>
          <w:bCs/>
          <w:w w:val="95"/>
          <w:sz w:val="28"/>
          <w:szCs w:val="28"/>
        </w:rPr>
        <w:t>、商誉减值风险。公司在进行资产收购的过程中，根据《企业会计准则》</w:t>
      </w:r>
      <w:r>
        <w:rPr>
          <w:rFonts w:ascii="宋体" w:hAnsi="宋体" w:cs="宋体" w:eastAsia="宋体" w:hint="default"/>
          <w:b/>
          <w:bCs/>
          <w:w w:val="99"/>
          <w:sz w:val="28"/>
          <w:szCs w:val="28"/>
        </w:rPr>
        <w:t> </w:t>
      </w:r>
      <w:r>
        <w:rPr>
          <w:rFonts w:ascii="宋体" w:hAnsi="宋体" w:cs="宋体" w:eastAsia="宋体" w:hint="default"/>
          <w:b/>
          <w:bCs/>
          <w:spacing w:val="3"/>
          <w:sz w:val="28"/>
          <w:szCs w:val="28"/>
        </w:rPr>
        <w:t>要求，非同一控制下的企业合并，合并成本大于合并中取得的被购买方可辨认</w:t>
      </w:r>
      <w:r>
        <w:rPr>
          <w:rFonts w:ascii="宋体" w:hAnsi="宋体" w:cs="宋体" w:eastAsia="宋体" w:hint="default"/>
          <w:b/>
          <w:bCs/>
          <w:w w:val="99"/>
          <w:sz w:val="28"/>
          <w:szCs w:val="28"/>
        </w:rPr>
        <w:t> </w:t>
      </w:r>
      <w:r>
        <w:rPr>
          <w:rFonts w:ascii="宋体" w:hAnsi="宋体" w:cs="宋体" w:eastAsia="宋体" w:hint="default"/>
          <w:b/>
          <w:bCs/>
          <w:spacing w:val="3"/>
          <w:sz w:val="28"/>
          <w:szCs w:val="28"/>
        </w:rPr>
        <w:t>净资产公允价值份额的差额，确认为商誉，商誉不做摊销处理，但需在未来年</w:t>
      </w:r>
      <w:r>
        <w:rPr>
          <w:rFonts w:ascii="宋体" w:hAnsi="宋体" w:cs="宋体" w:eastAsia="宋体" w:hint="default"/>
          <w:b/>
          <w:bCs/>
          <w:w w:val="99"/>
          <w:sz w:val="28"/>
          <w:szCs w:val="28"/>
        </w:rPr>
        <w:t> </w:t>
      </w:r>
      <w:r>
        <w:rPr>
          <w:rFonts w:ascii="宋体" w:hAnsi="宋体" w:cs="宋体" w:eastAsia="宋体" w:hint="default"/>
          <w:b/>
          <w:bCs/>
          <w:spacing w:val="3"/>
          <w:sz w:val="28"/>
          <w:szCs w:val="28"/>
        </w:rPr>
        <w:t>度每年年终进行减值测试。如果未来被收购资产所处行业不景气、自身业务下</w:t>
      </w:r>
      <w:r>
        <w:rPr>
          <w:rFonts w:ascii="宋体" w:hAnsi="宋体" w:cs="宋体" w:eastAsia="宋体" w:hint="default"/>
          <w:b/>
          <w:bCs/>
          <w:w w:val="99"/>
          <w:sz w:val="28"/>
          <w:szCs w:val="28"/>
        </w:rPr>
        <w:t> </w:t>
      </w:r>
      <w:r>
        <w:rPr>
          <w:rFonts w:ascii="宋体" w:hAnsi="宋体" w:cs="宋体" w:eastAsia="宋体" w:hint="default"/>
          <w:b/>
          <w:bCs/>
          <w:spacing w:val="3"/>
          <w:sz w:val="28"/>
          <w:szCs w:val="28"/>
        </w:rPr>
        <w:t>降或者其他因素导致未来经营状况和盈利能力未达预期，则上市公司存在商誉</w:t>
      </w:r>
      <w:r>
        <w:rPr>
          <w:rFonts w:ascii="宋体" w:hAnsi="宋体" w:cs="宋体" w:eastAsia="宋体" w:hint="default"/>
          <w:b/>
          <w:bCs/>
          <w:w w:val="99"/>
          <w:sz w:val="28"/>
          <w:szCs w:val="28"/>
        </w:rPr>
        <w:t> </w:t>
      </w:r>
      <w:r>
        <w:rPr>
          <w:rFonts w:ascii="宋体" w:hAnsi="宋体" w:cs="宋体" w:eastAsia="宋体" w:hint="default"/>
          <w:b/>
          <w:bCs/>
          <w:spacing w:val="3"/>
          <w:sz w:val="28"/>
          <w:szCs w:val="28"/>
        </w:rPr>
        <w:t>减值的风险，从而对上市公司当期损益造成不利影响，若一旦集中计提大额的</w:t>
      </w:r>
      <w:r>
        <w:rPr>
          <w:rFonts w:ascii="宋体" w:hAnsi="宋体" w:cs="宋体" w:eastAsia="宋体" w:hint="default"/>
          <w:spacing w:val="3"/>
          <w:sz w:val="28"/>
          <w:szCs w:val="28"/>
        </w:rPr>
      </w:r>
    </w:p>
    <w:p>
      <w:pPr>
        <w:spacing w:after="0" w:line="403" w:lineRule="auto"/>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410" w:lineRule="auto" w:before="13"/>
        <w:ind w:left="154" w:right="967"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商誉减值，将对上市公司盈利水平产生较大的不利影响，提请投资者注意相应</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风险。</w:t>
      </w:r>
      <w:r>
        <w:rPr>
          <w:rFonts w:ascii="宋体" w:hAnsi="宋体" w:cs="宋体" w:eastAsia="宋体" w:hint="default"/>
          <w:sz w:val="28"/>
          <w:szCs w:val="28"/>
        </w:rPr>
      </w:r>
    </w:p>
    <w:p>
      <w:pPr>
        <w:spacing w:line="408" w:lineRule="auto" w:before="157"/>
        <w:ind w:left="154" w:right="967" w:firstLine="562"/>
        <w:jc w:val="left"/>
        <w:rPr>
          <w:rFonts w:ascii="宋体" w:hAnsi="宋体" w:cs="宋体" w:eastAsia="宋体" w:hint="default"/>
          <w:sz w:val="28"/>
          <w:szCs w:val="28"/>
        </w:rPr>
      </w:pPr>
      <w:r>
        <w:rPr>
          <w:rFonts w:ascii="宋体" w:hAnsi="宋体" w:cs="宋体" w:eastAsia="宋体" w:hint="default"/>
          <w:b/>
          <w:bCs/>
          <w:spacing w:val="-2"/>
          <w:w w:val="95"/>
          <w:sz w:val="28"/>
          <w:szCs w:val="28"/>
        </w:rPr>
        <w:t>应对措施：公司通过建立相应的内控管理制度，每年对商誉进行减值测试，</w:t>
      </w:r>
      <w:r>
        <w:rPr>
          <w:rFonts w:ascii="宋体" w:hAnsi="宋体" w:cs="宋体" w:eastAsia="宋体" w:hint="default"/>
          <w:b/>
          <w:bCs/>
          <w:w w:val="99"/>
          <w:sz w:val="28"/>
          <w:szCs w:val="28"/>
        </w:rPr>
        <w:t> </w:t>
      </w:r>
      <w:r>
        <w:rPr>
          <w:rFonts w:ascii="宋体" w:hAnsi="宋体" w:cs="宋体" w:eastAsia="宋体" w:hint="default"/>
          <w:b/>
          <w:bCs/>
          <w:spacing w:val="3"/>
          <w:sz w:val="28"/>
          <w:szCs w:val="28"/>
        </w:rPr>
        <w:t>同时加强和被收购资产在市场、人员、技术、管理等方面的整合，保持被收购</w:t>
      </w:r>
      <w:r>
        <w:rPr>
          <w:rFonts w:ascii="宋体" w:hAnsi="宋体" w:cs="宋体" w:eastAsia="宋体" w:hint="default"/>
          <w:b/>
          <w:bCs/>
          <w:w w:val="99"/>
          <w:sz w:val="28"/>
          <w:szCs w:val="28"/>
        </w:rPr>
        <w:t> </w:t>
      </w:r>
      <w:r>
        <w:rPr>
          <w:rFonts w:ascii="宋体" w:hAnsi="宋体" w:cs="宋体" w:eastAsia="宋体" w:hint="default"/>
          <w:b/>
          <w:bCs/>
          <w:spacing w:val="3"/>
          <w:sz w:val="28"/>
          <w:szCs w:val="28"/>
        </w:rPr>
        <w:t>资产的持续竞争力，将因企业合并形成的商誉对上市公司未来业绩的影响降到</w:t>
      </w:r>
      <w:r>
        <w:rPr>
          <w:rFonts w:ascii="宋体" w:hAnsi="宋体" w:cs="宋体" w:eastAsia="宋体" w:hint="default"/>
          <w:b/>
          <w:bCs/>
          <w:w w:val="99"/>
          <w:sz w:val="28"/>
          <w:szCs w:val="28"/>
        </w:rPr>
        <w:t> </w:t>
      </w:r>
      <w:r>
        <w:rPr>
          <w:rFonts w:ascii="宋体" w:hAnsi="宋体" w:cs="宋体" w:eastAsia="宋体" w:hint="default"/>
          <w:b/>
          <w:bCs/>
          <w:sz w:val="28"/>
          <w:szCs w:val="28"/>
        </w:rPr>
        <w:t>最低程度。</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8"/>
        <w:rPr>
          <w:rFonts w:ascii="宋体" w:hAnsi="宋体" w:cs="宋体" w:eastAsia="宋体" w:hint="default"/>
          <w:b/>
          <w:bCs/>
          <w:sz w:val="39"/>
          <w:szCs w:val="39"/>
        </w:rPr>
      </w:pPr>
    </w:p>
    <w:p>
      <w:pPr>
        <w:spacing w:before="0"/>
        <w:ind w:left="716" w:right="967"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4"/>
          <w:sz w:val="28"/>
          <w:szCs w:val="28"/>
        </w:rPr>
        <w:t> </w:t>
      </w:r>
      <w:r>
        <w:rPr>
          <w:rFonts w:ascii="Times New Roman" w:hAnsi="Times New Roman" w:cs="Times New Roman" w:eastAsia="Times New Roman" w:hint="default"/>
          <w:b/>
          <w:bCs/>
          <w:sz w:val="28"/>
          <w:szCs w:val="28"/>
        </w:rPr>
        <w:t>266,694,892</w:t>
      </w:r>
      <w:r>
        <w:rPr>
          <w:rFonts w:ascii="Times New Roman" w:hAnsi="Times New Roman" w:cs="Times New Roman" w:eastAsia="Times New Roman" w:hint="default"/>
          <w:b/>
          <w:bCs/>
          <w:spacing w:val="-27"/>
          <w:sz w:val="28"/>
          <w:szCs w:val="28"/>
        </w:rPr>
        <w:t> </w:t>
      </w:r>
      <w:r>
        <w:rPr>
          <w:rFonts w:ascii="宋体" w:hAnsi="宋体" w:cs="宋体" w:eastAsia="宋体" w:hint="default"/>
          <w:b/>
          <w:bCs/>
          <w:spacing w:val="-5"/>
          <w:sz w:val="28"/>
          <w:szCs w:val="28"/>
        </w:rPr>
        <w:t>为基数，向</w:t>
      </w:r>
      <w:r>
        <w:rPr>
          <w:rFonts w:ascii="宋体" w:hAnsi="宋体" w:cs="宋体" w:eastAsia="宋体" w:hint="default"/>
          <w:spacing w:val="-5"/>
          <w:sz w:val="28"/>
          <w:szCs w:val="28"/>
        </w:rPr>
      </w:r>
    </w:p>
    <w:p>
      <w:pPr>
        <w:spacing w:before="236"/>
        <w:ind w:left="154" w:right="967" w:firstLine="0"/>
        <w:jc w:val="left"/>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0.00</w:t>
      </w:r>
      <w:r>
        <w:rPr>
          <w:rFonts w:ascii="Times New Roman" w:hAnsi="Times New Roman" w:cs="Times New Roman" w:eastAsia="Times New Roman" w:hint="default"/>
          <w:b/>
          <w:bCs/>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7"/>
        <w:ind w:left="154" w:right="967"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492" w:right="146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90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90</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91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99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105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106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191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492" w:right="146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公司、东方通、本公司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北京东方通科技股份有限公司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北京东方通科技股份有限公司章程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保荐人、保荐机构、主承销商、独立财务顾 问、国信证券</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立信会计师、会计师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东方通泰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上海东方通泰软件科技有限公司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成都东方通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成都东方通科技有限责任公司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东方通宇</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北京东方通宇技术有限公司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惠捷朗</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北京惠捷朗科技有限公司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数字天堂</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北京数字天堂信息科技有限责任公司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北京泰策科技有限公司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北京微智信业科技有限公司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无锡东方通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东方通科技无锡有限公司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北京核高基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北京核高基软件有限公司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工信部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中华人民共和国工业和信息化部</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电信运营商</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0"/>
              <w:jc w:val="left"/>
              <w:rPr>
                <w:rFonts w:ascii="宋体" w:hAnsi="宋体" w:cs="宋体" w:eastAsia="宋体" w:hint="default"/>
                <w:sz w:val="18"/>
                <w:szCs w:val="18"/>
              </w:rPr>
            </w:pPr>
            <w:r>
              <w:rPr>
                <w:rFonts w:ascii="宋体" w:hAnsi="宋体" w:cs="宋体" w:eastAsia="宋体" w:hint="default"/>
                <w:spacing w:val="-2"/>
                <w:sz w:val="18"/>
                <w:szCs w:val="18"/>
              </w:rPr>
              <w:t>提供固定电话、移动电话和互联网接入的通信服务公司，中国三大电</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信运营商分别是中国移动、中国联通和中国电信</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中国联通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中国联合网络通信集团有限公司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《深圳证券交易所创业板股票上市规则》</w:t>
            </w:r>
          </w:p>
        </w:tc>
      </w:tr>
      <w:tr>
        <w:trPr>
          <w:trHeight w:val="629"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基础软件</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9" w:lineRule="auto" w:before="51"/>
              <w:ind w:left="27" w:right="-9"/>
              <w:jc w:val="both"/>
              <w:rPr>
                <w:rFonts w:ascii="宋体" w:hAnsi="宋体" w:cs="宋体" w:eastAsia="宋体" w:hint="default"/>
                <w:sz w:val="18"/>
                <w:szCs w:val="18"/>
              </w:rPr>
            </w:pPr>
            <w:r>
              <w:rPr>
                <w:rFonts w:ascii="宋体" w:hAnsi="宋体" w:cs="宋体" w:eastAsia="宋体" w:hint="default"/>
                <w:sz w:val="18"/>
                <w:szCs w:val="18"/>
              </w:rPr>
              <w:t>计算机系统中最底层、与具体业务逻辑无关的一类软件，其主要作用 是为应用软件对系统资源、数据和网络资源的访问和管理提供支撑， 为应用软件的开发、部署和运行提供平台。计算机软件可以分为基础 软件和应用软件两大类。基础软件包括操作系统、数据库系统、中间 件与虚拟化软件等。</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629"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shape style="position:absolute;margin-left:56.459999pt;margin-top:71.999985pt;width:479.25pt;height:683.5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软件基础设施</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中间件、云管理平台产品及相关服务</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创新应用</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网优测试软件、大数据信息安全、应急安全、政务大数据、企业移动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互联网</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中间件、中间件软件</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一种应用于分布式系统的基础软件，位于应用与操作系统、数据库之</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间，主要用于解决分布式环境下数据传输、数据访问、应用调度、系</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5"/>
                            <w:sz w:val="18"/>
                            <w:szCs w:val="18"/>
                          </w:rPr>
                          <w:t>统构建和系统集成、流程管理等问题，是分布式环境下支撑应用开发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运行和集成的平台。</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核高基、核高基项目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国家对核心电子器件、高端通用芯片及基础软件的简称，是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6"/>
                            <w:sz w:val="18"/>
                            <w:szCs w:val="18"/>
                          </w:rPr>
                          <w:t>国务院发布的《国家中长期科学和技术发展规划纲要（</w:t>
                        </w:r>
                        <w:r>
                          <w:rPr>
                            <w:rFonts w:ascii="Times New Roman" w:hAnsi="Times New Roman" w:cs="Times New Roman" w:eastAsia="Times New Roman" w:hint="default"/>
                            <w:spacing w:val="-6"/>
                            <w:sz w:val="18"/>
                            <w:szCs w:val="18"/>
                          </w:rPr>
                          <w:t>2006-2020</w:t>
                        </w:r>
                        <w:r>
                          <w:rPr>
                            <w:rFonts w:ascii="宋体" w:hAnsi="宋体" w:cs="宋体" w:eastAsia="宋体" w:hint="default"/>
                            <w:spacing w:val="-6"/>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中所列的重大科技专项之一。</w:t>
                        </w:r>
                      </w:p>
                    </w:tc>
                  </w:tr>
                  <w:tr>
                    <w:trPr>
                      <w:trHeight w:val="196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SOA</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Service-Oriented Architecture </w:t>
                        </w:r>
                        <w:r>
                          <w:rPr>
                            <w:rFonts w:ascii="宋体" w:hAnsi="宋体" w:cs="宋体" w:eastAsia="宋体" w:hint="default"/>
                            <w:sz w:val="18"/>
                            <w:szCs w:val="18"/>
                          </w:rPr>
                          <w:t>的简称，即面向服务的架构，是一种</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w w:val="99"/>
                            <w:sz w:val="18"/>
                            <w:szCs w:val="18"/>
                          </w:rPr>
                          <w:t> </w:t>
                        </w:r>
                        <w:r>
                          <w:rPr>
                            <w:rFonts w:ascii="宋体" w:hAnsi="宋体" w:cs="宋体" w:eastAsia="宋体" w:hint="default"/>
                            <w:spacing w:val="-2"/>
                            <w:sz w:val="18"/>
                            <w:szCs w:val="18"/>
                          </w:rPr>
                          <w:t>策略，它将企业应用中的各种功能重新整理为具有互操作性的标准服</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务，可以迅速组合和重用这些服务，以满足业务需要。</w:t>
                        </w:r>
                        <w:r>
                          <w:rPr>
                            <w:rFonts w:ascii="Times New Roman" w:hAnsi="Times New Roman" w:cs="Times New Roman" w:eastAsia="Times New Roman" w:hint="default"/>
                            <w:spacing w:val="-3"/>
                            <w:sz w:val="18"/>
                            <w:szCs w:val="18"/>
                          </w:rPr>
                          <w:t>SOA</w:t>
                        </w:r>
                        <w:r>
                          <w:rPr>
                            <w:rFonts w:ascii="Times New Roman" w:hAnsi="Times New Roman" w:cs="Times New Roman" w:eastAsia="Times New Roman" w:hint="default"/>
                            <w:sz w:val="18"/>
                            <w:szCs w:val="18"/>
                          </w:rPr>
                          <w:t> </w:t>
                        </w:r>
                        <w:r>
                          <w:rPr>
                            <w:rFonts w:ascii="宋体" w:hAnsi="宋体" w:cs="宋体" w:eastAsia="宋体" w:hint="default"/>
                            <w:sz w:val="18"/>
                            <w:szCs w:val="18"/>
                          </w:rPr>
                          <w:t>提供了一 </w:t>
                        </w:r>
                        <w:r>
                          <w:rPr>
                            <w:rFonts w:ascii="宋体" w:hAnsi="宋体" w:cs="宋体" w:eastAsia="宋体" w:hint="default"/>
                            <w:spacing w:val="-2"/>
                            <w:sz w:val="18"/>
                            <w:szCs w:val="18"/>
                          </w:rPr>
                          <w:t>种构建信息系统的标准和方法，并通过建立起合并、可重用的服务体</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系来减少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业务冗余并加快项目开发的进程，使得开发部门效率更 高效。</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将大量用网络连接的计算资源统一管理和调度，构成一个计算资源池</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向用户按需服务。提供资源的网络被称为</w:t>
                        </w:r>
                        <w:r>
                          <w:rPr>
                            <w:rFonts w:ascii="Times New Roman" w:hAnsi="Times New Roman" w:cs="Times New Roman" w:eastAsia="Times New Roman" w:hint="default"/>
                            <w:sz w:val="18"/>
                            <w:szCs w:val="18"/>
                          </w:rPr>
                          <w:t>"</w:t>
                        </w:r>
                        <w:r>
                          <w:rPr>
                            <w:rFonts w:ascii="宋体" w:hAnsi="宋体" w:cs="宋体" w:eastAsia="宋体" w:hint="default"/>
                            <w:sz w:val="18"/>
                            <w:szCs w:val="18"/>
                          </w:rPr>
                          <w:t>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PaaS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PaaS</w:t>
                        </w:r>
                        <w:r>
                          <w:rPr>
                            <w:rFonts w:ascii="宋体" w:hAnsi="宋体" w:cs="宋体" w:eastAsia="宋体" w:hint="default"/>
                            <w:w w:val="99"/>
                            <w:sz w:val="18"/>
                            <w:szCs w:val="18"/>
                          </w:rPr>
                          <w:t>（</w:t>
                        </w:r>
                        <w:r>
                          <w:rPr>
                            <w:rFonts w:ascii="Times New Roman" w:hAnsi="Times New Roman" w:cs="Times New Roman" w:eastAsia="Times New Roman" w:hint="default"/>
                            <w:w w:val="99"/>
                            <w:sz w:val="18"/>
                            <w:szCs w:val="18"/>
                          </w:rPr>
                          <w:t>Platform </w:t>
                        </w:r>
                        <w:r>
                          <w:rPr>
                            <w:rFonts w:ascii="Times New Roman" w:hAnsi="Times New Roman" w:cs="Times New Roman" w:eastAsia="Times New Roman" w:hint="default"/>
                            <w:w w:val="99"/>
                            <w:sz w:val="18"/>
                            <w:szCs w:val="18"/>
                          </w:rPr>
                          <w:t>as </w:t>
                        </w:r>
                        <w:r>
                          <w:rPr>
                            <w:rFonts w:ascii="Times New Roman" w:hAnsi="Times New Roman" w:cs="Times New Roman" w:eastAsia="Times New Roman" w:hint="default"/>
                            <w:sz w:val="18"/>
                            <w:szCs w:val="18"/>
                          </w:rPr>
                          <w:t>a </w:t>
                        </w:r>
                        <w:r>
                          <w:rPr>
                            <w:rFonts w:ascii="Times New Roman" w:hAnsi="Times New Roman" w:cs="Times New Roman" w:eastAsia="Times New Roman" w:hint="default"/>
                            <w:spacing w:val="-6"/>
                            <w:w w:val="99"/>
                            <w:sz w:val="18"/>
                            <w:szCs w:val="18"/>
                          </w:rPr>
                          <w:t>Service</w:t>
                        </w:r>
                        <w:r>
                          <w:rPr>
                            <w:rFonts w:ascii="宋体" w:hAnsi="宋体" w:cs="宋体" w:eastAsia="宋体" w:hint="default"/>
                            <w:spacing w:val="-6"/>
                            <w:w w:val="99"/>
                            <w:sz w:val="18"/>
                            <w:szCs w:val="18"/>
                          </w:rPr>
                          <w:t>），意思是平台即服务。</w:t>
                        </w:r>
                        <w:r>
                          <w:rPr>
                            <w:rFonts w:ascii="宋体" w:hAnsi="宋体" w:cs="宋体" w:eastAsia="宋体" w:hint="default"/>
                            <w:spacing w:val="11"/>
                            <w:w w:val="99"/>
                            <w:sz w:val="18"/>
                            <w:szCs w:val="18"/>
                          </w:rPr>
                          <w:t> </w:t>
                        </w:r>
                        <w:r>
                          <w:rPr>
                            <w:rFonts w:ascii="宋体" w:hAnsi="宋体" w:cs="宋体" w:eastAsia="宋体" w:hint="default"/>
                            <w:w w:val="99"/>
                            <w:sz w:val="18"/>
                            <w:szCs w:val="18"/>
                          </w:rPr>
                          <w:t>是在云计算中将</w:t>
                        </w:r>
                        <w:r>
                          <w:rPr>
                            <w:rFonts w:ascii="宋体" w:hAnsi="宋体" w:cs="宋体" w:eastAsia="宋体" w:hint="default"/>
                            <w:w w:val="99"/>
                            <w:sz w:val="18"/>
                            <w:szCs w:val="18"/>
                          </w:rPr>
                          <w:t> </w:t>
                        </w:r>
                        <w:r>
                          <w:rPr>
                            <w:rFonts w:ascii="宋体" w:hAnsi="宋体" w:cs="宋体" w:eastAsia="宋体" w:hint="default"/>
                            <w:sz w:val="18"/>
                            <w:szCs w:val="18"/>
                          </w:rPr>
                          <w:t>包括中间件在内的运行和开发环境作为一种服务提供的商业模式。</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SaaS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Software as a Service </w:t>
                        </w:r>
                        <w:r>
                          <w:rPr>
                            <w:rFonts w:ascii="宋体" w:hAnsi="宋体" w:cs="宋体" w:eastAsia="宋体" w:hint="default"/>
                            <w:spacing w:val="-5"/>
                            <w:sz w:val="18"/>
                            <w:szCs w:val="18"/>
                          </w:rPr>
                          <w:t>的缩写，意思是软件即服务。是一种通过</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Internet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提供软件的模式，用户不用再购买软件，而改用向提供商租用基于</w:t>
                        </w:r>
                        <w:r>
                          <w:rPr>
                            <w:rFonts w:ascii="宋体" w:hAnsi="宋体" w:cs="宋体" w:eastAsia="宋体" w:hint="default"/>
                            <w:w w:val="99"/>
                            <w:sz w:val="18"/>
                            <w:szCs w:val="18"/>
                          </w:rPr>
                          <w:t> </w:t>
                        </w:r>
                        <w:r>
                          <w:rPr>
                            <w:rFonts w:ascii="Times New Roman" w:hAnsi="Times New Roman" w:cs="Times New Roman" w:eastAsia="Times New Roman" w:hint="default"/>
                            <w:spacing w:val="-6"/>
                            <w:sz w:val="18"/>
                            <w:szCs w:val="18"/>
                          </w:rPr>
                          <w:t>Web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的软件，来管理企业经营活动，且无需对软件进行维护</w:t>
                        </w:r>
                      </w:p>
                    </w:tc>
                  </w:tr>
                  <w:tr>
                    <w:trPr>
                      <w:trHeight w:val="165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虚拟化</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
                          <w:jc w:val="left"/>
                          <w:rPr>
                            <w:rFonts w:ascii="宋体" w:hAnsi="宋体" w:cs="宋体" w:eastAsia="宋体" w:hint="default"/>
                            <w:sz w:val="18"/>
                            <w:szCs w:val="18"/>
                          </w:rPr>
                        </w:pPr>
                        <w:r>
                          <w:rPr>
                            <w:rFonts w:ascii="宋体" w:hAnsi="宋体" w:cs="宋体" w:eastAsia="宋体" w:hint="default"/>
                            <w:spacing w:val="-5"/>
                            <w:sz w:val="18"/>
                            <w:szCs w:val="18"/>
                          </w:rPr>
                          <w:t>是一种资源管理技术，是将计算机的各种实体资源，如服务器、网络</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内存及存储等，予以抽象、转换后呈现出来，打破实体结构间的不可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切割的障碍，使用户可以比原本的配置更好的方式来应用这些资源。 </w:t>
                        </w:r>
                        <w:r>
                          <w:rPr>
                            <w:rFonts w:ascii="宋体" w:hAnsi="宋体" w:cs="宋体" w:eastAsia="宋体" w:hint="default"/>
                            <w:spacing w:val="-2"/>
                            <w:sz w:val="18"/>
                            <w:szCs w:val="18"/>
                          </w:rPr>
                          <w:t>这些资源的新虚拟部份是不受现有资源的架设方式，地域或物理配置</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所限制。</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2G</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2rdGeneration</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缩写，第二代数字通信技术</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3G</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3rdGeneration</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缩写，第三代数字通信技术</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4G</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4rdGeneration</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缩写，第四代移动通信技术</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5G</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5rdGeneration</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缩写，第五代移动通信技术</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6"/>
                            <w:sz w:val="18"/>
                          </w:rPr>
                          <w:t>LTE</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Long</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4"/>
                            <w:sz w:val="18"/>
                            <w:szCs w:val="18"/>
                          </w:rPr>
                          <w:t>Term</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3"/>
                            <w:sz w:val="18"/>
                            <w:szCs w:val="18"/>
                          </w:rPr>
                          <w:t>Evolution</w:t>
                        </w:r>
                        <w:r>
                          <w:rPr>
                            <w:rFonts w:ascii="宋体" w:hAnsi="宋体" w:cs="宋体" w:eastAsia="宋体" w:hint="default"/>
                            <w:spacing w:val="-3"/>
                            <w:sz w:val="18"/>
                            <w:szCs w:val="18"/>
                          </w:rPr>
                          <w:t>（长期演进）的英文缩写，是处于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之间 的一个过渡技术</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DNS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域名解析系统</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CDN</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内容分发网络</w:t>
                        </w:r>
                      </w:p>
                    </w:tc>
                  </w:tr>
                  <w:tr>
                    <w:trPr>
                      <w:trHeight w:val="98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网优</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即网络优化，是通过对现有已运行的网络进行话务数据分析、现场测</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5"/>
                            <w:sz w:val="18"/>
                            <w:szCs w:val="18"/>
                          </w:rPr>
                          <w:t>试数据采集、参数分析、硬件检查等手段，找出影响网络质量的原因</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并且通过参数的修改、网络结构的调整、设备配置的调整和采取某些</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pStyle w:val="BodyText"/>
        <w:spacing w:line="240" w:lineRule="auto" w:before="44"/>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before="44"/>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BodyText"/>
        <w:spacing w:line="240" w:lineRule="auto" w:before="63"/>
        <w:ind w:left="0" w:right="1139"/>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674"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23"/>
              <w:jc w:val="left"/>
              <w:rPr>
                <w:rFonts w:ascii="宋体" w:hAnsi="宋体" w:cs="宋体" w:eastAsia="宋体" w:hint="default"/>
                <w:sz w:val="18"/>
                <w:szCs w:val="18"/>
              </w:rPr>
            </w:pPr>
            <w:r>
              <w:rPr>
                <w:rFonts w:ascii="宋体" w:hAnsi="宋体" w:cs="宋体" w:eastAsia="宋体" w:hint="default"/>
                <w:spacing w:val="-3"/>
                <w:sz w:val="18"/>
                <w:szCs w:val="18"/>
              </w:rPr>
              <w:t>技术手段（采用</w:t>
            </w:r>
            <w:r>
              <w:rPr>
                <w:rFonts w:ascii="宋体" w:hAnsi="宋体" w:cs="宋体" w:eastAsia="宋体" w:hint="default"/>
                <w:spacing w:val="-45"/>
                <w:sz w:val="18"/>
                <w:szCs w:val="18"/>
              </w:rPr>
              <w:t> </w:t>
            </w:r>
            <w:r>
              <w:rPr>
                <w:rFonts w:ascii="Times New Roman" w:hAnsi="Times New Roman" w:cs="Times New Roman" w:eastAsia="Times New Roman" w:hint="default"/>
                <w:w w:val="99"/>
                <w:sz w:val="18"/>
                <w:szCs w:val="18"/>
              </w:rPr>
              <w:t>MRP </w:t>
            </w:r>
            <w:r>
              <w:rPr>
                <w:rFonts w:ascii="宋体" w:hAnsi="宋体" w:cs="宋体" w:eastAsia="宋体" w:hint="default"/>
                <w:spacing w:val="-6"/>
                <w:sz w:val="18"/>
                <w:szCs w:val="18"/>
              </w:rPr>
              <w:t>的规划办法等），确保系统高质量的运行，使现</w:t>
            </w:r>
            <w:r>
              <w:rPr>
                <w:rFonts w:ascii="宋体" w:hAnsi="宋体" w:cs="宋体" w:eastAsia="宋体" w:hint="default"/>
                <w:sz w:val="18"/>
                <w:szCs w:val="18"/>
              </w:rPr>
              <w:t> 有网络资源获得最佳效益</w:t>
            </w:r>
          </w:p>
        </w:tc>
      </w:tr>
      <w:tr>
        <w:trPr>
          <w:trHeight w:val="227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路测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又称</w:t>
            </w:r>
            <w:r>
              <w:rPr>
                <w:rFonts w:ascii="宋体" w:hAnsi="宋体" w:cs="宋体" w:eastAsia="宋体" w:hint="default"/>
                <w:spacing w:val="-37"/>
                <w:sz w:val="18"/>
                <w:szCs w:val="18"/>
              </w:rPr>
              <w:t> </w:t>
            </w:r>
            <w:r>
              <w:rPr>
                <w:rFonts w:ascii="Times New Roman" w:hAnsi="Times New Roman" w:cs="Times New Roman" w:eastAsia="Times New Roman" w:hint="default"/>
                <w:spacing w:val="-1"/>
                <w:w w:val="99"/>
                <w:sz w:val="18"/>
                <w:szCs w:val="18"/>
              </w:rPr>
              <w:t>DT</w:t>
            </w:r>
            <w:r>
              <w:rPr>
                <w:rFonts w:ascii="宋体" w:hAnsi="宋体" w:cs="宋体" w:eastAsia="宋体" w:hint="default"/>
                <w:spacing w:val="-1"/>
                <w:w w:val="99"/>
                <w:sz w:val="18"/>
                <w:szCs w:val="18"/>
              </w:rPr>
              <w:t>（</w:t>
            </w:r>
            <w:r>
              <w:rPr>
                <w:rFonts w:ascii="Times New Roman" w:hAnsi="Times New Roman" w:cs="Times New Roman" w:eastAsia="Times New Roman" w:hint="default"/>
                <w:spacing w:val="-1"/>
                <w:w w:val="99"/>
                <w:sz w:val="18"/>
                <w:szCs w:val="18"/>
              </w:rPr>
              <w:t>Drive</w:t>
            </w:r>
            <w:r>
              <w:rPr>
                <w:rFonts w:ascii="Times New Roman" w:hAnsi="Times New Roman" w:cs="Times New Roman" w:eastAsia="Times New Roman" w:hint="default"/>
                <w:spacing w:val="5"/>
                <w:w w:val="99"/>
                <w:sz w:val="18"/>
                <w:szCs w:val="18"/>
              </w:rPr>
              <w:t> </w:t>
            </w:r>
            <w:r>
              <w:rPr>
                <w:rFonts w:ascii="Times New Roman" w:hAnsi="Times New Roman" w:cs="Times New Roman" w:eastAsia="Times New Roman" w:hint="default"/>
                <w:spacing w:val="-5"/>
                <w:w w:val="99"/>
                <w:sz w:val="18"/>
                <w:szCs w:val="18"/>
              </w:rPr>
              <w:t>Test</w:t>
            </w:r>
            <w:r>
              <w:rPr>
                <w:rFonts w:ascii="宋体" w:hAnsi="宋体" w:cs="宋体" w:eastAsia="宋体" w:hint="default"/>
                <w:spacing w:val="-5"/>
                <w:w w:val="99"/>
                <w:sz w:val="18"/>
                <w:szCs w:val="18"/>
              </w:rPr>
              <w:t>，</w:t>
            </w:r>
            <w:r>
              <w:rPr>
                <w:rFonts w:ascii="Times New Roman" w:hAnsi="Times New Roman" w:cs="Times New Roman" w:eastAsia="Times New Roman" w:hint="default"/>
                <w:spacing w:val="-5"/>
                <w:w w:val="99"/>
                <w:sz w:val="18"/>
                <w:szCs w:val="18"/>
              </w:rPr>
              <w:t>DT</w:t>
            </w:r>
            <w:r>
              <w:rPr>
                <w:rFonts w:ascii="宋体" w:hAnsi="宋体" w:cs="宋体" w:eastAsia="宋体" w:hint="default"/>
                <w:spacing w:val="-5"/>
                <w:w w:val="99"/>
                <w:sz w:val="18"/>
                <w:szCs w:val="18"/>
              </w:rPr>
              <w:t>），是无线网络优化的重要组成部分，是对</w:t>
            </w:r>
            <w:r>
              <w:rPr>
                <w:rFonts w:ascii="宋体" w:hAnsi="宋体" w:cs="宋体" w:eastAsia="宋体" w:hint="default"/>
                <w:spacing w:val="-77"/>
                <w:w w:val="99"/>
                <w:sz w:val="18"/>
                <w:szCs w:val="18"/>
              </w:rPr>
              <w:t> </w:t>
            </w:r>
            <w:r>
              <w:rPr>
                <w:rFonts w:ascii="宋体" w:hAnsi="宋体" w:cs="宋体" w:eastAsia="宋体" w:hint="default"/>
                <w:spacing w:val="-77"/>
                <w:w w:val="99"/>
                <w:sz w:val="18"/>
                <w:szCs w:val="18"/>
              </w:rPr>
            </w:r>
            <w:r>
              <w:rPr>
                <w:rFonts w:ascii="宋体" w:hAnsi="宋体" w:cs="宋体" w:eastAsia="宋体" w:hint="default"/>
                <w:spacing w:val="-2"/>
                <w:sz w:val="18"/>
                <w:szCs w:val="18"/>
              </w:rPr>
              <w:t>无线网络的下行信号进行测试，主要用于获得以下数据：服务小区信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号强度、话音质量、相邻小区的信号强度指示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以及信号质量指示 </w:t>
            </w:r>
            <w:r>
              <w:rPr>
                <w:rFonts w:ascii="Times New Roman" w:hAnsi="Times New Roman" w:cs="Times New Roman" w:eastAsia="Times New Roman" w:hint="default"/>
                <w:spacing w:val="-2"/>
                <w:sz w:val="18"/>
                <w:szCs w:val="18"/>
              </w:rPr>
              <w:t>Ec/Io</w:t>
            </w:r>
            <w:r>
              <w:rPr>
                <w:rFonts w:ascii="宋体" w:hAnsi="宋体" w:cs="宋体" w:eastAsia="宋体" w:hint="default"/>
                <w:spacing w:val="-2"/>
                <w:sz w:val="18"/>
                <w:szCs w:val="18"/>
              </w:rPr>
              <w:t>、切换及接入的信令过程、小区识码、区域识别码、业务建立成</w:t>
            </w:r>
            <w:r>
              <w:rPr>
                <w:rFonts w:ascii="宋体" w:hAnsi="宋体" w:cs="宋体" w:eastAsia="宋体" w:hint="default"/>
                <w:sz w:val="18"/>
                <w:szCs w:val="18"/>
              </w:rPr>
              <w:t> </w:t>
            </w:r>
            <w:r>
              <w:rPr>
                <w:rFonts w:ascii="宋体" w:hAnsi="宋体" w:cs="宋体" w:eastAsia="宋体" w:hint="default"/>
                <w:spacing w:val="-2"/>
                <w:sz w:val="18"/>
                <w:szCs w:val="18"/>
              </w:rPr>
              <w:t>功率、切换比例、上下行平均吞吐率、手机所处的地理位置信、呼叫</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管理、移动管理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业务建立时延等值。其作用主要在于网络质量的评估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和无线网络的优化</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信令</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在通信网络中控制协调实际应用信息传输的信号</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基站</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在无线电覆盖区内，通过移动通信交换中心，与移动电话终端之间进</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行信息传递的无线电收发信电台</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DPI</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3"/>
                <w:sz w:val="18"/>
                <w:szCs w:val="18"/>
              </w:rPr>
              <w:t>具备业务数据流识别、业务数据流控制能力，工作在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OSI</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模型传输层</w:t>
            </w:r>
            <w:r>
              <w:rPr>
                <w:rFonts w:ascii="宋体" w:hAnsi="宋体" w:cs="宋体" w:eastAsia="宋体" w:hint="default"/>
                <w:spacing w:val="-88"/>
                <w:sz w:val="18"/>
                <w:szCs w:val="18"/>
              </w:rPr>
              <w:t> </w:t>
            </w:r>
            <w:r>
              <w:rPr>
                <w:rFonts w:ascii="宋体" w:hAnsi="宋体" w:cs="宋体" w:eastAsia="宋体" w:hint="default"/>
                <w:spacing w:val="-2"/>
                <w:sz w:val="18"/>
                <w:szCs w:val="18"/>
              </w:rPr>
              <w:t>到应用层，具有高数据处理能力，能够对网络所承载的业务进行识别</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和流量管理，可部署在网络骨干层、城域网和企业内部的网络设备</w:t>
            </w:r>
          </w:p>
        </w:tc>
      </w:tr>
    </w:tbl>
    <w:p>
      <w:pPr>
        <w:spacing w:after="0" w:line="30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967"/>
        <w:jc w:val="left"/>
        <w:rPr>
          <w:b w:val="0"/>
          <w:bCs w:val="0"/>
        </w:rPr>
      </w:pPr>
      <w:bookmarkStart w:name="_TOC_250010"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67"/>
        <w:jc w:val="left"/>
        <w:rPr>
          <w:b w:val="0"/>
          <w:bCs w:val="0"/>
        </w:rPr>
      </w:pPr>
      <w:r>
        <w:rPr/>
        <w:pict>
          <v:group style="position:absolute;margin-left:172.339996pt;margin-top:114.735596pt;width:361.5pt;height:19.6pt;mso-position-horizontal-relative:page;mso-position-vertical-relative:paragraph;z-index:-1135744"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东方通</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300379</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北京东方通科技股份有限公司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Beijing Tongtech Co.,</w:t>
            </w:r>
            <w:r>
              <w:rPr>
                <w:rFonts w:ascii="Times New Roman"/>
                <w:spacing w:val="-23"/>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Tongtech</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黄永军</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北京市丰台区丰台路口</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号主楼</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311</w:t>
            </w:r>
            <w:r>
              <w:rPr>
                <w:rFonts w:ascii="宋体" w:hAnsi="宋体" w:cs="宋体" w:eastAsia="宋体" w:hint="default"/>
                <w:sz w:val="18"/>
                <w:szCs w:val="18"/>
              </w:rPr>
              <w:t>（园区）</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100071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北京市海淀区彩和坊路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100080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www.tongtech.com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tongtech@tongtech.com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967"/>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74"/>
        <w:gridCol w:w="3697"/>
        <w:gridCol w:w="3899"/>
      </w:tblGrid>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6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韩静</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6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北京市海淀区彩和坊路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北京市海淀区彩和坊路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6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010-82652668</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010-82652668</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6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010-82652226</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010-82652226</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6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hyperlink r:id="rId10">
              <w:r>
                <w:rPr>
                  <w:rFonts w:ascii="Times New Roman"/>
                  <w:sz w:val="18"/>
                </w:rPr>
                <w:t>tongtech@tongtech.com</w:t>
              </w:r>
            </w:hyperlink>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tongtech@tongtech.com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967"/>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公司董秘办公室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right="967"/>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67"/>
        <w:jc w:val="left"/>
      </w:pPr>
      <w:r>
        <w:rPr/>
        <w:t>公司聘请的会计师事务所</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北京市丰台区西四环中路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 </w:t>
            </w:r>
            <w:r>
              <w:rPr>
                <w:rFonts w:ascii="宋体" w:hAnsi="宋体" w:cs="宋体" w:eastAsia="宋体" w:hint="default"/>
                <w:sz w:val="18"/>
                <w:szCs w:val="18"/>
              </w:rPr>
              <w:t>号首汇广场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刘文豪、徐文博</w:t>
            </w:r>
          </w:p>
        </w:tc>
      </w:tr>
    </w:tbl>
    <w:p>
      <w:pPr>
        <w:pStyle w:val="BodyText"/>
        <w:spacing w:line="240" w:lineRule="auto" w:before="51"/>
        <w:ind w:right="967"/>
        <w:jc w:val="left"/>
      </w:pPr>
      <w:r>
        <w:rPr/>
        <w:t>公司聘请的报告期内履行持续督导职责的保荐机构</w:t>
      </w:r>
    </w:p>
    <w:p>
      <w:pPr>
        <w:pStyle w:val="BodyText"/>
        <w:spacing w:line="240" w:lineRule="auto" w:before="117"/>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844"/>
        <w:gridCol w:w="2835"/>
        <w:gridCol w:w="1843"/>
        <w:gridCol w:w="3047"/>
      </w:tblGrid>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5"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6"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3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9"/>
              <w:jc w:val="left"/>
              <w:rPr>
                <w:rFonts w:ascii="宋体" w:hAnsi="宋体" w:cs="宋体" w:eastAsia="宋体" w:hint="default"/>
                <w:sz w:val="18"/>
                <w:szCs w:val="18"/>
              </w:rPr>
            </w:pPr>
            <w:r>
              <w:rPr>
                <w:rFonts w:ascii="宋体" w:hAnsi="宋体" w:cs="宋体" w:eastAsia="宋体" w:hint="default"/>
                <w:sz w:val="18"/>
                <w:szCs w:val="18"/>
              </w:rPr>
              <w:t>国信证券股份有限公 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北京市西城区金融街国信证券大厦</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周志林、胡小娥</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967"/>
        <w:jc w:val="left"/>
      </w:pPr>
      <w:r>
        <w:rPr/>
        <w:t>公司聘请的报告期内履行持续督导职责的财务顾问</w:t>
      </w:r>
    </w:p>
    <w:p>
      <w:pPr>
        <w:pStyle w:val="BodyText"/>
        <w:spacing w:line="240" w:lineRule="auto" w:before="116"/>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67"/>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67"/>
        <w:jc w:val="left"/>
      </w:pPr>
      <w:r>
        <w:rPr/>
        <w:t>公司是否需追溯调整或重述以前年度会计数据</w:t>
      </w:r>
    </w:p>
    <w:p>
      <w:pPr>
        <w:pStyle w:val="BodyText"/>
        <w:spacing w:line="240" w:lineRule="auto" w:before="117"/>
        <w:ind w:right="96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372,052,345.23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292,786,400.27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325,397,640.15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122,168,567.11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-307,286,709.04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111,363,644.76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105,899,445.51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-322,944,790.02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132.79%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102,387,427.84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126,655,576.93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109,168,538.93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147,391,257.57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2,032,227,418.37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1,562,325,014.23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1,964,232,909.12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1,422,317,277.47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1,447,441,843.54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1,774,382,011.24</w:t>
            </w:r>
          </w:p>
        </w:tc>
      </w:tr>
    </w:tbl>
    <w:p>
      <w:pPr>
        <w:spacing w:line="240" w:lineRule="auto" w:before="2"/>
        <w:rPr>
          <w:rFonts w:ascii="宋体" w:hAnsi="宋体" w:cs="宋体" w:eastAsia="宋体" w:hint="default"/>
          <w:sz w:val="18"/>
          <w:szCs w:val="18"/>
        </w:rPr>
      </w:pPr>
    </w:p>
    <w:p>
      <w:pPr>
        <w:pStyle w:val="Heading2"/>
        <w:spacing w:line="240" w:lineRule="auto" w:before="26"/>
        <w:ind w:right="967"/>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60,348,536.04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49,691,285.38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81,497,128.55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180,515,395.26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3,294,694.29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-1,685,331.02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20,857,082.17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99,702,121.67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3,294,694.29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-2,714,944.51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19,128,483.23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86,191,212.50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-23,445,299.52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4,914,771.69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33,288,939.25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111,897,165.51</w:t>
            </w:r>
          </w:p>
        </w:tc>
      </w:tr>
    </w:tbl>
    <w:p>
      <w:pPr>
        <w:pStyle w:val="BodyText"/>
        <w:spacing w:line="240" w:lineRule="auto" w:before="51"/>
        <w:ind w:right="967"/>
        <w:jc w:val="left"/>
      </w:pPr>
      <w:r>
        <w:rPr/>
        <w:t>上述财务指标或其加总数是否与公司已披露季度报告、半年度报告相关财务指标存在重大差异</w:t>
      </w:r>
    </w:p>
    <w:p>
      <w:pPr>
        <w:pStyle w:val="BodyText"/>
        <w:spacing w:line="240" w:lineRule="auto" w:before="117"/>
        <w:ind w:right="96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967"/>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67"/>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967"/>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967"/>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-42,260.96</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-183,484.06</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-1,290,046.63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19,312,366.90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4,619,644.00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8,916,931.02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-129,712.38</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13,984,240.88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2,924,470.82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2,871,271.96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2,762,319.84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1,575,138.29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16,269,121.60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15,658,080.98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8,976,216.92</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67"/>
        <w:jc w:val="left"/>
      </w:pPr>
      <w:r>
        <w:rPr>
          <w:spacing w:val="-3"/>
        </w:rPr>
        <w:t>对公司根据《公开发行证券的公司信息披露解释性公告第</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470"/>
        <w:jc w:val="center"/>
        <w:rPr>
          <w:b w:val="0"/>
          <w:bCs w:val="0"/>
        </w:rPr>
      </w:pPr>
      <w:bookmarkStart w:name="_TOC_250009" w:id="15"/>
      <w:bookmarkStart w:name="第三节 公司业务概要" w:id="16"/>
      <w:r>
        <w:rPr>
          <w:b w:val="0"/>
          <w:bCs w:val="0"/>
        </w:rPr>
      </w:r>
      <w:r>
        <w:rPr/>
        <w:t>第三节</w:t>
      </w:r>
      <w:r>
        <w:rPr>
          <w:spacing w:val="-7"/>
        </w:rPr>
        <w:t> </w:t>
      </w:r>
      <w:r>
        <w:rPr/>
        <w:t>公司业务概要</w:t>
      </w:r>
      <w:bookmarkEnd w:id="1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967"/>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967"/>
        <w:jc w:val="left"/>
      </w:pPr>
      <w:r>
        <w:rPr/>
        <w:t>软件与信息技术服务业</w:t>
      </w:r>
    </w:p>
    <w:p>
      <w:pPr>
        <w:pStyle w:val="BodyText"/>
        <w:spacing w:line="338" w:lineRule="auto" w:before="116"/>
        <w:ind w:left="514" w:right="1122" w:hanging="360"/>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本公司创始业务是为企业级用户提供基础软件中的中间件产品及相关技术服务，于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月在深圳证券交易所创业板</w:t>
      </w:r>
    </w:p>
    <w:p>
      <w:pPr>
        <w:pStyle w:val="BodyText"/>
        <w:spacing w:line="217" w:lineRule="exact"/>
        <w:ind w:right="967"/>
        <w:jc w:val="left"/>
      </w:pPr>
      <w:r>
        <w:rPr/>
        <w:t>上市。公司上市以来，一方面继续在传统中间件产品领域深挖市场需求，改善产品性能，增强用户体验，巩固国产中间件行</w:t>
      </w:r>
    </w:p>
    <w:p>
      <w:pPr>
        <w:pStyle w:val="BodyText"/>
        <w:spacing w:line="312" w:lineRule="auto" w:before="76"/>
        <w:ind w:right="967"/>
        <w:jc w:val="left"/>
      </w:pPr>
      <w:r>
        <w:rPr>
          <w:spacing w:val="-2"/>
        </w:rPr>
        <w:t>业领先地位；另一方面，通过新设投资、收购等资本市场手段，拓展新业务，完善在网络信息安全、大数据等新技术、新业</w:t>
      </w:r>
      <w:r>
        <w:rPr>
          <w:spacing w:val="-72"/>
        </w:rPr>
        <w:t> </w:t>
      </w:r>
      <w:r>
        <w:rPr>
          <w:spacing w:val="-72"/>
        </w:rPr>
      </w:r>
      <w:r>
        <w:rPr>
          <w:spacing w:val="-3"/>
        </w:rPr>
        <w:t>态、新模式的布局，坚持</w:t>
      </w:r>
      <w:r>
        <w:rPr>
          <w:rFonts w:ascii="Times New Roman" w:hAnsi="Times New Roman" w:cs="Times New Roman" w:eastAsia="Times New Roman" w:hint="default"/>
          <w:spacing w:val="-3"/>
        </w:rPr>
        <w:t>“</w:t>
      </w:r>
      <w:r>
        <w:rPr>
          <w:spacing w:val="-3"/>
        </w:rPr>
        <w:t>自主可控、安全可靠</w:t>
      </w:r>
      <w:r>
        <w:rPr>
          <w:rFonts w:ascii="Times New Roman" w:hAnsi="Times New Roman" w:cs="Times New Roman" w:eastAsia="Times New Roman" w:hint="default"/>
          <w:spacing w:val="-3"/>
        </w:rPr>
        <w:t>”</w:t>
      </w:r>
      <w:r>
        <w:rPr>
          <w:spacing w:val="-3"/>
        </w:rPr>
        <w:t>的核心发展理念，依托基础软件的技术积累，拓展政务等特定行业解决方案，</w:t>
      </w:r>
      <w:r>
        <w:rPr>
          <w:spacing w:val="-78"/>
        </w:rPr>
        <w:t> </w:t>
      </w:r>
      <w:r>
        <w:rPr>
          <w:spacing w:val="-78"/>
        </w:rPr>
      </w:r>
      <w:r>
        <w:rPr>
          <w:spacing w:val="-2"/>
        </w:rPr>
        <w:t>为用户提供基础安全产品及解决方案，同时为电信运营商等行业用户提供信息安全、网络安全、业务安全、应急安全等产品</w:t>
      </w:r>
      <w:r>
        <w:rPr>
          <w:spacing w:val="-66"/>
        </w:rPr>
        <w:t> </w:t>
      </w:r>
      <w:r>
        <w:rPr>
          <w:spacing w:val="-66"/>
        </w:rPr>
      </w:r>
      <w:r>
        <w:rPr/>
        <w:t>及解决方案。至本报告期末，公司已经开展的主要业务包括基础安全产品、信息安全、应急安全、军工信息化等。</w:t>
      </w:r>
    </w:p>
    <w:p>
      <w:pPr>
        <w:pStyle w:val="BodyText"/>
        <w:spacing w:line="307" w:lineRule="auto" w:before="61"/>
        <w:ind w:right="967" w:firstLine="361"/>
        <w:jc w:val="left"/>
      </w:pPr>
      <w:r>
        <w:rPr>
          <w:rFonts w:ascii="宋体" w:hAnsi="宋体" w:cs="宋体" w:eastAsia="宋体" w:hint="default"/>
          <w:b/>
          <w:bCs/>
        </w:rPr>
        <w:t>母公司</w:t>
      </w:r>
      <w:r>
        <w:rPr/>
        <w:t>报告期内仍专注于基础软件</w:t>
      </w:r>
      <w:r>
        <w:rPr>
          <w:rFonts w:ascii="Times New Roman" w:hAnsi="Times New Roman" w:cs="Times New Roman" w:eastAsia="Times New Roman" w:hint="default"/>
        </w:rPr>
        <w:t>Tong</w:t>
      </w:r>
      <w:r>
        <w:rPr/>
        <w:t>系列中间件的研发、销售与相关服务。公司是中国中间件的开拓者和领导者， 凭借 </w:t>
      </w:r>
      <w:r>
        <w:rPr>
          <w:rFonts w:ascii="Times New Roman" w:hAnsi="Times New Roman" w:cs="Times New Roman" w:eastAsia="Times New Roman" w:hint="default"/>
        </w:rPr>
        <w:t>20</w:t>
      </w:r>
      <w:r>
        <w:rPr>
          <w:rFonts w:ascii="Times New Roman" w:hAnsi="Times New Roman" w:cs="Times New Roman" w:eastAsia="Times New Roman" w:hint="default"/>
          <w:spacing w:val="-20"/>
        </w:rPr>
        <w:t> </w:t>
      </w:r>
      <w:r>
        <w:rPr/>
        <w:t>余年的技术与市场积累，多年来保持中间件市场占有率国内厂商第一，在国内市场继续保持领导者象限，且是领导 </w:t>
      </w:r>
      <w:r>
        <w:rPr>
          <w:spacing w:val="-4"/>
        </w:rPr>
        <w:t>者象限唯一国产厂商。公司采取最终用户直销与渠道销售模式相结合的经营模式。产品广泛应用于政府、交通、金融、电信、</w:t>
      </w:r>
      <w:r>
        <w:rPr>
          <w:spacing w:val="-44"/>
        </w:rPr>
        <w:t> </w:t>
      </w:r>
      <w:r>
        <w:rPr>
          <w:spacing w:val="-44"/>
        </w:rPr>
      </w:r>
      <w:r>
        <w:rPr>
          <w:spacing w:val="-4"/>
        </w:rPr>
        <w:t>军工等众多行业领域。并且，依托基础软件的技术积累，在国家及省级政务共享交换平台建设中积极培育行业解决方案能力。</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pStyle w:val="BodyText"/>
        <w:spacing w:line="319" w:lineRule="auto"/>
        <w:ind w:right="1133" w:firstLine="360"/>
        <w:jc w:val="both"/>
      </w:pPr>
      <w:r>
        <w:rPr>
          <w:rFonts w:ascii="宋体" w:hAnsi="宋体" w:cs="宋体" w:eastAsia="宋体" w:hint="default"/>
          <w:b/>
          <w:bCs/>
        </w:rPr>
        <w:t>全资子公司微智信业</w:t>
      </w:r>
      <w:r>
        <w:rPr>
          <w:rFonts w:ascii="宋体" w:hAnsi="宋体" w:cs="宋体" w:eastAsia="宋体" w:hint="default"/>
          <w:b/>
          <w:bCs/>
          <w:spacing w:val="-3"/>
        </w:rPr>
        <w:t> </w:t>
      </w:r>
      <w:r>
        <w:rPr/>
        <w:t>专注于网络安全、信息安全和通信业务安全领域的研究和应用。与传统网络安全产品厂家不同， </w:t>
      </w:r>
      <w:r>
        <w:rPr>
          <w:spacing w:val="-2"/>
        </w:rPr>
        <w:t>微智信业从基础网络和信息管道着手，深入研究各类安全问题在网络空间中的特征和传播形态，在安全分析、安全预警和安</w:t>
      </w:r>
      <w:r>
        <w:rPr>
          <w:spacing w:val="-66"/>
        </w:rPr>
        <w:t> </w:t>
      </w:r>
      <w:r>
        <w:rPr>
          <w:spacing w:val="-66"/>
        </w:rPr>
      </w:r>
      <w:r>
        <w:rPr/>
        <w:t>全问题处置等专业有着独特的技术积累，并形成了全面的解决方案。</w:t>
      </w:r>
    </w:p>
    <w:p>
      <w:pPr>
        <w:pStyle w:val="BodyText"/>
        <w:spacing w:line="319" w:lineRule="auto" w:before="55"/>
        <w:ind w:right="1130" w:firstLine="360"/>
        <w:jc w:val="both"/>
      </w:pPr>
      <w:r>
        <w:rPr>
          <w:spacing w:val="-2"/>
        </w:rPr>
        <w:t>信息安全方面，目前提供的方案有网络内容审计产品，包括黄色、暴恐、违法、违规等的网络信息的监测和治理，通过</w:t>
      </w:r>
      <w:r>
        <w:rPr/>
        <w:t> 大数据分析发现钓鱼网站、诈骗网站，</w:t>
      </w:r>
      <w:r>
        <w:rPr>
          <w:rFonts w:ascii="宋体" w:hAnsi="宋体" w:cs="宋体" w:eastAsia="宋体" w:hint="default"/>
        </w:rPr>
        <w:t>IDC</w:t>
      </w:r>
      <w:r>
        <w:rPr/>
        <w:t>机房的互联网信息安全管理及阻断，应用于政府网络安全管理部门、电信运营商 及互联网服务提供商等。</w:t>
      </w:r>
    </w:p>
    <w:p>
      <w:pPr>
        <w:pStyle w:val="BodyText"/>
        <w:spacing w:line="319" w:lineRule="auto" w:before="55"/>
        <w:ind w:right="1133" w:firstLine="360"/>
        <w:jc w:val="both"/>
      </w:pPr>
      <w:r>
        <w:rPr/>
        <w:t>网络安全方面，目前提供的方案覆盖电信运营商的</w:t>
      </w:r>
      <w:r>
        <w:rPr>
          <w:rFonts w:ascii="宋体" w:hAnsi="宋体" w:cs="宋体" w:eastAsia="宋体" w:hint="default"/>
        </w:rPr>
        <w:t>IDC</w:t>
      </w:r>
      <w:r>
        <w:rPr/>
        <w:t>机房、城域网、骨干网的网络攻击检测和防护、移动网手机恶意 </w:t>
      </w:r>
      <w:r>
        <w:rPr>
          <w:spacing w:val="-2"/>
        </w:rPr>
        <w:t>软件的检测和治理、互联网僵木蠕病毒的检测和阻断，并应用大数据检测网络日志，高效、快速识别网络病毒发作症状。应</w:t>
      </w:r>
      <w:r>
        <w:rPr>
          <w:spacing w:val="-66"/>
        </w:rPr>
        <w:t> </w:t>
      </w:r>
      <w:r>
        <w:rPr>
          <w:spacing w:val="-66"/>
        </w:rPr>
      </w:r>
      <w:r>
        <w:rPr/>
        <w:t>用于政府网络安全管理部门、电信运营商及互联网服务提供商等。</w:t>
      </w:r>
    </w:p>
    <w:p>
      <w:pPr>
        <w:pStyle w:val="BodyText"/>
        <w:spacing w:line="319" w:lineRule="auto" w:before="56"/>
        <w:ind w:right="1132" w:firstLine="360"/>
        <w:jc w:val="both"/>
      </w:pPr>
      <w:r>
        <w:rPr>
          <w:spacing w:val="-2"/>
        </w:rPr>
        <w:t>通信业务安全方面，目前提供电信运营商专线语音管控解决方案、骚扰电话综合治理解决方案以及传统通信业务安全应</w:t>
      </w:r>
      <w:r>
        <w:rPr/>
        <w:t> 用解决方案等，主要应用于电信运营商和相关政府监管部门。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BodyText"/>
        <w:spacing w:line="319" w:lineRule="auto"/>
        <w:ind w:right="967" w:firstLine="360"/>
        <w:jc w:val="left"/>
      </w:pPr>
      <w:r>
        <w:rPr>
          <w:rFonts w:ascii="宋体" w:hAnsi="宋体" w:cs="宋体" w:eastAsia="宋体" w:hint="default"/>
          <w:b/>
          <w:bCs/>
        </w:rPr>
        <w:t>全资子公司泰策科技</w:t>
      </w:r>
      <w:r>
        <w:rPr>
          <w:rFonts w:ascii="宋体" w:hAnsi="宋体" w:cs="宋体" w:eastAsia="宋体" w:hint="default"/>
          <w:b/>
          <w:bCs/>
          <w:spacing w:val="18"/>
        </w:rPr>
        <w:t> </w:t>
      </w:r>
      <w:r>
        <w:rPr>
          <w:spacing w:val="-3"/>
        </w:rPr>
        <w:t>是业界领先的</w:t>
      </w:r>
      <w:r>
        <w:rPr>
          <w:rFonts w:ascii="宋体" w:hAnsi="宋体" w:cs="宋体" w:eastAsia="宋体" w:hint="default"/>
          <w:spacing w:val="-3"/>
        </w:rPr>
        <w:t>DNS</w:t>
      </w:r>
      <w:r>
        <w:rPr>
          <w:spacing w:val="-3"/>
        </w:rPr>
        <w:t>系统和数据安全、应急安全产品及服务提供商。在通信和互联网领域，着眼于未</w:t>
      </w:r>
      <w:r>
        <w:rPr/>
        <w:t> </w:t>
      </w:r>
      <w:r>
        <w:rPr>
          <w:spacing w:val="-4"/>
        </w:rPr>
        <w:t>来，为电信运营商用户提供业务确保、加速、增值、安全解决方案。近年大力拓展政企市场，目前已有交通部、北京市政府、</w:t>
      </w:r>
      <w:r>
        <w:rPr>
          <w:spacing w:val="-48"/>
        </w:rPr>
        <w:t> </w:t>
      </w:r>
      <w:r>
        <w:rPr>
          <w:spacing w:val="-48"/>
        </w:rPr>
      </w:r>
      <w:r>
        <w:rPr>
          <w:spacing w:val="-2"/>
        </w:rPr>
        <w:t>央视、中煤集团等标杆客户。在应急安全领域，结合行业特点和自身技术积累，提出“应急管理综合应用系统、基础支撑系</w:t>
      </w:r>
      <w:r>
        <w:rPr>
          <w:spacing w:val="-66"/>
        </w:rPr>
        <w:t> </w:t>
      </w:r>
      <w:r>
        <w:rPr>
          <w:spacing w:val="-66"/>
        </w:rPr>
      </w:r>
      <w:r>
        <w:rPr>
          <w:spacing w:val="-2"/>
        </w:rPr>
        <w:t>统和应急指挥场所三个板块”的应急安全管理解决方案，助力政府和行业用户应急管理工作创新；目前应急通信指挥系统系</w:t>
      </w:r>
      <w:r>
        <w:rPr>
          <w:spacing w:val="-66"/>
        </w:rPr>
        <w:t> </w:t>
      </w:r>
      <w:r>
        <w:rPr>
          <w:spacing w:val="-66"/>
        </w:rPr>
      </w:r>
      <w:r>
        <w:rPr/>
        <w:t>列产品已在多个省份成功落地，得到客户认可。</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16" w:lineRule="auto"/>
        <w:ind w:right="1131" w:firstLine="360"/>
        <w:jc w:val="both"/>
      </w:pPr>
      <w:r>
        <w:rPr>
          <w:rFonts w:ascii="宋体" w:hAnsi="宋体" w:cs="宋体" w:eastAsia="宋体" w:hint="default"/>
          <w:b/>
          <w:bCs/>
        </w:rPr>
        <w:t>全资子公司东方通宇</w:t>
      </w:r>
      <w:r>
        <w:rPr>
          <w:rFonts w:ascii="宋体" w:hAnsi="宋体" w:cs="宋体" w:eastAsia="宋体" w:hint="default"/>
          <w:b/>
          <w:bCs/>
          <w:spacing w:val="-2"/>
        </w:rPr>
        <w:t> </w:t>
      </w:r>
      <w:r>
        <w:rPr/>
        <w:t>立足于军队、国防工业信息化领域，贯彻国家“军民融合”战略，顺应国防科技工业体制改革， </w:t>
      </w:r>
      <w:r>
        <w:rPr>
          <w:spacing w:val="-2"/>
        </w:rPr>
        <w:t>以推动和加快军民融合大环境下提供全自主可控配套解决方案为己任，为军队、国防军工企业市场提供一流的基础软件、信</w:t>
      </w:r>
      <w:r>
        <w:rPr>
          <w:spacing w:val="-66"/>
        </w:rPr>
        <w:t> </w:t>
      </w:r>
      <w:r>
        <w:rPr>
          <w:spacing w:val="-66"/>
        </w:rPr>
      </w:r>
      <w:r>
        <w:rPr>
          <w:spacing w:val="-2"/>
        </w:rPr>
        <w:t>息安全、移动互联网等产品及解决方案。随着</w:t>
      </w:r>
      <w:r>
        <w:rPr>
          <w:rFonts w:ascii="宋体" w:hAnsi="宋体" w:cs="宋体" w:eastAsia="宋体" w:hint="default"/>
          <w:spacing w:val="-2"/>
        </w:rPr>
        <w:t>2016</w:t>
      </w:r>
      <w:r>
        <w:rPr>
          <w:spacing w:val="-2"/>
        </w:rPr>
        <w:t>年以来国家军改稳步推进，军品软件市场需求稳步提升。军民融合扶持力</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2"/>
        <w:jc w:val="both"/>
      </w:pPr>
      <w:r>
        <w:rPr>
          <w:spacing w:val="-2"/>
        </w:rPr>
        <w:t>度逐渐加大，民参军企业重点受益。在此大环境下，东方通宇已形成完备的自主可控中间件技术体系，先后在指挥决策、政</w:t>
      </w:r>
      <w:r>
        <w:rPr>
          <w:spacing w:val="-66"/>
        </w:rPr>
        <w:t> </w:t>
      </w:r>
      <w:r>
        <w:rPr>
          <w:spacing w:val="-66"/>
        </w:rPr>
      </w:r>
      <w:r>
        <w:rPr>
          <w:spacing w:val="-2"/>
        </w:rPr>
        <w:t>工管理、装备管理、后勤保障、装备智能制造等领域取得突破性进展，在国产化生态圈占据引领地位，为推动国产基础软件</w:t>
      </w:r>
      <w:r>
        <w:rPr>
          <w:spacing w:val="-66"/>
        </w:rPr>
        <w:t> </w:t>
      </w:r>
      <w:r>
        <w:rPr>
          <w:spacing w:val="-66"/>
        </w:rPr>
      </w:r>
      <w:r>
        <w:rPr>
          <w:spacing w:val="-2"/>
        </w:rPr>
        <w:t>在军工领域的应用做出应有的贡献。报告期主营业务为向军工领域客户提供中间件产品及相关技术服务。采取最终用户直销</w:t>
      </w:r>
      <w:r>
        <w:rPr>
          <w:spacing w:val="-64"/>
        </w:rPr>
        <w:t> </w:t>
      </w:r>
      <w:r>
        <w:rPr>
          <w:spacing w:val="-64"/>
        </w:rPr>
      </w:r>
      <w:r>
        <w:rPr/>
        <w:t>与渠道销售模式相结合的经营模式。</w:t>
      </w:r>
    </w:p>
    <w:p>
      <w:pPr>
        <w:spacing w:line="240" w:lineRule="auto" w:before="6"/>
        <w:rPr>
          <w:rFonts w:ascii="宋体" w:hAnsi="宋体" w:cs="宋体" w:eastAsia="宋体" w:hint="default"/>
          <w:sz w:val="20"/>
          <w:szCs w:val="20"/>
        </w:rPr>
      </w:pPr>
    </w:p>
    <w:p>
      <w:pPr>
        <w:pStyle w:val="Heading2"/>
        <w:spacing w:line="240" w:lineRule="auto"/>
        <w:ind w:right="0"/>
        <w:jc w:val="both"/>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844"/>
        <w:gridCol w:w="7725"/>
      </w:tblGrid>
      <w:tr>
        <w:trPr>
          <w:trHeight w:val="76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7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报告期比期初减少</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38.18%</w:t>
            </w:r>
            <w:r>
              <w:rPr>
                <w:rFonts w:ascii="宋体" w:hAnsi="宋体" w:cs="宋体" w:eastAsia="宋体" w:hint="default"/>
                <w:sz w:val="18"/>
                <w:szCs w:val="18"/>
              </w:rPr>
              <w:t>，主要原因为报告期内公司实施股份回购、现金收购泰策科技</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首期款，以及购置办公用房</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报告期比期初增加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106.26%</w:t>
            </w:r>
            <w:r>
              <w:rPr>
                <w:rFonts w:ascii="宋体" w:hAnsi="宋体" w:cs="宋体" w:eastAsia="宋体" w:hint="default"/>
                <w:sz w:val="18"/>
                <w:szCs w:val="18"/>
              </w:rPr>
              <w:t>，主要为报告期收购泰策科技形成的商誉</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7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报告期新增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78,806,592.98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元，系子公司微智信业购买办公用房，</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日尚未取得不动 产权证书。</w:t>
            </w:r>
          </w:p>
        </w:tc>
      </w:tr>
    </w:tbl>
    <w:p>
      <w:pPr>
        <w:spacing w:line="240" w:lineRule="auto" w:before="2"/>
        <w:rPr>
          <w:rFonts w:ascii="宋体" w:hAnsi="宋体" w:cs="宋体" w:eastAsia="宋体" w:hint="default"/>
          <w:b/>
          <w:bCs/>
          <w:sz w:val="19"/>
          <w:szCs w:val="19"/>
        </w:rPr>
      </w:pPr>
    </w:p>
    <w:p>
      <w:pPr>
        <w:pStyle w:val="Heading3"/>
        <w:spacing w:line="240" w:lineRule="auto" w:before="35"/>
        <w:ind w:right="967"/>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967"/>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357" w:lineRule="auto" w:before="26"/>
        <w:ind w:left="514" w:right="967" w:hanging="360"/>
        <w:jc w:val="left"/>
      </w:pPr>
      <w:r>
        <w:rPr/>
        <w:t>软件与信息技术服务业 </w:t>
      </w:r>
      <w:r>
        <w:rPr>
          <w:spacing w:val="-2"/>
        </w:rPr>
        <w:t>公司是国家高新技术企业、国家规划布局内重点软件企业、</w:t>
      </w:r>
      <w:r>
        <w:rPr>
          <w:rFonts w:ascii="Times New Roman" w:hAnsi="Times New Roman" w:cs="Times New Roman" w:eastAsia="Times New Roman" w:hint="default"/>
          <w:spacing w:val="-2"/>
        </w:rPr>
        <w:t>“</w:t>
      </w:r>
      <w:r>
        <w:rPr>
          <w:spacing w:val="-2"/>
        </w:rPr>
        <w:t>核高基</w:t>
      </w:r>
      <w:r>
        <w:rPr>
          <w:rFonts w:ascii="Times New Roman" w:hAnsi="Times New Roman" w:cs="Times New Roman" w:eastAsia="Times New Roman" w:hint="default"/>
          <w:spacing w:val="-2"/>
        </w:rPr>
        <w:t>”</w:t>
      </w:r>
      <w:r>
        <w:rPr>
          <w:spacing w:val="-2"/>
        </w:rPr>
        <w:t>等多项国家重大科技计划项目的承担单位、国务院</w:t>
      </w:r>
    </w:p>
    <w:p>
      <w:pPr>
        <w:pStyle w:val="BodyText"/>
        <w:spacing w:line="216" w:lineRule="exact"/>
        <w:ind w:right="967"/>
        <w:jc w:val="left"/>
      </w:pPr>
      <w:r>
        <w:rPr/>
        <w:t>颁发的</w:t>
      </w:r>
      <w:r>
        <w:rPr>
          <w:rFonts w:ascii="Times New Roman" w:hAnsi="Times New Roman" w:cs="Times New Roman" w:eastAsia="Times New Roman" w:hint="default"/>
        </w:rPr>
        <w:t>“</w:t>
      </w:r>
      <w:r>
        <w:rPr/>
        <w:t>国家科技进步二等奖</w:t>
      </w:r>
      <w:r>
        <w:rPr>
          <w:rFonts w:ascii="Times New Roman" w:hAnsi="Times New Roman" w:cs="Times New Roman" w:eastAsia="Times New Roman" w:hint="default"/>
        </w:rPr>
        <w:t>”</w:t>
      </w:r>
      <w:r>
        <w:rPr/>
        <w:t>获得者。子公司微智信业、泰策科技均为国家高新技术企业，享受国家相关优惠政策。</w:t>
      </w:r>
    </w:p>
    <w:p>
      <w:pPr>
        <w:pStyle w:val="BodyText"/>
        <w:spacing w:line="319" w:lineRule="auto" w:before="102"/>
        <w:ind w:right="1130" w:firstLine="360"/>
        <w:jc w:val="both"/>
      </w:pPr>
      <w:r>
        <w:rPr/>
        <w:t>子公司微智信业除取得多个</w:t>
      </w:r>
      <w:r>
        <w:rPr>
          <w:rFonts w:ascii="宋体" w:hAnsi="宋体" w:cs="宋体" w:eastAsia="宋体" w:hint="default"/>
        </w:rPr>
        <w:t>ISO</w:t>
      </w:r>
      <w:r>
        <w:rPr/>
        <w:t>管理体系认证资质和行业认证外，还取得中国电子信息行业联合会颁发的《信息系统集 </w:t>
      </w:r>
      <w:r>
        <w:rPr>
          <w:spacing w:val="-2"/>
        </w:rPr>
        <w:t>成及服务资质二级》、中国网络安全审查技术与认证中心颁发的《信息系统安全集成服务资质》、软件开发</w:t>
      </w:r>
      <w:r>
        <w:rPr>
          <w:rFonts w:ascii="宋体" w:hAnsi="宋体" w:cs="宋体" w:eastAsia="宋体" w:hint="default"/>
          <w:spacing w:val="-2"/>
        </w:rPr>
        <w:t>CMMI</w:t>
      </w:r>
      <w:r>
        <w:rPr>
          <w:spacing w:val="-2"/>
        </w:rPr>
        <w:t>能力成熟度</w:t>
      </w:r>
      <w:r>
        <w:rPr>
          <w:spacing w:val="-60"/>
        </w:rPr>
        <w:t> </w:t>
      </w:r>
      <w:r>
        <w:rPr/>
        <w:t>模型集成五级、国家保密局颁发的《涉密信息系统集成甲级资质证书》。</w:t>
      </w:r>
    </w:p>
    <w:p>
      <w:pPr>
        <w:pStyle w:val="BodyText"/>
        <w:spacing w:line="319" w:lineRule="auto" w:before="55"/>
        <w:ind w:right="1133" w:firstLine="360"/>
        <w:jc w:val="both"/>
      </w:pPr>
      <w:r>
        <w:rPr>
          <w:spacing w:val="-2"/>
        </w:rPr>
        <w:t>子公司东方通宇已取得国防武器装备科研生产单位保密资格审查认证委员会颁发的《二级保密资格单位证书》、武器装</w:t>
      </w:r>
      <w:r>
        <w:rPr/>
        <w:t> 备质量系认证相关资质。</w:t>
      </w:r>
    </w:p>
    <w:p>
      <w:pPr>
        <w:pStyle w:val="BodyText"/>
        <w:spacing w:line="319" w:lineRule="auto" w:before="55"/>
        <w:ind w:right="1132" w:firstLine="360"/>
        <w:jc w:val="both"/>
      </w:pPr>
      <w:r>
        <w:rPr>
          <w:spacing w:val="-2"/>
        </w:rPr>
        <w:t>创新是东方通的发展源泉，也是公司的核心竞争力。公司除了通过整合业务板块、优化管理结构、加强内控管理、提高</w:t>
      </w:r>
      <w:r>
        <w:rPr/>
        <w:t> </w:t>
      </w:r>
      <w:r>
        <w:rPr>
          <w:spacing w:val="-2"/>
        </w:rPr>
        <w:t>品牌建设、拓宽营销产品线等举措提升公司竞争力以外，主要通过持续的商业模式及管理模式的创新不断发展前进，立志成</w:t>
      </w:r>
      <w:r>
        <w:rPr>
          <w:spacing w:val="-66"/>
        </w:rPr>
        <w:t> </w:t>
      </w:r>
      <w:r>
        <w:rPr>
          <w:spacing w:val="-66"/>
        </w:rPr>
      </w:r>
      <w:r>
        <w:rPr/>
        <w:t>为一家“自主可控、安全可靠”的创新型企业。</w:t>
      </w:r>
    </w:p>
    <w:p>
      <w:pPr>
        <w:pStyle w:val="Heading5"/>
        <w:spacing w:line="240" w:lineRule="auto" w:before="137"/>
        <w:ind w:left="515" w:right="967"/>
        <w:jc w:val="left"/>
        <w:rPr>
          <w:b w:val="0"/>
          <w:bCs w:val="0"/>
        </w:rPr>
      </w:pPr>
      <w:r>
        <w:rPr/>
        <w:t>（一）技术创新优势</w:t>
      </w:r>
      <w:r>
        <w:rPr>
          <w:b w:val="0"/>
          <w:bCs w:val="0"/>
        </w:rPr>
      </w:r>
    </w:p>
    <w:p>
      <w:pPr>
        <w:spacing w:line="240" w:lineRule="auto" w:before="1"/>
        <w:rPr>
          <w:rFonts w:ascii="宋体" w:hAnsi="宋体" w:cs="宋体" w:eastAsia="宋体" w:hint="default"/>
          <w:b/>
          <w:bCs/>
          <w:sz w:val="15"/>
          <w:szCs w:val="15"/>
        </w:rPr>
      </w:pPr>
    </w:p>
    <w:p>
      <w:pPr>
        <w:pStyle w:val="BodyText"/>
        <w:spacing w:line="357" w:lineRule="auto"/>
        <w:ind w:left="514" w:right="967"/>
        <w:jc w:val="left"/>
      </w:pPr>
      <w:r>
        <w:rPr/>
        <w:t>公司一直高度重视产品研发和技术进步，并致力于不断的技术创新提升公司的竞争力。 </w:t>
      </w:r>
      <w:r>
        <w:rPr>
          <w:rFonts w:ascii="宋体" w:hAnsi="宋体" w:cs="宋体" w:eastAsia="宋体" w:hint="default"/>
        </w:rPr>
        <w:t>1</w:t>
      </w:r>
      <w:r>
        <w:rPr/>
        <w:t>、核心技术自主研发能力强，产品转化率高 </w:t>
      </w:r>
      <w:r>
        <w:rPr>
          <w:spacing w:val="-2"/>
        </w:rPr>
        <w:t>公司拥有一支优秀的核心技术研究与软件开发团队，人员本科及以上学历占比</w:t>
      </w:r>
      <w:r>
        <w:rPr>
          <w:rFonts w:ascii="宋体" w:hAnsi="宋体" w:cs="宋体" w:eastAsia="宋体" w:hint="default"/>
          <w:spacing w:val="-2"/>
        </w:rPr>
        <w:t>90%</w:t>
      </w:r>
      <w:r>
        <w:rPr>
          <w:spacing w:val="-2"/>
        </w:rPr>
        <w:t>以上，除北京总部外，在成都、武汉、</w:t>
      </w:r>
    </w:p>
    <w:p>
      <w:pPr>
        <w:pStyle w:val="BodyText"/>
        <w:spacing w:line="224" w:lineRule="exact"/>
        <w:ind w:right="967"/>
        <w:jc w:val="left"/>
      </w:pPr>
      <w:r>
        <w:rPr/>
        <w:t>郑州分别建有研发基地。公司拥有自主研发的多项软件著作权及产品证书，并取得多件国家专利授权证书，多次获得国家、</w:t>
      </w:r>
    </w:p>
    <w:p>
      <w:pPr>
        <w:spacing w:after="0" w:line="224" w:lineRule="exact"/>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514" w:right="967" w:hanging="360"/>
        <w:jc w:val="left"/>
      </w:pPr>
      <w:r>
        <w:rPr/>
        <w:t>北京市的成果转化、创新基金等方面的资金支持。 </w:t>
      </w:r>
      <w:r>
        <w:rPr>
          <w:spacing w:val="-2"/>
        </w:rPr>
        <w:t>基础安全方面，持续多年的积累与努力，使公司在中间件核心技术上积累丰厚，技术和产品创新不断。公司主导或参与</w:t>
      </w:r>
    </w:p>
    <w:p>
      <w:pPr>
        <w:pStyle w:val="BodyText"/>
        <w:spacing w:line="224" w:lineRule="exact"/>
        <w:ind w:right="967"/>
        <w:jc w:val="left"/>
      </w:pPr>
      <w:r>
        <w:rPr/>
        <w:t>制定了中间件、</w:t>
      </w:r>
      <w:r>
        <w:rPr>
          <w:rFonts w:ascii="宋体" w:hAnsi="宋体" w:cs="宋体" w:eastAsia="宋体" w:hint="default"/>
        </w:rPr>
        <w:t>SOA</w:t>
      </w:r>
      <w:r>
        <w:rPr/>
        <w:t>、云计算与智慧城市相关国家和行业标准</w:t>
      </w:r>
      <w:r>
        <w:rPr>
          <w:rFonts w:ascii="宋体" w:hAnsi="宋体" w:cs="宋体" w:eastAsia="宋体" w:hint="default"/>
        </w:rPr>
        <w:t>30</w:t>
      </w:r>
      <w:r>
        <w:rPr/>
        <w:t>余项，承担多项“核高基”国家重大科技专项课题任务；在</w:t>
      </w:r>
    </w:p>
    <w:p>
      <w:pPr>
        <w:pStyle w:val="BodyText"/>
        <w:spacing w:line="319" w:lineRule="auto" w:before="76"/>
        <w:ind w:right="1131"/>
        <w:jc w:val="both"/>
      </w:pPr>
      <w:r>
        <w:rPr>
          <w:spacing w:val="-2"/>
        </w:rPr>
        <w:t>基础中间件、数据与服务中间件，以及行业领域平台等方面发布</w:t>
      </w:r>
      <w:r>
        <w:rPr>
          <w:rFonts w:ascii="宋体" w:hAnsi="宋体" w:cs="宋体" w:eastAsia="宋体" w:hint="default"/>
          <w:spacing w:val="-2"/>
        </w:rPr>
        <w:t>40</w:t>
      </w:r>
      <w:r>
        <w:rPr>
          <w:spacing w:val="-2"/>
        </w:rPr>
        <w:t>余款新产品，并不断叠加升级软件版本，产品具有较强的</w:t>
      </w:r>
      <w:r>
        <w:rPr>
          <w:spacing w:val="-64"/>
        </w:rPr>
        <w:t> </w:t>
      </w:r>
      <w:r>
        <w:rPr>
          <w:spacing w:val="-64"/>
        </w:rPr>
      </w:r>
      <w:r>
        <w:rPr>
          <w:spacing w:val="-2"/>
        </w:rPr>
        <w:t>竞争优势；与优秀行业客户和上下游优势厂商深度技术合作，与华夏银行建立了中间件联合实验室，与神州数码等厂商建立</w:t>
      </w:r>
      <w:r>
        <w:rPr>
          <w:spacing w:val="-66"/>
        </w:rPr>
        <w:t> </w:t>
      </w:r>
      <w:r>
        <w:rPr>
          <w:spacing w:val="-66"/>
        </w:rPr>
      </w:r>
      <w:r>
        <w:rPr>
          <w:spacing w:val="-2"/>
        </w:rPr>
        <w:t>了安全可靠联合实验室，针对中间件技术、云计算，与国产技术环境的适配进行自主研发，完善与孵化产品。公司技术中心</w:t>
      </w:r>
      <w:r>
        <w:rPr>
          <w:spacing w:val="-65"/>
        </w:rPr>
        <w:t> </w:t>
      </w:r>
      <w:r>
        <w:rPr>
          <w:spacing w:val="-65"/>
        </w:rPr>
      </w:r>
      <w:r>
        <w:rPr/>
        <w:t>是北京市认定的企业技术中心，与“安全可靠技术和产业联盟”、“龙安联盟”等自主可控体系内共同推进国产化进程。</w:t>
      </w:r>
    </w:p>
    <w:p>
      <w:pPr>
        <w:pStyle w:val="BodyText"/>
        <w:spacing w:line="319" w:lineRule="auto" w:before="56"/>
        <w:ind w:right="967" w:firstLine="540"/>
        <w:jc w:val="left"/>
      </w:pPr>
      <w:r>
        <w:rPr>
          <w:spacing w:val="-4"/>
        </w:rPr>
        <w:t>信息安全方面，公司以自主研发为核心，打造了高性能数据采集及处理技术、基于网络及信息安全的大数据异构算法、</w:t>
      </w:r>
      <w:r>
        <w:rPr/>
        <w:t> 文字图片及视频识别深度学习技术、网络病毒检测等多种核心技术，技术储备业内领先。</w:t>
      </w:r>
    </w:p>
    <w:p>
      <w:pPr>
        <w:pStyle w:val="BodyText"/>
        <w:spacing w:line="357" w:lineRule="auto" w:before="56"/>
        <w:ind w:left="514" w:right="967"/>
        <w:jc w:val="left"/>
      </w:pPr>
      <w:r>
        <w:rPr>
          <w:rFonts w:ascii="宋体" w:hAnsi="宋体" w:cs="宋体" w:eastAsia="宋体" w:hint="default"/>
        </w:rPr>
        <w:t>2</w:t>
      </w:r>
      <w:r>
        <w:rPr/>
        <w:t>、与国内知名研究机构开展深度合作，推进产学研和人才培养机制 </w:t>
      </w:r>
      <w:r>
        <w:rPr>
          <w:spacing w:val="-2"/>
        </w:rPr>
        <w:t>围绕公司技术发展方向及产品研发需要，公司与四川大学、清华大学共同开展软件代码分析与监测技术的研发，并申请</w:t>
      </w:r>
    </w:p>
    <w:p>
      <w:pPr>
        <w:pStyle w:val="BodyText"/>
        <w:spacing w:line="224" w:lineRule="exact"/>
        <w:ind w:right="967"/>
        <w:jc w:val="left"/>
      </w:pPr>
      <w:r>
        <w:rPr/>
        <w:t>相关知识产权。针对中间件相关技术研究与产品研发，与中国科学院软件所等科研机构在集群、内存计算等方面进行合作，</w:t>
      </w:r>
    </w:p>
    <w:p>
      <w:pPr>
        <w:pStyle w:val="BodyText"/>
        <w:spacing w:line="357" w:lineRule="auto" w:before="77"/>
        <w:ind w:left="514" w:right="967" w:hanging="360"/>
        <w:jc w:val="left"/>
      </w:pPr>
      <w:r>
        <w:rPr/>
        <w:t>为后续产品完善升级提供技术准备。 </w:t>
      </w:r>
      <w:r>
        <w:rPr>
          <w:spacing w:val="-2"/>
        </w:rPr>
        <w:t>公司与北京邮电大学共建联合实验室，以信息安全领域的相关研究作为重点。主要研究领域包括基于人工智能的文本分</w:t>
      </w:r>
    </w:p>
    <w:p>
      <w:pPr>
        <w:pStyle w:val="BodyText"/>
        <w:spacing w:line="224" w:lineRule="exact"/>
        <w:ind w:right="967"/>
        <w:jc w:val="left"/>
      </w:pPr>
      <w:r>
        <w:rPr/>
        <w:t>析与语义挖掘，图像处理、分析与识别，以及信息内容安全技术等。在“寻找算法界最强大脑—</w:t>
      </w:r>
      <w:r>
        <w:rPr>
          <w:rFonts w:ascii="宋体" w:hAnsi="宋体" w:cs="宋体" w:eastAsia="宋体" w:hint="default"/>
        </w:rPr>
        <w:t>2017</w:t>
      </w:r>
      <w:r>
        <w:rPr/>
        <w:t>知乎看山杯机器学习挑</w:t>
      </w:r>
    </w:p>
    <w:p>
      <w:pPr>
        <w:pStyle w:val="BodyText"/>
        <w:spacing w:line="357" w:lineRule="auto" w:before="77"/>
        <w:ind w:left="514" w:right="967" w:hanging="360"/>
        <w:jc w:val="left"/>
      </w:pPr>
      <w:r>
        <w:rPr/>
        <w:t>战赛”中，联合实验室派出的两支队伍分别夺取第一名和第二名的成绩。 </w:t>
      </w:r>
      <w:r>
        <w:rPr>
          <w:rFonts w:ascii="宋体" w:hAnsi="宋体" w:cs="宋体" w:eastAsia="宋体" w:hint="default"/>
        </w:rPr>
        <w:t>3</w:t>
      </w:r>
      <w:r>
        <w:rPr/>
        <w:t>、在基础通信安全领域和应急安全领域核心技术增强 </w:t>
      </w:r>
      <w:r>
        <w:rPr>
          <w:spacing w:val="-2"/>
        </w:rPr>
        <w:t>基于在自主可控和安全领域的全面布局，</w:t>
      </w:r>
      <w:r>
        <w:rPr>
          <w:rFonts w:ascii="宋体" w:hAnsi="宋体" w:cs="宋体" w:eastAsia="宋体" w:hint="default"/>
          <w:spacing w:val="-2"/>
        </w:rPr>
        <w:t>2018</w:t>
      </w:r>
      <w:r>
        <w:rPr>
          <w:spacing w:val="-2"/>
        </w:rPr>
        <w:t>年完成了对泰策科技的并购工作，进一步巩固和加强了在基础通信和基础</w:t>
      </w:r>
    </w:p>
    <w:p>
      <w:pPr>
        <w:pStyle w:val="BodyText"/>
        <w:spacing w:line="224" w:lineRule="exact"/>
        <w:ind w:right="967"/>
        <w:jc w:val="left"/>
      </w:pPr>
      <w:r>
        <w:rPr/>
        <w:t>安全领域的竞争力。泰策科技的解决方案主要包括域名解析系统（</w:t>
      </w:r>
      <w:r>
        <w:rPr>
          <w:rFonts w:ascii="宋体" w:hAnsi="宋体" w:cs="宋体" w:eastAsia="宋体" w:hint="default"/>
        </w:rPr>
        <w:t>DNS</w:t>
      </w:r>
      <w:r>
        <w:rPr/>
        <w:t>）、应急通信和数据安全。作为国内首家商用</w:t>
      </w:r>
      <w:r>
        <w:rPr>
          <w:rFonts w:ascii="宋体" w:hAnsi="宋体" w:cs="宋体" w:eastAsia="宋体" w:hint="default"/>
        </w:rPr>
        <w:t>DNS</w:t>
      </w:r>
      <w:r>
        <w:rPr/>
        <w:t>解决</w:t>
      </w:r>
    </w:p>
    <w:p>
      <w:pPr>
        <w:pStyle w:val="BodyText"/>
        <w:spacing w:line="319" w:lineRule="auto" w:before="76"/>
        <w:ind w:right="967"/>
        <w:jc w:val="left"/>
      </w:pPr>
      <w:r>
        <w:rPr/>
        <w:t>方案提供商，</w:t>
      </w:r>
      <w:r>
        <w:rPr>
          <w:rFonts w:ascii="宋体" w:hAnsi="宋体" w:cs="宋体" w:eastAsia="宋体" w:hint="default"/>
        </w:rPr>
        <w:t>2005</w:t>
      </w:r>
      <w:r>
        <w:rPr/>
        <w:t>年就开始进入了</w:t>
      </w:r>
      <w:r>
        <w:rPr>
          <w:rFonts w:ascii="宋体" w:hAnsi="宋体" w:cs="宋体" w:eastAsia="宋体" w:hint="default"/>
        </w:rPr>
        <w:t>DNS</w:t>
      </w:r>
      <w:r>
        <w:rPr/>
        <w:t>市场，推动了国内</w:t>
      </w:r>
      <w:r>
        <w:rPr>
          <w:rFonts w:ascii="宋体" w:hAnsi="宋体" w:cs="宋体" w:eastAsia="宋体" w:hint="default"/>
        </w:rPr>
        <w:t>DNS</w:t>
      </w:r>
      <w:r>
        <w:rPr/>
        <w:t>系统的商业化进程，改变了国内主要依靠开源免费的</w:t>
      </w:r>
      <w:r>
        <w:rPr>
          <w:rFonts w:ascii="宋体" w:hAnsi="宋体" w:cs="宋体" w:eastAsia="宋体" w:hint="default"/>
        </w:rPr>
        <w:t>DNS</w:t>
      </w:r>
      <w:r>
        <w:rPr/>
        <w:t>产品的 </w:t>
      </w:r>
      <w:r>
        <w:rPr>
          <w:spacing w:val="-2"/>
        </w:rPr>
        <w:t>局面，极大地提升了</w:t>
      </w:r>
      <w:r>
        <w:rPr>
          <w:rFonts w:ascii="宋体" w:hAnsi="宋体" w:cs="宋体" w:eastAsia="宋体" w:hint="default"/>
          <w:spacing w:val="-2"/>
        </w:rPr>
        <w:t>DNS</w:t>
      </w:r>
      <w:r>
        <w:rPr>
          <w:spacing w:val="-2"/>
        </w:rPr>
        <w:t>的性能、安全性、稳定性和可管理性。泰策科技在</w:t>
      </w:r>
      <w:r>
        <w:rPr>
          <w:rFonts w:ascii="宋体" w:hAnsi="宋体" w:cs="宋体" w:eastAsia="宋体" w:hint="default"/>
          <w:spacing w:val="-2"/>
        </w:rPr>
        <w:t>DNS</w:t>
      </w:r>
      <w:r>
        <w:rPr>
          <w:spacing w:val="-2"/>
        </w:rPr>
        <w:t>方面的客户主要是电信运营商，同时逐步开始</w:t>
      </w:r>
      <w:r>
        <w:rPr>
          <w:spacing w:val="-60"/>
        </w:rPr>
        <w:t> </w:t>
      </w:r>
      <w:r>
        <w:rPr>
          <w:spacing w:val="-60"/>
        </w:rPr>
      </w:r>
      <w:r>
        <w:rPr>
          <w:spacing w:val="-4"/>
        </w:rPr>
        <w:t>进入政企市场，目前已经有包括交通部、北京市政府、央视、中煤集团等标杆客户。在应急通信行业，泰策科技取得了良好、</w:t>
      </w:r>
      <w:r>
        <w:rPr>
          <w:spacing w:val="-44"/>
        </w:rPr>
        <w:t> </w:t>
      </w:r>
      <w:r>
        <w:rPr>
          <w:spacing w:val="-44"/>
        </w:rPr>
      </w:r>
      <w:r>
        <w:rPr>
          <w:spacing w:val="-2"/>
        </w:rPr>
        <w:t>快速发展，市场规模不断扩大，市场占有率不断提升，在应急通信市场领域处于前列。应急通信指挥系统序列产品已推广到</w:t>
      </w:r>
      <w:r>
        <w:rPr>
          <w:spacing w:val="-66"/>
        </w:rPr>
        <w:t> </w:t>
      </w:r>
      <w:r>
        <w:rPr>
          <w:spacing w:val="-66"/>
        </w:rPr>
      </w:r>
      <w:r>
        <w:rPr/>
        <w:t>多个省通信管理局，并得到了客户的认可。</w:t>
      </w:r>
    </w:p>
    <w:p>
      <w:pPr>
        <w:pStyle w:val="BodyText"/>
        <w:spacing w:line="319" w:lineRule="auto" w:before="56"/>
        <w:ind w:right="1130" w:firstLine="360"/>
        <w:jc w:val="both"/>
      </w:pPr>
      <w:r>
        <w:rPr>
          <w:spacing w:val="-2"/>
        </w:rPr>
        <w:t>泰策公司建立了规范科学的产品、人员、开发流程等研发管理体系，并固化到了内部的</w:t>
      </w:r>
      <w:r>
        <w:rPr>
          <w:rFonts w:ascii="宋体" w:hAnsi="宋体" w:cs="宋体" w:eastAsia="宋体" w:hint="default"/>
          <w:spacing w:val="-2"/>
        </w:rPr>
        <w:t>IT</w:t>
      </w:r>
      <w:r>
        <w:rPr>
          <w:spacing w:val="-2"/>
        </w:rPr>
        <w:t>系统中，保证了公司能够以用</w:t>
      </w:r>
      <w:r>
        <w:rPr/>
        <w:t> 户需求为导向，集中优势资源快速优质的为用户交付具有竞争力的产品和解决方案，满足用户不断追求卓越的目标。</w:t>
      </w:r>
    </w:p>
    <w:p>
      <w:pPr>
        <w:pStyle w:val="BodyText"/>
        <w:spacing w:line="240" w:lineRule="auto" w:before="56"/>
        <w:ind w:left="514" w:right="967"/>
        <w:jc w:val="left"/>
      </w:pPr>
      <w:r>
        <w:rPr/>
        <w:t>在</w:t>
      </w:r>
      <w:r>
        <w:rPr>
          <w:rFonts w:ascii="宋体" w:hAnsi="宋体" w:cs="宋体" w:eastAsia="宋体" w:hint="default"/>
        </w:rPr>
        <w:t>DNS</w:t>
      </w:r>
      <w:r>
        <w:rPr/>
        <w:t>解决方案方面，我们有如下的核心技术：</w:t>
      </w:r>
    </w:p>
    <w:p>
      <w:pPr>
        <w:pStyle w:val="BodyText"/>
        <w:spacing w:line="338" w:lineRule="auto" w:before="116"/>
        <w:ind w:left="514" w:right="967"/>
        <w:jc w:val="left"/>
      </w:pPr>
      <w:r>
        <w:rPr/>
        <w:t>（</w:t>
      </w:r>
      <w:r>
        <w:rPr>
          <w:rFonts w:ascii="Times New Roman" w:hAnsi="Times New Roman" w:cs="Times New Roman" w:eastAsia="Times New Roman" w:hint="default"/>
        </w:rPr>
        <w:t>1</w:t>
      </w:r>
      <w:r>
        <w:rPr/>
        <w:t>）基于内核态的</w:t>
      </w:r>
      <w:r>
        <w:rPr>
          <w:rFonts w:ascii="Times New Roman" w:hAnsi="Times New Roman" w:cs="Times New Roman" w:eastAsia="Times New Roman" w:hint="default"/>
        </w:rPr>
        <w:t>DNS</w:t>
      </w:r>
      <w:r>
        <w:rPr/>
        <w:t>请求缓存响应技术 </w:t>
      </w:r>
      <w:r>
        <w:rPr>
          <w:spacing w:val="-1"/>
        </w:rPr>
        <w:t>一般来说</w:t>
      </w:r>
      <w:r>
        <w:rPr>
          <w:rFonts w:ascii="Times New Roman" w:hAnsi="Times New Roman" w:cs="Times New Roman" w:eastAsia="Times New Roman" w:hint="default"/>
          <w:spacing w:val="-1"/>
        </w:rPr>
        <w:t>DNS</w:t>
      </w:r>
      <w:r>
        <w:rPr>
          <w:spacing w:val="-1"/>
        </w:rPr>
        <w:t>请求的缓存响应都是放在</w:t>
      </w:r>
      <w:r>
        <w:rPr>
          <w:rFonts w:ascii="Times New Roman" w:hAnsi="Times New Roman" w:cs="Times New Roman" w:eastAsia="Times New Roman" w:hint="default"/>
          <w:spacing w:val="-1"/>
        </w:rPr>
        <w:t>OSI</w:t>
      </w:r>
      <w:r>
        <w:rPr>
          <w:spacing w:val="-1"/>
        </w:rPr>
        <w:t>模型中的应用层来进行的，由于网络协议栈的处理流程以及内核到应用层的</w:t>
      </w:r>
    </w:p>
    <w:p>
      <w:pPr>
        <w:pStyle w:val="BodyText"/>
        <w:spacing w:line="230" w:lineRule="exact"/>
        <w:ind w:right="967"/>
        <w:jc w:val="left"/>
      </w:pPr>
      <w:r>
        <w:rPr/>
        <w:t>数据拷贝带来的性能消耗，使得</w:t>
      </w:r>
      <w:r>
        <w:rPr>
          <w:rFonts w:ascii="Times New Roman" w:hAnsi="Times New Roman" w:cs="Times New Roman" w:eastAsia="Times New Roman" w:hint="default"/>
        </w:rPr>
        <w:t>DNS</w:t>
      </w:r>
      <w:r>
        <w:rPr/>
        <w:t>服务器的处理能力较一般的网络设备要低很多。我司将</w:t>
      </w:r>
      <w:r>
        <w:rPr>
          <w:rFonts w:ascii="Times New Roman" w:hAnsi="Times New Roman" w:cs="Times New Roman" w:eastAsia="Times New Roman" w:hint="default"/>
        </w:rPr>
        <w:t>DNS</w:t>
      </w:r>
      <w:r>
        <w:rPr/>
        <w:t>请求的缓存响应调整到了</w:t>
      </w:r>
    </w:p>
    <w:p>
      <w:pPr>
        <w:pStyle w:val="BodyText"/>
        <w:spacing w:line="300" w:lineRule="auto" w:before="63"/>
        <w:ind w:right="1130"/>
        <w:jc w:val="both"/>
      </w:pPr>
      <w:r>
        <w:rPr>
          <w:rFonts w:ascii="Times New Roman" w:hAnsi="Times New Roman" w:cs="Times New Roman" w:eastAsia="Times New Roman" w:hint="default"/>
          <w:spacing w:val="-1"/>
        </w:rPr>
        <w:t>OSI</w:t>
      </w:r>
      <w:r>
        <w:rPr>
          <w:spacing w:val="-1"/>
        </w:rPr>
        <w:t>模型中的网络层来，即操作系统的内核态来进行，使用</w:t>
      </w:r>
      <w:r>
        <w:rPr>
          <w:rFonts w:ascii="Times New Roman" w:hAnsi="Times New Roman" w:cs="Times New Roman" w:eastAsia="Times New Roman" w:hint="default"/>
          <w:spacing w:val="-1"/>
        </w:rPr>
        <w:t>netfilter</w:t>
      </w:r>
      <w:r>
        <w:rPr>
          <w:spacing w:val="-1"/>
        </w:rPr>
        <w:t>钩子点对</w:t>
      </w:r>
      <w:r>
        <w:rPr>
          <w:rFonts w:ascii="Times New Roman" w:hAnsi="Times New Roman" w:cs="Times New Roman" w:eastAsia="Times New Roman" w:hint="default"/>
          <w:spacing w:val="-1"/>
        </w:rPr>
        <w:t>DNS</w:t>
      </w:r>
      <w:r>
        <w:rPr>
          <w:spacing w:val="-1"/>
        </w:rPr>
        <w:t>报文处理，减少了网络协议栈繁琐的处理流</w:t>
      </w:r>
      <w:r>
        <w:rPr>
          <w:spacing w:val="-80"/>
        </w:rPr>
        <w:t> </w:t>
      </w:r>
      <w:r>
        <w:rPr>
          <w:spacing w:val="-80"/>
        </w:rPr>
      </w:r>
      <w:r>
        <w:rPr>
          <w:spacing w:val="-2"/>
        </w:rPr>
        <w:t>程以及内核到应用层的数据拷贝带来的性能消耗，将</w:t>
      </w:r>
      <w:r>
        <w:rPr>
          <w:rFonts w:ascii="Times New Roman" w:hAnsi="Times New Roman" w:cs="Times New Roman" w:eastAsia="Times New Roman" w:hint="default"/>
          <w:spacing w:val="-2"/>
        </w:rPr>
        <w:t>DNS</w:t>
      </w:r>
      <w:r>
        <w:rPr>
          <w:spacing w:val="-2"/>
        </w:rPr>
        <w:t>服务器的缓存处理能力提高了约</w:t>
      </w:r>
      <w:r>
        <w:rPr>
          <w:rFonts w:ascii="Times New Roman" w:hAnsi="Times New Roman" w:cs="Times New Roman" w:eastAsia="Times New Roman" w:hint="default"/>
          <w:spacing w:val="-2"/>
        </w:rPr>
        <w:t>10</w:t>
      </w:r>
      <w:r>
        <w:rPr>
          <w:spacing w:val="-2"/>
        </w:rPr>
        <w:t>倍，可以更好地满足互联网用户</w:t>
      </w:r>
      <w:r>
        <w:rPr>
          <w:spacing w:val="-63"/>
        </w:rPr>
        <w:t> </w:t>
      </w:r>
      <w:r>
        <w:rPr>
          <w:spacing w:val="-63"/>
        </w:rPr>
      </w:r>
      <w:r>
        <w:rPr/>
        <w:t>和业务的快速发展。</w:t>
      </w:r>
    </w:p>
    <w:p>
      <w:pPr>
        <w:pStyle w:val="BodyText"/>
        <w:spacing w:line="240" w:lineRule="auto" w:before="71"/>
        <w:ind w:left="514" w:right="967"/>
        <w:jc w:val="left"/>
      </w:pPr>
      <w:r>
        <w:rPr/>
        <w:t>（</w:t>
      </w:r>
      <w:r>
        <w:rPr>
          <w:rFonts w:ascii="Times New Roman" w:hAnsi="Times New Roman" w:cs="Times New Roman" w:eastAsia="Times New Roman" w:hint="default"/>
        </w:rPr>
        <w:t>2</w:t>
      </w:r>
      <w:r>
        <w:rPr/>
        <w:t>）基于随机请求限速的</w:t>
      </w:r>
      <w:r>
        <w:rPr>
          <w:rFonts w:ascii="Times New Roman" w:hAnsi="Times New Roman" w:cs="Times New Roman" w:eastAsia="Times New Roman" w:hint="default"/>
        </w:rPr>
        <w:t>DNS</w:t>
      </w:r>
      <w:r>
        <w:rPr/>
        <w:t>递归攻击防护技术</w:t>
      </w:r>
    </w:p>
    <w:p>
      <w:pPr>
        <w:pStyle w:val="BodyText"/>
        <w:spacing w:line="300" w:lineRule="auto" w:before="101"/>
        <w:ind w:right="1130" w:firstLine="360"/>
        <w:jc w:val="both"/>
      </w:pPr>
      <w:r>
        <w:rPr>
          <w:rFonts w:ascii="Times New Roman" w:hAnsi="Times New Roman" w:cs="Times New Roman" w:eastAsia="Times New Roman" w:hint="default"/>
          <w:spacing w:val="-2"/>
        </w:rPr>
        <w:t>DNS</w:t>
      </w:r>
      <w:r>
        <w:rPr>
          <w:spacing w:val="-2"/>
        </w:rPr>
        <w:t>的重要性使其自然地成为黑客攻击的重要目标之一，国内外</w:t>
      </w:r>
      <w:r>
        <w:rPr>
          <w:rFonts w:ascii="Times New Roman" w:hAnsi="Times New Roman" w:cs="Times New Roman" w:eastAsia="Times New Roman" w:hint="default"/>
          <w:spacing w:val="-2"/>
        </w:rPr>
        <w:t>DNS</w:t>
      </w:r>
      <w:r>
        <w:rPr>
          <w:spacing w:val="-2"/>
        </w:rPr>
        <w:t>遭受攻击的事件也屡见不鲜。之前较为常见的为黑</w:t>
      </w:r>
      <w:r>
        <w:rPr/>
        <w:t> </w:t>
      </w:r>
      <w:r>
        <w:rPr>
          <w:spacing w:val="-1"/>
        </w:rPr>
        <w:t>客构造大量的重复</w:t>
      </w:r>
      <w:r>
        <w:rPr>
          <w:rFonts w:ascii="Times New Roman" w:hAnsi="Times New Roman" w:cs="Times New Roman" w:eastAsia="Times New Roman" w:hint="default"/>
          <w:spacing w:val="-1"/>
        </w:rPr>
        <w:t>DNS</w:t>
      </w:r>
      <w:r>
        <w:rPr>
          <w:spacing w:val="-1"/>
        </w:rPr>
        <w:t>报文对</w:t>
      </w:r>
      <w:r>
        <w:rPr>
          <w:rFonts w:ascii="Times New Roman" w:hAnsi="Times New Roman" w:cs="Times New Roman" w:eastAsia="Times New Roman" w:hint="default"/>
          <w:spacing w:val="-1"/>
        </w:rPr>
        <w:t>DNS</w:t>
      </w:r>
      <w:r>
        <w:rPr>
          <w:spacing w:val="-1"/>
        </w:rPr>
        <w:t>服务器进行</w:t>
      </w:r>
      <w:r>
        <w:rPr/>
        <w:t> </w:t>
      </w:r>
      <w:r>
        <w:rPr>
          <w:rFonts w:ascii="Times New Roman" w:hAnsi="Times New Roman" w:cs="Times New Roman" w:eastAsia="Times New Roman" w:hint="default"/>
          <w:spacing w:val="-2"/>
        </w:rPr>
        <w:t>DDoS</w:t>
      </w:r>
      <w:r>
        <w:rPr>
          <w:spacing w:val="-2"/>
        </w:rPr>
        <w:t>攻击，但一方面现在</w:t>
      </w:r>
      <w:r>
        <w:rPr>
          <w:rFonts w:ascii="Times New Roman" w:hAnsi="Times New Roman" w:cs="Times New Roman" w:eastAsia="Times New Roman" w:hint="default"/>
          <w:spacing w:val="-2"/>
        </w:rPr>
        <w:t>DNS</w:t>
      </w:r>
      <w:r>
        <w:rPr>
          <w:spacing w:val="-2"/>
        </w:rPr>
        <w:t>服务器的缓存处理能力有了较大的提升，另一</w:t>
      </w:r>
      <w:r>
        <w:rPr>
          <w:spacing w:val="-88"/>
        </w:rPr>
        <w:t> </w:t>
      </w:r>
      <w:r>
        <w:rPr>
          <w:spacing w:val="-88"/>
        </w:rPr>
      </w:r>
      <w:r>
        <w:rPr/>
        <w:t>方面此类攻击也可较方便地通过技术手段进行过滤，现在更为常见的为</w:t>
      </w:r>
      <w:r>
        <w:rPr>
          <w:rFonts w:ascii="Times New Roman" w:hAnsi="Times New Roman" w:cs="Times New Roman" w:eastAsia="Times New Roman" w:hint="default"/>
        </w:rPr>
        <w:t>DNS</w:t>
      </w:r>
      <w:r>
        <w:rPr/>
        <w:t>递归攻击。</w:t>
      </w:r>
    </w:p>
    <w:p>
      <w:pPr>
        <w:pStyle w:val="BodyText"/>
        <w:spacing w:line="304" w:lineRule="auto" w:before="52"/>
        <w:ind w:right="1131" w:firstLine="360"/>
        <w:jc w:val="both"/>
      </w:pPr>
      <w:r>
        <w:rPr>
          <w:spacing w:val="-1"/>
        </w:rPr>
        <w:t>所谓</w:t>
      </w:r>
      <w:r>
        <w:rPr>
          <w:rFonts w:ascii="Times New Roman" w:hAnsi="Times New Roman" w:cs="Times New Roman" w:eastAsia="Times New Roman" w:hint="default"/>
          <w:spacing w:val="-1"/>
        </w:rPr>
        <w:t>DNS</w:t>
      </w:r>
      <w:r>
        <w:rPr>
          <w:spacing w:val="-1"/>
        </w:rPr>
        <w:t>递归攻击，有时也被称为</w:t>
      </w:r>
      <w:r>
        <w:rPr>
          <w:rFonts w:ascii="Times New Roman" w:hAnsi="Times New Roman" w:cs="Times New Roman" w:eastAsia="Times New Roman" w:hint="default"/>
          <w:spacing w:val="-1"/>
        </w:rPr>
        <w:t>NXDomain</w:t>
      </w:r>
      <w:r>
        <w:rPr>
          <w:spacing w:val="-1"/>
        </w:rPr>
        <w:t>攻击，操纵大量傀儡机器向被攻击的域名服务器发起大量随机的域名查询</w:t>
      </w:r>
      <w:r>
        <w:rPr/>
        <w:t> </w:t>
      </w:r>
      <w:r>
        <w:rPr>
          <w:spacing w:val="-2"/>
        </w:rPr>
        <w:t>请求进行递归查询，这些域名查询请求的域名通常是随机生成或者是网络上根本不存在的域名（</w:t>
      </w:r>
      <w:r>
        <w:rPr>
          <w:rFonts w:ascii="Times New Roman" w:hAnsi="Times New Roman" w:cs="Times New Roman" w:eastAsia="Times New Roman" w:hint="default"/>
          <w:spacing w:val="-2"/>
        </w:rPr>
        <w:t>NXDomain</w:t>
      </w:r>
      <w:r>
        <w:rPr>
          <w:spacing w:val="-2"/>
        </w:rPr>
        <w:t>）</w:t>
      </w:r>
      <w:r>
        <w:rPr>
          <w:rFonts w:ascii="Times New Roman" w:hAnsi="Times New Roman" w:cs="Times New Roman" w:eastAsia="Times New Roman" w:hint="default"/>
          <w:spacing w:val="-2"/>
        </w:rPr>
        <w:t>,</w:t>
      </w:r>
      <w:r>
        <w:rPr>
          <w:spacing w:val="-2"/>
        </w:rPr>
        <w:t>被攻击的域名</w:t>
      </w:r>
      <w:r>
        <w:rPr>
          <w:spacing w:val="-45"/>
        </w:rPr>
        <w:t> </w:t>
      </w:r>
      <w:r>
        <w:rPr>
          <w:spacing w:val="-2"/>
        </w:rPr>
        <w:t>服务器在接收到这种域名查询请求后首先会查询是否在本地缓存中存有相对应的资源记录，如果查找不到，该域名服务器会</w:t>
      </w:r>
      <w:r>
        <w:rPr>
          <w:spacing w:val="-64"/>
        </w:rPr>
        <w:t> </w:t>
      </w:r>
      <w:r>
        <w:rPr>
          <w:spacing w:val="-64"/>
        </w:rPr>
      </w:r>
      <w:r>
        <w:rPr>
          <w:spacing w:val="-1"/>
        </w:rPr>
        <w:t>向上层域名服务器逐级进行查询，从而迅速地耗尽域名服务器的递归资源。这种</w:t>
      </w:r>
      <w:r>
        <w:rPr>
          <w:rFonts w:ascii="Times New Roman" w:hAnsi="Times New Roman" w:cs="Times New Roman" w:eastAsia="Times New Roman" w:hint="default"/>
          <w:spacing w:val="-1"/>
        </w:rPr>
        <w:t>DNS</w:t>
      </w:r>
      <w:r>
        <w:rPr>
          <w:spacing w:val="-1"/>
        </w:rPr>
        <w:t>递归攻击较传统的流量型</w:t>
      </w:r>
      <w:r>
        <w:rPr>
          <w:rFonts w:ascii="Times New Roman" w:hAnsi="Times New Roman" w:cs="Times New Roman" w:eastAsia="Times New Roman" w:hint="default"/>
          <w:spacing w:val="-1"/>
        </w:rPr>
        <w:t>DNS</w:t>
      </w:r>
      <w:r>
        <w:rPr>
          <w:rFonts w:ascii="Times New Roman" w:hAnsi="Times New Roman" w:cs="Times New Roman" w:eastAsia="Times New Roman" w:hint="default"/>
        </w:rPr>
        <w:t> </w:t>
      </w:r>
      <w:r>
        <w:rPr>
          <w:rFonts w:ascii="Times New Roman" w:hAnsi="Times New Roman" w:cs="Times New Roman" w:eastAsia="Times New Roman" w:hint="default"/>
          <w:spacing w:val="-1"/>
        </w:rPr>
        <w:t>DDoS</w:t>
      </w:r>
      <w:r>
        <w:rPr>
          <w:spacing w:val="-1"/>
        </w:rPr>
        <w:t>攻</w:t>
      </w:r>
      <w:r>
        <w:rPr>
          <w:spacing w:val="-74"/>
        </w:rPr>
        <w:t> </w:t>
      </w:r>
      <w:r>
        <w:rPr/>
        <w:t>击而言，操作成本较低，攻击效果好，不一定占用较多的带宽就可以使得</w:t>
      </w:r>
      <w:r>
        <w:rPr>
          <w:rFonts w:ascii="Times New Roman" w:hAnsi="Times New Roman" w:cs="Times New Roman" w:eastAsia="Times New Roman" w:hint="default"/>
        </w:rPr>
        <w:t>DNS</w:t>
      </w:r>
      <w:r>
        <w:rPr/>
        <w:t>服务器的可用性降低或完全丧失。</w:t>
      </w:r>
    </w:p>
    <w:p>
      <w:pPr>
        <w:spacing w:after="0" w:line="304"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30" w:firstLine="360"/>
        <w:jc w:val="both"/>
      </w:pPr>
      <w:r>
        <w:rPr>
          <w:spacing w:val="-2"/>
        </w:rPr>
        <w:t>此前，业界针对这类攻击有若干的防护尝试，但由于种种原因，均不是非常有效。针对这样的情况，我司创新型地把触</w:t>
      </w:r>
      <w:r>
        <w:rPr/>
        <w:t> </w:t>
      </w:r>
      <w:r>
        <w:rPr>
          <w:spacing w:val="-2"/>
        </w:rPr>
        <w:t>发递归的请求进行了区分，形成了独特的基于随机请求限速的递归攻击防护技术，很好地限制了递归攻击对于</w:t>
      </w:r>
      <w:r>
        <w:rPr>
          <w:rFonts w:ascii="Times New Roman" w:hAnsi="Times New Roman" w:cs="Times New Roman" w:eastAsia="Times New Roman" w:hint="default"/>
          <w:spacing w:val="-2"/>
        </w:rPr>
        <w:t>DNS</w:t>
      </w:r>
      <w:r>
        <w:rPr>
          <w:spacing w:val="-2"/>
        </w:rPr>
        <w:t>服务器资</w:t>
      </w:r>
      <w:r>
        <w:rPr>
          <w:spacing w:val="-64"/>
        </w:rPr>
        <w:t> </w:t>
      </w:r>
      <w:r>
        <w:rPr/>
        <w:t>源的占用，达到了攻击防护的效果。</w:t>
      </w:r>
    </w:p>
    <w:p>
      <w:pPr>
        <w:pStyle w:val="BodyText"/>
        <w:spacing w:line="240" w:lineRule="auto" w:before="64"/>
        <w:ind w:left="514" w:right="967"/>
        <w:jc w:val="left"/>
      </w:pPr>
      <w:r>
        <w:rPr/>
        <w:t>该技术已经申请了国家发明专利。</w:t>
      </w:r>
    </w:p>
    <w:p>
      <w:pPr>
        <w:pStyle w:val="BodyText"/>
        <w:spacing w:line="240" w:lineRule="auto" w:before="117"/>
        <w:ind w:left="514" w:right="967"/>
        <w:jc w:val="left"/>
      </w:pPr>
      <w:r>
        <w:rPr/>
        <w:t>（</w:t>
      </w:r>
      <w:r>
        <w:rPr>
          <w:rFonts w:ascii="Times New Roman" w:hAnsi="Times New Roman" w:cs="Times New Roman" w:eastAsia="Times New Roman" w:hint="default"/>
        </w:rPr>
        <w:t>3</w:t>
      </w:r>
      <w:r>
        <w:rPr/>
        <w:t>）基于开放</w:t>
      </w:r>
      <w:r>
        <w:rPr>
          <w:rFonts w:ascii="Times New Roman" w:hAnsi="Times New Roman" w:cs="Times New Roman" w:eastAsia="Times New Roman" w:hint="default"/>
        </w:rPr>
        <w:t>DNS</w:t>
      </w:r>
      <w:r>
        <w:rPr/>
        <w:t>服务器的域名对应互联网资源的检测技术</w:t>
      </w:r>
    </w:p>
    <w:p>
      <w:pPr>
        <w:pStyle w:val="BodyText"/>
        <w:spacing w:line="300" w:lineRule="auto" w:before="101"/>
        <w:ind w:right="1072" w:firstLine="360"/>
        <w:jc w:val="left"/>
      </w:pPr>
      <w:r>
        <w:rPr>
          <w:rFonts w:ascii="Times New Roman" w:hAnsi="Times New Roman" w:cs="Times New Roman" w:eastAsia="Times New Roman" w:hint="default"/>
        </w:rPr>
        <w:t>DNS</w:t>
      </w:r>
      <w:r>
        <w:rPr/>
        <w:t>是网络的枢纽，通过将用户所请求域名的</w:t>
      </w:r>
      <w:r>
        <w:rPr>
          <w:rFonts w:ascii="Times New Roman" w:hAnsi="Times New Roman" w:cs="Times New Roman" w:eastAsia="Times New Roman" w:hint="default"/>
        </w:rPr>
        <w:t>IP</w:t>
      </w:r>
      <w:r>
        <w:rPr/>
        <w:t>地址回复给用户，将用户引导向不同的访问目标。对</w:t>
      </w:r>
      <w:r>
        <w:rPr>
          <w:rFonts w:ascii="Times New Roman" w:hAnsi="Times New Roman" w:cs="Times New Roman" w:eastAsia="Times New Roman" w:hint="default"/>
        </w:rPr>
        <w:t>ISP</w:t>
      </w:r>
      <w:r>
        <w:rPr/>
        <w:t>来说，为了提 升用户体验，或者是为了节省网间流量，可以通过</w:t>
      </w:r>
      <w:r>
        <w:rPr>
          <w:rFonts w:ascii="Times New Roman" w:hAnsi="Times New Roman" w:cs="Times New Roman" w:eastAsia="Times New Roman" w:hint="default"/>
        </w:rPr>
        <w:t>DNS</w:t>
      </w:r>
      <w:r>
        <w:rPr/>
        <w:t>来进行用户访问的调度，将用户引导至</w:t>
      </w:r>
      <w:r>
        <w:rPr>
          <w:rFonts w:ascii="Times New Roman" w:hAnsi="Times New Roman" w:cs="Times New Roman" w:eastAsia="Times New Roman" w:hint="default"/>
        </w:rPr>
        <w:t>ISP</w:t>
      </w:r>
      <w:r>
        <w:rPr/>
        <w:t>希望该用户所希望访问的 资源上去。但是由于各种原因，一次</w:t>
      </w:r>
      <w:r>
        <w:rPr>
          <w:rFonts w:ascii="Times New Roman" w:hAnsi="Times New Roman" w:cs="Times New Roman" w:eastAsia="Times New Roman" w:hint="default"/>
        </w:rPr>
        <w:t>DNS</w:t>
      </w:r>
      <w:r>
        <w:rPr/>
        <w:t>请求所获得的</w:t>
      </w:r>
      <w:r>
        <w:rPr>
          <w:rFonts w:ascii="Times New Roman" w:hAnsi="Times New Roman" w:cs="Times New Roman" w:eastAsia="Times New Roman" w:hint="default"/>
        </w:rPr>
        <w:t>IP</w:t>
      </w:r>
      <w:r>
        <w:rPr/>
        <w:t>资源有限，不能全面地反应某域名在互联网所对应的全部</w:t>
      </w:r>
      <w:r>
        <w:rPr>
          <w:rFonts w:ascii="Times New Roman" w:hAnsi="Times New Roman" w:cs="Times New Roman" w:eastAsia="Times New Roman" w:hint="default"/>
        </w:rPr>
        <w:t>IP</w:t>
      </w:r>
      <w:r>
        <w:rPr/>
        <w:t>资源， 这妨碍</w:t>
      </w:r>
      <w:r>
        <w:rPr>
          <w:rFonts w:ascii="Times New Roman" w:hAnsi="Times New Roman" w:cs="Times New Roman" w:eastAsia="Times New Roman" w:hint="default"/>
        </w:rPr>
        <w:t>ISP</w:t>
      </w:r>
      <w:r>
        <w:rPr/>
        <w:t>的用户访问调度和用户体验提升。我司基于开放</w:t>
      </w:r>
      <w:r>
        <w:rPr>
          <w:rFonts w:ascii="Times New Roman" w:hAnsi="Times New Roman" w:cs="Times New Roman" w:eastAsia="Times New Roman" w:hint="default"/>
        </w:rPr>
        <w:t>DNS</w:t>
      </w:r>
      <w:r>
        <w:rPr/>
        <w:t>服务器的域名对应互联网资源的检测技术，可以很好地解决 </w:t>
      </w:r>
      <w:r>
        <w:rPr>
          <w:spacing w:val="-2"/>
        </w:rPr>
        <w:t>这一问题。该技术方案主要由三部分组成，分别为建立开放</w:t>
      </w:r>
      <w:r>
        <w:rPr>
          <w:rFonts w:ascii="Times New Roman" w:hAnsi="Times New Roman" w:cs="Times New Roman" w:eastAsia="Times New Roman" w:hint="default"/>
          <w:spacing w:val="-2"/>
        </w:rPr>
        <w:t>DNS</w:t>
      </w:r>
      <w:r>
        <w:rPr>
          <w:spacing w:val="-2"/>
        </w:rPr>
        <w:t>服务器库、建立域名库以及在前两部分基础之上的建立一个</w:t>
      </w:r>
      <w:r>
        <w:rPr>
          <w:spacing w:val="-67"/>
        </w:rPr>
        <w:t> </w:t>
      </w:r>
      <w:r>
        <w:rPr>
          <w:spacing w:val="-67"/>
        </w:rPr>
      </w:r>
      <w:r>
        <w:rPr/>
        <w:t>全面的域名库所对应的</w:t>
      </w:r>
      <w:r>
        <w:rPr>
          <w:rFonts w:ascii="Times New Roman" w:hAnsi="Times New Roman" w:cs="Times New Roman" w:eastAsia="Times New Roman" w:hint="default"/>
        </w:rPr>
        <w:t>IP</w:t>
      </w:r>
      <w:r>
        <w:rPr/>
        <w:t>资源库。基于该项技术，</w:t>
      </w:r>
      <w:r>
        <w:rPr>
          <w:rFonts w:ascii="Times New Roman" w:hAnsi="Times New Roman" w:cs="Times New Roman" w:eastAsia="Times New Roman" w:hint="default"/>
        </w:rPr>
        <w:t>ISP</w:t>
      </w:r>
      <w:r>
        <w:rPr/>
        <w:t>可以方便地进行用户访问调度，以提升用户体验或者节省网间结算流 量。</w:t>
      </w:r>
    </w:p>
    <w:p>
      <w:pPr>
        <w:pStyle w:val="BodyText"/>
        <w:spacing w:line="240" w:lineRule="auto" w:before="71"/>
        <w:ind w:left="514" w:right="967"/>
        <w:jc w:val="left"/>
      </w:pPr>
      <w:r>
        <w:rPr/>
        <w:t>该技术已经申请了国家发明专利。</w:t>
      </w:r>
    </w:p>
    <w:p>
      <w:pPr>
        <w:pStyle w:val="BodyText"/>
        <w:spacing w:line="338" w:lineRule="auto" w:before="117"/>
        <w:ind w:left="514" w:right="1132"/>
        <w:jc w:val="left"/>
      </w:pPr>
      <w:r>
        <w:rPr/>
        <w:t>（</w:t>
      </w:r>
      <w:r>
        <w:rPr>
          <w:rFonts w:ascii="Times New Roman" w:hAnsi="Times New Roman" w:cs="Times New Roman" w:eastAsia="Times New Roman" w:hint="default"/>
        </w:rPr>
        <w:t>4</w:t>
      </w:r>
      <w:r>
        <w:rPr/>
        <w:t>）基于</w:t>
      </w:r>
      <w:r>
        <w:rPr>
          <w:rFonts w:ascii="Times New Roman" w:hAnsi="Times New Roman" w:cs="Times New Roman" w:eastAsia="Times New Roman" w:hint="default"/>
        </w:rPr>
        <w:t>DNS</w:t>
      </w:r>
      <w:r>
        <w:rPr/>
        <w:t>大数据的钓鱼网站识别技术 钓鱼（</w:t>
      </w:r>
      <w:r>
        <w:rPr>
          <w:rFonts w:ascii="Times New Roman" w:hAnsi="Times New Roman" w:cs="Times New Roman" w:eastAsia="Times New Roman" w:hint="default"/>
        </w:rPr>
        <w:t>phishing</w:t>
      </w:r>
      <w:r>
        <w:rPr/>
        <w:t>）或诈骗网站，是指攻击者通过各种方式，骗取网络用户访问其构建的仿冒网站或钓鱼网站，引诱用户</w:t>
      </w:r>
    </w:p>
    <w:p>
      <w:pPr>
        <w:pStyle w:val="BodyText"/>
        <w:spacing w:line="230" w:lineRule="exact"/>
        <w:ind w:right="967"/>
        <w:jc w:val="left"/>
      </w:pPr>
      <w:r>
        <w:rPr/>
        <w:t>泄露其敏感信息（如用户名、口令、账号、</w:t>
      </w:r>
      <w:r>
        <w:rPr>
          <w:rFonts w:ascii="Times New Roman" w:hAnsi="Times New Roman" w:cs="Times New Roman" w:eastAsia="Times New Roman" w:hint="default"/>
        </w:rPr>
        <w:t>ATM PIN</w:t>
      </w:r>
      <w:r>
        <w:rPr>
          <w:rFonts w:ascii="Times New Roman" w:hAnsi="Times New Roman" w:cs="Times New Roman" w:eastAsia="Times New Roman" w:hint="default"/>
          <w:spacing w:val="27"/>
        </w:rPr>
        <w:t> </w:t>
      </w:r>
      <w:r>
        <w:rPr/>
        <w:t>码或信用卡详细信息）的网络攻击方式，这种攻击方式已成为当前互</w:t>
      </w:r>
    </w:p>
    <w:p>
      <w:pPr>
        <w:pStyle w:val="BodyText"/>
        <w:spacing w:line="319" w:lineRule="auto" w:before="63"/>
        <w:ind w:right="1032"/>
        <w:jc w:val="left"/>
      </w:pPr>
      <w:r>
        <w:rPr/>
        <w:t>联网最大的安全威胁之一。被攻击的用户，轻者泄露个人隐私，重者遭受经济损失，同时钓鱼网站对于相应品牌（如金融、 购物等）也损害极大。</w:t>
      </w:r>
    </w:p>
    <w:p>
      <w:pPr>
        <w:pStyle w:val="BodyText"/>
        <w:spacing w:line="302" w:lineRule="auto" w:before="55"/>
        <w:ind w:right="967" w:firstLine="360"/>
        <w:jc w:val="left"/>
      </w:pPr>
      <w:r>
        <w:rPr>
          <w:spacing w:val="-2"/>
        </w:rPr>
        <w:t>钓鱼及诈骗网站的活跃期大多不长，一般在一天左右，因此能否快速地检测出来尤为重要。</w:t>
      </w:r>
      <w:r>
        <w:rPr>
          <w:rFonts w:ascii="Times New Roman" w:hAnsi="Times New Roman" w:cs="Times New Roman" w:eastAsia="Times New Roman" w:hint="default"/>
          <w:spacing w:val="-2"/>
        </w:rPr>
        <w:t>DNS</w:t>
      </w:r>
      <w:r>
        <w:rPr>
          <w:spacing w:val="-2"/>
        </w:rPr>
        <w:t>作为用户访问互联网的</w:t>
      </w:r>
      <w:r>
        <w:rPr/>
        <w:t> 入口，在快速发现钓鱼及诈骗网站方面具有先天性的优势。</w:t>
      </w:r>
    </w:p>
    <w:p>
      <w:pPr>
        <w:pStyle w:val="BodyText"/>
        <w:spacing w:line="302" w:lineRule="auto" w:before="69"/>
        <w:ind w:right="1132" w:firstLine="360"/>
        <w:jc w:val="both"/>
      </w:pPr>
      <w:r>
        <w:rPr>
          <w:spacing w:val="-2"/>
        </w:rPr>
        <w:t>泰策科技基于</w:t>
      </w:r>
      <w:r>
        <w:rPr>
          <w:rFonts w:ascii="Times New Roman" w:hAnsi="Times New Roman" w:cs="Times New Roman" w:eastAsia="Times New Roman" w:hint="default"/>
          <w:spacing w:val="-2"/>
        </w:rPr>
        <w:t>DNS</w:t>
      </w:r>
      <w:r>
        <w:rPr>
          <w:spacing w:val="-2"/>
        </w:rPr>
        <w:t>服务器的用户访问日志，通过利用关联分析、聚类分析、机器学习等大数据安全分析和处理技术对海</w:t>
      </w:r>
      <w:r>
        <w:rPr/>
        <w:t> </w:t>
      </w:r>
      <w:r>
        <w:rPr>
          <w:spacing w:val="-2"/>
        </w:rPr>
        <w:t>量的</w:t>
      </w:r>
      <w:r>
        <w:rPr>
          <w:rFonts w:ascii="Times New Roman" w:hAnsi="Times New Roman" w:cs="Times New Roman" w:eastAsia="Times New Roman" w:hint="default"/>
          <w:spacing w:val="-2"/>
        </w:rPr>
        <w:t>DNS</w:t>
      </w:r>
      <w:r>
        <w:rPr>
          <w:spacing w:val="-2"/>
        </w:rPr>
        <w:t>查询日志等访问数据分析处理，检测和发现其中的钓鱼及诈骗网站，并应用到现网中，为实现安全、稳定、快速的</w:t>
      </w:r>
      <w:r>
        <w:rPr>
          <w:spacing w:val="-67"/>
        </w:rPr>
        <w:t> </w:t>
      </w:r>
      <w:r>
        <w:rPr>
          <w:spacing w:val="-67"/>
        </w:rPr>
      </w:r>
      <w:r>
        <w:rPr/>
        <w:t>域名解析服务提供技术支撑。</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BodyText"/>
        <w:spacing w:line="240" w:lineRule="auto"/>
        <w:ind w:left="514" w:right="967"/>
        <w:jc w:val="left"/>
      </w:pPr>
      <w:r>
        <w:rPr/>
        <w:t>在应急安全领域，具备如下的核心技术和相关解决方案：</w:t>
      </w:r>
    </w:p>
    <w:p>
      <w:pPr>
        <w:pStyle w:val="BodyText"/>
        <w:spacing w:line="338" w:lineRule="auto" w:before="117"/>
        <w:ind w:left="514" w:right="967"/>
        <w:jc w:val="left"/>
      </w:pPr>
      <w:r>
        <w:rPr/>
        <w:t>（</w:t>
      </w:r>
      <w:r>
        <w:rPr>
          <w:rFonts w:ascii="Times New Roman" w:hAnsi="Times New Roman" w:cs="Times New Roman" w:eastAsia="Times New Roman" w:hint="default"/>
        </w:rPr>
        <w:t>1</w:t>
      </w:r>
      <w:r>
        <w:rPr/>
        <w:t>）基于预案</w:t>
      </w:r>
      <w:r>
        <w:rPr>
          <w:rFonts w:ascii="Times New Roman" w:hAnsi="Times New Roman" w:cs="Times New Roman" w:eastAsia="Times New Roman" w:hint="default"/>
        </w:rPr>
        <w:t>/</w:t>
      </w:r>
      <w:r>
        <w:rPr/>
        <w:t>案例</w:t>
      </w:r>
      <w:r>
        <w:rPr>
          <w:rFonts w:ascii="Times New Roman" w:hAnsi="Times New Roman" w:cs="Times New Roman" w:eastAsia="Times New Roman" w:hint="default"/>
        </w:rPr>
        <w:t>/</w:t>
      </w:r>
      <w:r>
        <w:rPr/>
        <w:t>知识的应急决策支持技术 </w:t>
      </w:r>
      <w:r>
        <w:rPr>
          <w:spacing w:val="-4"/>
        </w:rPr>
        <w:t>针对如何快速生成应急处置方案，研制出能根据数字化的预案和典型案例、综合风险分析和预测预警结果、应急知识等，</w:t>
      </w:r>
    </w:p>
    <w:p>
      <w:pPr>
        <w:pStyle w:val="BodyText"/>
        <w:spacing w:line="319" w:lineRule="auto" w:before="2"/>
        <w:ind w:right="967"/>
        <w:jc w:val="left"/>
      </w:pPr>
      <w:r>
        <w:rPr>
          <w:spacing w:val="-2"/>
        </w:rPr>
        <w:t>自动生成应急方案技术，方案包括：指挥方案、救援方案、保障方案、工作方案，为领导应急决策提供服务，为有效组织相</w:t>
      </w:r>
      <w:r>
        <w:rPr>
          <w:spacing w:val="-72"/>
        </w:rPr>
        <w:t> </w:t>
      </w:r>
      <w:r>
        <w:rPr>
          <w:spacing w:val="-72"/>
        </w:rPr>
      </w:r>
      <w:r>
        <w:rPr/>
        <w:t>关部门、地方开展体系化应对提供了重要方法。</w:t>
      </w:r>
    </w:p>
    <w:p>
      <w:pPr>
        <w:pStyle w:val="BodyText"/>
        <w:spacing w:line="338" w:lineRule="auto" w:before="56"/>
        <w:ind w:left="514" w:right="967"/>
        <w:jc w:val="left"/>
      </w:pPr>
      <w:r>
        <w:rPr/>
        <w:t>（</w:t>
      </w:r>
      <w:r>
        <w:rPr>
          <w:rFonts w:ascii="Times New Roman" w:hAnsi="Times New Roman" w:cs="Times New Roman" w:eastAsia="Times New Roman" w:hint="default"/>
        </w:rPr>
        <w:t>2</w:t>
      </w:r>
      <w:r>
        <w:rPr/>
        <w:t>）基于</w:t>
      </w:r>
      <w:r>
        <w:rPr>
          <w:rFonts w:ascii="Times New Roman" w:hAnsi="Times New Roman" w:cs="Times New Roman" w:eastAsia="Times New Roman" w:hint="default"/>
        </w:rPr>
        <w:t>“</w:t>
      </w:r>
      <w:r>
        <w:rPr/>
        <w:t>应急一张图</w:t>
      </w:r>
      <w:r>
        <w:rPr>
          <w:rFonts w:ascii="Times New Roman" w:hAnsi="Times New Roman" w:cs="Times New Roman" w:eastAsia="Times New Roman" w:hint="default"/>
        </w:rPr>
        <w:t>”</w:t>
      </w:r>
      <w:r>
        <w:rPr/>
        <w:t>的多方协同在线会商技术 </w:t>
      </w:r>
      <w:r>
        <w:rPr>
          <w:spacing w:val="-2"/>
        </w:rPr>
        <w:t>针对应急中多方信息不对称和单方信息不完整问题，如何实现跨领域、跨层级、跨地域的协同会商、综合协调和高效处</w:t>
      </w:r>
    </w:p>
    <w:p>
      <w:pPr>
        <w:pStyle w:val="BodyText"/>
        <w:spacing w:line="240" w:lineRule="auto" w:before="4"/>
        <w:ind w:right="967"/>
        <w:jc w:val="left"/>
      </w:pPr>
      <w:r>
        <w:rPr/>
        <w:t>置，创建了</w:t>
      </w:r>
      <w:r>
        <w:rPr>
          <w:rFonts w:ascii="Times New Roman" w:hAnsi="Times New Roman" w:cs="Times New Roman" w:eastAsia="Times New Roman" w:hint="default"/>
        </w:rPr>
        <w:t>“</w:t>
      </w:r>
      <w:r>
        <w:rPr/>
        <w:t>应急一张图</w:t>
      </w:r>
      <w:r>
        <w:rPr>
          <w:rFonts w:ascii="Times New Roman" w:hAnsi="Times New Roman" w:cs="Times New Roman" w:eastAsia="Times New Roman" w:hint="default"/>
        </w:rPr>
        <w:t>”</w:t>
      </w:r>
      <w:r>
        <w:rPr/>
        <w:t>在线多方协同会商技术，实现了跨领域、跨层级、跨地域群体智慧集成和决策。</w:t>
      </w:r>
    </w:p>
    <w:p>
      <w:pPr>
        <w:pStyle w:val="BodyText"/>
        <w:spacing w:line="338" w:lineRule="auto" w:before="102"/>
        <w:ind w:left="514" w:right="1112"/>
        <w:jc w:val="left"/>
      </w:pPr>
      <w:r>
        <w:rPr/>
        <w:t>（</w:t>
      </w:r>
      <w:r>
        <w:rPr>
          <w:rFonts w:ascii="Times New Roman" w:hAnsi="Times New Roman" w:cs="Times New Roman" w:eastAsia="Times New Roman" w:hint="default"/>
        </w:rPr>
        <w:t>3</w:t>
      </w:r>
      <w:r>
        <w:rPr/>
        <w:t>）应急能力与应急全过程评估技术 针对某一区域</w:t>
      </w:r>
      <w:r>
        <w:rPr>
          <w:rFonts w:ascii="Times New Roman" w:hAnsi="Times New Roman" w:cs="Times New Roman" w:eastAsia="Times New Roman" w:hint="default"/>
        </w:rPr>
        <w:t>/</w:t>
      </w:r>
      <w:r>
        <w:rPr/>
        <w:t>城市</w:t>
      </w:r>
      <w:r>
        <w:rPr>
          <w:rFonts w:ascii="Times New Roman" w:hAnsi="Times New Roman" w:cs="Times New Roman" w:eastAsia="Times New Roman" w:hint="default"/>
        </w:rPr>
        <w:t>/</w:t>
      </w:r>
      <w:r>
        <w:rPr/>
        <w:t>部门，综合考虑所面临的突发事件，以及所具备的各种应急资源，研制出应急能力评估技术，及时</w:t>
      </w:r>
    </w:p>
    <w:p>
      <w:pPr>
        <w:pStyle w:val="BodyText"/>
        <w:spacing w:line="230" w:lineRule="exact"/>
        <w:ind w:right="967"/>
        <w:jc w:val="left"/>
      </w:pPr>
      <w:r>
        <w:rPr/>
        <w:t>发现薄弱环节，为进一步提高区域</w:t>
      </w:r>
      <w:r>
        <w:rPr>
          <w:rFonts w:ascii="Times New Roman" w:hAnsi="Times New Roman" w:cs="Times New Roman" w:eastAsia="Times New Roman" w:hint="default"/>
        </w:rPr>
        <w:t>/</w:t>
      </w:r>
      <w:r>
        <w:rPr/>
        <w:t>城市</w:t>
      </w:r>
      <w:r>
        <w:rPr>
          <w:rFonts w:ascii="Times New Roman" w:hAnsi="Times New Roman" w:cs="Times New Roman" w:eastAsia="Times New Roman" w:hint="default"/>
        </w:rPr>
        <w:t>/</w:t>
      </w:r>
      <w:r>
        <w:rPr/>
        <w:t>部门的综合应急能力提供参考依据；研制出对突发事件处置的事前、事中、事后全</w:t>
      </w:r>
    </w:p>
    <w:p>
      <w:pPr>
        <w:pStyle w:val="BodyText"/>
        <w:spacing w:line="240" w:lineRule="auto" w:before="64"/>
        <w:ind w:right="967"/>
        <w:jc w:val="left"/>
      </w:pPr>
      <w:r>
        <w:rPr/>
        <w:t>过程的应急效果评估技术，为应急方案的优化调整和科学应急提供支撑。</w:t>
      </w:r>
    </w:p>
    <w:p>
      <w:pPr>
        <w:pStyle w:val="BodyText"/>
        <w:spacing w:line="338" w:lineRule="auto" w:before="117"/>
        <w:ind w:left="514" w:right="4272"/>
        <w:jc w:val="left"/>
      </w:pPr>
      <w:r>
        <w:rPr/>
        <w:t>（</w:t>
      </w:r>
      <w:r>
        <w:rPr>
          <w:rFonts w:ascii="Times New Roman" w:hAnsi="Times New Roman" w:cs="Times New Roman" w:eastAsia="Times New Roman" w:hint="default"/>
        </w:rPr>
        <w:t>4</w:t>
      </w:r>
      <w:r>
        <w:rPr/>
        <w:t>）智能辅助决策 视频融合：可以直接在地图上调阅允许接入到应急平台的视频点的视频信号；</w:t>
      </w:r>
    </w:p>
    <w:p>
      <w:pPr>
        <w:pStyle w:val="BodyText"/>
        <w:spacing w:line="302" w:lineRule="auto" w:before="41"/>
        <w:ind w:right="967" w:firstLine="360"/>
        <w:jc w:val="left"/>
      </w:pPr>
      <w:r>
        <w:rPr>
          <w:spacing w:val="-2"/>
        </w:rPr>
        <w:t>移动终端</w:t>
      </w:r>
      <w:r>
        <w:rPr>
          <w:rFonts w:ascii="Times New Roman" w:hAnsi="Times New Roman" w:cs="Times New Roman" w:eastAsia="Times New Roman" w:hint="default"/>
          <w:spacing w:val="-2"/>
        </w:rPr>
        <w:t>GPS</w:t>
      </w:r>
      <w:r>
        <w:rPr>
          <w:spacing w:val="-2"/>
        </w:rPr>
        <w:t>定位：在地图上可以展示当前已经共享了位置的移动终端的位置信息；坐标位置下发：选择事发地点或点</w:t>
      </w:r>
      <w:r>
        <w:rPr/>
        <w:t> 选地图上某一位置坐标点，然后发送到指定的移动终端，使得该用户可以直接导航到指定位置。</w:t>
      </w:r>
    </w:p>
    <w:p>
      <w:pPr>
        <w:spacing w:after="0" w:line="302" w:lineRule="auto"/>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0"/>
        <w:ind w:left="500" w:right="0"/>
        <w:jc w:val="left"/>
        <w:rPr>
          <w:rFonts w:ascii="宋体" w:hAnsi="宋体" w:cs="宋体" w:eastAsia="宋体" w:hint="default"/>
        </w:rPr>
      </w:pPr>
      <w:r>
        <w:rPr/>
        <w:t>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日，公司及全资子公司拥有软件著作权情况如下表</w:t>
      </w:r>
      <w:r>
        <w:rPr>
          <w:rFonts w:ascii="宋体" w:hAnsi="宋体" w:cs="宋体" w:eastAsia="宋体" w:hint="default"/>
        </w:rPr>
        <w:t>:</w:t>
      </w:r>
    </w:p>
    <w:p>
      <w:pPr>
        <w:spacing w:line="240" w:lineRule="auto" w:before="13"/>
        <w:rPr>
          <w:rFonts w:ascii="宋体" w:hAnsi="宋体" w:cs="宋体" w:eastAsia="宋体" w:hint="default"/>
          <w:sz w:val="7"/>
          <w:szCs w:val="7"/>
        </w:rPr>
      </w:pPr>
    </w:p>
    <w:tbl>
      <w:tblPr>
        <w:tblW w:w="0" w:type="auto"/>
        <w:jc w:val="left"/>
        <w:tblInd w:w="125" w:type="dxa"/>
        <w:tblLayout w:type="fixed"/>
        <w:tblCellMar>
          <w:top w:w="0" w:type="dxa"/>
          <w:left w:w="0" w:type="dxa"/>
          <w:bottom w:w="0" w:type="dxa"/>
          <w:right w:w="0" w:type="dxa"/>
        </w:tblCellMar>
        <w:tblLook w:val="01E0"/>
      </w:tblPr>
      <w:tblGrid>
        <w:gridCol w:w="522"/>
        <w:gridCol w:w="1928"/>
        <w:gridCol w:w="1182"/>
        <w:gridCol w:w="6444"/>
        <w:gridCol w:w="928"/>
        <w:gridCol w:w="1152"/>
        <w:gridCol w:w="837"/>
        <w:gridCol w:w="986"/>
      </w:tblGrid>
      <w:tr>
        <w:trPr>
          <w:trHeight w:val="342" w:hRule="exact"/>
        </w:trPr>
        <w:tc>
          <w:tcPr>
            <w:tcW w:w="522"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28"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182"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21"/>
              <w:ind w:left="315" w:right="0"/>
              <w:jc w:val="left"/>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6444"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928"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1152"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权利取得方式</w:t>
            </w:r>
            <w:r>
              <w:rPr>
                <w:rFonts w:ascii="宋体" w:hAnsi="宋体" w:cs="宋体" w:eastAsia="宋体" w:hint="default"/>
                <w:sz w:val="18"/>
                <w:szCs w:val="18"/>
              </w:rPr>
            </w:r>
          </w:p>
        </w:tc>
        <w:tc>
          <w:tcPr>
            <w:tcW w:w="837"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21"/>
              <w:ind w:right="51"/>
              <w:jc w:val="right"/>
              <w:rPr>
                <w:rFonts w:ascii="宋体" w:hAnsi="宋体" w:cs="宋体" w:eastAsia="宋体" w:hint="default"/>
                <w:sz w:val="18"/>
                <w:szCs w:val="18"/>
              </w:rPr>
            </w:pPr>
            <w:r>
              <w:rPr>
                <w:rFonts w:ascii="宋体" w:hAnsi="宋体" w:cs="宋体" w:eastAsia="宋体" w:hint="default"/>
                <w:b/>
                <w:bCs/>
                <w:w w:val="95"/>
                <w:sz w:val="18"/>
                <w:szCs w:val="18"/>
              </w:rPr>
              <w:t>权利范围</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21"/>
              <w:ind w:right="125"/>
              <w:jc w:val="right"/>
              <w:rPr>
                <w:rFonts w:ascii="宋体" w:hAnsi="宋体" w:cs="宋体" w:eastAsia="宋体" w:hint="default"/>
                <w:sz w:val="18"/>
                <w:szCs w:val="18"/>
              </w:rPr>
            </w:pPr>
            <w:r>
              <w:rPr>
                <w:rFonts w:ascii="宋体" w:hAnsi="宋体" w:cs="宋体" w:eastAsia="宋体" w:hint="default"/>
                <w:b/>
                <w:bCs/>
                <w:w w:val="95"/>
                <w:sz w:val="18"/>
                <w:szCs w:val="18"/>
              </w:rPr>
              <w:t>首发日期</w:t>
            </w:r>
            <w:r>
              <w:rPr>
                <w:rFonts w:ascii="宋体" w:hAnsi="宋体" w:cs="宋体" w:eastAsia="宋体" w:hint="default"/>
                <w:sz w:val="18"/>
                <w:szCs w:val="18"/>
              </w:rPr>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004206</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4"/>
              <w:jc w:val="right"/>
              <w:rPr>
                <w:rFonts w:ascii="Times New Roman" w:hAnsi="Times New Roman" w:cs="Times New Roman" w:eastAsia="Times New Roman" w:hint="default"/>
                <w:sz w:val="18"/>
                <w:szCs w:val="18"/>
              </w:rPr>
            </w:pPr>
            <w:r>
              <w:rPr>
                <w:rFonts w:ascii="Times New Roman"/>
                <w:spacing w:val="-1"/>
                <w:sz w:val="18"/>
              </w:rPr>
              <w:t>2002SR4206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TongWeb</w:t>
            </w:r>
            <w:r>
              <w:rPr>
                <w:rFonts w:ascii="宋体" w:hAnsi="宋体" w:cs="宋体" w:eastAsia="宋体" w:hint="default"/>
                <w:sz w:val="18"/>
                <w:szCs w:val="18"/>
              </w:rPr>
              <w:t>应用服务器软件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:TongWeb]</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V3.3</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0"/>
              <w:jc w:val="right"/>
              <w:rPr>
                <w:rFonts w:ascii="Times New Roman" w:hAnsi="Times New Roman" w:cs="Times New Roman" w:eastAsia="Times New Roman" w:hint="default"/>
                <w:sz w:val="18"/>
                <w:szCs w:val="18"/>
              </w:rPr>
            </w:pPr>
            <w:r>
              <w:rPr>
                <w:rFonts w:ascii="Times New Roman"/>
                <w:sz w:val="18"/>
              </w:rPr>
              <w:t>2002/4/11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004207</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4"/>
              <w:jc w:val="right"/>
              <w:rPr>
                <w:rFonts w:ascii="Times New Roman" w:hAnsi="Times New Roman" w:cs="Times New Roman" w:eastAsia="Times New Roman" w:hint="default"/>
                <w:sz w:val="18"/>
                <w:szCs w:val="18"/>
              </w:rPr>
            </w:pPr>
            <w:r>
              <w:rPr>
                <w:rFonts w:ascii="Times New Roman"/>
                <w:spacing w:val="-1"/>
                <w:sz w:val="18"/>
              </w:rPr>
              <w:t>2002SR4207</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TongBroker</w:t>
            </w:r>
            <w:r>
              <w:rPr>
                <w:rFonts w:ascii="宋体" w:hAnsi="宋体" w:cs="宋体" w:eastAsia="宋体" w:hint="default"/>
                <w:sz w:val="18"/>
                <w:szCs w:val="18"/>
              </w:rPr>
              <w:t>对象中间件软件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:TongBroker]</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0"/>
              <w:jc w:val="right"/>
              <w:rPr>
                <w:rFonts w:ascii="Times New Roman" w:hAnsi="Times New Roman" w:cs="Times New Roman" w:eastAsia="Times New Roman" w:hint="default"/>
                <w:sz w:val="18"/>
                <w:szCs w:val="18"/>
              </w:rPr>
            </w:pPr>
            <w:r>
              <w:rPr>
                <w:rFonts w:ascii="Times New Roman"/>
                <w:sz w:val="18"/>
              </w:rPr>
              <w:t>2001/10/2</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004208</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4"/>
              <w:jc w:val="right"/>
              <w:rPr>
                <w:rFonts w:ascii="Times New Roman" w:hAnsi="Times New Roman" w:cs="Times New Roman" w:eastAsia="Times New Roman" w:hint="default"/>
                <w:sz w:val="18"/>
                <w:szCs w:val="18"/>
              </w:rPr>
            </w:pPr>
            <w:r>
              <w:rPr>
                <w:rFonts w:ascii="Times New Roman"/>
                <w:spacing w:val="-1"/>
                <w:sz w:val="18"/>
              </w:rPr>
              <w:t>2002SR4208</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TongEASY</w:t>
            </w:r>
            <w:r>
              <w:rPr>
                <w:rFonts w:ascii="宋体" w:hAnsi="宋体" w:cs="宋体" w:eastAsia="宋体" w:hint="default"/>
                <w:sz w:val="18"/>
                <w:szCs w:val="18"/>
              </w:rPr>
              <w:t>交易中间件软件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:TongEASY]</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V5.1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0"/>
              <w:jc w:val="right"/>
              <w:rPr>
                <w:rFonts w:ascii="Times New Roman" w:hAnsi="Times New Roman" w:cs="Times New Roman" w:eastAsia="Times New Roman" w:hint="default"/>
                <w:sz w:val="18"/>
                <w:szCs w:val="18"/>
              </w:rPr>
            </w:pPr>
            <w:r>
              <w:rPr>
                <w:rFonts w:ascii="Times New Roman"/>
                <w:sz w:val="18"/>
              </w:rPr>
              <w:t>2002/6/18</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004209</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4"/>
              <w:jc w:val="right"/>
              <w:rPr>
                <w:rFonts w:ascii="Times New Roman" w:hAnsi="Times New Roman" w:cs="Times New Roman" w:eastAsia="Times New Roman" w:hint="default"/>
                <w:sz w:val="18"/>
                <w:szCs w:val="18"/>
              </w:rPr>
            </w:pPr>
            <w:r>
              <w:rPr>
                <w:rFonts w:ascii="Times New Roman"/>
                <w:spacing w:val="-1"/>
                <w:sz w:val="18"/>
              </w:rPr>
              <w:t>2002SR4209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TongLINK/Q</w:t>
            </w:r>
            <w:r>
              <w:rPr>
                <w:rFonts w:ascii="宋体" w:hAnsi="宋体" w:cs="宋体" w:eastAsia="宋体" w:hint="default"/>
                <w:sz w:val="18"/>
                <w:szCs w:val="18"/>
              </w:rPr>
              <w:t>消息中间件软件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:TongLINK/Q]</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V5.0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0"/>
              <w:jc w:val="right"/>
              <w:rPr>
                <w:rFonts w:ascii="Times New Roman" w:hAnsi="Times New Roman" w:cs="Times New Roman" w:eastAsia="Times New Roman" w:hint="default"/>
                <w:sz w:val="18"/>
                <w:szCs w:val="18"/>
              </w:rPr>
            </w:pPr>
            <w:r>
              <w:rPr>
                <w:rFonts w:ascii="Times New Roman"/>
                <w:sz w:val="18"/>
              </w:rPr>
              <w:t>2002/7/20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013060</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4"/>
              <w:jc w:val="right"/>
              <w:rPr>
                <w:rFonts w:ascii="Times New Roman" w:hAnsi="Times New Roman" w:cs="Times New Roman" w:eastAsia="Times New Roman" w:hint="default"/>
                <w:sz w:val="18"/>
                <w:szCs w:val="18"/>
              </w:rPr>
            </w:pPr>
            <w:r>
              <w:rPr>
                <w:rFonts w:ascii="Times New Roman"/>
                <w:spacing w:val="-1"/>
                <w:sz w:val="18"/>
              </w:rPr>
              <w:t>2003SR7969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东方通应用集成中间件软件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:TongIntegrator]</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67" w:right="0"/>
              <w:jc w:val="left"/>
              <w:rPr>
                <w:rFonts w:ascii="Times New Roman" w:hAnsi="Times New Roman" w:cs="Times New Roman" w:eastAsia="Times New Roman" w:hint="default"/>
                <w:sz w:val="18"/>
                <w:szCs w:val="18"/>
              </w:rPr>
            </w:pPr>
            <w:r>
              <w:rPr>
                <w:rFonts w:ascii="Times New Roman"/>
                <w:sz w:val="18"/>
              </w:rPr>
              <w:t>2003/5/8</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BJ1066</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pacing w:val="-1"/>
                <w:sz w:val="18"/>
              </w:rPr>
              <w:t>2004SRBJ0720</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东方通通用数据传输平台软件</w:t>
            </w:r>
            <w:r>
              <w:rPr>
                <w:rFonts w:ascii="Times New Roman" w:hAnsi="Times New Roman" w:cs="Times New Roman" w:eastAsia="Times New Roman" w:hint="default"/>
                <w:sz w:val="18"/>
                <w:szCs w:val="18"/>
              </w:rPr>
              <w:t>V1.0[</w:t>
            </w:r>
            <w:r>
              <w:rPr>
                <w:rFonts w:ascii="宋体" w:hAnsi="宋体" w:cs="宋体" w:eastAsia="宋体" w:hint="default"/>
                <w:sz w:val="18"/>
                <w:szCs w:val="18"/>
              </w:rPr>
              <w:t>简称：</w:t>
            </w:r>
            <w:r>
              <w:rPr>
                <w:rFonts w:ascii="Times New Roman" w:hAnsi="Times New Roman" w:cs="Times New Roman" w:eastAsia="Times New Roman" w:hint="default"/>
                <w:sz w:val="18"/>
                <w:szCs w:val="18"/>
              </w:rPr>
              <w:t>GTP]</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0"/>
              <w:jc w:val="right"/>
              <w:rPr>
                <w:rFonts w:ascii="Times New Roman" w:hAnsi="Times New Roman" w:cs="Times New Roman" w:eastAsia="Times New Roman" w:hint="default"/>
                <w:sz w:val="18"/>
                <w:szCs w:val="18"/>
              </w:rPr>
            </w:pPr>
            <w:r>
              <w:rPr>
                <w:rFonts w:ascii="Times New Roman"/>
                <w:sz w:val="18"/>
              </w:rPr>
              <w:t>2004/6/15</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BJ2037</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pacing w:val="-1"/>
                <w:sz w:val="18"/>
              </w:rPr>
              <w:t>2005SRBJ0340</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w:t>
            </w:r>
            <w:r>
              <w:rPr>
                <w:rFonts w:ascii="Times New Roman" w:hAnsi="Times New Roman" w:cs="Times New Roman" w:eastAsia="Times New Roman" w:hint="default"/>
                <w:sz w:val="18"/>
                <w:szCs w:val="18"/>
              </w:rPr>
              <w:t>TongWeb</w:t>
            </w:r>
            <w:r>
              <w:rPr>
                <w:rFonts w:ascii="宋体" w:hAnsi="宋体" w:cs="宋体" w:eastAsia="宋体" w:hint="default"/>
                <w:sz w:val="18"/>
                <w:szCs w:val="18"/>
              </w:rPr>
              <w:t>应用服务器软件</w:t>
            </w:r>
            <w:r>
              <w:rPr>
                <w:rFonts w:ascii="Times New Roman" w:hAnsi="Times New Roman" w:cs="Times New Roman" w:eastAsia="Times New Roman" w:hint="default"/>
                <w:sz w:val="18"/>
                <w:szCs w:val="18"/>
              </w:rPr>
              <w:t>V4.0[</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:TongWeb]</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67" w:right="0"/>
              <w:jc w:val="left"/>
              <w:rPr>
                <w:rFonts w:ascii="Times New Roman" w:hAnsi="Times New Roman" w:cs="Times New Roman" w:eastAsia="Times New Roman" w:hint="default"/>
                <w:sz w:val="18"/>
                <w:szCs w:val="18"/>
              </w:rPr>
            </w:pPr>
            <w:r>
              <w:rPr>
                <w:rFonts w:ascii="Times New Roman"/>
                <w:sz w:val="18"/>
              </w:rPr>
              <w:t>2005/1/4</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BJ3150</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pacing w:val="-1"/>
                <w:sz w:val="18"/>
              </w:rPr>
              <w:t>2005SRBJ1452</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w:t>
            </w:r>
            <w:r>
              <w:rPr>
                <w:rFonts w:ascii="Times New Roman" w:hAnsi="Times New Roman" w:cs="Times New Roman" w:eastAsia="Times New Roman" w:hint="default"/>
                <w:sz w:val="18"/>
                <w:szCs w:val="18"/>
              </w:rPr>
              <w:t>TongIntegrator</w:t>
            </w:r>
            <w:r>
              <w:rPr>
                <w:rFonts w:ascii="宋体" w:hAnsi="宋体" w:cs="宋体" w:eastAsia="宋体" w:hint="default"/>
                <w:sz w:val="18"/>
                <w:szCs w:val="18"/>
              </w:rPr>
              <w:t>集成组件</w:t>
            </w:r>
            <w:r>
              <w:rPr>
                <w:rFonts w:ascii="Times New Roman" w:hAnsi="Times New Roman" w:cs="Times New Roman" w:eastAsia="Times New Roman" w:hint="default"/>
                <w:sz w:val="18"/>
                <w:szCs w:val="18"/>
              </w:rPr>
              <w:t>(</w:t>
            </w:r>
            <w:r>
              <w:rPr>
                <w:rFonts w:ascii="宋体" w:hAnsi="宋体" w:cs="宋体" w:eastAsia="宋体" w:hint="default"/>
                <w:sz w:val="18"/>
                <w:szCs w:val="18"/>
              </w:rPr>
              <w:t>库</w:t>
            </w:r>
            <w:r>
              <w:rPr>
                <w:rFonts w:ascii="Times New Roman" w:hAnsi="Times New Roman" w:cs="Times New Roman" w:eastAsia="Times New Roman" w:hint="default"/>
                <w:sz w:val="18"/>
                <w:szCs w:val="18"/>
              </w:rPr>
              <w:t>)</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:TongIntegrator</w:t>
            </w:r>
            <w:r>
              <w:rPr>
                <w:rFonts w:ascii="宋体" w:hAnsi="宋体" w:cs="宋体" w:eastAsia="宋体" w:hint="default"/>
                <w:sz w:val="18"/>
                <w:szCs w:val="18"/>
              </w:rPr>
              <w:t>集成组件</w:t>
            </w:r>
            <w:r>
              <w:rPr>
                <w:rFonts w:ascii="Times New Roman" w:hAnsi="Times New Roman" w:cs="Times New Roman" w:eastAsia="Times New Roman" w:hint="default"/>
                <w:sz w:val="18"/>
                <w:szCs w:val="18"/>
              </w:rPr>
              <w:t>(</w:t>
            </w:r>
            <w:r>
              <w:rPr>
                <w:rFonts w:ascii="宋体" w:hAnsi="宋体" w:cs="宋体" w:eastAsia="宋体" w:hint="default"/>
                <w:sz w:val="18"/>
                <w:szCs w:val="18"/>
              </w:rPr>
              <w:t>库</w:t>
            </w:r>
            <w:r>
              <w:rPr>
                <w:rFonts w:ascii="Times New Roman" w:hAnsi="Times New Roman" w:cs="Times New Roman" w:eastAsia="Times New Roman" w:hint="default"/>
                <w:sz w:val="18"/>
                <w:szCs w:val="18"/>
              </w:rPr>
              <w:t>)</w:t>
            </w:r>
            <w:r>
              <w:rPr>
                <w:rFonts w:ascii="宋体" w:hAnsi="宋体" w:cs="宋体" w:eastAsia="宋体" w:hint="default"/>
                <w:sz w:val="18"/>
                <w:szCs w:val="18"/>
              </w:rPr>
              <w:t>软件</w:t>
            </w:r>
            <w:r>
              <w:rPr>
                <w:rFonts w:ascii="Times New Roman" w:hAnsi="Times New Roman" w:cs="Times New Roman" w:eastAsia="Times New Roman" w:hint="default"/>
                <w:sz w:val="18"/>
                <w:szCs w:val="18"/>
              </w:rPr>
              <w:t>]</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0"/>
              <w:jc w:val="right"/>
              <w:rPr>
                <w:rFonts w:ascii="Times New Roman" w:hAnsi="Times New Roman" w:cs="Times New Roman" w:eastAsia="Times New Roman" w:hint="default"/>
                <w:sz w:val="18"/>
                <w:szCs w:val="18"/>
              </w:rPr>
            </w:pPr>
            <w:r>
              <w:rPr>
                <w:rFonts w:ascii="Times New Roman"/>
                <w:sz w:val="18"/>
              </w:rPr>
              <w:t>2005/7/15</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051498</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68"/>
              <w:jc w:val="right"/>
              <w:rPr>
                <w:rFonts w:ascii="Times New Roman" w:hAnsi="Times New Roman" w:cs="Times New Roman" w:eastAsia="Times New Roman" w:hint="default"/>
                <w:sz w:val="18"/>
                <w:szCs w:val="18"/>
              </w:rPr>
            </w:pPr>
            <w:r>
              <w:rPr>
                <w:rFonts w:ascii="Times New Roman"/>
                <w:spacing w:val="-1"/>
                <w:sz w:val="18"/>
              </w:rPr>
              <w:t>2006SR03832</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东方通应用集成中间件软件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:TongIntegrator]</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V3.0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67" w:right="0"/>
              <w:jc w:val="left"/>
              <w:rPr>
                <w:rFonts w:ascii="Times New Roman" w:hAnsi="Times New Roman" w:cs="Times New Roman" w:eastAsia="Times New Roman" w:hint="default"/>
                <w:sz w:val="18"/>
                <w:szCs w:val="18"/>
              </w:rPr>
            </w:pPr>
            <w:r>
              <w:rPr>
                <w:rFonts w:ascii="Times New Roman"/>
                <w:sz w:val="18"/>
              </w:rPr>
              <w:t>2006/3/5</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BJ4168</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pacing w:val="-1"/>
                <w:sz w:val="18"/>
              </w:rPr>
              <w:t>2006SRBJ0360</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w:t>
            </w:r>
            <w:r>
              <w:rPr>
                <w:rFonts w:ascii="Times New Roman" w:hAnsi="Times New Roman" w:cs="Times New Roman" w:eastAsia="Times New Roman" w:hint="default"/>
                <w:sz w:val="18"/>
                <w:szCs w:val="18"/>
              </w:rPr>
              <w:t>TongWeb</w:t>
            </w:r>
            <w:r>
              <w:rPr>
                <w:rFonts w:ascii="宋体" w:hAnsi="宋体" w:cs="宋体" w:eastAsia="宋体" w:hint="default"/>
                <w:sz w:val="18"/>
                <w:szCs w:val="18"/>
              </w:rPr>
              <w:t>应用服务器软件</w:t>
            </w:r>
            <w:r>
              <w:rPr>
                <w:rFonts w:ascii="Times New Roman" w:hAnsi="Times New Roman" w:cs="Times New Roman" w:eastAsia="Times New Roman" w:hint="default"/>
                <w:sz w:val="18"/>
                <w:szCs w:val="18"/>
              </w:rPr>
              <w:t>V4.6[</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:TongWeb]</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0"/>
              <w:jc w:val="right"/>
              <w:rPr>
                <w:rFonts w:ascii="Times New Roman" w:hAnsi="Times New Roman" w:cs="Times New Roman" w:eastAsia="Times New Roman" w:hint="default"/>
                <w:sz w:val="18"/>
                <w:szCs w:val="18"/>
              </w:rPr>
            </w:pPr>
            <w:r>
              <w:rPr>
                <w:rFonts w:ascii="Times New Roman"/>
                <w:sz w:val="18"/>
              </w:rPr>
              <w:t>2006/1/26</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BJ6958</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pacing w:val="-1"/>
                <w:sz w:val="18"/>
              </w:rPr>
              <w:t>2006SRBJ3152</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电子政务统一应用平台软件</w:t>
            </w:r>
            <w:r>
              <w:rPr>
                <w:rFonts w:ascii="Times New Roman" w:hAnsi="Times New Roman" w:cs="Times New Roman" w:eastAsia="Times New Roman" w:hint="default"/>
                <w:sz w:val="18"/>
                <w:szCs w:val="18"/>
              </w:rPr>
              <w:t>V1.0[</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电子政务统一应用平台</w:t>
            </w:r>
            <w:r>
              <w:rPr>
                <w:rFonts w:ascii="Times New Roman" w:hAnsi="Times New Roman" w:cs="Times New Roman" w:eastAsia="Times New Roman" w:hint="default"/>
                <w:sz w:val="18"/>
                <w:szCs w:val="18"/>
              </w:rPr>
              <w:t>]</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0"/>
              <w:jc w:val="right"/>
              <w:rPr>
                <w:rFonts w:ascii="Times New Roman" w:hAnsi="Times New Roman" w:cs="Times New Roman" w:eastAsia="Times New Roman" w:hint="default"/>
                <w:sz w:val="18"/>
                <w:szCs w:val="18"/>
              </w:rPr>
            </w:pPr>
            <w:r>
              <w:rPr>
                <w:rFonts w:ascii="Times New Roman"/>
                <w:sz w:val="18"/>
              </w:rPr>
              <w:t>2006/9/28</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BJ9434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pacing w:val="-1"/>
                <w:sz w:val="18"/>
              </w:rPr>
              <w:t>2007SRBJ2462</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东方通业务流程管理套件中间件软件</w:t>
            </w:r>
            <w:r>
              <w:rPr>
                <w:rFonts w:ascii="Times New Roman" w:hAnsi="Times New Roman" w:cs="Times New Roman" w:eastAsia="Times New Roman" w:hint="default"/>
                <w:sz w:val="18"/>
                <w:szCs w:val="18"/>
              </w:rPr>
              <w:t>V1.0[</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:TongBPM]</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76"/>
              <w:jc w:val="right"/>
              <w:rPr>
                <w:rFonts w:ascii="Times New Roman" w:hAnsi="Times New Roman" w:cs="Times New Roman" w:eastAsia="Times New Roman" w:hint="default"/>
                <w:sz w:val="18"/>
                <w:szCs w:val="18"/>
              </w:rPr>
            </w:pPr>
            <w:r>
              <w:rPr>
                <w:rFonts w:ascii="Times New Roman"/>
                <w:sz w:val="18"/>
              </w:rPr>
              <w:t>2004/12/25</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BJ9923</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pacing w:val="-1"/>
                <w:sz w:val="18"/>
              </w:rPr>
              <w:t>2007SRBJ2951</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东方通应用集成中间件软件</w:t>
            </w:r>
            <w:r>
              <w:rPr>
                <w:rFonts w:ascii="Times New Roman" w:hAnsi="Times New Roman" w:cs="Times New Roman" w:eastAsia="Times New Roman" w:hint="default"/>
                <w:sz w:val="18"/>
                <w:szCs w:val="18"/>
              </w:rPr>
              <w:t>V3.5[</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:TongIntegrator]</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67" w:right="0"/>
              <w:jc w:val="left"/>
              <w:rPr>
                <w:rFonts w:ascii="Times New Roman" w:hAnsi="Times New Roman" w:cs="Times New Roman" w:eastAsia="Times New Roman" w:hint="default"/>
                <w:sz w:val="18"/>
                <w:szCs w:val="18"/>
              </w:rPr>
            </w:pPr>
            <w:r>
              <w:rPr>
                <w:rFonts w:ascii="Times New Roman"/>
                <w:sz w:val="18"/>
              </w:rPr>
              <w:t>2007/6/1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BJ23427</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pacing w:val="-1"/>
                <w:sz w:val="18"/>
              </w:rPr>
              <w:t>2009SRBJ6421</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东方通消息中间件软件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TongLINK/Q]</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V6.3</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67" w:right="0"/>
              <w:jc w:val="left"/>
              <w:rPr>
                <w:rFonts w:ascii="Times New Roman" w:hAnsi="Times New Roman" w:cs="Times New Roman" w:eastAsia="Times New Roman" w:hint="default"/>
                <w:sz w:val="18"/>
                <w:szCs w:val="18"/>
              </w:rPr>
            </w:pPr>
            <w:r>
              <w:rPr>
                <w:rFonts w:ascii="Times New Roman"/>
                <w:sz w:val="18"/>
              </w:rPr>
              <w:t>2005/4/1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BJ24085</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pacing w:val="-1"/>
                <w:sz w:val="18"/>
              </w:rPr>
              <w:t>2009SRBJ7079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东方通消息中间件软件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:TongLINK/Q]</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V7.1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0"/>
              <w:jc w:val="right"/>
              <w:rPr>
                <w:rFonts w:ascii="Times New Roman" w:hAnsi="Times New Roman" w:cs="Times New Roman" w:eastAsia="Times New Roman" w:hint="default"/>
                <w:sz w:val="18"/>
                <w:szCs w:val="18"/>
              </w:rPr>
            </w:pPr>
            <w:r>
              <w:rPr>
                <w:rFonts w:ascii="Times New Roman"/>
                <w:sz w:val="18"/>
              </w:rPr>
              <w:t>2009/9/30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BJ24222</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pacing w:val="-1"/>
                <w:sz w:val="18"/>
              </w:rPr>
              <w:t>2009SRBJ7216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东方通应用集成中间件软件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:TongIntegrator]</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V3.6</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0"/>
              <w:jc w:val="right"/>
              <w:rPr>
                <w:rFonts w:ascii="Times New Roman" w:hAnsi="Times New Roman" w:cs="Times New Roman" w:eastAsia="Times New Roman" w:hint="default"/>
                <w:sz w:val="18"/>
                <w:szCs w:val="18"/>
              </w:rPr>
            </w:pPr>
            <w:r>
              <w:rPr>
                <w:rFonts w:ascii="Times New Roman"/>
                <w:sz w:val="18"/>
              </w:rPr>
              <w:t>2009/4/30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BJ25184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pacing w:val="-1"/>
                <w:sz w:val="18"/>
              </w:rPr>
              <w:t>2009SRBJ8178</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东方通应用服务器软件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TongWeb]</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V5.0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76"/>
              <w:jc w:val="right"/>
              <w:rPr>
                <w:rFonts w:ascii="Times New Roman" w:hAnsi="Times New Roman" w:cs="Times New Roman" w:eastAsia="Times New Roman" w:hint="default"/>
                <w:sz w:val="18"/>
                <w:szCs w:val="18"/>
              </w:rPr>
            </w:pPr>
            <w:r>
              <w:rPr>
                <w:rFonts w:ascii="Times New Roman"/>
                <w:sz w:val="18"/>
              </w:rPr>
              <w:t>2009/11/30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BJ27009</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pacing w:val="-1"/>
                <w:sz w:val="18"/>
              </w:rPr>
              <w:t>2010SRBJ1626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东方通外网文件传输平台中间件软件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TongWTP]</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V3.0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67" w:right="0"/>
              <w:jc w:val="left"/>
              <w:rPr>
                <w:rFonts w:ascii="Times New Roman" w:hAnsi="Times New Roman" w:cs="Times New Roman" w:eastAsia="Times New Roman" w:hint="default"/>
                <w:sz w:val="18"/>
                <w:szCs w:val="18"/>
              </w:rPr>
            </w:pPr>
            <w:r>
              <w:rPr>
                <w:rFonts w:ascii="Times New Roman"/>
                <w:sz w:val="18"/>
              </w:rPr>
              <w:t>2010/2/5</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BJ27344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pacing w:val="-1"/>
                <w:sz w:val="18"/>
              </w:rPr>
              <w:t>2010SRBJ1961</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东方通通用文件传输平台软件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TongGTP]</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V5.1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0"/>
              <w:jc w:val="right"/>
              <w:rPr>
                <w:rFonts w:ascii="Times New Roman" w:hAnsi="Times New Roman" w:cs="Times New Roman" w:eastAsia="Times New Roman" w:hint="default"/>
                <w:sz w:val="18"/>
                <w:szCs w:val="18"/>
              </w:rPr>
            </w:pPr>
            <w:r>
              <w:rPr>
                <w:rFonts w:ascii="Times New Roman"/>
                <w:sz w:val="18"/>
              </w:rPr>
              <w:t>2010/3/18</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BJ28327</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pacing w:val="-1"/>
                <w:sz w:val="18"/>
              </w:rPr>
              <w:t>2010SRBJ2944</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东方通消息中间件软件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:TongLINK/Q]</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V7.2</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0"/>
              <w:jc w:val="right"/>
              <w:rPr>
                <w:rFonts w:ascii="Times New Roman" w:hAnsi="Times New Roman" w:cs="Times New Roman" w:eastAsia="Times New Roman" w:hint="default"/>
                <w:sz w:val="18"/>
                <w:szCs w:val="18"/>
              </w:rPr>
            </w:pPr>
            <w:r>
              <w:rPr>
                <w:rFonts w:ascii="Times New Roman"/>
                <w:sz w:val="18"/>
              </w:rPr>
              <w:t>2010/5/14</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BJ30221</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pacing w:val="-1"/>
                <w:sz w:val="18"/>
              </w:rPr>
              <w:t>2010SRBJ4838</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东方通通用文件传输平台软件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TongGTP]</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V5.2</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67" w:right="0"/>
              <w:jc w:val="left"/>
              <w:rPr>
                <w:rFonts w:ascii="Times New Roman" w:hAnsi="Times New Roman" w:cs="Times New Roman" w:eastAsia="Times New Roman" w:hint="default"/>
                <w:sz w:val="18"/>
                <w:szCs w:val="18"/>
              </w:rPr>
            </w:pPr>
            <w:r>
              <w:rPr>
                <w:rFonts w:ascii="Times New Roman"/>
                <w:sz w:val="18"/>
              </w:rPr>
              <w:t>2010/8/2</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BJ31187</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pacing w:val="-1"/>
                <w:sz w:val="18"/>
              </w:rPr>
              <w:t>2010SRBJ5804</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东方通应用集成中间件软件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:TongIntegrator]</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V4.0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0"/>
              <w:jc w:val="right"/>
              <w:rPr>
                <w:rFonts w:ascii="Times New Roman" w:hAnsi="Times New Roman" w:cs="Times New Roman" w:eastAsia="Times New Roman" w:hint="default"/>
                <w:sz w:val="18"/>
                <w:szCs w:val="18"/>
              </w:rPr>
            </w:pPr>
            <w:r>
              <w:rPr>
                <w:rFonts w:ascii="Times New Roman"/>
                <w:sz w:val="18"/>
              </w:rPr>
              <w:t>2010/9/21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BJ32013</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pacing w:val="-1"/>
                <w:sz w:val="18"/>
              </w:rPr>
              <w:t>2010SRBJ6630</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东方通统一中间件管理平台软件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TongIMP]</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67" w:right="0"/>
              <w:jc w:val="left"/>
              <w:rPr>
                <w:rFonts w:ascii="Times New Roman" w:hAnsi="Times New Roman" w:cs="Times New Roman" w:eastAsia="Times New Roman" w:hint="default"/>
                <w:sz w:val="18"/>
                <w:szCs w:val="18"/>
              </w:rPr>
            </w:pPr>
            <w:r>
              <w:rPr>
                <w:rFonts w:ascii="Times New Roman"/>
                <w:sz w:val="18"/>
              </w:rPr>
              <w:t>2010/8/3</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BJ32012</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pacing w:val="-1"/>
                <w:sz w:val="18"/>
              </w:rPr>
              <w:t>2010SRBJ6629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东方通交易中间件软件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:TongEASY]</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V5.3</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76"/>
              <w:jc w:val="right"/>
              <w:rPr>
                <w:rFonts w:ascii="Times New Roman" w:hAnsi="Times New Roman" w:cs="Times New Roman" w:eastAsia="Times New Roman" w:hint="default"/>
                <w:sz w:val="18"/>
                <w:szCs w:val="18"/>
              </w:rPr>
            </w:pPr>
            <w:r>
              <w:rPr>
                <w:rFonts w:ascii="Times New Roman"/>
                <w:sz w:val="18"/>
              </w:rPr>
              <w:t>2010/10/28</w:t>
            </w:r>
          </w:p>
        </w:tc>
      </w:tr>
      <w:tr>
        <w:trPr>
          <w:trHeight w:val="343"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0293608</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4"/>
              <w:jc w:val="right"/>
              <w:rPr>
                <w:rFonts w:ascii="Times New Roman" w:hAnsi="Times New Roman" w:cs="Times New Roman" w:eastAsia="Times New Roman" w:hint="default"/>
                <w:sz w:val="18"/>
                <w:szCs w:val="18"/>
              </w:rPr>
            </w:pPr>
            <w:r>
              <w:rPr>
                <w:rFonts w:ascii="Times New Roman"/>
                <w:spacing w:val="-1"/>
                <w:sz w:val="18"/>
              </w:rPr>
              <w:t>2011SR029934</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TongLINK/Q</w:t>
            </w:r>
            <w:r>
              <w:rPr>
                <w:rFonts w:ascii="宋体" w:hAnsi="宋体" w:cs="宋体" w:eastAsia="宋体" w:hint="default"/>
                <w:sz w:val="18"/>
                <w:szCs w:val="18"/>
              </w:rPr>
              <w:t>消息中间件软件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TongLINK/Q]</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V7.0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受让</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0"/>
              <w:jc w:val="right"/>
              <w:rPr>
                <w:rFonts w:ascii="Times New Roman" w:hAnsi="Times New Roman" w:cs="Times New Roman" w:eastAsia="Times New Roman" w:hint="default"/>
                <w:sz w:val="18"/>
                <w:szCs w:val="18"/>
              </w:rPr>
            </w:pPr>
            <w:r>
              <w:rPr>
                <w:rFonts w:ascii="Times New Roman"/>
                <w:sz w:val="18"/>
              </w:rPr>
              <w:t>2006/5/19</w:t>
            </w:r>
          </w:p>
        </w:tc>
      </w:tr>
    </w:tbl>
    <w:p>
      <w:pPr>
        <w:spacing w:after="0" w:line="240" w:lineRule="auto"/>
        <w:jc w:val="right"/>
        <w:rPr>
          <w:rFonts w:ascii="Times New Roman" w:hAnsi="Times New Roman" w:cs="Times New Roman" w:eastAsia="Times New Roman" w:hint="default"/>
          <w:sz w:val="18"/>
          <w:szCs w:val="18"/>
        </w:rPr>
        <w:sectPr>
          <w:headerReference w:type="default" r:id="rId12"/>
          <w:footerReference w:type="default" r:id="rId13"/>
          <w:pgSz w:w="16840" w:h="11910" w:orient="landscape"/>
          <w:pgMar w:header="867" w:footer="979" w:top="1060" w:bottom="1160" w:left="1300" w:right="1300"/>
          <w:pgNumType w:start="19"/>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22"/>
        <w:gridCol w:w="1928"/>
        <w:gridCol w:w="1182"/>
        <w:gridCol w:w="6444"/>
        <w:gridCol w:w="928"/>
        <w:gridCol w:w="1152"/>
        <w:gridCol w:w="837"/>
        <w:gridCol w:w="986"/>
      </w:tblGrid>
      <w:tr>
        <w:trPr>
          <w:trHeight w:val="326" w:hRule="exact"/>
        </w:trPr>
        <w:tc>
          <w:tcPr>
            <w:tcW w:w="522"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28"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182"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6444"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928"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1152"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b/>
                <w:bCs/>
                <w:sz w:val="18"/>
                <w:szCs w:val="18"/>
              </w:rPr>
              <w:t>权利取得方式</w:t>
            </w:r>
            <w:r>
              <w:rPr>
                <w:rFonts w:ascii="宋体" w:hAnsi="宋体" w:cs="宋体" w:eastAsia="宋体" w:hint="default"/>
                <w:sz w:val="18"/>
                <w:szCs w:val="18"/>
              </w:rPr>
            </w:r>
          </w:p>
        </w:tc>
        <w:tc>
          <w:tcPr>
            <w:tcW w:w="837"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5"/>
              <w:ind w:right="51"/>
              <w:jc w:val="right"/>
              <w:rPr>
                <w:rFonts w:ascii="宋体" w:hAnsi="宋体" w:cs="宋体" w:eastAsia="宋体" w:hint="default"/>
                <w:sz w:val="18"/>
                <w:szCs w:val="18"/>
              </w:rPr>
            </w:pPr>
            <w:r>
              <w:rPr>
                <w:rFonts w:ascii="宋体" w:hAnsi="宋体" w:cs="宋体" w:eastAsia="宋体" w:hint="default"/>
                <w:b/>
                <w:bCs/>
                <w:w w:val="95"/>
                <w:sz w:val="18"/>
                <w:szCs w:val="18"/>
              </w:rPr>
              <w:t>权利范围</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5"/>
              <w:ind w:right="125"/>
              <w:jc w:val="right"/>
              <w:rPr>
                <w:rFonts w:ascii="宋体" w:hAnsi="宋体" w:cs="宋体" w:eastAsia="宋体" w:hint="default"/>
                <w:sz w:val="18"/>
                <w:szCs w:val="18"/>
              </w:rPr>
            </w:pPr>
            <w:r>
              <w:rPr>
                <w:rFonts w:ascii="宋体" w:hAnsi="宋体" w:cs="宋体" w:eastAsia="宋体" w:hint="default"/>
                <w:b/>
                <w:bCs/>
                <w:w w:val="95"/>
                <w:sz w:val="18"/>
                <w:szCs w:val="18"/>
              </w:rPr>
              <w:t>首发日期</w:t>
            </w:r>
            <w:r>
              <w:rPr>
                <w:rFonts w:ascii="宋体" w:hAnsi="宋体" w:cs="宋体" w:eastAsia="宋体" w:hint="default"/>
                <w:sz w:val="18"/>
                <w:szCs w:val="18"/>
              </w:rPr>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8"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BJ33911</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2011SRBJ1790</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东方通消息中间件软件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TongLINK/Q]</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V8.0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0"/>
              <w:jc w:val="right"/>
              <w:rPr>
                <w:rFonts w:ascii="Times New Roman" w:hAnsi="Times New Roman" w:cs="Times New Roman" w:eastAsia="Times New Roman" w:hint="default"/>
                <w:sz w:val="18"/>
                <w:szCs w:val="18"/>
              </w:rPr>
            </w:pPr>
            <w:r>
              <w:rPr>
                <w:rFonts w:ascii="Times New Roman"/>
                <w:sz w:val="18"/>
              </w:rPr>
              <w:t>2011/3/28</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8"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BJ33912</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2011SRBJ1791</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东方通通用文件传输平台软件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TongGTP]  </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V6.0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0"/>
              <w:jc w:val="right"/>
              <w:rPr>
                <w:rFonts w:ascii="Times New Roman" w:hAnsi="Times New Roman" w:cs="Times New Roman" w:eastAsia="Times New Roman" w:hint="default"/>
                <w:sz w:val="18"/>
                <w:szCs w:val="18"/>
              </w:rPr>
            </w:pPr>
            <w:r>
              <w:rPr>
                <w:rFonts w:ascii="Times New Roman"/>
                <w:sz w:val="18"/>
              </w:rPr>
              <w:t>2011/3/24</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8"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BJ33224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2011SRBJ1103</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东方通集成开发工具软件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TongIntegratedStudio]</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76"/>
              <w:jc w:val="right"/>
              <w:rPr>
                <w:rFonts w:ascii="Times New Roman" w:hAnsi="Times New Roman" w:cs="Times New Roman" w:eastAsia="Times New Roman" w:hint="default"/>
                <w:sz w:val="18"/>
                <w:szCs w:val="18"/>
              </w:rPr>
            </w:pPr>
            <w:r>
              <w:rPr>
                <w:rFonts w:ascii="Times New Roman"/>
                <w:sz w:val="18"/>
              </w:rPr>
              <w:t>2010/10/31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0198655</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2010SR010382</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村镇中小企业科技服务平台信息系统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简称：中小企业科技服务平台</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0"/>
              <w:jc w:val="right"/>
              <w:rPr>
                <w:rFonts w:ascii="Times New Roman" w:hAnsi="Times New Roman" w:cs="Times New Roman" w:eastAsia="Times New Roman" w:hint="default"/>
                <w:sz w:val="18"/>
                <w:szCs w:val="18"/>
              </w:rPr>
            </w:pPr>
            <w:r>
              <w:rPr>
                <w:rFonts w:ascii="Times New Roman"/>
                <w:sz w:val="18"/>
              </w:rPr>
              <w:t>2010/1/19</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8"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BJ38389</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2012SRBJ1238</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东方通实时传输中间件软件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TongLINK Real-Time]</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V8.0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67" w:right="0"/>
              <w:jc w:val="left"/>
              <w:rPr>
                <w:rFonts w:ascii="Times New Roman" w:hAnsi="Times New Roman" w:cs="Times New Roman" w:eastAsia="Times New Roman" w:hint="default"/>
                <w:sz w:val="18"/>
                <w:szCs w:val="18"/>
              </w:rPr>
            </w:pPr>
            <w:r>
              <w:rPr>
                <w:rFonts w:ascii="Times New Roman"/>
                <w:sz w:val="18"/>
              </w:rPr>
              <w:t>2012/6/1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8"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BJ38680</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2013SRBJ0027</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w:t>
            </w:r>
            <w:r>
              <w:rPr>
                <w:rFonts w:ascii="Times New Roman" w:hAnsi="Times New Roman" w:cs="Times New Roman" w:eastAsia="Times New Roman" w:hint="default"/>
                <w:sz w:val="18"/>
                <w:szCs w:val="18"/>
              </w:rPr>
              <w:t>ETL</w:t>
            </w:r>
            <w:r>
              <w:rPr>
                <w:rFonts w:ascii="宋体" w:hAnsi="宋体" w:cs="宋体" w:eastAsia="宋体" w:hint="default"/>
                <w:sz w:val="18"/>
                <w:szCs w:val="18"/>
              </w:rPr>
              <w:t>工具软件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TI-ETL]</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67" w:right="0"/>
              <w:jc w:val="left"/>
              <w:rPr>
                <w:rFonts w:ascii="Times New Roman" w:hAnsi="Times New Roman" w:cs="Times New Roman" w:eastAsia="Times New Roman" w:hint="default"/>
                <w:sz w:val="18"/>
                <w:szCs w:val="18"/>
              </w:rPr>
            </w:pPr>
            <w:r>
              <w:rPr>
                <w:rFonts w:ascii="Times New Roman"/>
                <w:sz w:val="18"/>
              </w:rPr>
              <w:t>2012/9/3</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8"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BJ38689</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2013SRBJ0026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东方通数据交换平台软件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TI-DXP]</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V2.0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67" w:right="0"/>
              <w:jc w:val="left"/>
              <w:rPr>
                <w:rFonts w:ascii="Times New Roman" w:hAnsi="Times New Roman" w:cs="Times New Roman" w:eastAsia="Times New Roman" w:hint="default"/>
                <w:sz w:val="18"/>
                <w:szCs w:val="18"/>
              </w:rPr>
            </w:pPr>
            <w:r>
              <w:rPr>
                <w:rFonts w:ascii="Times New Roman"/>
                <w:sz w:val="18"/>
              </w:rPr>
              <w:t>2012/9/7</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8"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BJ38726</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2013SRBJ0010</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东方通外网文件传输平台中间件软件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TongWTP]</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V4.0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0"/>
              <w:jc w:val="right"/>
              <w:rPr>
                <w:rFonts w:ascii="Times New Roman" w:hAnsi="Times New Roman" w:cs="Times New Roman" w:eastAsia="Times New Roman" w:hint="default"/>
                <w:sz w:val="18"/>
                <w:szCs w:val="18"/>
              </w:rPr>
            </w:pPr>
            <w:r>
              <w:rPr>
                <w:rFonts w:ascii="Times New Roman"/>
                <w:sz w:val="18"/>
              </w:rPr>
              <w:t>2012/10/1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8"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BJ38688</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2013SRBJ0004</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东方通数据交换工具软件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TI-DX]</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V2.0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67" w:right="0"/>
              <w:jc w:val="left"/>
              <w:rPr>
                <w:rFonts w:ascii="Times New Roman" w:hAnsi="Times New Roman" w:cs="Times New Roman" w:eastAsia="Times New Roman" w:hint="default"/>
                <w:sz w:val="18"/>
                <w:szCs w:val="18"/>
              </w:rPr>
            </w:pPr>
            <w:r>
              <w:rPr>
                <w:rFonts w:ascii="Times New Roman"/>
                <w:sz w:val="18"/>
              </w:rPr>
              <w:t>2012/9/7</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0538478</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2013SRO32716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东方通应用集成</w:t>
            </w:r>
            <w:r>
              <w:rPr>
                <w:rFonts w:ascii="Times New Roman" w:hAnsi="Times New Roman" w:cs="Times New Roman" w:eastAsia="Times New Roman" w:hint="default"/>
                <w:sz w:val="18"/>
                <w:szCs w:val="18"/>
              </w:rPr>
              <w:t>SOA</w:t>
            </w:r>
            <w:r>
              <w:rPr>
                <w:rFonts w:ascii="宋体" w:hAnsi="宋体" w:cs="宋体" w:eastAsia="宋体" w:hint="default"/>
                <w:sz w:val="18"/>
                <w:szCs w:val="18"/>
              </w:rPr>
              <w:t>装配组建软件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TI-SOAAC]V5.0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0"/>
              <w:jc w:val="right"/>
              <w:rPr>
                <w:rFonts w:ascii="Times New Roman" w:hAnsi="Times New Roman" w:cs="Times New Roman" w:eastAsia="Times New Roman" w:hint="default"/>
                <w:sz w:val="18"/>
                <w:szCs w:val="18"/>
              </w:rPr>
            </w:pPr>
            <w:r>
              <w:rPr>
                <w:rFonts w:ascii="Times New Roman"/>
                <w:sz w:val="18"/>
              </w:rPr>
              <w:t>2012/1/31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8"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BJ38974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2013SRBJ0297</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东方通企业服务总线软件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TI-ESB]</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V5.0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67" w:right="0"/>
              <w:jc w:val="left"/>
              <w:rPr>
                <w:rFonts w:ascii="Times New Roman" w:hAnsi="Times New Roman" w:cs="Times New Roman" w:eastAsia="Times New Roman" w:hint="default"/>
                <w:sz w:val="18"/>
                <w:szCs w:val="18"/>
              </w:rPr>
            </w:pPr>
            <w:r>
              <w:rPr>
                <w:rFonts w:ascii="Times New Roman"/>
                <w:sz w:val="18"/>
              </w:rPr>
              <w:t>2013/1/7</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8"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BJ39746</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2014SRBJ0189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w:t>
            </w:r>
            <w:r>
              <w:rPr>
                <w:rFonts w:ascii="Times New Roman" w:hAnsi="Times New Roman" w:cs="Times New Roman" w:eastAsia="Times New Roman" w:hint="default"/>
                <w:sz w:val="18"/>
                <w:szCs w:val="18"/>
              </w:rPr>
              <w:t>ETL</w:t>
            </w:r>
            <w:r>
              <w:rPr>
                <w:rFonts w:ascii="宋体" w:hAnsi="宋体" w:cs="宋体" w:eastAsia="宋体" w:hint="default"/>
                <w:sz w:val="18"/>
                <w:szCs w:val="18"/>
              </w:rPr>
              <w:t>工具软件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TI-ETL]</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V2.0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0"/>
              <w:jc w:val="right"/>
              <w:rPr>
                <w:rFonts w:ascii="Times New Roman" w:hAnsi="Times New Roman" w:cs="Times New Roman" w:eastAsia="Times New Roman" w:hint="default"/>
                <w:sz w:val="18"/>
                <w:szCs w:val="18"/>
              </w:rPr>
            </w:pPr>
            <w:r>
              <w:rPr>
                <w:rFonts w:ascii="Times New Roman"/>
                <w:sz w:val="18"/>
              </w:rPr>
              <w:t>2013/12/1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8"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BJ39756</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2014SRBJ0199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东方通应用服务器软件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Tongweb]</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V6.0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76"/>
              <w:jc w:val="right"/>
              <w:rPr>
                <w:rFonts w:ascii="Times New Roman" w:hAnsi="Times New Roman" w:cs="Times New Roman" w:eastAsia="Times New Roman" w:hint="default"/>
                <w:sz w:val="18"/>
                <w:szCs w:val="18"/>
              </w:rPr>
            </w:pPr>
            <w:r>
              <w:rPr>
                <w:rFonts w:ascii="Times New Roman"/>
                <w:sz w:val="18"/>
              </w:rPr>
              <w:t>2013/12/20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8"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BJ39931</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2014SRBJ0374</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w:t>
            </w:r>
            <w:r>
              <w:rPr>
                <w:rFonts w:ascii="Times New Roman" w:hAnsi="Times New Roman" w:cs="Times New Roman" w:eastAsia="Times New Roman" w:hint="default"/>
                <w:sz w:val="18"/>
                <w:szCs w:val="18"/>
              </w:rPr>
              <w:t>JMS</w:t>
            </w:r>
            <w:r>
              <w:rPr>
                <w:rFonts w:ascii="宋体" w:hAnsi="宋体" w:cs="宋体" w:eastAsia="宋体" w:hint="default"/>
                <w:sz w:val="18"/>
                <w:szCs w:val="18"/>
              </w:rPr>
              <w:t>消息传输中间件软件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TL-JMS]</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0"/>
              <w:jc w:val="right"/>
              <w:rPr>
                <w:rFonts w:ascii="Times New Roman" w:hAnsi="Times New Roman" w:cs="Times New Roman" w:eastAsia="Times New Roman" w:hint="default"/>
                <w:sz w:val="18"/>
                <w:szCs w:val="18"/>
              </w:rPr>
            </w:pPr>
            <w:r>
              <w:rPr>
                <w:rFonts w:ascii="Times New Roman"/>
                <w:sz w:val="18"/>
              </w:rPr>
              <w:t>2014/3/14</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8"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BJ39933</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2014SRBJ0376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东方通统一中间件管理平台软件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TongIMP]</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V2.0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0"/>
              <w:jc w:val="right"/>
              <w:rPr>
                <w:rFonts w:ascii="Times New Roman" w:hAnsi="Times New Roman" w:cs="Times New Roman" w:eastAsia="Times New Roman" w:hint="default"/>
                <w:sz w:val="18"/>
                <w:szCs w:val="18"/>
              </w:rPr>
            </w:pPr>
            <w:r>
              <w:rPr>
                <w:rFonts w:ascii="Times New Roman"/>
                <w:sz w:val="18"/>
              </w:rPr>
              <w:t>2014/3/31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8"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BJ39943</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2014SRBJ0386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东方通交易中间件软件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TongEASY]</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V6.0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76"/>
              <w:jc w:val="right"/>
              <w:rPr>
                <w:rFonts w:ascii="Times New Roman" w:hAnsi="Times New Roman" w:cs="Times New Roman" w:eastAsia="Times New Roman" w:hint="default"/>
                <w:sz w:val="18"/>
                <w:szCs w:val="18"/>
              </w:rPr>
            </w:pPr>
            <w:r>
              <w:rPr>
                <w:rFonts w:ascii="Times New Roman"/>
                <w:sz w:val="18"/>
              </w:rPr>
              <w:t>2012/12/14</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BJ0784862</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2014SR115618</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东方通数据交换平台软件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TI-DXP]</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V2.5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67" w:right="0"/>
              <w:jc w:val="left"/>
              <w:rPr>
                <w:rFonts w:ascii="Times New Roman" w:hAnsi="Times New Roman" w:cs="Times New Roman" w:eastAsia="Times New Roman" w:hint="default"/>
                <w:sz w:val="18"/>
                <w:szCs w:val="18"/>
              </w:rPr>
            </w:pPr>
            <w:r>
              <w:rPr>
                <w:rFonts w:ascii="Times New Roman"/>
                <w:sz w:val="18"/>
              </w:rPr>
              <w:t>2014/1/1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BJ0784873</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2014SR115629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东方通数据库管理系统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TongDB]</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V5.0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67" w:right="0"/>
              <w:jc w:val="left"/>
              <w:rPr>
                <w:rFonts w:ascii="Times New Roman" w:hAnsi="Times New Roman" w:cs="Times New Roman" w:eastAsia="Times New Roman" w:hint="default"/>
                <w:sz w:val="18"/>
                <w:szCs w:val="18"/>
              </w:rPr>
            </w:pPr>
            <w:r>
              <w:rPr>
                <w:rFonts w:ascii="Times New Roman"/>
                <w:sz w:val="18"/>
              </w:rPr>
              <w:t>2014/7/8</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0791278</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2014SR122035</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东方通应用服务器软件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TongWeb]</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V5.5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0"/>
              <w:jc w:val="right"/>
              <w:rPr>
                <w:rFonts w:ascii="Times New Roman" w:hAnsi="Times New Roman" w:cs="Times New Roman" w:eastAsia="Times New Roman" w:hint="default"/>
                <w:sz w:val="18"/>
                <w:szCs w:val="18"/>
              </w:rPr>
            </w:pPr>
            <w:r>
              <w:rPr>
                <w:rFonts w:ascii="Times New Roman"/>
                <w:sz w:val="18"/>
              </w:rPr>
              <w:t>2014/7/16</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0791412</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8"/>
              <w:jc w:val="center"/>
              <w:rPr>
                <w:rFonts w:ascii="Times New Roman" w:hAnsi="Times New Roman" w:cs="Times New Roman" w:eastAsia="Times New Roman" w:hint="default"/>
                <w:sz w:val="18"/>
                <w:szCs w:val="18"/>
              </w:rPr>
            </w:pPr>
            <w:r>
              <w:rPr>
                <w:rFonts w:ascii="Times New Roman"/>
                <w:sz w:val="18"/>
              </w:rPr>
              <w:t>2014SR122169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东方通应用服务器软件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TongWeb]</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V5.6</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0"/>
              <w:jc w:val="right"/>
              <w:rPr>
                <w:rFonts w:ascii="Times New Roman" w:hAnsi="Times New Roman" w:cs="Times New Roman" w:eastAsia="Times New Roman" w:hint="default"/>
                <w:sz w:val="18"/>
                <w:szCs w:val="18"/>
              </w:rPr>
            </w:pPr>
            <w:r>
              <w:rPr>
                <w:rFonts w:ascii="Times New Roman"/>
                <w:sz w:val="18"/>
              </w:rPr>
              <w:t>2014/7/16</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0813164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2014SR143924</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东方通虚拟化平台</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 OCloud]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V4.5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0"/>
              <w:jc w:val="right"/>
              <w:rPr>
                <w:rFonts w:ascii="Times New Roman" w:hAnsi="Times New Roman" w:cs="Times New Roman" w:eastAsia="Times New Roman" w:hint="default"/>
                <w:sz w:val="18"/>
                <w:szCs w:val="18"/>
              </w:rPr>
            </w:pPr>
            <w:r>
              <w:rPr>
                <w:rFonts w:ascii="Times New Roman"/>
                <w:sz w:val="18"/>
              </w:rPr>
              <w:t>2014/8/15</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0813166</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2014SR143926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东方通负载均衡软件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TongLB]</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V2.0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67" w:right="0"/>
              <w:jc w:val="left"/>
              <w:rPr>
                <w:rFonts w:ascii="Times New Roman" w:hAnsi="Times New Roman" w:cs="Times New Roman" w:eastAsia="Times New Roman" w:hint="default"/>
                <w:sz w:val="18"/>
                <w:szCs w:val="18"/>
              </w:rPr>
            </w:pPr>
            <w:r>
              <w:rPr>
                <w:rFonts w:ascii="Times New Roman"/>
                <w:sz w:val="18"/>
              </w:rPr>
              <w:t>2014/9/1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0819267</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2014SR150028</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东方通云管理平台</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TongApplaud]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V2.0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0"/>
              <w:jc w:val="right"/>
              <w:rPr>
                <w:rFonts w:ascii="Times New Roman" w:hAnsi="Times New Roman" w:cs="Times New Roman" w:eastAsia="Times New Roman" w:hint="default"/>
                <w:sz w:val="18"/>
                <w:szCs w:val="18"/>
              </w:rPr>
            </w:pPr>
            <w:r>
              <w:rPr>
                <w:rFonts w:ascii="Times New Roman"/>
                <w:sz w:val="18"/>
              </w:rPr>
              <w:t>2014/6/30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0875310</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2014SR206078</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东方通云管理平台</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TongApplaud]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V2.5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76"/>
              <w:jc w:val="right"/>
              <w:rPr>
                <w:rFonts w:ascii="Times New Roman" w:hAnsi="Times New Roman" w:cs="Times New Roman" w:eastAsia="Times New Roman" w:hint="default"/>
                <w:sz w:val="18"/>
                <w:szCs w:val="18"/>
              </w:rPr>
            </w:pPr>
            <w:r>
              <w:rPr>
                <w:rFonts w:ascii="Times New Roman"/>
                <w:sz w:val="18"/>
              </w:rPr>
              <w:t>2014/11/28</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0922572</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2015SR035494</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w:t>
            </w:r>
            <w:r>
              <w:rPr>
                <w:rFonts w:ascii="Times New Roman" w:hAnsi="Times New Roman" w:cs="Times New Roman" w:eastAsia="Times New Roman" w:hint="default"/>
                <w:sz w:val="18"/>
                <w:szCs w:val="18"/>
              </w:rPr>
              <w:t>TongLINK/Q</w:t>
            </w:r>
            <w:r>
              <w:rPr>
                <w:rFonts w:ascii="宋体" w:hAnsi="宋体" w:cs="宋体" w:eastAsia="宋体" w:hint="default"/>
                <w:sz w:val="18"/>
                <w:szCs w:val="18"/>
              </w:rPr>
              <w:t>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TLQ]</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V8.5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0"/>
              <w:jc w:val="right"/>
              <w:rPr>
                <w:rFonts w:ascii="Times New Roman" w:hAnsi="Times New Roman" w:cs="Times New Roman" w:eastAsia="Times New Roman" w:hint="default"/>
                <w:sz w:val="18"/>
                <w:szCs w:val="18"/>
              </w:rPr>
            </w:pPr>
            <w:r>
              <w:rPr>
                <w:rFonts w:ascii="Times New Roman"/>
                <w:sz w:val="18"/>
              </w:rPr>
              <w:t>2013/12/6</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8"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BJ41066</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2015SRBJ0508</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东方通数据交换适配器工具软件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TI-DX Adapter]</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V2.0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67" w:right="0"/>
              <w:jc w:val="left"/>
              <w:rPr>
                <w:rFonts w:ascii="Times New Roman" w:hAnsi="Times New Roman" w:cs="Times New Roman" w:eastAsia="Times New Roman" w:hint="default"/>
                <w:sz w:val="18"/>
                <w:szCs w:val="18"/>
              </w:rPr>
            </w:pPr>
            <w:r>
              <w:rPr>
                <w:rFonts w:ascii="Times New Roman"/>
                <w:sz w:val="18"/>
              </w:rPr>
              <w:t>2015/1/1</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9" w:top="1060" w:bottom="1160" w:left="1300" w:right="1300"/>
        </w:sectPr>
      </w:pPr>
    </w:p>
    <w:tbl>
      <w:tblPr>
        <w:tblW w:w="0" w:type="auto"/>
        <w:jc w:val="left"/>
        <w:tblInd w:w="125" w:type="dxa"/>
        <w:tblLayout w:type="fixed"/>
        <w:tblCellMar>
          <w:top w:w="0" w:type="dxa"/>
          <w:left w:w="0" w:type="dxa"/>
          <w:bottom w:w="0" w:type="dxa"/>
          <w:right w:w="0" w:type="dxa"/>
        </w:tblCellMar>
        <w:tblLook w:val="01E0"/>
      </w:tblPr>
      <w:tblGrid>
        <w:gridCol w:w="522"/>
        <w:gridCol w:w="1928"/>
        <w:gridCol w:w="1182"/>
        <w:gridCol w:w="6444"/>
        <w:gridCol w:w="928"/>
        <w:gridCol w:w="1152"/>
        <w:gridCol w:w="837"/>
        <w:gridCol w:w="986"/>
      </w:tblGrid>
      <w:tr>
        <w:trPr>
          <w:trHeight w:val="326" w:hRule="exact"/>
        </w:trPr>
        <w:tc>
          <w:tcPr>
            <w:tcW w:w="522"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28"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182"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6444"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928"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1152"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权利取得方式</w:t>
            </w:r>
            <w:r>
              <w:rPr>
                <w:rFonts w:ascii="宋体" w:hAnsi="宋体" w:cs="宋体" w:eastAsia="宋体" w:hint="default"/>
                <w:sz w:val="18"/>
                <w:szCs w:val="18"/>
              </w:rPr>
            </w:r>
          </w:p>
        </w:tc>
        <w:tc>
          <w:tcPr>
            <w:tcW w:w="837"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51"/>
              <w:jc w:val="right"/>
              <w:rPr>
                <w:rFonts w:ascii="宋体" w:hAnsi="宋体" w:cs="宋体" w:eastAsia="宋体" w:hint="default"/>
                <w:sz w:val="18"/>
                <w:szCs w:val="18"/>
              </w:rPr>
            </w:pPr>
            <w:r>
              <w:rPr>
                <w:rFonts w:ascii="宋体" w:hAnsi="宋体" w:cs="宋体" w:eastAsia="宋体" w:hint="default"/>
                <w:b/>
                <w:bCs/>
                <w:w w:val="95"/>
                <w:sz w:val="18"/>
                <w:szCs w:val="18"/>
              </w:rPr>
              <w:t>权利范围</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25"/>
              <w:jc w:val="right"/>
              <w:rPr>
                <w:rFonts w:ascii="宋体" w:hAnsi="宋体" w:cs="宋体" w:eastAsia="宋体" w:hint="default"/>
                <w:sz w:val="18"/>
                <w:szCs w:val="18"/>
              </w:rPr>
            </w:pPr>
            <w:r>
              <w:rPr>
                <w:rFonts w:ascii="宋体" w:hAnsi="宋体" w:cs="宋体" w:eastAsia="宋体" w:hint="default"/>
                <w:b/>
                <w:bCs/>
                <w:w w:val="95"/>
                <w:sz w:val="18"/>
                <w:szCs w:val="18"/>
              </w:rPr>
              <w:t>首发日期</w:t>
            </w:r>
            <w:r>
              <w:rPr>
                <w:rFonts w:ascii="宋体" w:hAnsi="宋体" w:cs="宋体" w:eastAsia="宋体" w:hint="default"/>
                <w:sz w:val="18"/>
                <w:szCs w:val="18"/>
              </w:rPr>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52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软著登字</w:t>
            </w:r>
            <w:r>
              <w:rPr>
                <w:rFonts w:ascii="Times New Roman" w:hAnsi="Times New Roman" w:cs="Times New Roman" w:eastAsia="Times New Roman" w:hint="default"/>
                <w:sz w:val="18"/>
                <w:szCs w:val="18"/>
              </w:rPr>
              <w:t>1047683</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2015SR160597</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w:t>
            </w:r>
            <w:r>
              <w:rPr>
                <w:rFonts w:ascii="Times New Roman" w:hAnsi="Times New Roman" w:cs="Times New Roman" w:eastAsia="Times New Roman" w:hint="default"/>
                <w:sz w:val="18"/>
                <w:szCs w:val="18"/>
              </w:rPr>
              <w:t>ETL</w:t>
            </w:r>
            <w:r>
              <w:rPr>
                <w:rFonts w:ascii="宋体" w:hAnsi="宋体" w:cs="宋体" w:eastAsia="宋体" w:hint="default"/>
                <w:sz w:val="18"/>
                <w:szCs w:val="18"/>
              </w:rPr>
              <w:t>适配器工具软件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:TI-ETL Adapter]</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V2.0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2015/5/25</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53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w:t>
            </w:r>
            <w:r>
              <w:rPr>
                <w:rFonts w:ascii="Times New Roman" w:hAnsi="Times New Roman" w:cs="Times New Roman" w:eastAsia="Times New Roman" w:hint="default"/>
                <w:sz w:val="18"/>
                <w:szCs w:val="18"/>
              </w:rPr>
              <w:t>BJ41115</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2015SRBJ0557</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东方通分布式内存网格软件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TongCache]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2015/5/30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54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w:t>
            </w:r>
            <w:r>
              <w:rPr>
                <w:rFonts w:ascii="Times New Roman" w:hAnsi="Times New Roman" w:cs="Times New Roman" w:eastAsia="Times New Roman" w:hint="default"/>
                <w:sz w:val="18"/>
                <w:szCs w:val="18"/>
              </w:rPr>
              <w:t>BJ41114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2015SRBJ0556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东方通变化数据捕获工具软件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TongCDC]</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V2.0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2015/5/25</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55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w:t>
            </w:r>
            <w:r>
              <w:rPr>
                <w:rFonts w:ascii="Times New Roman" w:hAnsi="Times New Roman" w:cs="Times New Roman" w:eastAsia="Times New Roman" w:hint="default"/>
                <w:sz w:val="18"/>
                <w:szCs w:val="18"/>
              </w:rPr>
              <w:t>1041569</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2015SR154483</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东方通云管理平台</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TongoCloud Platform]</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V5.0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8" w:right="0"/>
              <w:jc w:val="left"/>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56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w:t>
            </w:r>
            <w:r>
              <w:rPr>
                <w:rFonts w:ascii="Times New Roman" w:hAnsi="Times New Roman" w:cs="Times New Roman" w:eastAsia="Times New Roman" w:hint="default"/>
                <w:sz w:val="18"/>
                <w:szCs w:val="18"/>
              </w:rPr>
              <w:t>1041574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2015SR154488</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东方通虚拟化平台</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TongoCloud]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V5.0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8" w:right="0"/>
              <w:jc w:val="left"/>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57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w:t>
            </w:r>
            <w:r>
              <w:rPr>
                <w:rFonts w:ascii="Times New Roman" w:hAnsi="Times New Roman" w:cs="Times New Roman" w:eastAsia="Times New Roman" w:hint="default"/>
                <w:sz w:val="18"/>
                <w:szCs w:val="18"/>
              </w:rPr>
              <w:t>1080165</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2015SR193079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东方通数据交换管理平台软件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TongDXP]</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V3.0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2015/9/20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58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w:t>
            </w:r>
            <w:r>
              <w:rPr>
                <w:rFonts w:ascii="Times New Roman" w:hAnsi="Times New Roman" w:cs="Times New Roman" w:eastAsia="Times New Roman" w:hint="default"/>
                <w:sz w:val="18"/>
                <w:szCs w:val="18"/>
              </w:rPr>
              <w:t>1079832</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2015SR192746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东方通数据交换运行节点软件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TongDXP_Node]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V3.0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2015/9/20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59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w:t>
            </w:r>
            <w:r>
              <w:rPr>
                <w:rFonts w:ascii="Times New Roman" w:hAnsi="Times New Roman" w:cs="Times New Roman" w:eastAsia="Times New Roman" w:hint="default"/>
                <w:sz w:val="18"/>
                <w:szCs w:val="18"/>
              </w:rPr>
              <w:t>1098102</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2015SR211016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东方通数据同步平台</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TongDSP]</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V2.0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2015/9/15</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60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w:t>
            </w:r>
            <w:r>
              <w:rPr>
                <w:rFonts w:ascii="Times New Roman" w:hAnsi="Times New Roman" w:cs="Times New Roman" w:eastAsia="Times New Roman" w:hint="default"/>
                <w:sz w:val="18"/>
                <w:szCs w:val="18"/>
              </w:rPr>
              <w:t>1157391</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2015SR270305</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东方通云数据总线软件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TongCDB]</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V2.0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3"/>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6"/>
              <w:jc w:val="right"/>
              <w:rPr>
                <w:rFonts w:ascii="Times New Roman" w:hAnsi="Times New Roman" w:cs="Times New Roman" w:eastAsia="Times New Roman" w:hint="default"/>
                <w:sz w:val="18"/>
                <w:szCs w:val="18"/>
              </w:rPr>
            </w:pPr>
            <w:r>
              <w:rPr>
                <w:rFonts w:ascii="Times New Roman"/>
                <w:sz w:val="18"/>
              </w:rPr>
              <w:t>2015/11/15</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61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1394951</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2016SR216334</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东方通消息中间件软件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TongLINK/Q]</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V8.1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2013/12/6</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62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1433460</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2016SR254843</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东方通数据融合平台</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TongDF]</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2016/4/11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63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1527510</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2016SR348894</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东方通消息中间件主动防御软件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TongLINK-Protect]V8.0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2016/5/31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64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1628849</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2017SR043565</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东方通应用服务器软件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Tongweb]</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V6.1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6"/>
              <w:jc w:val="right"/>
              <w:rPr>
                <w:rFonts w:ascii="Times New Roman" w:hAnsi="Times New Roman" w:cs="Times New Roman" w:eastAsia="Times New Roman" w:hint="default"/>
                <w:sz w:val="18"/>
                <w:szCs w:val="18"/>
              </w:rPr>
            </w:pPr>
            <w:r>
              <w:rPr>
                <w:rFonts w:ascii="Times New Roman"/>
                <w:sz w:val="18"/>
              </w:rPr>
              <w:t>2016/10/20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65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1813957</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2017SR228673</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w:t>
            </w:r>
            <w:r>
              <w:rPr>
                <w:rFonts w:ascii="Times New Roman" w:hAnsi="Times New Roman" w:cs="Times New Roman" w:eastAsia="Times New Roman" w:hint="default"/>
                <w:sz w:val="18"/>
                <w:szCs w:val="18"/>
              </w:rPr>
              <w:t>ETL</w:t>
            </w:r>
            <w:r>
              <w:rPr>
                <w:rFonts w:ascii="宋体" w:hAnsi="宋体" w:cs="宋体" w:eastAsia="宋体" w:hint="default"/>
                <w:sz w:val="18"/>
                <w:szCs w:val="18"/>
              </w:rPr>
              <w:t>工具软件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TongETL]V2.2</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6"/>
              <w:jc w:val="right"/>
              <w:rPr>
                <w:rFonts w:ascii="Times New Roman" w:hAnsi="Times New Roman" w:cs="Times New Roman" w:eastAsia="Times New Roman" w:hint="default"/>
                <w:sz w:val="18"/>
                <w:szCs w:val="18"/>
              </w:rPr>
            </w:pPr>
            <w:r>
              <w:rPr>
                <w:rFonts w:ascii="Times New Roman"/>
                <w:sz w:val="18"/>
              </w:rPr>
              <w:t>2016/11/15</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66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1810068</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2017SR224784</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东方通企业服务总线软件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TongESB]</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V5.2</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2017/1/5</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67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1827136</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2017SR241852</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东方通大数据分析处理平台软件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TongBETL]V2.3</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2017/4/21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68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1981066</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2017SR395782</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东方通大数据平台管理中心软件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TongDP</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MC]V2.3</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2017/4/21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69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1973674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2017SR388390</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东方通大数据平台运行节点软件 </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TongDP</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Node]V2.3</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2017/5/8</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70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1973634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2017SR388350</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东方通通用文件传输平台管理中心软件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TongGTP</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MC]V6.1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2012/4/9</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71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1980664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2017SR395380</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东方通通用文件传输平台运行节点软件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TongGTP</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Node]V6.1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2012/4/9</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72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1973558</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2017SR388274</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东方通数据交换平台管理中心软件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TongDXP</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MC]V3.1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2017/5/2</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73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1968102</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2017SR382818</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软件开发行为分析工具软件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TongSDBA]V1.0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2016/12/1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74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1967599</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2017SR382315</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统一开发资源库管理软件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TongSDRM]V1.0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2016/12/1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75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1967594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2017SR382310</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开发行为数据捕获工具软件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TongSDBC]V1.0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2016/12/1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76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2000344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2017SR415060</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东方通数据交换运行节点软件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TongDXP Node]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V3.1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2017/5/2</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77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2396811</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2018SR067716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东方通消息中间件网关软件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TongLINK-HUB]V8.0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6"/>
              <w:jc w:val="right"/>
              <w:rPr>
                <w:rFonts w:ascii="Times New Roman" w:hAnsi="Times New Roman" w:cs="Times New Roman" w:eastAsia="Times New Roman" w:hint="default"/>
                <w:sz w:val="18"/>
                <w:szCs w:val="18"/>
              </w:rPr>
            </w:pPr>
            <w:r>
              <w:rPr>
                <w:rFonts w:ascii="Times New Roman"/>
                <w:sz w:val="18"/>
              </w:rPr>
              <w:t>2015/11/30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140" w:bottom="1160" w:left="1300" w:right="1300"/>
        </w:sectPr>
      </w:pPr>
    </w:p>
    <w:tbl>
      <w:tblPr>
        <w:tblW w:w="0" w:type="auto"/>
        <w:jc w:val="left"/>
        <w:tblInd w:w="125" w:type="dxa"/>
        <w:tblLayout w:type="fixed"/>
        <w:tblCellMar>
          <w:top w:w="0" w:type="dxa"/>
          <w:left w:w="0" w:type="dxa"/>
          <w:bottom w:w="0" w:type="dxa"/>
          <w:right w:w="0" w:type="dxa"/>
        </w:tblCellMar>
        <w:tblLook w:val="01E0"/>
      </w:tblPr>
      <w:tblGrid>
        <w:gridCol w:w="522"/>
        <w:gridCol w:w="1928"/>
        <w:gridCol w:w="1182"/>
        <w:gridCol w:w="6444"/>
        <w:gridCol w:w="928"/>
        <w:gridCol w:w="1152"/>
        <w:gridCol w:w="837"/>
        <w:gridCol w:w="986"/>
      </w:tblGrid>
      <w:tr>
        <w:trPr>
          <w:trHeight w:val="326" w:hRule="exact"/>
        </w:trPr>
        <w:tc>
          <w:tcPr>
            <w:tcW w:w="522"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28"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182"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6444"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928"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1152"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权利取得方式</w:t>
            </w:r>
            <w:r>
              <w:rPr>
                <w:rFonts w:ascii="宋体" w:hAnsi="宋体" w:cs="宋体" w:eastAsia="宋体" w:hint="default"/>
                <w:sz w:val="18"/>
                <w:szCs w:val="18"/>
              </w:rPr>
            </w:r>
          </w:p>
        </w:tc>
        <w:tc>
          <w:tcPr>
            <w:tcW w:w="837"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51"/>
              <w:jc w:val="right"/>
              <w:rPr>
                <w:rFonts w:ascii="宋体" w:hAnsi="宋体" w:cs="宋体" w:eastAsia="宋体" w:hint="default"/>
                <w:sz w:val="18"/>
                <w:szCs w:val="18"/>
              </w:rPr>
            </w:pPr>
            <w:r>
              <w:rPr>
                <w:rFonts w:ascii="宋体" w:hAnsi="宋体" w:cs="宋体" w:eastAsia="宋体" w:hint="default"/>
                <w:b/>
                <w:bCs/>
                <w:w w:val="95"/>
                <w:sz w:val="18"/>
                <w:szCs w:val="18"/>
              </w:rPr>
              <w:t>权利范围</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25"/>
              <w:jc w:val="right"/>
              <w:rPr>
                <w:rFonts w:ascii="宋体" w:hAnsi="宋体" w:cs="宋体" w:eastAsia="宋体" w:hint="default"/>
                <w:sz w:val="18"/>
                <w:szCs w:val="18"/>
              </w:rPr>
            </w:pPr>
            <w:r>
              <w:rPr>
                <w:rFonts w:ascii="宋体" w:hAnsi="宋体" w:cs="宋体" w:eastAsia="宋体" w:hint="default"/>
                <w:b/>
                <w:bCs/>
                <w:w w:val="95"/>
                <w:sz w:val="18"/>
                <w:szCs w:val="18"/>
              </w:rPr>
              <w:t>首发日期</w:t>
            </w:r>
            <w:r>
              <w:rPr>
                <w:rFonts w:ascii="宋体" w:hAnsi="宋体" w:cs="宋体" w:eastAsia="宋体" w:hint="default"/>
                <w:sz w:val="18"/>
                <w:szCs w:val="18"/>
              </w:rPr>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78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2622881</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2018SR293786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东方通应用服务器软件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TongWeb]V7.0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8" w:right="0"/>
              <w:jc w:val="left"/>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79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2636569</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2018SR307474</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东方通变化数据捕获工具软件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TongCDC]</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V2.1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2018/3/20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80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0223687</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2010SR035414</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TongLINK/Q</w:t>
            </w:r>
            <w:r>
              <w:rPr>
                <w:rFonts w:ascii="宋体" w:hAnsi="宋体" w:cs="宋体" w:eastAsia="宋体" w:hint="default"/>
                <w:sz w:val="18"/>
                <w:szCs w:val="18"/>
              </w:rPr>
              <w:t>消息中间件软件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:TongLINK/Q]</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7.0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受让</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2006/5/19</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81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0236369</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2010SR048096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东方通交易中间件软件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:TongEASY]</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V5.2</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受让</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6"/>
              <w:jc w:val="right"/>
              <w:rPr>
                <w:rFonts w:ascii="Times New Roman" w:hAnsi="Times New Roman" w:cs="Times New Roman" w:eastAsia="Times New Roman" w:hint="default"/>
                <w:sz w:val="18"/>
                <w:szCs w:val="18"/>
              </w:rPr>
            </w:pPr>
            <w:r>
              <w:rPr>
                <w:rFonts w:ascii="Times New Roman"/>
                <w:sz w:val="18"/>
              </w:rPr>
              <w:t>2006/12/18</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82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0223695</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2010SR035422</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东方通通用数据传输平台中间件软件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:GTP]</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V4.5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受让</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2007/1/15</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83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0223689</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2010SR035416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东方通应用服务器软件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:TongWeb]</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V4.8</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受让</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2009/4/8</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84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0253292</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2010SR065019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东方通应用集成中间件软件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:TongIntergrator]</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V3.7</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2010/8/9</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85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0301563</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2011SR037889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东方通应用服务器软件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:TongWeb]</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V5.0.1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6"/>
              <w:jc w:val="right"/>
              <w:rPr>
                <w:rFonts w:ascii="Times New Roman" w:hAnsi="Times New Roman" w:cs="Times New Roman" w:eastAsia="Times New Roman" w:hint="default"/>
                <w:sz w:val="18"/>
                <w:szCs w:val="18"/>
              </w:rPr>
            </w:pPr>
            <w:r>
              <w:rPr>
                <w:rFonts w:ascii="Times New Roman"/>
                <w:sz w:val="18"/>
              </w:rPr>
              <w:t>2010/12/20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86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0298652</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2011SR034978</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东方通云应用服务器软件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:TongAPPLaud AppServer]</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2011/3/10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87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0312626</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2011SR048952</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东方通应用集成中间件软件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:TongIntegrator]</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V4.0.1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2011/3/10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88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0315543</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2011SR051869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东方通消息中间件软件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:TongLINK/Q]</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V7.2.1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2011/4/29</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89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0318390</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2011SR054716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东方通应用集成中间件适配器软件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:TongIntergrator Adapter]</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V4.0.1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2011/4/29</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90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0325850</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2011SR062176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东方通通用文件传输平台</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:TongGTP]</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V5.2.1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2011/5/10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91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0366004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2011SR102330</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东方通通用文件传出平台软件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:TongGTP]</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V6.0.1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2011/9/1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92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0375046</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2012SR007010</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东方通消息中间件软件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:TongLINK/Q]</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V8.0.1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2011/9/1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93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0545389</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2013SR039627</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东方通云应用服务器软件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:TongApplaud</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AppServer]V2.0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6"/>
              <w:jc w:val="right"/>
              <w:rPr>
                <w:rFonts w:ascii="Times New Roman" w:hAnsi="Times New Roman" w:cs="Times New Roman" w:eastAsia="Times New Roman" w:hint="default"/>
                <w:sz w:val="18"/>
                <w:szCs w:val="18"/>
              </w:rPr>
            </w:pPr>
            <w:r>
              <w:rPr>
                <w:rFonts w:ascii="Times New Roman"/>
                <w:sz w:val="18"/>
              </w:rPr>
              <w:t>2012/11/23</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94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0637336</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2013SR131574</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东方通传输管理中心软件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:TongWTP</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TransManager]V4.0.1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2013/3/8</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95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0637367</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2013SR131605</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东方通接入服务器软件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:TongWTP</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ConnServer]V4.0.1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2013/3/8</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96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0637829</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2013SR132067</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东方通文件服务器软件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:TongWTP</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FileServer]V4.0.1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2013/3/8</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97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0666763</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2013SR161001</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w:t>
            </w:r>
            <w:r>
              <w:rPr>
                <w:rFonts w:ascii="Times New Roman" w:hAnsi="Times New Roman" w:cs="Times New Roman" w:eastAsia="Times New Roman" w:hint="default"/>
                <w:sz w:val="18"/>
                <w:szCs w:val="18"/>
              </w:rPr>
              <w:t>ETL</w:t>
            </w:r>
            <w:r>
              <w:rPr>
                <w:rFonts w:ascii="宋体" w:hAnsi="宋体" w:cs="宋体" w:eastAsia="宋体" w:hint="default"/>
                <w:sz w:val="18"/>
                <w:szCs w:val="18"/>
              </w:rPr>
              <w:t>工具软件 </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:TI-ETL]</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V1.0.1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2013/8/5</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98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0762623</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2014SR093379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东方通企业服务总线软件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:TI-ESB]</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V5.0.1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2014/2/24</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99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0795030</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2014SR125787</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东方通数据交换工具软件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:TI-DX]V2.0.1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2014/2/28</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0804144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2014SR134903</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东方通数据交换平台软件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:TI-DXP]V2.0.1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2014/2/28</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101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1176110</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2015SR289024</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东方通云管理平台</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:TongApplaud]V2.5.1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继承</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2015/3/2</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102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1177158</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2015SR290072</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东方通数据交换运行节点软件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:TongDXP_Node]V3.0.1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继承</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6"/>
              <w:jc w:val="right"/>
              <w:rPr>
                <w:rFonts w:ascii="Times New Roman" w:hAnsi="Times New Roman" w:cs="Times New Roman" w:eastAsia="Times New Roman" w:hint="default"/>
                <w:sz w:val="18"/>
                <w:szCs w:val="18"/>
              </w:rPr>
            </w:pPr>
            <w:r>
              <w:rPr>
                <w:rFonts w:ascii="Times New Roman"/>
                <w:sz w:val="18"/>
              </w:rPr>
              <w:t>2015/10/15</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103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1177895</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2015SR290809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东方通数据交换管理平台软件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:TongDXP]V3.0.1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受让</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6"/>
              <w:jc w:val="right"/>
              <w:rPr>
                <w:rFonts w:ascii="Times New Roman" w:hAnsi="Times New Roman" w:cs="Times New Roman" w:eastAsia="Times New Roman" w:hint="default"/>
                <w:sz w:val="18"/>
                <w:szCs w:val="18"/>
              </w:rPr>
            </w:pPr>
            <w:r>
              <w:rPr>
                <w:rFonts w:ascii="Times New Roman"/>
                <w:sz w:val="18"/>
              </w:rPr>
              <w:t>2015/10/15</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140" w:bottom="1160" w:left="1300" w:right="1300"/>
        </w:sectPr>
      </w:pPr>
    </w:p>
    <w:tbl>
      <w:tblPr>
        <w:tblW w:w="0" w:type="auto"/>
        <w:jc w:val="left"/>
        <w:tblInd w:w="125" w:type="dxa"/>
        <w:tblLayout w:type="fixed"/>
        <w:tblCellMar>
          <w:top w:w="0" w:type="dxa"/>
          <w:left w:w="0" w:type="dxa"/>
          <w:bottom w:w="0" w:type="dxa"/>
          <w:right w:w="0" w:type="dxa"/>
        </w:tblCellMar>
        <w:tblLook w:val="01E0"/>
      </w:tblPr>
      <w:tblGrid>
        <w:gridCol w:w="522"/>
        <w:gridCol w:w="1928"/>
        <w:gridCol w:w="1182"/>
        <w:gridCol w:w="6444"/>
        <w:gridCol w:w="928"/>
        <w:gridCol w:w="1152"/>
        <w:gridCol w:w="837"/>
        <w:gridCol w:w="986"/>
      </w:tblGrid>
      <w:tr>
        <w:trPr>
          <w:trHeight w:val="326" w:hRule="exact"/>
        </w:trPr>
        <w:tc>
          <w:tcPr>
            <w:tcW w:w="522"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28"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182"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6444"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928"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1152"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权利取得方式</w:t>
            </w:r>
            <w:r>
              <w:rPr>
                <w:rFonts w:ascii="宋体" w:hAnsi="宋体" w:cs="宋体" w:eastAsia="宋体" w:hint="default"/>
                <w:sz w:val="18"/>
                <w:szCs w:val="18"/>
              </w:rPr>
            </w:r>
          </w:p>
        </w:tc>
        <w:tc>
          <w:tcPr>
            <w:tcW w:w="837"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51"/>
              <w:jc w:val="right"/>
              <w:rPr>
                <w:rFonts w:ascii="宋体" w:hAnsi="宋体" w:cs="宋体" w:eastAsia="宋体" w:hint="default"/>
                <w:sz w:val="18"/>
                <w:szCs w:val="18"/>
              </w:rPr>
            </w:pPr>
            <w:r>
              <w:rPr>
                <w:rFonts w:ascii="宋体" w:hAnsi="宋体" w:cs="宋体" w:eastAsia="宋体" w:hint="default"/>
                <w:b/>
                <w:bCs/>
                <w:w w:val="95"/>
                <w:sz w:val="18"/>
                <w:szCs w:val="18"/>
              </w:rPr>
              <w:t>权利范围</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25"/>
              <w:jc w:val="right"/>
              <w:rPr>
                <w:rFonts w:ascii="宋体" w:hAnsi="宋体" w:cs="宋体" w:eastAsia="宋体" w:hint="default"/>
                <w:sz w:val="18"/>
                <w:szCs w:val="18"/>
              </w:rPr>
            </w:pPr>
            <w:r>
              <w:rPr>
                <w:rFonts w:ascii="宋体" w:hAnsi="宋体" w:cs="宋体" w:eastAsia="宋体" w:hint="default"/>
                <w:b/>
                <w:bCs/>
                <w:w w:val="95"/>
                <w:sz w:val="18"/>
                <w:szCs w:val="18"/>
              </w:rPr>
              <w:t>首发日期</w:t>
            </w:r>
            <w:r>
              <w:rPr>
                <w:rFonts w:ascii="宋体" w:hAnsi="宋体" w:cs="宋体" w:eastAsia="宋体" w:hint="default"/>
                <w:sz w:val="18"/>
                <w:szCs w:val="18"/>
              </w:rPr>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104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1091592</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2015SR204506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东方通应用服务器软件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:TongWeb]V6.0.1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8" w:right="0"/>
              <w:jc w:val="left"/>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105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1104402</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2015SR217316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东方通统一中间件管理平台软件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:TongIMP]V2.0.1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8" w:right="0"/>
              <w:jc w:val="left"/>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106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1106139</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2015SR219053</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w:t>
            </w:r>
            <w:r>
              <w:rPr>
                <w:rFonts w:ascii="Times New Roman" w:hAnsi="Times New Roman" w:cs="Times New Roman" w:eastAsia="Times New Roman" w:hint="default"/>
                <w:sz w:val="18"/>
                <w:szCs w:val="18"/>
              </w:rPr>
              <w:t>ETL</w:t>
            </w:r>
            <w:r>
              <w:rPr>
                <w:rFonts w:ascii="宋体" w:hAnsi="宋体" w:cs="宋体" w:eastAsia="宋体" w:hint="default"/>
                <w:sz w:val="18"/>
                <w:szCs w:val="18"/>
              </w:rPr>
              <w:t>工具软件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:TI-ETL]V2.0.1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8" w:right="0"/>
              <w:jc w:val="left"/>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107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1195673</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2016SR017056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东方通云管理平台</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:TongoCloud</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Platform]V5.0.1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8" w:right="0"/>
              <w:jc w:val="left"/>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108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1597016</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2017SR011732</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东方通虚拟化平台软件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:TongoCloud]V5.0.1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8" w:right="0"/>
              <w:jc w:val="left"/>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109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1597017</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2017SR011733</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东方通负载均衡软件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:TongLB]V2.0.1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8" w:right="0"/>
              <w:jc w:val="left"/>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110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3319396</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2018SR990301</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东方通增量数据集成软件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:TongCDC]V2.1.2.0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2018/9/6</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111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0157675</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2009SR030676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TongSEC</w:t>
            </w:r>
            <w:r>
              <w:rPr>
                <w:rFonts w:ascii="宋体" w:hAnsi="宋体" w:cs="宋体" w:eastAsia="宋体" w:hint="default"/>
                <w:sz w:val="18"/>
                <w:szCs w:val="18"/>
              </w:rPr>
              <w:t>安全中间件软件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:TongSEC]</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V2.3</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成都东方通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受让</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2001/4/1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112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0157674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2009SR030675</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东方通短信银行平台软件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:Tong_SMS Banking Platform]</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成都东方通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受让</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2003/3/28</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113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0156158</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2009SR029159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东方通通用文件传输平台软件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:TongGTP]</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V5.0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成都东方通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6"/>
              <w:jc w:val="right"/>
              <w:rPr>
                <w:rFonts w:ascii="Times New Roman" w:hAnsi="Times New Roman" w:cs="Times New Roman" w:eastAsia="Times New Roman" w:hint="default"/>
                <w:sz w:val="18"/>
                <w:szCs w:val="18"/>
              </w:rPr>
            </w:pPr>
            <w:r>
              <w:rPr>
                <w:rFonts w:ascii="Times New Roman"/>
                <w:sz w:val="18"/>
              </w:rPr>
              <w:t>2008/10/18</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114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0147135</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2009SR020136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东方通住房公积金综合业务管理系统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:TongPHAF]1.0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成都东方通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2009/2/8</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115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0168144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2009SR041145</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东方通应用集成中间件软件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:TI2.5]</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V2.5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成都东方通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2009/2/20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116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0324412</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2011SR060738</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东方通通用文件传输平台软件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:TongGTP]</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V5.2.2</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成都东方通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2010/12/2</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117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0311192</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2011SR047518</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东方通消息中间件软件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:TongLINK/Q]</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V6.3.2</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成都东方通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2011/1/1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118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0324274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2011SR060600</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东方通应用集成中间件软件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:TongIntegrator]</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V4.0.2</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成都东方通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2011/1/1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119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0324411</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2011SR060737</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东方通消息中间件软件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:TongLINK/Q]</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V7.2.2</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成都东方通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2011/1/1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120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0300172</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2011SR036498</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东方通应用服务器软件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:TongWeb]</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V5.0.2</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成都东方通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2011/1/5</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121</w:t>
            </w:r>
          </w:p>
        </w:tc>
        <w:tc>
          <w:tcPr>
            <w:tcW w:w="192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2015SR051232</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东方通虚拟化平台</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:TongOCloud]</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成都东方通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6"/>
              <w:jc w:val="right"/>
              <w:rPr>
                <w:rFonts w:ascii="Times New Roman" w:hAnsi="Times New Roman" w:cs="Times New Roman" w:eastAsia="Times New Roman" w:hint="default"/>
                <w:sz w:val="18"/>
                <w:szCs w:val="18"/>
              </w:rPr>
            </w:pPr>
            <w:r>
              <w:rPr>
                <w:rFonts w:ascii="Times New Roman"/>
                <w:sz w:val="18"/>
              </w:rPr>
              <w:t>2014/12/25</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122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BJ0484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2004SRBJ0139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移动网络</w:t>
            </w:r>
            <w:r>
              <w:rPr>
                <w:rFonts w:ascii="Times New Roman" w:hAnsi="Times New Roman" w:cs="Times New Roman" w:eastAsia="Times New Roman" w:hint="default"/>
                <w:sz w:val="18"/>
                <w:szCs w:val="18"/>
              </w:rPr>
              <w:t>SP</w:t>
            </w:r>
            <w:r>
              <w:rPr>
                <w:rFonts w:ascii="宋体" w:hAnsi="宋体" w:cs="宋体" w:eastAsia="宋体" w:hint="default"/>
                <w:sz w:val="18"/>
                <w:szCs w:val="18"/>
              </w:rPr>
              <w:t>监测系统</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2004/1/16</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123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BJ1351</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2004SRBJ1005</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网络不良信息监测系统</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2004/8/20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124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BJ1875</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2005SRBJ0178</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增值业务质量优化系统</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2005/1/30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125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BJ3152</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2005SRBJ1454</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数据业务拨测系统</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2005/9/10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126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BJ5875</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2006SRBJ2069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WAP</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流量优化控制系统</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2006/7/20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127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BJ6996</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2007SRBJ0024</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ADC</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应用监控系统</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6"/>
              <w:jc w:val="right"/>
              <w:rPr>
                <w:rFonts w:ascii="Times New Roman" w:hAnsi="Times New Roman" w:cs="Times New Roman" w:eastAsia="Times New Roman" w:hint="default"/>
                <w:sz w:val="18"/>
                <w:szCs w:val="18"/>
              </w:rPr>
            </w:pPr>
            <w:r>
              <w:rPr>
                <w:rFonts w:ascii="Times New Roman"/>
                <w:sz w:val="18"/>
              </w:rPr>
              <w:t>2006/12/20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128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BJ11019</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2008SRBJ0713</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数据业务拨测系统</w:t>
            </w:r>
            <w:r>
              <w:rPr>
                <w:rFonts w:ascii="Times New Roman" w:hAnsi="Times New Roman" w:cs="Times New Roman" w:eastAsia="Times New Roman" w:hint="default"/>
                <w:sz w:val="18"/>
                <w:szCs w:val="18"/>
              </w:rPr>
              <w:t>V2.0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2007/5/15</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129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BJ8235</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2007SRBJ1263</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增值业务质量优化系统</w:t>
            </w:r>
            <w:r>
              <w:rPr>
                <w:rFonts w:ascii="Times New Roman" w:hAnsi="Times New Roman" w:cs="Times New Roman" w:eastAsia="Times New Roman" w:hint="default"/>
                <w:sz w:val="18"/>
                <w:szCs w:val="18"/>
              </w:rPr>
              <w:t>V2.0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2008/1/8</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9" w:top="1140" w:bottom="1160" w:left="1300" w:right="1300"/>
        </w:sectPr>
      </w:pPr>
    </w:p>
    <w:tbl>
      <w:tblPr>
        <w:tblW w:w="0" w:type="auto"/>
        <w:jc w:val="left"/>
        <w:tblInd w:w="125" w:type="dxa"/>
        <w:tblLayout w:type="fixed"/>
        <w:tblCellMar>
          <w:top w:w="0" w:type="dxa"/>
          <w:left w:w="0" w:type="dxa"/>
          <w:bottom w:w="0" w:type="dxa"/>
          <w:right w:w="0" w:type="dxa"/>
        </w:tblCellMar>
        <w:tblLook w:val="01E0"/>
      </w:tblPr>
      <w:tblGrid>
        <w:gridCol w:w="522"/>
        <w:gridCol w:w="1928"/>
        <w:gridCol w:w="1182"/>
        <w:gridCol w:w="6444"/>
        <w:gridCol w:w="928"/>
        <w:gridCol w:w="1152"/>
        <w:gridCol w:w="837"/>
        <w:gridCol w:w="986"/>
      </w:tblGrid>
      <w:tr>
        <w:trPr>
          <w:trHeight w:val="326" w:hRule="exact"/>
        </w:trPr>
        <w:tc>
          <w:tcPr>
            <w:tcW w:w="522"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28"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182"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6444"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928"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1152"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权利取得方式</w:t>
            </w:r>
            <w:r>
              <w:rPr>
                <w:rFonts w:ascii="宋体" w:hAnsi="宋体" w:cs="宋体" w:eastAsia="宋体" w:hint="default"/>
                <w:sz w:val="18"/>
                <w:szCs w:val="18"/>
              </w:rPr>
            </w:r>
          </w:p>
        </w:tc>
        <w:tc>
          <w:tcPr>
            <w:tcW w:w="837"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51"/>
              <w:jc w:val="right"/>
              <w:rPr>
                <w:rFonts w:ascii="宋体" w:hAnsi="宋体" w:cs="宋体" w:eastAsia="宋体" w:hint="default"/>
                <w:sz w:val="18"/>
                <w:szCs w:val="18"/>
              </w:rPr>
            </w:pPr>
            <w:r>
              <w:rPr>
                <w:rFonts w:ascii="宋体" w:hAnsi="宋体" w:cs="宋体" w:eastAsia="宋体" w:hint="default"/>
                <w:b/>
                <w:bCs/>
                <w:w w:val="95"/>
                <w:sz w:val="18"/>
                <w:szCs w:val="18"/>
              </w:rPr>
              <w:t>权利范围</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25"/>
              <w:jc w:val="right"/>
              <w:rPr>
                <w:rFonts w:ascii="宋体" w:hAnsi="宋体" w:cs="宋体" w:eastAsia="宋体" w:hint="default"/>
                <w:sz w:val="18"/>
                <w:szCs w:val="18"/>
              </w:rPr>
            </w:pPr>
            <w:r>
              <w:rPr>
                <w:rFonts w:ascii="宋体" w:hAnsi="宋体" w:cs="宋体" w:eastAsia="宋体" w:hint="default"/>
                <w:b/>
                <w:bCs/>
                <w:w w:val="95"/>
                <w:sz w:val="18"/>
                <w:szCs w:val="18"/>
              </w:rPr>
              <w:t>首发日期</w:t>
            </w:r>
            <w:r>
              <w:rPr>
                <w:rFonts w:ascii="宋体" w:hAnsi="宋体" w:cs="宋体" w:eastAsia="宋体" w:hint="default"/>
                <w:sz w:val="18"/>
                <w:szCs w:val="18"/>
              </w:rPr>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130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BJ11771</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2008SRBJ1465</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ADC</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应用监控系统</w:t>
            </w:r>
            <w:r>
              <w:rPr>
                <w:rFonts w:ascii="Times New Roman" w:hAnsi="Times New Roman" w:cs="Times New Roman" w:eastAsia="Times New Roman" w:hint="default"/>
                <w:sz w:val="18"/>
                <w:szCs w:val="18"/>
              </w:rPr>
              <w:t>V2.0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2008/4/25</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131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BJ3766</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2008SRBJ3460</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信安网络内容安全监测系统</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2008/8/20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132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BJ13768</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2008SRBJ3462</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增值业务质量优化系统</w:t>
            </w:r>
            <w:r>
              <w:rPr>
                <w:rFonts w:ascii="Times New Roman" w:hAnsi="Times New Roman" w:cs="Times New Roman" w:eastAsia="Times New Roman" w:hint="default"/>
                <w:sz w:val="18"/>
                <w:szCs w:val="18"/>
              </w:rPr>
              <w:t>V3.0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2008/8/27</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133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BJ23775</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2009SRBJ6769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彩信内容安全监测系统</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2009/9/14</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134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BJ23776</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2009SRBJ6770</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互联网内容安全监测系统</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2009/9/14</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135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BJ23777</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2009SRBJ6771</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IDC(</w:t>
            </w:r>
            <w:r>
              <w:rPr>
                <w:rFonts w:ascii="宋体" w:hAnsi="宋体" w:cs="宋体" w:eastAsia="宋体" w:hint="default"/>
                <w:sz w:val="18"/>
                <w:szCs w:val="18"/>
              </w:rPr>
              <w:t>互联网数据中心</w:t>
            </w:r>
            <w:r>
              <w:rPr>
                <w:rFonts w:ascii="Times New Roman" w:hAnsi="Times New Roman" w:cs="Times New Roman" w:eastAsia="Times New Roman" w:hint="default"/>
                <w:sz w:val="18"/>
                <w:szCs w:val="18"/>
              </w:rPr>
              <w:t>)</w:t>
            </w:r>
            <w:r>
              <w:rPr>
                <w:rFonts w:ascii="宋体" w:hAnsi="宋体" w:cs="宋体" w:eastAsia="宋体" w:hint="default"/>
                <w:sz w:val="18"/>
                <w:szCs w:val="18"/>
              </w:rPr>
              <w:t>内容安全监测系统</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2009/9/14</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136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BJ23792</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2009SRBJ6786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增值业务质量优化系统</w:t>
            </w:r>
            <w:r>
              <w:rPr>
                <w:rFonts w:ascii="Times New Roman" w:hAnsi="Times New Roman" w:cs="Times New Roman" w:eastAsia="Times New Roman" w:hint="default"/>
                <w:sz w:val="18"/>
                <w:szCs w:val="18"/>
              </w:rPr>
              <w:t>V4.0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2009/9/14</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137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BJ24974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2009SRBJ7968</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增值业务质量优化系统</w:t>
            </w:r>
            <w:r>
              <w:rPr>
                <w:rFonts w:ascii="Times New Roman" w:hAnsi="Times New Roman" w:cs="Times New Roman" w:eastAsia="Times New Roman" w:hint="default"/>
                <w:sz w:val="18"/>
                <w:szCs w:val="18"/>
              </w:rPr>
              <w:t>V5.0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6"/>
              <w:jc w:val="right"/>
              <w:rPr>
                <w:rFonts w:ascii="Times New Roman" w:hAnsi="Times New Roman" w:cs="Times New Roman" w:eastAsia="Times New Roman" w:hint="default"/>
                <w:sz w:val="18"/>
                <w:szCs w:val="18"/>
              </w:rPr>
            </w:pPr>
            <w:r>
              <w:rPr>
                <w:rFonts w:ascii="Times New Roman"/>
                <w:sz w:val="18"/>
              </w:rPr>
              <w:t>2009/11/24</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138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BJ25053</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2009SRBJ8047</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互联网内容深度分析系统</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6"/>
              <w:jc w:val="right"/>
              <w:rPr>
                <w:rFonts w:ascii="Times New Roman" w:hAnsi="Times New Roman" w:cs="Times New Roman" w:eastAsia="Times New Roman" w:hint="default"/>
                <w:sz w:val="18"/>
                <w:szCs w:val="18"/>
              </w:rPr>
            </w:pPr>
            <w:r>
              <w:rPr>
                <w:rFonts w:ascii="Times New Roman"/>
                <w:sz w:val="18"/>
              </w:rPr>
              <w:t>2009/11/26</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139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BJ27210</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2010SRBJ1827</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网络不良信息监测系统</w:t>
            </w:r>
            <w:r>
              <w:rPr>
                <w:rFonts w:ascii="Times New Roman" w:hAnsi="Times New Roman" w:cs="Times New Roman" w:eastAsia="Times New Roman" w:hint="default"/>
                <w:sz w:val="18"/>
                <w:szCs w:val="18"/>
              </w:rPr>
              <w:t>V2.0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2010/2/8</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140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BJ27671</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2010SRBJ2288</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移动互联网用户行为分析系统</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2010/3/5</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141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BJ27670</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2010SRBJ2287</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互联网内容扫描监控系统</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2010/3/10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142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BJ27672</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2010SRBJ2289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互联网信息安全监控系统</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2010/4/2</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143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BJ36877</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2011SRBJ4756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手机威胁管理系统</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2010/5/7</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144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0373731</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2012SR005695</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MP08SEPV01</w:t>
            </w:r>
            <w:r>
              <w:rPr>
                <w:rFonts w:ascii="宋体" w:hAnsi="宋体" w:cs="宋体" w:eastAsia="宋体" w:hint="default"/>
                <w:sz w:val="18"/>
                <w:szCs w:val="18"/>
              </w:rPr>
              <w:t>嵌入式软件</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2010/5/7</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145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BJ30720</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2010SRBJ5337</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网络协议分析软件</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2010/9/10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146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BJ31548</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2010SRBJ6165</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垃圾短信过滤系统</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6"/>
              <w:jc w:val="right"/>
              <w:rPr>
                <w:rFonts w:ascii="Times New Roman" w:hAnsi="Times New Roman" w:cs="Times New Roman" w:eastAsia="Times New Roman" w:hint="default"/>
                <w:sz w:val="18"/>
                <w:szCs w:val="18"/>
              </w:rPr>
            </w:pPr>
            <w:r>
              <w:rPr>
                <w:rFonts w:ascii="Times New Roman"/>
                <w:sz w:val="18"/>
              </w:rPr>
              <w:t>2010/10/29</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147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BJ34110</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2011SRBJ1989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移动互联网舆情分析系统</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2011/10/8</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148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0498087</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2012SR130051</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用户行为模拟</w:t>
            </w:r>
            <w:r>
              <w:rPr>
                <w:rFonts w:ascii="Times New Roman" w:hAnsi="Times New Roman" w:cs="Times New Roman" w:eastAsia="Times New Roman" w:hint="default"/>
                <w:sz w:val="18"/>
                <w:szCs w:val="18"/>
              </w:rPr>
              <w:t>(</w:t>
            </w:r>
            <w:r>
              <w:rPr>
                <w:rFonts w:ascii="宋体" w:hAnsi="宋体" w:cs="宋体" w:eastAsia="宋体" w:hint="default"/>
                <w:sz w:val="18"/>
                <w:szCs w:val="18"/>
              </w:rPr>
              <w:t>嵌入式软件</w:t>
            </w:r>
            <w:r>
              <w:rPr>
                <w:rFonts w:ascii="Times New Roman" w:hAnsi="Times New Roman" w:cs="Times New Roman" w:eastAsia="Times New Roman" w:hint="default"/>
                <w:sz w:val="18"/>
                <w:szCs w:val="18"/>
              </w:rPr>
              <w:t>)</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2012/4/10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149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0498083</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2012SR130047</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宽带测速平台</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2012/9/11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150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0626608</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2013SR120846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IDCISP</w:t>
            </w:r>
            <w:r>
              <w:rPr>
                <w:rFonts w:ascii="宋体" w:hAnsi="宋体" w:cs="宋体" w:eastAsia="宋体" w:hint="default"/>
                <w:sz w:val="18"/>
                <w:szCs w:val="18"/>
              </w:rPr>
              <w:t>安全监管系统（</w:t>
            </w:r>
            <w:r>
              <w:rPr>
                <w:rFonts w:ascii="Times New Roman" w:hAnsi="Times New Roman" w:cs="Times New Roman" w:eastAsia="Times New Roman" w:hint="default"/>
                <w:sz w:val="18"/>
                <w:szCs w:val="18"/>
              </w:rPr>
              <w:t>MV-SMMS]v1.0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2013/7/1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151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0626615</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2013SR120853</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IDCISP</w:t>
            </w:r>
            <w:r>
              <w:rPr>
                <w:rFonts w:ascii="宋体" w:hAnsi="宋体" w:cs="宋体" w:eastAsia="宋体" w:hint="default"/>
                <w:sz w:val="18"/>
                <w:szCs w:val="18"/>
              </w:rPr>
              <w:t>信息安全管理系统（</w:t>
            </w:r>
            <w:r>
              <w:rPr>
                <w:rFonts w:ascii="Times New Roman" w:hAnsi="Times New Roman" w:cs="Times New Roman" w:eastAsia="Times New Roman" w:hint="default"/>
                <w:sz w:val="18"/>
                <w:szCs w:val="18"/>
              </w:rPr>
              <w:t>MV-ISMS]v1.0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2013/7/1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152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0615016</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2013SR109254</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3G</w:t>
            </w:r>
            <w:r>
              <w:rPr>
                <w:rFonts w:ascii="宋体" w:hAnsi="宋体" w:cs="宋体" w:eastAsia="宋体" w:hint="default"/>
                <w:sz w:val="18"/>
                <w:szCs w:val="18"/>
              </w:rPr>
              <w:t>移动互联网舆情监控报警平台（</w:t>
            </w:r>
            <w:r>
              <w:rPr>
                <w:rFonts w:ascii="Times New Roman" w:hAnsi="Times New Roman" w:cs="Times New Roman" w:eastAsia="Times New Roman" w:hint="default"/>
                <w:sz w:val="18"/>
                <w:szCs w:val="18"/>
              </w:rPr>
              <w:t>MVS-POM]v1.0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2013/9/10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153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1204709</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2016SR026092</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数据识别分析软件系统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:MV-DASS]V1.0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6"/>
              <w:jc w:val="right"/>
              <w:rPr>
                <w:rFonts w:ascii="Times New Roman" w:hAnsi="Times New Roman" w:cs="Times New Roman" w:eastAsia="Times New Roman" w:hint="default"/>
                <w:sz w:val="18"/>
                <w:szCs w:val="18"/>
              </w:rPr>
            </w:pPr>
            <w:r>
              <w:rPr>
                <w:rFonts w:ascii="Times New Roman"/>
                <w:sz w:val="18"/>
              </w:rPr>
              <w:t>2013/11/11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154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0970817</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2015SR083731</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DPI</w:t>
            </w:r>
            <w:r>
              <w:rPr>
                <w:rFonts w:ascii="宋体" w:hAnsi="宋体" w:cs="宋体" w:eastAsia="宋体" w:hint="default"/>
                <w:sz w:val="18"/>
                <w:szCs w:val="18"/>
              </w:rPr>
              <w:t>深度数据包检测系统</w:t>
            </w:r>
            <w:r>
              <w:rPr>
                <w:rFonts w:ascii="Times New Roman" w:hAnsi="Times New Roman" w:cs="Times New Roman" w:eastAsia="Times New Roman" w:hint="default"/>
                <w:sz w:val="18"/>
                <w:szCs w:val="18"/>
              </w:rPr>
              <w:t>(MVS-DPI)v1.0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6"/>
              <w:jc w:val="right"/>
              <w:rPr>
                <w:rFonts w:ascii="Times New Roman" w:hAnsi="Times New Roman" w:cs="Times New Roman" w:eastAsia="Times New Roman" w:hint="default"/>
                <w:sz w:val="18"/>
                <w:szCs w:val="18"/>
              </w:rPr>
            </w:pPr>
            <w:r>
              <w:rPr>
                <w:rFonts w:ascii="Times New Roman"/>
                <w:sz w:val="18"/>
              </w:rPr>
              <w:t>2013/11/20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155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0714926</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2014SR045682</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互联网威胁管理系统（</w:t>
            </w:r>
            <w:r>
              <w:rPr>
                <w:rFonts w:ascii="Times New Roman" w:hAnsi="Times New Roman" w:cs="Times New Roman" w:eastAsia="Times New Roman" w:hint="default"/>
                <w:sz w:val="18"/>
                <w:szCs w:val="18"/>
              </w:rPr>
              <w:t>MVS-ICMP-VDS]v1.0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2014/1/31</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140" w:bottom="1160" w:left="1300" w:right="1300"/>
        </w:sectPr>
      </w:pPr>
    </w:p>
    <w:tbl>
      <w:tblPr>
        <w:tblW w:w="0" w:type="auto"/>
        <w:jc w:val="left"/>
        <w:tblInd w:w="125" w:type="dxa"/>
        <w:tblLayout w:type="fixed"/>
        <w:tblCellMar>
          <w:top w:w="0" w:type="dxa"/>
          <w:left w:w="0" w:type="dxa"/>
          <w:bottom w:w="0" w:type="dxa"/>
          <w:right w:w="0" w:type="dxa"/>
        </w:tblCellMar>
        <w:tblLook w:val="01E0"/>
      </w:tblPr>
      <w:tblGrid>
        <w:gridCol w:w="522"/>
        <w:gridCol w:w="1928"/>
        <w:gridCol w:w="1182"/>
        <w:gridCol w:w="6444"/>
        <w:gridCol w:w="928"/>
        <w:gridCol w:w="1152"/>
        <w:gridCol w:w="837"/>
        <w:gridCol w:w="986"/>
      </w:tblGrid>
      <w:tr>
        <w:trPr>
          <w:trHeight w:val="326" w:hRule="exact"/>
        </w:trPr>
        <w:tc>
          <w:tcPr>
            <w:tcW w:w="522"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28"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182"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6444"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928"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1152"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权利取得方式</w:t>
            </w:r>
            <w:r>
              <w:rPr>
                <w:rFonts w:ascii="宋体" w:hAnsi="宋体" w:cs="宋体" w:eastAsia="宋体" w:hint="default"/>
                <w:sz w:val="18"/>
                <w:szCs w:val="18"/>
              </w:rPr>
            </w:r>
          </w:p>
        </w:tc>
        <w:tc>
          <w:tcPr>
            <w:tcW w:w="837"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51"/>
              <w:jc w:val="right"/>
              <w:rPr>
                <w:rFonts w:ascii="宋体" w:hAnsi="宋体" w:cs="宋体" w:eastAsia="宋体" w:hint="default"/>
                <w:sz w:val="18"/>
                <w:szCs w:val="18"/>
              </w:rPr>
            </w:pPr>
            <w:r>
              <w:rPr>
                <w:rFonts w:ascii="宋体" w:hAnsi="宋体" w:cs="宋体" w:eastAsia="宋体" w:hint="default"/>
                <w:b/>
                <w:bCs/>
                <w:w w:val="95"/>
                <w:sz w:val="18"/>
                <w:szCs w:val="18"/>
              </w:rPr>
              <w:t>权利范围</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25"/>
              <w:jc w:val="right"/>
              <w:rPr>
                <w:rFonts w:ascii="宋体" w:hAnsi="宋体" w:cs="宋体" w:eastAsia="宋体" w:hint="default"/>
                <w:sz w:val="18"/>
                <w:szCs w:val="18"/>
              </w:rPr>
            </w:pPr>
            <w:r>
              <w:rPr>
                <w:rFonts w:ascii="宋体" w:hAnsi="宋体" w:cs="宋体" w:eastAsia="宋体" w:hint="default"/>
                <w:b/>
                <w:bCs/>
                <w:w w:val="95"/>
                <w:sz w:val="18"/>
                <w:szCs w:val="18"/>
              </w:rPr>
              <w:t>首发日期</w:t>
            </w:r>
            <w:r>
              <w:rPr>
                <w:rFonts w:ascii="宋体" w:hAnsi="宋体" w:cs="宋体" w:eastAsia="宋体" w:hint="default"/>
                <w:sz w:val="18"/>
                <w:szCs w:val="18"/>
              </w:rPr>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156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0753811</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2014SR084567</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APP</w:t>
            </w:r>
            <w:r>
              <w:rPr>
                <w:rFonts w:ascii="宋体" w:hAnsi="宋体" w:cs="宋体" w:eastAsia="宋体" w:hint="default"/>
                <w:sz w:val="18"/>
                <w:szCs w:val="18"/>
              </w:rPr>
              <w:t>应用监测系统（</w:t>
            </w:r>
            <w:r>
              <w:rPr>
                <w:rFonts w:ascii="Times New Roman" w:hAnsi="Times New Roman" w:cs="Times New Roman" w:eastAsia="Times New Roman" w:hint="default"/>
                <w:sz w:val="18"/>
                <w:szCs w:val="18"/>
              </w:rPr>
              <w:t>MVS-APP]v1.0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2014/4/30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157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1366448</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2016SR187831</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移动互联网恶意程序监控系统</w:t>
            </w:r>
            <w:r>
              <w:rPr>
                <w:rFonts w:ascii="Times New Roman" w:hAnsi="Times New Roman" w:cs="Times New Roman" w:eastAsia="Times New Roman" w:hint="default"/>
                <w:sz w:val="18"/>
                <w:szCs w:val="18"/>
              </w:rPr>
              <w:t>[MVS-MMMS]v1.0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2015/10/7</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158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1366549</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2016SR187932</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互联网僵木蠕监控系统</w:t>
            </w:r>
            <w:r>
              <w:rPr>
                <w:rFonts w:ascii="Times New Roman" w:hAnsi="Times New Roman" w:cs="Times New Roman" w:eastAsia="Times New Roman" w:hint="default"/>
                <w:sz w:val="18"/>
                <w:szCs w:val="18"/>
              </w:rPr>
              <w:t>[MVS-BTW]v1.0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2016/1/2</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159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1399103</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2016SR220486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第三方信息安全共享联动平台系统</w:t>
            </w:r>
            <w:r>
              <w:rPr>
                <w:rFonts w:ascii="Times New Roman" w:hAnsi="Times New Roman" w:cs="Times New Roman" w:eastAsia="Times New Roman" w:hint="default"/>
                <w:sz w:val="18"/>
                <w:szCs w:val="18"/>
              </w:rPr>
              <w:t>[MVS-TISP]v1.0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2016/2/24</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160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1619484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2017SR034200</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通讯信息诈骗智能反制平台</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:MVS-CFIC]V1.0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2016/11/2</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161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1776454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2017SR191170</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云通讯信息控制平台</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:MVS-CIS]V1.0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2016/11/4</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162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1776470</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2017SR191186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语音专线安全管控系统系统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:MVS-VSC]V1.0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2016/11/4</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163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1776477</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2017SR191193</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云通讯客户中心能力服务平台</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:MV-CUS]V1.0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2016/11/4</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164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1895547</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2017SR310263</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智慧客服应答能力平台系统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:MVS-SSA]V1.0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2016/9/13</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165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1895554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2017SR310270</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智能客服语音甄别能力平台系统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:MVS-SCS]V1.0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6"/>
              <w:jc w:val="right"/>
              <w:rPr>
                <w:rFonts w:ascii="Times New Roman" w:hAnsi="Times New Roman" w:cs="Times New Roman" w:eastAsia="Times New Roman" w:hint="default"/>
                <w:sz w:val="18"/>
                <w:szCs w:val="18"/>
              </w:rPr>
            </w:pPr>
            <w:r>
              <w:rPr>
                <w:rFonts w:ascii="Times New Roman"/>
                <w:sz w:val="18"/>
              </w:rPr>
              <w:t>2016/11/13</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166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1895559</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2017SR310275</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客服音频质检能力平台系统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:MVS-SAQ]V1.0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6"/>
              <w:jc w:val="right"/>
              <w:rPr>
                <w:rFonts w:ascii="Times New Roman" w:hAnsi="Times New Roman" w:cs="Times New Roman" w:eastAsia="Times New Roman" w:hint="default"/>
                <w:sz w:val="18"/>
                <w:szCs w:val="18"/>
              </w:rPr>
            </w:pPr>
            <w:r>
              <w:rPr>
                <w:rFonts w:ascii="Times New Roman"/>
                <w:sz w:val="18"/>
              </w:rPr>
              <w:t>2016/11/13</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167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1922994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2017SR337710</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互联网资源协作服务（</w:t>
            </w:r>
            <w:r>
              <w:rPr>
                <w:rFonts w:ascii="Times New Roman" w:hAnsi="Times New Roman" w:cs="Times New Roman" w:eastAsia="Times New Roman" w:hint="default"/>
                <w:sz w:val="18"/>
                <w:szCs w:val="18"/>
              </w:rPr>
              <w:t>IRCS)</w:t>
            </w:r>
            <w:r>
              <w:rPr>
                <w:rFonts w:ascii="宋体" w:hAnsi="宋体" w:cs="宋体" w:eastAsia="宋体" w:hint="default"/>
                <w:sz w:val="18"/>
                <w:szCs w:val="18"/>
              </w:rPr>
              <w:t>信息安全管理系统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MVS-IRCS-ISMS]</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6"/>
              <w:jc w:val="right"/>
              <w:rPr>
                <w:rFonts w:ascii="Times New Roman" w:hAnsi="Times New Roman" w:cs="Times New Roman" w:eastAsia="Times New Roman" w:hint="default"/>
                <w:sz w:val="18"/>
                <w:szCs w:val="18"/>
              </w:rPr>
            </w:pPr>
            <w:r>
              <w:rPr>
                <w:rFonts w:ascii="Times New Roman"/>
                <w:sz w:val="18"/>
              </w:rPr>
              <w:t>2016/12/23</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168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2045574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2017SR460290</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IDCISP</w:t>
            </w:r>
            <w:r>
              <w:rPr>
                <w:rFonts w:ascii="宋体" w:hAnsi="宋体" w:cs="宋体" w:eastAsia="宋体" w:hint="default"/>
                <w:sz w:val="18"/>
                <w:szCs w:val="18"/>
              </w:rPr>
              <w:t>信息安全管理系统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MV-ISMS]V2.0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2017/5/29</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169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2179715</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2017SR594431</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分布式安全存储（</w:t>
            </w:r>
            <w:r>
              <w:rPr>
                <w:rFonts w:ascii="Times New Roman" w:hAnsi="Times New Roman" w:cs="Times New Roman" w:eastAsia="Times New Roman" w:hint="default"/>
                <w:sz w:val="18"/>
                <w:szCs w:val="18"/>
              </w:rPr>
              <w:t>SSAN</w:t>
            </w:r>
            <w:r>
              <w:rPr>
                <w:rFonts w:ascii="宋体" w:hAnsi="宋体" w:cs="宋体" w:eastAsia="宋体" w:hint="default"/>
                <w:sz w:val="18"/>
                <w:szCs w:val="18"/>
              </w:rPr>
              <w:t>）管理平台软件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MVS-SSAN-CM]V1.0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6"/>
              <w:jc w:val="right"/>
              <w:rPr>
                <w:rFonts w:ascii="Times New Roman" w:hAnsi="Times New Roman" w:cs="Times New Roman" w:eastAsia="Times New Roman" w:hint="default"/>
                <w:sz w:val="18"/>
                <w:szCs w:val="18"/>
              </w:rPr>
            </w:pPr>
            <w:r>
              <w:rPr>
                <w:rFonts w:ascii="Times New Roman"/>
                <w:sz w:val="18"/>
              </w:rPr>
              <w:t>2016/11/12</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170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2179717</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2017SR594433</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分布式安全存储（</w:t>
            </w:r>
            <w:r>
              <w:rPr>
                <w:rFonts w:ascii="Times New Roman" w:hAnsi="Times New Roman" w:cs="Times New Roman" w:eastAsia="Times New Roman" w:hint="default"/>
                <w:sz w:val="18"/>
                <w:szCs w:val="18"/>
              </w:rPr>
              <w:t>SSAN</w:t>
            </w:r>
            <w:r>
              <w:rPr>
                <w:rFonts w:ascii="宋体" w:hAnsi="宋体" w:cs="宋体" w:eastAsia="宋体" w:hint="default"/>
                <w:sz w:val="18"/>
                <w:szCs w:val="18"/>
              </w:rPr>
              <w:t>）应用软件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MVS-SSAN-SW]V1.0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6"/>
              <w:jc w:val="right"/>
              <w:rPr>
                <w:rFonts w:ascii="Times New Roman" w:hAnsi="Times New Roman" w:cs="Times New Roman" w:eastAsia="Times New Roman" w:hint="default"/>
                <w:sz w:val="18"/>
                <w:szCs w:val="18"/>
              </w:rPr>
            </w:pPr>
            <w:r>
              <w:rPr>
                <w:rFonts w:ascii="Times New Roman"/>
                <w:sz w:val="18"/>
              </w:rPr>
              <w:t>2016/12/16</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171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2234411</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2017SR649127</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EU</w:t>
            </w:r>
            <w:r>
              <w:rPr>
                <w:rFonts w:ascii="宋体" w:hAnsi="宋体" w:cs="宋体" w:eastAsia="宋体" w:hint="default"/>
                <w:sz w:val="18"/>
                <w:szCs w:val="18"/>
              </w:rPr>
              <w:t>分流器</w:t>
            </w:r>
            <w:r>
              <w:rPr>
                <w:rFonts w:ascii="Times New Roman" w:hAnsi="Times New Roman" w:cs="Times New Roman" w:eastAsia="Times New Roman" w:hint="default"/>
                <w:sz w:val="18"/>
                <w:szCs w:val="18"/>
              </w:rPr>
              <w:t>-</w:t>
            </w:r>
            <w:r>
              <w:rPr>
                <w:rFonts w:ascii="宋体" w:hAnsi="宋体" w:cs="宋体" w:eastAsia="宋体" w:hint="default"/>
                <w:sz w:val="18"/>
                <w:szCs w:val="18"/>
              </w:rPr>
              <w:t>嵌入式软件</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2017/7/1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172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2234417</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2017SR649133</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EU</w:t>
            </w:r>
            <w:r>
              <w:rPr>
                <w:rFonts w:ascii="宋体" w:hAnsi="宋体" w:cs="宋体" w:eastAsia="宋体" w:hint="default"/>
                <w:sz w:val="18"/>
                <w:szCs w:val="18"/>
              </w:rPr>
              <w:t>服务器</w:t>
            </w:r>
            <w:r>
              <w:rPr>
                <w:rFonts w:ascii="Times New Roman" w:hAnsi="Times New Roman" w:cs="Times New Roman" w:eastAsia="Times New Roman" w:hint="default"/>
                <w:sz w:val="18"/>
                <w:szCs w:val="18"/>
              </w:rPr>
              <w:t>-</w:t>
            </w:r>
            <w:r>
              <w:rPr>
                <w:rFonts w:ascii="宋体" w:hAnsi="宋体" w:cs="宋体" w:eastAsia="宋体" w:hint="default"/>
                <w:sz w:val="18"/>
                <w:szCs w:val="18"/>
              </w:rPr>
              <w:t>嵌入式软件</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2017/7/1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173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2343612</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2018SR014517</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分布式文件存储系统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XDFS]V1.0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2017/7/3</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174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2345607</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2018SR016512</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外勤管理系统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MVS-AM]V1.0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2017/7/3</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175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2348482</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2018SR019387</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工作流自主处理系统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MVS-WFAP]V1.0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2017/10/9</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176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2345608</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2018SR016513</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综合协同办公系统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MVS-ITW]V1.0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7" w:right="0"/>
              <w:jc w:val="left"/>
              <w:rPr>
                <w:rFonts w:ascii="Times New Roman" w:hAnsi="Times New Roman" w:cs="Times New Roman" w:eastAsia="Times New Roman" w:hint="default"/>
                <w:sz w:val="18"/>
                <w:szCs w:val="18"/>
              </w:rPr>
            </w:pPr>
            <w:r>
              <w:rPr>
                <w:rFonts w:ascii="Times New Roman"/>
                <w:sz w:val="18"/>
              </w:rPr>
              <w:t>2017/7/3</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177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2786958</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2018SR457863</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融合</w:t>
            </w:r>
            <w:r>
              <w:rPr>
                <w:rFonts w:ascii="Times New Roman" w:hAnsi="Times New Roman" w:cs="Times New Roman" w:eastAsia="Times New Roman" w:hint="default"/>
                <w:sz w:val="18"/>
                <w:szCs w:val="18"/>
              </w:rPr>
              <w:t>DPI</w:t>
            </w:r>
            <w:r>
              <w:rPr>
                <w:rFonts w:ascii="宋体" w:hAnsi="宋体" w:cs="宋体" w:eastAsia="宋体" w:hint="default"/>
                <w:sz w:val="18"/>
                <w:szCs w:val="18"/>
              </w:rPr>
              <w:t>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MVRH-DPI]V1.0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2015/7/20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178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2786164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2018SR457069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统一</w:t>
            </w:r>
            <w:r>
              <w:rPr>
                <w:rFonts w:ascii="Times New Roman" w:hAnsi="Times New Roman" w:cs="Times New Roman" w:eastAsia="Times New Roman" w:hint="default"/>
                <w:sz w:val="18"/>
                <w:szCs w:val="18"/>
              </w:rPr>
              <w:t>DPI</w:t>
            </w:r>
            <w:r>
              <w:rPr>
                <w:rFonts w:ascii="宋体" w:hAnsi="宋体" w:cs="宋体" w:eastAsia="宋体" w:hint="default"/>
                <w:sz w:val="18"/>
                <w:szCs w:val="18"/>
              </w:rPr>
              <w:t>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MVTY-DPI]V1.0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6"/>
              <w:jc w:val="right"/>
              <w:rPr>
                <w:rFonts w:ascii="Times New Roman" w:hAnsi="Times New Roman" w:cs="Times New Roman" w:eastAsia="Times New Roman" w:hint="default"/>
                <w:sz w:val="18"/>
                <w:szCs w:val="18"/>
              </w:rPr>
            </w:pPr>
            <w:r>
              <w:rPr>
                <w:rFonts w:ascii="Times New Roman"/>
                <w:sz w:val="18"/>
              </w:rPr>
              <w:t>2015/11/20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179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3080986</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2018SR751891</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分布式内存数据库系统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MDB]V1.0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6"/>
              <w:jc w:val="right"/>
              <w:rPr>
                <w:rFonts w:ascii="Times New Roman" w:hAnsi="Times New Roman" w:cs="Times New Roman" w:eastAsia="Times New Roman" w:hint="default"/>
                <w:sz w:val="18"/>
                <w:szCs w:val="18"/>
              </w:rPr>
            </w:pPr>
            <w:r>
              <w:rPr>
                <w:rFonts w:ascii="Times New Roman"/>
                <w:sz w:val="18"/>
              </w:rPr>
              <w:t>2018/6/1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180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0266131</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2011SR002457</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数字天堂无线网关定位计次版软件</w:t>
            </w:r>
            <w:r>
              <w:rPr>
                <w:rFonts w:ascii="Times New Roman" w:hAnsi="Times New Roman" w:cs="Times New Roman" w:eastAsia="Times New Roman" w:hint="default"/>
                <w:sz w:val="18"/>
                <w:szCs w:val="18"/>
              </w:rPr>
              <w:t>V1.0[</w:t>
            </w:r>
            <w:r>
              <w:rPr>
                <w:rFonts w:ascii="宋体" w:hAnsi="宋体" w:cs="宋体" w:eastAsia="宋体" w:hint="default"/>
                <w:sz w:val="18"/>
                <w:szCs w:val="18"/>
              </w:rPr>
              <w:t>简称</w:t>
            </w:r>
            <w:r>
              <w:rPr>
                <w:rFonts w:ascii="Times New Roman" w:hAnsi="Times New Roman" w:cs="Times New Roman" w:eastAsia="Times New Roman" w:hint="default"/>
                <w:sz w:val="18"/>
                <w:szCs w:val="18"/>
              </w:rPr>
              <w:t>:WG-LBS0]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2010/5/14</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181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0266160</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2011SR002486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数字天堂无线网关短信计次版软件</w:t>
            </w:r>
            <w:r>
              <w:rPr>
                <w:rFonts w:ascii="Times New Roman" w:hAnsi="Times New Roman" w:cs="Times New Roman" w:eastAsia="Times New Roman" w:hint="default"/>
                <w:sz w:val="18"/>
                <w:szCs w:val="18"/>
              </w:rPr>
              <w:t>V1.0[</w:t>
            </w:r>
            <w:r>
              <w:rPr>
                <w:rFonts w:ascii="宋体" w:hAnsi="宋体" w:cs="宋体" w:eastAsia="宋体" w:hint="default"/>
                <w:sz w:val="18"/>
                <w:szCs w:val="18"/>
              </w:rPr>
              <w:t>简称</w:t>
            </w:r>
            <w:r>
              <w:rPr>
                <w:rFonts w:ascii="Times New Roman" w:hAnsi="Times New Roman" w:cs="Times New Roman" w:eastAsia="Times New Roman" w:hint="default"/>
                <w:sz w:val="18"/>
                <w:szCs w:val="18"/>
              </w:rPr>
              <w:t>:WG-SMS]</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0"/>
              <w:jc w:val="right"/>
              <w:rPr>
                <w:rFonts w:ascii="Times New Roman" w:hAnsi="Times New Roman" w:cs="Times New Roman" w:eastAsia="Times New Roman" w:hint="default"/>
                <w:sz w:val="18"/>
                <w:szCs w:val="18"/>
              </w:rPr>
            </w:pPr>
            <w:r>
              <w:rPr>
                <w:rFonts w:ascii="Times New Roman"/>
                <w:sz w:val="18"/>
              </w:rPr>
              <w:t>2010/5/14</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140" w:bottom="1160" w:left="1300" w:right="1300"/>
        </w:sectPr>
      </w:pPr>
    </w:p>
    <w:tbl>
      <w:tblPr>
        <w:tblW w:w="0" w:type="auto"/>
        <w:jc w:val="left"/>
        <w:tblInd w:w="125" w:type="dxa"/>
        <w:tblLayout w:type="fixed"/>
        <w:tblCellMar>
          <w:top w:w="0" w:type="dxa"/>
          <w:left w:w="0" w:type="dxa"/>
          <w:bottom w:w="0" w:type="dxa"/>
          <w:right w:w="0" w:type="dxa"/>
        </w:tblCellMar>
        <w:tblLook w:val="01E0"/>
      </w:tblPr>
      <w:tblGrid>
        <w:gridCol w:w="522"/>
        <w:gridCol w:w="1928"/>
        <w:gridCol w:w="1182"/>
        <w:gridCol w:w="6444"/>
        <w:gridCol w:w="928"/>
        <w:gridCol w:w="1152"/>
        <w:gridCol w:w="837"/>
        <w:gridCol w:w="986"/>
      </w:tblGrid>
      <w:tr>
        <w:trPr>
          <w:trHeight w:val="326" w:hRule="exact"/>
        </w:trPr>
        <w:tc>
          <w:tcPr>
            <w:tcW w:w="522"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28"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182"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6444"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928"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1152"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权利取得方式</w:t>
            </w:r>
            <w:r>
              <w:rPr>
                <w:rFonts w:ascii="宋体" w:hAnsi="宋体" w:cs="宋体" w:eastAsia="宋体" w:hint="default"/>
                <w:sz w:val="18"/>
                <w:szCs w:val="18"/>
              </w:rPr>
            </w:r>
          </w:p>
        </w:tc>
        <w:tc>
          <w:tcPr>
            <w:tcW w:w="837"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51"/>
              <w:jc w:val="right"/>
              <w:rPr>
                <w:rFonts w:ascii="宋体" w:hAnsi="宋体" w:cs="宋体" w:eastAsia="宋体" w:hint="default"/>
                <w:sz w:val="18"/>
                <w:szCs w:val="18"/>
              </w:rPr>
            </w:pPr>
            <w:r>
              <w:rPr>
                <w:rFonts w:ascii="宋体" w:hAnsi="宋体" w:cs="宋体" w:eastAsia="宋体" w:hint="default"/>
                <w:b/>
                <w:bCs/>
                <w:w w:val="95"/>
                <w:sz w:val="18"/>
                <w:szCs w:val="18"/>
              </w:rPr>
              <w:t>权利范围</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b/>
                <w:bCs/>
                <w:sz w:val="18"/>
                <w:szCs w:val="18"/>
              </w:rPr>
              <w:t>首发日期</w:t>
            </w:r>
            <w:r>
              <w:rPr>
                <w:rFonts w:ascii="宋体" w:hAnsi="宋体" w:cs="宋体" w:eastAsia="宋体" w:hint="default"/>
                <w:sz w:val="18"/>
                <w:szCs w:val="18"/>
              </w:rPr>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182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0266236</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2011SR002562</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数字天堂企业无线网关软件</w:t>
            </w:r>
            <w:r>
              <w:rPr>
                <w:rFonts w:ascii="Times New Roman" w:hAnsi="Times New Roman" w:cs="Times New Roman" w:eastAsia="Times New Roman" w:hint="default"/>
                <w:sz w:val="18"/>
                <w:szCs w:val="18"/>
              </w:rPr>
              <w:t>V2.0[</w:t>
            </w:r>
            <w:r>
              <w:rPr>
                <w:rFonts w:ascii="宋体" w:hAnsi="宋体" w:cs="宋体" w:eastAsia="宋体" w:hint="default"/>
                <w:sz w:val="18"/>
                <w:szCs w:val="18"/>
              </w:rPr>
              <w:t>简称</w:t>
            </w:r>
            <w:r>
              <w:rPr>
                <w:rFonts w:ascii="Times New Roman" w:hAnsi="Times New Roman" w:cs="Times New Roman" w:eastAsia="Times New Roman" w:hint="default"/>
                <w:sz w:val="18"/>
                <w:szCs w:val="18"/>
              </w:rPr>
              <w:t>:WG]</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2010/5/14</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183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0266237</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2011SR002563</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数字天堂无线网关云平台系统</w:t>
            </w:r>
            <w:r>
              <w:rPr>
                <w:rFonts w:ascii="Times New Roman" w:hAnsi="Times New Roman" w:cs="Times New Roman" w:eastAsia="Times New Roman" w:hint="default"/>
                <w:sz w:val="18"/>
                <w:szCs w:val="18"/>
              </w:rPr>
              <w:t>V1.0[</w:t>
            </w:r>
            <w:r>
              <w:rPr>
                <w:rFonts w:ascii="宋体" w:hAnsi="宋体" w:cs="宋体" w:eastAsia="宋体" w:hint="default"/>
                <w:sz w:val="18"/>
                <w:szCs w:val="18"/>
              </w:rPr>
              <w:t>简称</w:t>
            </w:r>
            <w:r>
              <w:rPr>
                <w:rFonts w:ascii="Times New Roman" w:hAnsi="Times New Roman" w:cs="Times New Roman" w:eastAsia="Times New Roman" w:hint="default"/>
                <w:sz w:val="18"/>
                <w:szCs w:val="18"/>
              </w:rPr>
              <w:t>:CLOUDWIRELESSGATEWAY]</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2010/5/14</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184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0266352</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2011SR002678</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数字天堂无线网关彩信计次版软件</w:t>
            </w:r>
            <w:r>
              <w:rPr>
                <w:rFonts w:ascii="Times New Roman" w:hAnsi="Times New Roman" w:cs="Times New Roman" w:eastAsia="Times New Roman" w:hint="default"/>
                <w:sz w:val="18"/>
                <w:szCs w:val="18"/>
              </w:rPr>
              <w:t>V1.0[</w:t>
            </w:r>
            <w:r>
              <w:rPr>
                <w:rFonts w:ascii="宋体" w:hAnsi="宋体" w:cs="宋体" w:eastAsia="宋体" w:hint="default"/>
                <w:sz w:val="18"/>
                <w:szCs w:val="18"/>
              </w:rPr>
              <w:t>简称</w:t>
            </w:r>
            <w:r>
              <w:rPr>
                <w:rFonts w:ascii="Times New Roman" w:hAnsi="Times New Roman" w:cs="Times New Roman" w:eastAsia="Times New Roman" w:hint="default"/>
                <w:sz w:val="18"/>
                <w:szCs w:val="18"/>
              </w:rPr>
              <w:t>:WG-MMS]</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2010/5/14</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185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0256363</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2010SR068090</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数字天堂无线中间件云平台系统</w:t>
            </w:r>
            <w:r>
              <w:rPr>
                <w:rFonts w:ascii="Times New Roman" w:hAnsi="Times New Roman" w:cs="Times New Roman" w:eastAsia="Times New Roman" w:hint="default"/>
                <w:sz w:val="18"/>
                <w:szCs w:val="18"/>
              </w:rPr>
              <w:t>V1.0[</w:t>
            </w:r>
            <w:r>
              <w:rPr>
                <w:rFonts w:ascii="宋体" w:hAnsi="宋体" w:cs="宋体" w:eastAsia="宋体" w:hint="default"/>
                <w:sz w:val="18"/>
                <w:szCs w:val="18"/>
              </w:rPr>
              <w:t>简称</w:t>
            </w:r>
            <w:r>
              <w:rPr>
                <w:rFonts w:ascii="Times New Roman" w:hAnsi="Times New Roman" w:cs="Times New Roman" w:eastAsia="Times New Roman" w:hint="default"/>
                <w:sz w:val="18"/>
                <w:szCs w:val="18"/>
              </w:rPr>
              <w:t>:MCLOUD]</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2010/5/19</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186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0266533</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2011SR002859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数字天堂手机邮箱云平台系统</w:t>
            </w:r>
            <w:r>
              <w:rPr>
                <w:rFonts w:ascii="Times New Roman" w:hAnsi="Times New Roman" w:cs="Times New Roman" w:eastAsia="Times New Roman" w:hint="default"/>
                <w:sz w:val="18"/>
                <w:szCs w:val="18"/>
              </w:rPr>
              <w:t>V1.0[</w:t>
            </w:r>
            <w:r>
              <w:rPr>
                <w:rFonts w:ascii="宋体" w:hAnsi="宋体" w:cs="宋体" w:eastAsia="宋体" w:hint="default"/>
                <w:sz w:val="18"/>
                <w:szCs w:val="18"/>
              </w:rPr>
              <w:t>简称</w:t>
            </w:r>
            <w:r>
              <w:rPr>
                <w:rFonts w:ascii="Times New Roman" w:hAnsi="Times New Roman" w:cs="Times New Roman" w:eastAsia="Times New Roman" w:hint="default"/>
                <w:sz w:val="18"/>
                <w:szCs w:val="18"/>
              </w:rPr>
              <w:t>:CLOUDPE]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2010/5/20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187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0266518</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2011SR002844</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数字天堂无线中间件孵化平台软件</w:t>
            </w:r>
            <w:r>
              <w:rPr>
                <w:rFonts w:ascii="Times New Roman" w:hAnsi="Times New Roman" w:cs="Times New Roman" w:eastAsia="Times New Roman" w:hint="default"/>
                <w:sz w:val="18"/>
                <w:szCs w:val="18"/>
              </w:rPr>
              <w:t>V1.0[</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孵化平台</w:t>
            </w:r>
            <w:r>
              <w:rPr>
                <w:rFonts w:ascii="Times New Roman" w:hAnsi="Times New Roman" w:cs="Times New Roman" w:eastAsia="Times New Roman" w:hint="default"/>
                <w:sz w:val="18"/>
                <w:szCs w:val="18"/>
              </w:rPr>
              <w:t>]</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2010/6/28</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188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0266205</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2011SR002531</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数字天堂应用商店软件</w:t>
            </w:r>
            <w:r>
              <w:rPr>
                <w:rFonts w:ascii="Times New Roman" w:hAnsi="Times New Roman" w:cs="Times New Roman" w:eastAsia="Times New Roman" w:hint="default"/>
                <w:sz w:val="18"/>
                <w:szCs w:val="18"/>
              </w:rPr>
              <w:t>V1.0[</w:t>
            </w:r>
            <w:r>
              <w:rPr>
                <w:rFonts w:ascii="宋体" w:hAnsi="宋体" w:cs="宋体" w:eastAsia="宋体" w:hint="default"/>
                <w:sz w:val="18"/>
                <w:szCs w:val="18"/>
              </w:rPr>
              <w:t>简称</w:t>
            </w:r>
            <w:r>
              <w:rPr>
                <w:rFonts w:ascii="Times New Roman" w:hAnsi="Times New Roman" w:cs="Times New Roman" w:eastAsia="Times New Roman" w:hint="default"/>
                <w:sz w:val="18"/>
                <w:szCs w:val="18"/>
              </w:rPr>
              <w:t>:CLOUDSTORE]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2010/7/12</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189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0266109</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2011SR002435</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数字天堂无线中间件云平台系统</w:t>
            </w:r>
            <w:r>
              <w:rPr>
                <w:rFonts w:ascii="Times New Roman" w:hAnsi="Times New Roman" w:cs="Times New Roman" w:eastAsia="Times New Roman" w:hint="default"/>
                <w:sz w:val="18"/>
                <w:szCs w:val="18"/>
              </w:rPr>
              <w:t>V1.0[</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管理平台</w:t>
            </w:r>
            <w:r>
              <w:rPr>
                <w:rFonts w:ascii="Times New Roman" w:hAnsi="Times New Roman" w:cs="Times New Roman" w:eastAsia="Times New Roman" w:hint="default"/>
                <w:sz w:val="18"/>
                <w:szCs w:val="18"/>
              </w:rPr>
              <w:t>]</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2010/7/22</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190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0363949</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2011SR100275</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数字天堂无线中间件集成开发环境软件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:Mkey Studio]</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2011/4/20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191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0363930</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2011SR100256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数字天堂云平台升级系统</w:t>
            </w:r>
            <w:r>
              <w:rPr>
                <w:rFonts w:ascii="Times New Roman" w:hAnsi="Times New Roman" w:cs="Times New Roman" w:eastAsia="Times New Roman" w:hint="default"/>
                <w:sz w:val="18"/>
                <w:szCs w:val="18"/>
              </w:rPr>
              <w:t>V1.0[</w:t>
            </w:r>
            <w:r>
              <w:rPr>
                <w:rFonts w:ascii="宋体" w:hAnsi="宋体" w:cs="宋体" w:eastAsia="宋体" w:hint="default"/>
                <w:sz w:val="18"/>
                <w:szCs w:val="18"/>
              </w:rPr>
              <w:t>简称</w:t>
            </w:r>
            <w:r>
              <w:rPr>
                <w:rFonts w:ascii="Times New Roman" w:hAnsi="Times New Roman" w:cs="Times New Roman" w:eastAsia="Times New Roman" w:hint="default"/>
                <w:sz w:val="18"/>
                <w:szCs w:val="18"/>
              </w:rPr>
              <w:t>:SUSC]</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2011/11/5</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192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0448036</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2012SR080000</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数字天堂移动办公系统软件</w:t>
            </w:r>
            <w:r>
              <w:rPr>
                <w:rFonts w:ascii="Times New Roman" w:hAnsi="Times New Roman" w:cs="Times New Roman" w:eastAsia="Times New Roman" w:hint="default"/>
                <w:sz w:val="18"/>
                <w:szCs w:val="18"/>
              </w:rPr>
              <w:t>V6.0[</w:t>
            </w:r>
            <w:r>
              <w:rPr>
                <w:rFonts w:ascii="宋体" w:hAnsi="宋体" w:cs="宋体" w:eastAsia="宋体" w:hint="default"/>
                <w:sz w:val="18"/>
                <w:szCs w:val="18"/>
              </w:rPr>
              <w:t>简称</w:t>
            </w:r>
            <w:r>
              <w:rPr>
                <w:rFonts w:ascii="Times New Roman" w:hAnsi="Times New Roman" w:cs="Times New Roman" w:eastAsia="Times New Roman" w:hint="default"/>
                <w:sz w:val="18"/>
                <w:szCs w:val="18"/>
              </w:rPr>
              <w:t>:MIP]</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2012/6/15</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193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0565254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2013SR059492</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数字天堂移动信息化接入平台软件</w:t>
            </w:r>
            <w:r>
              <w:rPr>
                <w:rFonts w:ascii="Times New Roman" w:hAnsi="Times New Roman" w:cs="Times New Roman" w:eastAsia="Times New Roman" w:hint="default"/>
                <w:sz w:val="18"/>
                <w:szCs w:val="18"/>
              </w:rPr>
              <w:t>V1.1[</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接入平台</w:t>
            </w:r>
            <w:r>
              <w:rPr>
                <w:rFonts w:ascii="Times New Roman" w:hAnsi="Times New Roman" w:cs="Times New Roman" w:eastAsia="Times New Roman" w:hint="default"/>
                <w:sz w:val="18"/>
                <w:szCs w:val="18"/>
              </w:rPr>
              <w:t>]</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2012/6/26</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194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0501838</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2012SR133802</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数字天堂无线城市</w:t>
            </w:r>
            <w:r>
              <w:rPr>
                <w:rFonts w:ascii="Times New Roman" w:hAnsi="Times New Roman" w:cs="Times New Roman" w:eastAsia="Times New Roman" w:hint="default"/>
                <w:sz w:val="18"/>
                <w:szCs w:val="18"/>
              </w:rPr>
              <w:t>Widget</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r>
              <w:rPr>
                <w:rFonts w:ascii="宋体" w:hAnsi="宋体" w:cs="宋体" w:eastAsia="宋体" w:hint="default"/>
                <w:sz w:val="18"/>
                <w:szCs w:val="18"/>
              </w:rPr>
              <w:t>简称</w:t>
            </w:r>
            <w:r>
              <w:rPr>
                <w:rFonts w:ascii="Times New Roman" w:hAnsi="Times New Roman" w:cs="Times New Roman" w:eastAsia="Times New Roman" w:hint="default"/>
                <w:sz w:val="18"/>
                <w:szCs w:val="18"/>
              </w:rPr>
              <w:t>:WidgetApps]</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2012/10/1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195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0501222</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2012SR133186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数字天堂旅游易软件</w:t>
            </w:r>
            <w:r>
              <w:rPr>
                <w:rFonts w:ascii="Times New Roman" w:hAnsi="Times New Roman" w:cs="Times New Roman" w:eastAsia="Times New Roman" w:hint="default"/>
                <w:sz w:val="18"/>
                <w:szCs w:val="18"/>
              </w:rPr>
              <w:t>V1.0[</w:t>
            </w:r>
            <w:r>
              <w:rPr>
                <w:rFonts w:ascii="宋体" w:hAnsi="宋体" w:cs="宋体" w:eastAsia="宋体" w:hint="default"/>
                <w:sz w:val="18"/>
                <w:szCs w:val="18"/>
              </w:rPr>
              <w:t>简称</w:t>
            </w:r>
            <w:r>
              <w:rPr>
                <w:rFonts w:ascii="Times New Roman" w:hAnsi="Times New Roman" w:cs="Times New Roman" w:eastAsia="Times New Roman" w:hint="default"/>
                <w:sz w:val="18"/>
                <w:szCs w:val="18"/>
              </w:rPr>
              <w:t>:DHEAVENTRIP]</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2012/11/12</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196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0501315</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2012SR133279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w:t>
            </w:r>
            <w:r>
              <w:rPr>
                <w:rFonts w:ascii="Times New Roman" w:hAnsi="Times New Roman" w:cs="Times New Roman" w:eastAsia="Times New Roman" w:hint="default"/>
                <w:sz w:val="18"/>
                <w:szCs w:val="18"/>
              </w:rPr>
              <w:t>WAP\WIDGET</w:t>
            </w:r>
            <w:r>
              <w:rPr>
                <w:rFonts w:ascii="宋体" w:hAnsi="宋体" w:cs="宋体" w:eastAsia="宋体" w:hint="default"/>
                <w:sz w:val="18"/>
                <w:szCs w:val="18"/>
              </w:rPr>
              <w:t>转换平台软件</w:t>
            </w:r>
            <w:r>
              <w:rPr>
                <w:rFonts w:ascii="Times New Roman" w:hAnsi="Times New Roman" w:cs="Times New Roman" w:eastAsia="Times New Roman" w:hint="default"/>
                <w:sz w:val="18"/>
                <w:szCs w:val="18"/>
              </w:rPr>
              <w:t>V1.0[</w:t>
            </w:r>
            <w:r>
              <w:rPr>
                <w:rFonts w:ascii="宋体" w:hAnsi="宋体" w:cs="宋体" w:eastAsia="宋体" w:hint="default"/>
                <w:sz w:val="18"/>
                <w:szCs w:val="18"/>
              </w:rPr>
              <w:t>简称</w:t>
            </w:r>
            <w:r>
              <w:rPr>
                <w:rFonts w:ascii="Times New Roman" w:hAnsi="Times New Roman" w:cs="Times New Roman" w:eastAsia="Times New Roman" w:hint="default"/>
                <w:sz w:val="18"/>
                <w:szCs w:val="18"/>
              </w:rPr>
              <w:t>:Wap2Widget]</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2012/11/20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197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0565260</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2013SR059498</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数字天堂移动智能客户端软件</w:t>
            </w:r>
            <w:r>
              <w:rPr>
                <w:rFonts w:ascii="Times New Roman" w:hAnsi="Times New Roman" w:cs="Times New Roman" w:eastAsia="Times New Roman" w:hint="default"/>
                <w:sz w:val="18"/>
                <w:szCs w:val="18"/>
              </w:rPr>
              <w:t>V3.5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2012/12/2</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198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0565548</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2013SR059786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SAAS</w:t>
            </w:r>
            <w:r>
              <w:rPr>
                <w:rFonts w:ascii="宋体" w:hAnsi="宋体" w:cs="宋体" w:eastAsia="宋体" w:hint="default"/>
                <w:sz w:val="18"/>
                <w:szCs w:val="18"/>
              </w:rPr>
              <w:t>模式的无线云平台</w:t>
            </w:r>
            <w:r>
              <w:rPr>
                <w:rFonts w:ascii="Times New Roman" w:hAnsi="Times New Roman" w:cs="Times New Roman" w:eastAsia="Times New Roman" w:hint="default"/>
                <w:sz w:val="18"/>
                <w:szCs w:val="18"/>
              </w:rPr>
              <w:t>V1.0[</w:t>
            </w:r>
            <w:r>
              <w:rPr>
                <w:rFonts w:ascii="宋体" w:hAnsi="宋体" w:cs="宋体" w:eastAsia="宋体" w:hint="default"/>
                <w:sz w:val="18"/>
                <w:szCs w:val="18"/>
              </w:rPr>
              <w:t>简称</w:t>
            </w:r>
            <w:r>
              <w:rPr>
                <w:rFonts w:ascii="Times New Roman" w:hAnsi="Times New Roman" w:cs="Times New Roman" w:eastAsia="Times New Roman" w:hint="default"/>
                <w:sz w:val="18"/>
                <w:szCs w:val="18"/>
              </w:rPr>
              <w:t>:XCloud]</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2013/2/20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199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0778671</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2014SR109427</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数字天堂掌上客服系统软件</w:t>
            </w:r>
            <w:r>
              <w:rPr>
                <w:rFonts w:ascii="Times New Roman" w:hAnsi="Times New Roman" w:cs="Times New Roman" w:eastAsia="Times New Roman" w:hint="default"/>
                <w:sz w:val="18"/>
                <w:szCs w:val="18"/>
              </w:rPr>
              <w:t>V1.0[</w:t>
            </w:r>
            <w:r>
              <w:rPr>
                <w:rFonts w:ascii="宋体" w:hAnsi="宋体" w:cs="宋体" w:eastAsia="宋体" w:hint="default"/>
                <w:sz w:val="18"/>
                <w:szCs w:val="18"/>
              </w:rPr>
              <w:t>简称</w:t>
            </w:r>
            <w:r>
              <w:rPr>
                <w:rFonts w:ascii="Times New Roman" w:hAnsi="Times New Roman" w:cs="Times New Roman" w:eastAsia="Times New Roman" w:hint="default"/>
                <w:sz w:val="18"/>
                <w:szCs w:val="18"/>
              </w:rPr>
              <w:t>:M-CSP]</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2014/7/31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0778967</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2014SR109723</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数字天堂无线城市后台系统软件</w:t>
            </w:r>
            <w:r>
              <w:rPr>
                <w:rFonts w:ascii="Times New Roman" w:hAnsi="Times New Roman" w:cs="Times New Roman" w:eastAsia="Times New Roman" w:hint="default"/>
                <w:sz w:val="18"/>
                <w:szCs w:val="18"/>
              </w:rPr>
              <w:t>V1.0[</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无线城市后台</w:t>
            </w:r>
            <w:r>
              <w:rPr>
                <w:rFonts w:ascii="Times New Roman" w:hAnsi="Times New Roman" w:cs="Times New Roman" w:eastAsia="Times New Roman" w:hint="default"/>
                <w:sz w:val="18"/>
                <w:szCs w:val="18"/>
              </w:rPr>
              <w:t>]</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2014/7/31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0778972</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2014SR109728</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数字天堂无线城市客户端软件</w:t>
            </w:r>
            <w:r>
              <w:rPr>
                <w:rFonts w:ascii="Times New Roman" w:hAnsi="Times New Roman" w:cs="Times New Roman" w:eastAsia="Times New Roman" w:hint="default"/>
                <w:sz w:val="18"/>
                <w:szCs w:val="18"/>
              </w:rPr>
              <w:t>V1.0[</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无线城市客户端</w:t>
            </w:r>
            <w:r>
              <w:rPr>
                <w:rFonts w:ascii="Times New Roman" w:hAnsi="Times New Roman" w:cs="Times New Roman" w:eastAsia="Times New Roman" w:hint="default"/>
                <w:sz w:val="18"/>
                <w:szCs w:val="18"/>
              </w:rPr>
              <w:t>]</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2014/7/31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0779198</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2014SR109954</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数字天堂无线中间件</w:t>
            </w:r>
            <w:r>
              <w:rPr>
                <w:rFonts w:ascii="Times New Roman" w:hAnsi="Times New Roman" w:cs="Times New Roman" w:eastAsia="Times New Roman" w:hint="default"/>
                <w:sz w:val="18"/>
                <w:szCs w:val="18"/>
              </w:rPr>
              <w:t>MKey 5</w:t>
            </w:r>
            <w:r>
              <w:rPr>
                <w:rFonts w:ascii="宋体" w:hAnsi="宋体" w:cs="宋体" w:eastAsia="宋体" w:hint="default"/>
                <w:sz w:val="18"/>
                <w:szCs w:val="18"/>
              </w:rPr>
              <w:t>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:MKey</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2014/7/31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软件登字第</w:t>
            </w:r>
            <w:r>
              <w:rPr>
                <w:rFonts w:ascii="Times New Roman" w:hAnsi="Times New Roman" w:cs="Times New Roman" w:eastAsia="Times New Roman" w:hint="default"/>
                <w:sz w:val="18"/>
                <w:szCs w:val="18"/>
              </w:rPr>
              <w:t>1064737</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2015SR177651</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数字天堂无限中间件</w:t>
            </w:r>
            <w:r>
              <w:rPr>
                <w:rFonts w:ascii="Times New Roman" w:hAnsi="Times New Roman" w:cs="Times New Roman" w:eastAsia="Times New Roman" w:hint="default"/>
                <w:sz w:val="18"/>
                <w:szCs w:val="18"/>
              </w:rPr>
              <w:t>MKey5G</w:t>
            </w:r>
            <w:r>
              <w:rPr>
                <w:rFonts w:ascii="宋体" w:hAnsi="宋体" w:cs="宋体" w:eastAsia="宋体" w:hint="default"/>
                <w:sz w:val="18"/>
                <w:szCs w:val="18"/>
              </w:rPr>
              <w:t>系统软件</w:t>
            </w:r>
            <w:r>
              <w:rPr>
                <w:rFonts w:ascii="Times New Roman" w:hAnsi="Times New Roman" w:cs="Times New Roman" w:eastAsia="Times New Roman" w:hint="default"/>
                <w:sz w:val="18"/>
                <w:szCs w:val="18"/>
              </w:rPr>
              <w:t>V1.0.0[</w:t>
            </w:r>
            <w:r>
              <w:rPr>
                <w:rFonts w:ascii="宋体" w:hAnsi="宋体" w:cs="宋体" w:eastAsia="宋体" w:hint="default"/>
                <w:sz w:val="18"/>
                <w:szCs w:val="18"/>
              </w:rPr>
              <w:t>简称</w:t>
            </w:r>
            <w:r>
              <w:rPr>
                <w:rFonts w:ascii="Times New Roman" w:hAnsi="Times New Roman" w:cs="Times New Roman" w:eastAsia="Times New Roman" w:hint="default"/>
                <w:sz w:val="18"/>
                <w:szCs w:val="18"/>
              </w:rPr>
              <w:t>:MKey5G]</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2015/9/14</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1808828</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2017SR223544</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数字天堂无线中间件</w:t>
            </w:r>
            <w:r>
              <w:rPr>
                <w:rFonts w:ascii="Times New Roman" w:hAnsi="Times New Roman" w:cs="Times New Roman" w:eastAsia="Times New Roman" w:hint="default"/>
                <w:sz w:val="18"/>
                <w:szCs w:val="18"/>
              </w:rPr>
              <w:t>MKey6</w:t>
            </w:r>
            <w:r>
              <w:rPr>
                <w:rFonts w:ascii="宋体" w:hAnsi="宋体" w:cs="宋体" w:eastAsia="宋体" w:hint="default"/>
                <w:sz w:val="18"/>
                <w:szCs w:val="18"/>
              </w:rPr>
              <w:t>系统</w:t>
            </w:r>
            <w:r>
              <w:rPr>
                <w:rFonts w:ascii="Times New Roman" w:hAnsi="Times New Roman" w:cs="Times New Roman" w:eastAsia="Times New Roman" w:hint="default"/>
                <w:sz w:val="18"/>
                <w:szCs w:val="18"/>
              </w:rPr>
              <w:t>V1.0[Mkey6]</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2016/7/1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1064737</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2017SR223943</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数字天堂无线中间件</w:t>
            </w:r>
            <w:r>
              <w:rPr>
                <w:rFonts w:ascii="Times New Roman" w:hAnsi="Times New Roman" w:cs="Times New Roman" w:eastAsia="Times New Roman" w:hint="default"/>
                <w:sz w:val="18"/>
                <w:szCs w:val="18"/>
              </w:rPr>
              <w:t>MKey Plus</w:t>
            </w:r>
            <w:r>
              <w:rPr>
                <w:rFonts w:ascii="宋体" w:hAnsi="宋体" w:cs="宋体" w:eastAsia="宋体" w:hint="default"/>
                <w:sz w:val="18"/>
                <w:szCs w:val="18"/>
              </w:rPr>
              <w:t>系统</w:t>
            </w:r>
            <w:r>
              <w:rPr>
                <w:rFonts w:ascii="Times New Roman" w:hAnsi="Times New Roman" w:cs="Times New Roman" w:eastAsia="Times New Roman" w:hint="default"/>
                <w:sz w:val="18"/>
                <w:szCs w:val="18"/>
              </w:rPr>
              <w:t>V1.0[Mkey</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Plus]</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2016/10/24</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2595163</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2018SR266068</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w:t>
            </w:r>
            <w:r>
              <w:rPr>
                <w:rFonts w:ascii="Times New Roman" w:hAnsi="Times New Roman" w:cs="Times New Roman" w:eastAsia="Times New Roman" w:hint="default"/>
                <w:sz w:val="18"/>
                <w:szCs w:val="18"/>
              </w:rPr>
              <w:t>MOA</w:t>
            </w:r>
            <w:r>
              <w:rPr>
                <w:rFonts w:ascii="宋体" w:hAnsi="宋体" w:cs="宋体" w:eastAsia="宋体" w:hint="default"/>
                <w:sz w:val="18"/>
                <w:szCs w:val="18"/>
              </w:rPr>
              <w:t>协同办公系统</w:t>
            </w:r>
            <w:r>
              <w:rPr>
                <w:rFonts w:ascii="Times New Roman" w:hAnsi="Times New Roman" w:cs="Times New Roman" w:eastAsia="Times New Roman" w:hint="default"/>
                <w:sz w:val="18"/>
                <w:szCs w:val="18"/>
              </w:rPr>
              <w:t>V1.0[MOA</w:t>
            </w:r>
            <w:r>
              <w:rPr>
                <w:rFonts w:ascii="宋体" w:hAnsi="宋体" w:cs="宋体" w:eastAsia="宋体" w:hint="default"/>
                <w:sz w:val="18"/>
                <w:szCs w:val="18"/>
              </w:rPr>
              <w:t>协同办公系统</w:t>
            </w:r>
            <w:r>
              <w:rPr>
                <w:rFonts w:ascii="Times New Roman" w:hAnsi="Times New Roman" w:cs="Times New Roman" w:eastAsia="Times New Roman" w:hint="default"/>
                <w:sz w:val="18"/>
                <w:szCs w:val="18"/>
              </w:rPr>
              <w:t>]</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2018/1/15</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2595170</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2018SR266075</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w:t>
            </w:r>
            <w:r>
              <w:rPr>
                <w:rFonts w:ascii="Times New Roman" w:hAnsi="Times New Roman" w:cs="Times New Roman" w:eastAsia="Times New Roman" w:hint="default"/>
                <w:sz w:val="18"/>
                <w:szCs w:val="18"/>
              </w:rPr>
              <w:t>MInfo</w:t>
            </w:r>
            <w:r>
              <w:rPr>
                <w:rFonts w:ascii="宋体" w:hAnsi="宋体" w:cs="宋体" w:eastAsia="宋体" w:hint="default"/>
                <w:sz w:val="18"/>
                <w:szCs w:val="18"/>
              </w:rPr>
              <w:t>网络商情系统</w:t>
            </w:r>
            <w:r>
              <w:rPr>
                <w:rFonts w:ascii="Times New Roman" w:hAnsi="Times New Roman" w:cs="Times New Roman" w:eastAsia="Times New Roman" w:hint="default"/>
                <w:sz w:val="18"/>
                <w:szCs w:val="18"/>
              </w:rPr>
              <w:t>V1.0[Minfo</w:t>
            </w:r>
            <w:r>
              <w:rPr>
                <w:rFonts w:ascii="宋体" w:hAnsi="宋体" w:cs="宋体" w:eastAsia="宋体" w:hint="default"/>
                <w:sz w:val="18"/>
                <w:szCs w:val="18"/>
              </w:rPr>
              <w:t>网络商情系统</w:t>
            </w:r>
            <w:r>
              <w:rPr>
                <w:rFonts w:ascii="Times New Roman" w:hAnsi="Times New Roman" w:cs="Times New Roman" w:eastAsia="Times New Roman" w:hint="default"/>
                <w:sz w:val="18"/>
                <w:szCs w:val="18"/>
              </w:rPr>
              <w:t>]</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2018/1/15</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67" w:footer="979" w:top="1140" w:bottom="1160" w:left="1300" w:right="1300"/>
        </w:sectPr>
      </w:pPr>
    </w:p>
    <w:tbl>
      <w:tblPr>
        <w:tblW w:w="0" w:type="auto"/>
        <w:jc w:val="left"/>
        <w:tblInd w:w="125" w:type="dxa"/>
        <w:tblLayout w:type="fixed"/>
        <w:tblCellMar>
          <w:top w:w="0" w:type="dxa"/>
          <w:left w:w="0" w:type="dxa"/>
          <w:bottom w:w="0" w:type="dxa"/>
          <w:right w:w="0" w:type="dxa"/>
        </w:tblCellMar>
        <w:tblLook w:val="01E0"/>
      </w:tblPr>
      <w:tblGrid>
        <w:gridCol w:w="522"/>
        <w:gridCol w:w="1928"/>
        <w:gridCol w:w="1182"/>
        <w:gridCol w:w="6444"/>
        <w:gridCol w:w="928"/>
        <w:gridCol w:w="1152"/>
        <w:gridCol w:w="837"/>
        <w:gridCol w:w="986"/>
      </w:tblGrid>
      <w:tr>
        <w:trPr>
          <w:trHeight w:val="326" w:hRule="exact"/>
        </w:trPr>
        <w:tc>
          <w:tcPr>
            <w:tcW w:w="522"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28"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182"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6444"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928"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1152"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权利取得方式</w:t>
            </w:r>
            <w:r>
              <w:rPr>
                <w:rFonts w:ascii="宋体" w:hAnsi="宋体" w:cs="宋体" w:eastAsia="宋体" w:hint="default"/>
                <w:sz w:val="18"/>
                <w:szCs w:val="18"/>
              </w:rPr>
            </w:r>
          </w:p>
        </w:tc>
        <w:tc>
          <w:tcPr>
            <w:tcW w:w="837"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51"/>
              <w:jc w:val="right"/>
              <w:rPr>
                <w:rFonts w:ascii="宋体" w:hAnsi="宋体" w:cs="宋体" w:eastAsia="宋体" w:hint="default"/>
                <w:sz w:val="18"/>
                <w:szCs w:val="18"/>
              </w:rPr>
            </w:pPr>
            <w:r>
              <w:rPr>
                <w:rFonts w:ascii="宋体" w:hAnsi="宋体" w:cs="宋体" w:eastAsia="宋体" w:hint="default"/>
                <w:b/>
                <w:bCs/>
                <w:w w:val="95"/>
                <w:sz w:val="18"/>
                <w:szCs w:val="18"/>
              </w:rPr>
              <w:t>权利范围</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b/>
                <w:bCs/>
                <w:sz w:val="18"/>
                <w:szCs w:val="18"/>
              </w:rPr>
              <w:t>首发日期</w:t>
            </w:r>
            <w:r>
              <w:rPr>
                <w:rFonts w:ascii="宋体" w:hAnsi="宋体" w:cs="宋体" w:eastAsia="宋体" w:hint="default"/>
                <w:sz w:val="18"/>
                <w:szCs w:val="18"/>
              </w:rPr>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2663512</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2018SR334417</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w:t>
            </w:r>
            <w:r>
              <w:rPr>
                <w:rFonts w:ascii="Times New Roman" w:hAnsi="Times New Roman" w:cs="Times New Roman" w:eastAsia="Times New Roman" w:hint="default"/>
                <w:sz w:val="18"/>
                <w:szCs w:val="18"/>
              </w:rPr>
              <w:t>MDP</w:t>
            </w:r>
            <w:r>
              <w:rPr>
                <w:rFonts w:ascii="宋体" w:hAnsi="宋体" w:cs="宋体" w:eastAsia="宋体" w:hint="default"/>
                <w:sz w:val="18"/>
                <w:szCs w:val="18"/>
              </w:rPr>
              <w:t>交互式采集引擎系统</w:t>
            </w:r>
            <w:r>
              <w:rPr>
                <w:rFonts w:ascii="Times New Roman" w:hAnsi="Times New Roman" w:cs="Times New Roman" w:eastAsia="Times New Roman" w:hint="default"/>
                <w:sz w:val="18"/>
                <w:szCs w:val="18"/>
              </w:rPr>
              <w:t>V1.0[MDP</w:t>
            </w:r>
            <w:r>
              <w:rPr>
                <w:rFonts w:ascii="宋体" w:hAnsi="宋体" w:cs="宋体" w:eastAsia="宋体" w:hint="default"/>
                <w:sz w:val="18"/>
                <w:szCs w:val="18"/>
              </w:rPr>
              <w:t>交互式采集引擎系统</w:t>
            </w:r>
            <w:r>
              <w:rPr>
                <w:rFonts w:ascii="Times New Roman" w:hAnsi="Times New Roman" w:cs="Times New Roman" w:eastAsia="Times New Roman" w:hint="default"/>
                <w:sz w:val="18"/>
                <w:szCs w:val="18"/>
              </w:rPr>
              <w:t>]</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2018/1/20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3120879</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2018SR791784</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数字天堂下一代舆情商情系统</w:t>
            </w:r>
            <w:r>
              <w:rPr>
                <w:rFonts w:ascii="Times New Roman" w:hAnsi="Times New Roman" w:cs="Times New Roman" w:eastAsia="Times New Roman" w:hint="default"/>
                <w:sz w:val="18"/>
                <w:szCs w:val="18"/>
              </w:rPr>
              <w:t>V1.0[</w:t>
            </w:r>
            <w:r>
              <w:rPr>
                <w:rFonts w:ascii="宋体" w:hAnsi="宋体" w:cs="宋体" w:eastAsia="宋体" w:hint="default"/>
                <w:sz w:val="18"/>
                <w:szCs w:val="18"/>
              </w:rPr>
              <w:t>下一代舆情商情系统</w:t>
            </w:r>
            <w:r>
              <w:rPr>
                <w:rFonts w:ascii="Times New Roman" w:hAnsi="Times New Roman" w:cs="Times New Roman" w:eastAsia="Times New Roman" w:hint="default"/>
                <w:sz w:val="18"/>
                <w:szCs w:val="18"/>
              </w:rPr>
              <w:t>]</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2018/7/12</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210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019290</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2004SR00889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 GPRS</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eXpert</w:t>
            </w:r>
            <w:r>
              <w:rPr>
                <w:rFonts w:ascii="宋体" w:hAnsi="宋体" w:cs="宋体" w:eastAsia="宋体" w:hint="default"/>
                <w:sz w:val="18"/>
                <w:szCs w:val="18"/>
              </w:rPr>
              <w:t>网优路测软件</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2003/12/1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211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052614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2006SR04948</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 GPRS</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eXpert</w:t>
            </w:r>
            <w:r>
              <w:rPr>
                <w:rFonts w:ascii="宋体" w:hAnsi="宋体" w:cs="宋体" w:eastAsia="宋体" w:hint="default"/>
                <w:sz w:val="18"/>
                <w:szCs w:val="18"/>
              </w:rPr>
              <w:t>网优路测软件</w:t>
            </w:r>
            <w:r>
              <w:rPr>
                <w:rFonts w:ascii="Times New Roman" w:hAnsi="Times New Roman" w:cs="Times New Roman" w:eastAsia="Times New Roman" w:hint="default"/>
                <w:sz w:val="18"/>
                <w:szCs w:val="18"/>
              </w:rPr>
              <w:t>V3.0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2005/4/5</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212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055825</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2006SR08159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数据业务自动拨测及分析系统软件</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2006/3/20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213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056462</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2006SR08796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数据业务自动拨测及分析系统软件</w:t>
            </w:r>
            <w:r>
              <w:rPr>
                <w:rFonts w:ascii="Times New Roman" w:hAnsi="Times New Roman" w:cs="Times New Roman" w:eastAsia="Times New Roman" w:hint="default"/>
                <w:sz w:val="18"/>
                <w:szCs w:val="18"/>
              </w:rPr>
              <w:t>V2.0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2006/5/10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214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061875</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2006SR14209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w:t>
            </w:r>
            <w:r>
              <w:rPr>
                <w:rFonts w:ascii="宋体" w:hAnsi="宋体" w:cs="宋体" w:eastAsia="宋体" w:hint="default"/>
                <w:sz w:val="18"/>
                <w:szCs w:val="18"/>
              </w:rPr>
              <w:t>网优路测系统</w:t>
            </w:r>
            <w:r>
              <w:rPr>
                <w:rFonts w:ascii="Times New Roman" w:hAnsi="Times New Roman" w:cs="Times New Roman" w:eastAsia="Times New Roman" w:hint="default"/>
                <w:sz w:val="18"/>
                <w:szCs w:val="18"/>
              </w:rPr>
              <w:t>V4.0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2006/9/8</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215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097218</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2008SR10039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w:t>
            </w:r>
            <w:r>
              <w:rPr>
                <w:rFonts w:ascii="宋体" w:hAnsi="宋体" w:cs="宋体" w:eastAsia="宋体" w:hint="default"/>
                <w:sz w:val="18"/>
                <w:szCs w:val="18"/>
              </w:rPr>
              <w:t>网优路测系统</w:t>
            </w:r>
            <w:r>
              <w:rPr>
                <w:rFonts w:ascii="Times New Roman" w:hAnsi="Times New Roman" w:cs="Times New Roman" w:eastAsia="Times New Roman" w:hint="default"/>
                <w:sz w:val="18"/>
                <w:szCs w:val="18"/>
              </w:rPr>
              <w:t>V5.0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2008/3/19</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216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105416</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2008SR18237</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Gb Gn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Gi</w:t>
            </w:r>
            <w:r>
              <w:rPr>
                <w:rFonts w:ascii="宋体" w:hAnsi="宋体" w:cs="宋体" w:eastAsia="宋体" w:hint="default"/>
                <w:sz w:val="18"/>
                <w:szCs w:val="18"/>
              </w:rPr>
              <w:t>分析系统</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2008/6/1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217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105415</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2008SR18236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飞信业务测试系统</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2008/6/9</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218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110823</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2008SR23644</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MOS</w:t>
            </w:r>
            <w:r>
              <w:rPr>
                <w:rFonts w:ascii="宋体" w:hAnsi="宋体" w:cs="宋体" w:eastAsia="宋体" w:hint="default"/>
                <w:sz w:val="18"/>
                <w:szCs w:val="18"/>
              </w:rPr>
              <w:t>测试系统</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2008/6/20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219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110764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2008SR23585</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自动路测系统</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2008/7/3</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220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0155501</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2009SR028502</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w:t>
            </w:r>
            <w:r>
              <w:rPr>
                <w:rFonts w:ascii="宋体" w:hAnsi="宋体" w:cs="宋体" w:eastAsia="宋体" w:hint="default"/>
                <w:sz w:val="18"/>
                <w:szCs w:val="18"/>
              </w:rPr>
              <w:t>网优路测系统</w:t>
            </w:r>
            <w:r>
              <w:rPr>
                <w:rFonts w:ascii="Times New Roman" w:hAnsi="Times New Roman" w:cs="Times New Roman" w:eastAsia="Times New Roman" w:hint="default"/>
                <w:sz w:val="18"/>
                <w:szCs w:val="18"/>
              </w:rPr>
              <w:t>V6.0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221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0163668</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2009SR036669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WSA</w:t>
            </w:r>
            <w:r>
              <w:rPr>
                <w:rFonts w:ascii="宋体" w:hAnsi="宋体" w:cs="宋体" w:eastAsia="宋体" w:hint="default"/>
                <w:sz w:val="18"/>
                <w:szCs w:val="18"/>
              </w:rPr>
              <w:t>无线网优系统</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222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0167061</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2009SR040062</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CDT</w:t>
            </w:r>
            <w:r>
              <w:rPr>
                <w:rFonts w:ascii="宋体" w:hAnsi="宋体" w:cs="宋体" w:eastAsia="宋体" w:hint="default"/>
                <w:sz w:val="18"/>
                <w:szCs w:val="18"/>
              </w:rPr>
              <w:t>路测软件</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223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0214643</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2010SR026370</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CDS/WLAN</w:t>
            </w:r>
            <w:r>
              <w:rPr>
                <w:rFonts w:ascii="宋体" w:hAnsi="宋体" w:cs="宋体" w:eastAsia="宋体" w:hint="default"/>
                <w:sz w:val="18"/>
                <w:szCs w:val="18"/>
              </w:rPr>
              <w:t>网络评估优化测试软件</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224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0324634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2011SR060960</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w:t>
            </w:r>
            <w:r>
              <w:rPr>
                <w:rFonts w:ascii="宋体" w:hAnsi="宋体" w:cs="宋体" w:eastAsia="宋体" w:hint="default"/>
                <w:sz w:val="18"/>
                <w:szCs w:val="18"/>
              </w:rPr>
              <w:t>网优路测系统</w:t>
            </w:r>
            <w:r>
              <w:rPr>
                <w:rFonts w:ascii="Times New Roman" w:hAnsi="Times New Roman" w:cs="Times New Roman" w:eastAsia="Times New Roman" w:hint="default"/>
                <w:sz w:val="18"/>
                <w:szCs w:val="18"/>
              </w:rPr>
              <w:t>V7.0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225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0427970</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2012SR059934</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LTE</w:t>
            </w:r>
            <w:r>
              <w:rPr>
                <w:rFonts w:ascii="宋体" w:hAnsi="宋体" w:cs="宋体" w:eastAsia="宋体" w:hint="default"/>
                <w:sz w:val="18"/>
                <w:szCs w:val="18"/>
              </w:rPr>
              <w:t>测试系统</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226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0718233</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2014SR048989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CDS/WLAN</w:t>
            </w:r>
            <w:r>
              <w:rPr>
                <w:rFonts w:ascii="宋体" w:hAnsi="宋体" w:cs="宋体" w:eastAsia="宋体" w:hint="default"/>
                <w:sz w:val="18"/>
                <w:szCs w:val="18"/>
              </w:rPr>
              <w:t>网络评估优化测试软件</w:t>
            </w:r>
            <w:r>
              <w:rPr>
                <w:rFonts w:ascii="Times New Roman" w:hAnsi="Times New Roman" w:cs="Times New Roman" w:eastAsia="Times New Roman" w:hint="default"/>
                <w:sz w:val="18"/>
                <w:szCs w:val="18"/>
              </w:rPr>
              <w:t>V1.1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227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0718294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2014SR049050</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w:t>
            </w:r>
            <w:r>
              <w:rPr>
                <w:rFonts w:ascii="宋体" w:hAnsi="宋体" w:cs="宋体" w:eastAsia="宋体" w:hint="default"/>
                <w:sz w:val="18"/>
                <w:szCs w:val="18"/>
              </w:rPr>
              <w:t>网优路测系统</w:t>
            </w:r>
            <w:r>
              <w:rPr>
                <w:rFonts w:ascii="Times New Roman" w:hAnsi="Times New Roman" w:cs="Times New Roman" w:eastAsia="Times New Roman" w:hint="default"/>
                <w:sz w:val="18"/>
                <w:szCs w:val="18"/>
              </w:rPr>
              <w:t>V7.1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228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0718297</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2014SR049053</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LTE</w:t>
            </w:r>
            <w:r>
              <w:rPr>
                <w:rFonts w:ascii="宋体" w:hAnsi="宋体" w:cs="宋体" w:eastAsia="宋体" w:hint="default"/>
                <w:sz w:val="18"/>
                <w:szCs w:val="18"/>
              </w:rPr>
              <w:t>测试系统</w:t>
            </w:r>
            <w:r>
              <w:rPr>
                <w:rFonts w:ascii="Times New Roman" w:hAnsi="Times New Roman" w:cs="Times New Roman" w:eastAsia="Times New Roman" w:hint="default"/>
                <w:sz w:val="18"/>
                <w:szCs w:val="18"/>
              </w:rPr>
              <w:t>V1.1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229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0718301</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2014SR049057</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CDT</w:t>
            </w:r>
            <w:r>
              <w:rPr>
                <w:rFonts w:ascii="宋体" w:hAnsi="宋体" w:cs="宋体" w:eastAsia="宋体" w:hint="default"/>
                <w:sz w:val="18"/>
                <w:szCs w:val="18"/>
              </w:rPr>
              <w:t>路测软件</w:t>
            </w:r>
            <w:r>
              <w:rPr>
                <w:rFonts w:ascii="Times New Roman" w:hAnsi="Times New Roman" w:cs="Times New Roman" w:eastAsia="Times New Roman" w:hint="default"/>
                <w:sz w:val="18"/>
                <w:szCs w:val="18"/>
              </w:rPr>
              <w:t>V1.1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230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0833658</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2014SR164421</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Android</w:t>
            </w:r>
            <w:r>
              <w:rPr>
                <w:rFonts w:ascii="宋体" w:hAnsi="宋体" w:cs="宋体" w:eastAsia="宋体" w:hint="default"/>
                <w:sz w:val="18"/>
                <w:szCs w:val="18"/>
              </w:rPr>
              <w:t>手持式测试软件</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231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0833697</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2014SR164460</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IOS</w:t>
            </w:r>
            <w:r>
              <w:rPr>
                <w:rFonts w:ascii="宋体" w:hAnsi="宋体" w:cs="宋体" w:eastAsia="宋体" w:hint="default"/>
                <w:sz w:val="18"/>
                <w:szCs w:val="18"/>
              </w:rPr>
              <w:t>手持式测试软件</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232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0833700</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2014SR164463</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w:t>
            </w:r>
            <w:r>
              <w:rPr>
                <w:rFonts w:ascii="宋体" w:hAnsi="宋体" w:cs="宋体" w:eastAsia="宋体" w:hint="default"/>
                <w:sz w:val="18"/>
                <w:szCs w:val="18"/>
              </w:rPr>
              <w:t>网优路测系统</w:t>
            </w:r>
            <w:r>
              <w:rPr>
                <w:rFonts w:ascii="Times New Roman" w:hAnsi="Times New Roman" w:cs="Times New Roman" w:eastAsia="Times New Roman" w:hint="default"/>
                <w:sz w:val="18"/>
                <w:szCs w:val="18"/>
              </w:rPr>
              <w:t>V8.0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233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0877276</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2014SR208045</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 Plus Android</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测试软件</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未发表</w:t>
            </w:r>
          </w:p>
        </w:tc>
      </w:tr>
    </w:tbl>
    <w:p>
      <w:pPr>
        <w:spacing w:after="0" w:line="240" w:lineRule="auto"/>
        <w:jc w:val="center"/>
        <w:rPr>
          <w:rFonts w:ascii="宋体" w:hAnsi="宋体" w:cs="宋体" w:eastAsia="宋体" w:hint="default"/>
          <w:sz w:val="18"/>
          <w:szCs w:val="18"/>
        </w:rPr>
        <w:sectPr>
          <w:pgSz w:w="16840" w:h="11910" w:orient="landscape"/>
          <w:pgMar w:header="867" w:footer="979" w:top="1140" w:bottom="1160" w:left="1300" w:right="1300"/>
        </w:sectPr>
      </w:pPr>
    </w:p>
    <w:tbl>
      <w:tblPr>
        <w:tblW w:w="0" w:type="auto"/>
        <w:jc w:val="left"/>
        <w:tblInd w:w="125" w:type="dxa"/>
        <w:tblLayout w:type="fixed"/>
        <w:tblCellMar>
          <w:top w:w="0" w:type="dxa"/>
          <w:left w:w="0" w:type="dxa"/>
          <w:bottom w:w="0" w:type="dxa"/>
          <w:right w:w="0" w:type="dxa"/>
        </w:tblCellMar>
        <w:tblLook w:val="01E0"/>
      </w:tblPr>
      <w:tblGrid>
        <w:gridCol w:w="522"/>
        <w:gridCol w:w="1928"/>
        <w:gridCol w:w="1182"/>
        <w:gridCol w:w="6444"/>
        <w:gridCol w:w="928"/>
        <w:gridCol w:w="1152"/>
        <w:gridCol w:w="837"/>
        <w:gridCol w:w="986"/>
      </w:tblGrid>
      <w:tr>
        <w:trPr>
          <w:trHeight w:val="326" w:hRule="exact"/>
        </w:trPr>
        <w:tc>
          <w:tcPr>
            <w:tcW w:w="522"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28"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182"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6444"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928"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1152"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权利取得方式</w:t>
            </w:r>
            <w:r>
              <w:rPr>
                <w:rFonts w:ascii="宋体" w:hAnsi="宋体" w:cs="宋体" w:eastAsia="宋体" w:hint="default"/>
                <w:sz w:val="18"/>
                <w:szCs w:val="18"/>
              </w:rPr>
            </w:r>
          </w:p>
        </w:tc>
        <w:tc>
          <w:tcPr>
            <w:tcW w:w="837"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51"/>
              <w:jc w:val="right"/>
              <w:rPr>
                <w:rFonts w:ascii="宋体" w:hAnsi="宋体" w:cs="宋体" w:eastAsia="宋体" w:hint="default"/>
                <w:sz w:val="18"/>
                <w:szCs w:val="18"/>
              </w:rPr>
            </w:pPr>
            <w:r>
              <w:rPr>
                <w:rFonts w:ascii="宋体" w:hAnsi="宋体" w:cs="宋体" w:eastAsia="宋体" w:hint="default"/>
                <w:b/>
                <w:bCs/>
                <w:w w:val="95"/>
                <w:sz w:val="18"/>
                <w:szCs w:val="18"/>
              </w:rPr>
              <w:t>权利范围</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b/>
                <w:bCs/>
                <w:sz w:val="18"/>
                <w:szCs w:val="18"/>
              </w:rPr>
              <w:t>首发日期</w:t>
            </w:r>
            <w:r>
              <w:rPr>
                <w:rFonts w:ascii="宋体" w:hAnsi="宋体" w:cs="宋体" w:eastAsia="宋体" w:hint="default"/>
                <w:sz w:val="18"/>
                <w:szCs w:val="18"/>
              </w:rPr>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234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0877280</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2014SR208049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w:t>
            </w:r>
            <w:r>
              <w:rPr>
                <w:rFonts w:ascii="宋体" w:hAnsi="宋体" w:cs="宋体" w:eastAsia="宋体" w:hint="default"/>
                <w:sz w:val="18"/>
                <w:szCs w:val="18"/>
              </w:rPr>
              <w:t>网优路测系统</w:t>
            </w:r>
            <w:r>
              <w:rPr>
                <w:rFonts w:ascii="Times New Roman" w:hAnsi="Times New Roman" w:cs="Times New Roman" w:eastAsia="Times New Roman" w:hint="default"/>
                <w:sz w:val="18"/>
                <w:szCs w:val="18"/>
              </w:rPr>
              <w:t>V7.1.1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235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0878778</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2014SR209546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 Plus IOS</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测试软件</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236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0886806</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2014SR217577</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w:t>
            </w:r>
            <w:r>
              <w:rPr>
                <w:rFonts w:ascii="宋体" w:hAnsi="宋体" w:cs="宋体" w:eastAsia="宋体" w:hint="default"/>
                <w:sz w:val="18"/>
                <w:szCs w:val="18"/>
              </w:rPr>
              <w:t>网优路测系统</w:t>
            </w:r>
            <w:r>
              <w:rPr>
                <w:rFonts w:ascii="Times New Roman" w:hAnsi="Times New Roman" w:cs="Times New Roman" w:eastAsia="Times New Roman" w:hint="default"/>
                <w:sz w:val="18"/>
                <w:szCs w:val="18"/>
              </w:rPr>
              <w:t>V7.1.2</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237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1056094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2015SR169008</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扫频仪数据分析软件</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238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1103080</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2015SR215994</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Volte</w:t>
            </w:r>
            <w:r>
              <w:rPr>
                <w:rFonts w:ascii="宋体" w:hAnsi="宋体" w:cs="宋体" w:eastAsia="宋体" w:hint="default"/>
                <w:sz w:val="18"/>
                <w:szCs w:val="18"/>
              </w:rPr>
              <w:t>测试软件</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239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1104236</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2015SR217150</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TD-LTE</w:t>
            </w:r>
            <w:r>
              <w:rPr>
                <w:rFonts w:ascii="宋体" w:hAnsi="宋体" w:cs="宋体" w:eastAsia="宋体" w:hint="default"/>
                <w:sz w:val="18"/>
                <w:szCs w:val="18"/>
              </w:rPr>
              <w:t>终端自动化路测系统</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240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1104651</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2015SR217565</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CA</w:t>
            </w:r>
            <w:r>
              <w:rPr>
                <w:rFonts w:ascii="宋体" w:hAnsi="宋体" w:cs="宋体" w:eastAsia="宋体" w:hint="default"/>
                <w:sz w:val="18"/>
                <w:szCs w:val="18"/>
              </w:rPr>
              <w:t>测试软件</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241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1133772</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2015SR246686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LTE</w:t>
            </w:r>
            <w:r>
              <w:rPr>
                <w:rFonts w:ascii="宋体" w:hAnsi="宋体" w:cs="宋体" w:eastAsia="宋体" w:hint="default"/>
                <w:sz w:val="18"/>
                <w:szCs w:val="18"/>
              </w:rPr>
              <w:t>基站自动单验系统</w:t>
            </w:r>
            <w:r>
              <w:rPr>
                <w:rFonts w:ascii="Times New Roman" w:hAnsi="Times New Roman" w:cs="Times New Roman" w:eastAsia="Times New Roman" w:hint="default"/>
                <w:sz w:val="18"/>
                <w:szCs w:val="18"/>
              </w:rPr>
              <w:t>(IOS</w:t>
            </w:r>
            <w:r>
              <w:rPr>
                <w:rFonts w:ascii="宋体" w:hAnsi="宋体" w:cs="宋体" w:eastAsia="宋体" w:hint="default"/>
                <w:sz w:val="18"/>
                <w:szCs w:val="18"/>
              </w:rPr>
              <w:t>版</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242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1139222</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2015SR252136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LTE</w:t>
            </w:r>
            <w:r>
              <w:rPr>
                <w:rFonts w:ascii="宋体" w:hAnsi="宋体" w:cs="宋体" w:eastAsia="宋体" w:hint="default"/>
                <w:sz w:val="18"/>
                <w:szCs w:val="18"/>
              </w:rPr>
              <w:t>基站自动单验系统</w:t>
            </w:r>
            <w:r>
              <w:rPr>
                <w:rFonts w:ascii="Times New Roman" w:hAnsi="Times New Roman" w:cs="Times New Roman" w:eastAsia="Times New Roman" w:hint="default"/>
                <w:sz w:val="18"/>
                <w:szCs w:val="18"/>
              </w:rPr>
              <w:t>(Android</w:t>
            </w:r>
            <w:r>
              <w:rPr>
                <w:rFonts w:ascii="宋体" w:hAnsi="宋体" w:cs="宋体" w:eastAsia="宋体" w:hint="default"/>
                <w:sz w:val="18"/>
                <w:szCs w:val="18"/>
              </w:rPr>
              <w:t>版</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243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1309051</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2016SR130434</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智能优化云测试系统</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244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1316150</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2016SR137533</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LTE</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安装、验收、维护、优化测试系统</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245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1316218</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2016SR137601</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多网络综合测试分析系统</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246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1317258</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2016SR138641</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移动网络大数据分析系统</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未发表</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247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0247742</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2010SR059469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w:t>
            </w:r>
            <w:r>
              <w:rPr>
                <w:rFonts w:ascii="Times New Roman" w:hAnsi="Times New Roman" w:cs="Times New Roman" w:eastAsia="Times New Roman" w:hint="default"/>
                <w:sz w:val="18"/>
                <w:szCs w:val="18"/>
              </w:rPr>
              <w:t>DNS</w:t>
            </w:r>
            <w:r>
              <w:rPr>
                <w:rFonts w:ascii="宋体" w:hAnsi="宋体" w:cs="宋体" w:eastAsia="宋体" w:hint="default"/>
                <w:sz w:val="18"/>
                <w:szCs w:val="18"/>
              </w:rPr>
              <w:t>分析系统</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2010/11/9</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248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0247893</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2010SR059620</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w:t>
            </w:r>
            <w:r>
              <w:rPr>
                <w:rFonts w:ascii="Times New Roman" w:hAnsi="Times New Roman" w:cs="Times New Roman" w:eastAsia="Times New Roman" w:hint="default"/>
                <w:sz w:val="18"/>
                <w:szCs w:val="18"/>
              </w:rPr>
              <w:t>DNS</w:t>
            </w:r>
            <w:r>
              <w:rPr>
                <w:rFonts w:ascii="宋体" w:hAnsi="宋体" w:cs="宋体" w:eastAsia="宋体" w:hint="default"/>
                <w:sz w:val="18"/>
                <w:szCs w:val="18"/>
              </w:rPr>
              <w:t>错误域名转发系统</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2010/11/9</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249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0248186</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2010SR059913</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w:t>
            </w:r>
            <w:r>
              <w:rPr>
                <w:rFonts w:ascii="Times New Roman" w:hAnsi="Times New Roman" w:cs="Times New Roman" w:eastAsia="Times New Roman" w:hint="default"/>
                <w:sz w:val="18"/>
                <w:szCs w:val="18"/>
              </w:rPr>
              <w:t>DNS</w:t>
            </w:r>
            <w:r>
              <w:rPr>
                <w:rFonts w:ascii="宋体" w:hAnsi="宋体" w:cs="宋体" w:eastAsia="宋体" w:hint="default"/>
                <w:sz w:val="18"/>
                <w:szCs w:val="18"/>
              </w:rPr>
              <w:t>流量导航系统</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2010/11/10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250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0248298</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2010SR060025</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w:t>
            </w:r>
            <w:r>
              <w:rPr>
                <w:rFonts w:ascii="Times New Roman" w:hAnsi="Times New Roman" w:cs="Times New Roman" w:eastAsia="Times New Roman" w:hint="default"/>
                <w:sz w:val="18"/>
                <w:szCs w:val="18"/>
              </w:rPr>
              <w:t>DNS</w:t>
            </w:r>
            <w:r>
              <w:rPr>
                <w:rFonts w:ascii="宋体" w:hAnsi="宋体" w:cs="宋体" w:eastAsia="宋体" w:hint="default"/>
                <w:sz w:val="18"/>
                <w:szCs w:val="18"/>
              </w:rPr>
              <w:t>流量过滤管理系统</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2010/11/11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251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0248297</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2010SR060024</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w:t>
            </w:r>
            <w:r>
              <w:rPr>
                <w:rFonts w:ascii="Times New Roman" w:hAnsi="Times New Roman" w:cs="Times New Roman" w:eastAsia="Times New Roman" w:hint="default"/>
                <w:sz w:val="18"/>
                <w:szCs w:val="18"/>
              </w:rPr>
              <w:t>DNS</w:t>
            </w:r>
            <w:r>
              <w:rPr>
                <w:rFonts w:ascii="宋体" w:hAnsi="宋体" w:cs="宋体" w:eastAsia="宋体" w:hint="default"/>
                <w:sz w:val="18"/>
                <w:szCs w:val="18"/>
              </w:rPr>
              <w:t>管理系统</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3"/>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2010/11/11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252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0249014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2010SR060741</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w:t>
            </w:r>
            <w:r>
              <w:rPr>
                <w:rFonts w:ascii="Times New Roman" w:hAnsi="Times New Roman" w:cs="Times New Roman" w:eastAsia="Times New Roman" w:hint="default"/>
                <w:sz w:val="18"/>
                <w:szCs w:val="18"/>
              </w:rPr>
              <w:t>DNS</w:t>
            </w:r>
            <w:r>
              <w:rPr>
                <w:rFonts w:ascii="宋体" w:hAnsi="宋体" w:cs="宋体" w:eastAsia="宋体" w:hint="default"/>
                <w:sz w:val="18"/>
                <w:szCs w:val="18"/>
              </w:rPr>
              <w:t>数据包采集系统</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2010/11/13</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253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0280901</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2011SR017227</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泰策递归域名服务器</w:t>
            </w:r>
            <w:r>
              <w:rPr>
                <w:rFonts w:ascii="Times New Roman" w:hAnsi="Times New Roman" w:cs="Times New Roman" w:eastAsia="Times New Roman" w:hint="default"/>
                <w:sz w:val="18"/>
                <w:szCs w:val="18"/>
              </w:rPr>
              <w:t>Recursor</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2011/4/1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254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0536238</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2013SR030476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泰策缓存域名服务器</w:t>
            </w:r>
            <w:r>
              <w:rPr>
                <w:rFonts w:ascii="Times New Roman" w:hAnsi="Times New Roman" w:cs="Times New Roman" w:eastAsia="Times New Roman" w:hint="default"/>
                <w:sz w:val="18"/>
                <w:szCs w:val="18"/>
              </w:rPr>
              <w:t>Cacher</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2013/4/1</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255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0660151</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2013SR154389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泰策域名服务器</w:t>
            </w:r>
            <w:r>
              <w:rPr>
                <w:rFonts w:ascii="Times New Roman" w:hAnsi="Times New Roman" w:cs="Times New Roman" w:eastAsia="Times New Roman" w:hint="default"/>
                <w:sz w:val="18"/>
                <w:szCs w:val="18"/>
              </w:rPr>
              <w:t>UniteDNS</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2013/12/23</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256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0659878</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2013SR154116</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w:t>
            </w:r>
            <w:r>
              <w:rPr>
                <w:rFonts w:ascii="Times New Roman" w:hAnsi="Times New Roman" w:cs="Times New Roman" w:eastAsia="Times New Roman" w:hint="default"/>
                <w:sz w:val="18"/>
                <w:szCs w:val="18"/>
              </w:rPr>
              <w:t>DNS</w:t>
            </w:r>
            <w:r>
              <w:rPr>
                <w:rFonts w:ascii="宋体" w:hAnsi="宋体" w:cs="宋体" w:eastAsia="宋体" w:hint="default"/>
                <w:sz w:val="18"/>
                <w:szCs w:val="18"/>
              </w:rPr>
              <w:t>管理系统</w:t>
            </w:r>
            <w:r>
              <w:rPr>
                <w:rFonts w:ascii="Times New Roman" w:hAnsi="Times New Roman" w:cs="Times New Roman" w:eastAsia="Times New Roman" w:hint="default"/>
                <w:sz w:val="18"/>
                <w:szCs w:val="18"/>
              </w:rPr>
              <w:t>DNS</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Manager</w:t>
            </w:r>
            <w:r>
              <w:rPr>
                <w:rFonts w:ascii="宋体" w:hAnsi="宋体" w:cs="宋体" w:eastAsia="宋体" w:hint="default"/>
                <w:sz w:val="18"/>
                <w:szCs w:val="18"/>
              </w:rPr>
              <w:t>软件</w:t>
            </w:r>
            <w:r>
              <w:rPr>
                <w:rFonts w:ascii="Times New Roman" w:hAnsi="Times New Roman" w:cs="Times New Roman" w:eastAsia="Times New Roman" w:hint="default"/>
                <w:sz w:val="18"/>
                <w:szCs w:val="18"/>
              </w:rPr>
              <w:t>V2.0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2013/12/23</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257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0659873</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2013SR154111</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w:t>
            </w:r>
            <w:r>
              <w:rPr>
                <w:rFonts w:ascii="Times New Roman" w:hAnsi="Times New Roman" w:cs="Times New Roman" w:eastAsia="Times New Roman" w:hint="default"/>
                <w:sz w:val="18"/>
                <w:szCs w:val="18"/>
              </w:rPr>
              <w:t>DNS</w:t>
            </w:r>
            <w:r>
              <w:rPr>
                <w:rFonts w:ascii="宋体" w:hAnsi="宋体" w:cs="宋体" w:eastAsia="宋体" w:hint="default"/>
                <w:sz w:val="18"/>
                <w:szCs w:val="18"/>
              </w:rPr>
              <w:t>分析系统</w:t>
            </w:r>
            <w:r>
              <w:rPr>
                <w:rFonts w:ascii="Times New Roman" w:hAnsi="Times New Roman" w:cs="Times New Roman" w:eastAsia="Times New Roman" w:hint="default"/>
                <w:sz w:val="18"/>
                <w:szCs w:val="18"/>
              </w:rPr>
              <w:t>DNS</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Analyzer</w:t>
            </w:r>
            <w:r>
              <w:rPr>
                <w:rFonts w:ascii="宋体" w:hAnsi="宋体" w:cs="宋体" w:eastAsia="宋体" w:hint="default"/>
                <w:sz w:val="18"/>
                <w:szCs w:val="18"/>
              </w:rPr>
              <w:t>软件</w:t>
            </w:r>
            <w:r>
              <w:rPr>
                <w:rFonts w:ascii="Times New Roman" w:hAnsi="Times New Roman" w:cs="Times New Roman" w:eastAsia="Times New Roman" w:hint="default"/>
                <w:sz w:val="18"/>
                <w:szCs w:val="18"/>
              </w:rPr>
              <w:t>V2.0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2013/12/23</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258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0659881</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2013SR154119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泰策授权域名服务器</w:t>
            </w:r>
            <w:r>
              <w:rPr>
                <w:rFonts w:ascii="Times New Roman" w:hAnsi="Times New Roman" w:cs="Times New Roman" w:eastAsia="Times New Roman" w:hint="default"/>
                <w:sz w:val="18"/>
                <w:szCs w:val="18"/>
              </w:rPr>
              <w:t>Authorizor</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2012/12/23</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259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0886913</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2014SR217684</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泰策递归域名服务器</w:t>
            </w:r>
            <w:r>
              <w:rPr>
                <w:rFonts w:ascii="Times New Roman" w:hAnsi="Times New Roman" w:cs="Times New Roman" w:eastAsia="Times New Roman" w:hint="default"/>
                <w:sz w:val="18"/>
                <w:szCs w:val="18"/>
              </w:rPr>
              <w:t>Recursor</w:t>
            </w:r>
            <w:r>
              <w:rPr>
                <w:rFonts w:ascii="宋体" w:hAnsi="宋体" w:cs="宋体" w:eastAsia="宋体" w:hint="default"/>
                <w:sz w:val="18"/>
                <w:szCs w:val="18"/>
              </w:rPr>
              <w:t>软件</w:t>
            </w:r>
            <w:r>
              <w:rPr>
                <w:rFonts w:ascii="Times New Roman" w:hAnsi="Times New Roman" w:cs="Times New Roman" w:eastAsia="Times New Roman" w:hint="default"/>
                <w:sz w:val="18"/>
                <w:szCs w:val="18"/>
              </w:rPr>
              <w:t>V2.0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2014/12/23</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67" w:footer="979" w:top="1140" w:bottom="1160" w:left="1300" w:right="1300"/>
        </w:sectPr>
      </w:pPr>
    </w:p>
    <w:p>
      <w:pPr>
        <w:spacing w:line="240" w:lineRule="auto" w:before="2"/>
        <w:rPr>
          <w:rFonts w:ascii="Times New Roman" w:hAnsi="Times New Roman" w:cs="Times New Roman" w:eastAsia="Times New Roman" w:hint="default"/>
          <w:sz w:val="7"/>
          <w:szCs w:val="7"/>
        </w:rPr>
      </w:pPr>
    </w:p>
    <w:tbl>
      <w:tblPr>
        <w:tblW w:w="0" w:type="auto"/>
        <w:jc w:val="left"/>
        <w:tblInd w:w="125" w:type="dxa"/>
        <w:tblLayout w:type="fixed"/>
        <w:tblCellMar>
          <w:top w:w="0" w:type="dxa"/>
          <w:left w:w="0" w:type="dxa"/>
          <w:bottom w:w="0" w:type="dxa"/>
          <w:right w:w="0" w:type="dxa"/>
        </w:tblCellMar>
        <w:tblLook w:val="01E0"/>
      </w:tblPr>
      <w:tblGrid>
        <w:gridCol w:w="522"/>
        <w:gridCol w:w="1928"/>
        <w:gridCol w:w="1182"/>
        <w:gridCol w:w="6444"/>
        <w:gridCol w:w="928"/>
        <w:gridCol w:w="1152"/>
        <w:gridCol w:w="837"/>
        <w:gridCol w:w="986"/>
      </w:tblGrid>
      <w:tr>
        <w:trPr>
          <w:trHeight w:val="326" w:hRule="exact"/>
        </w:trPr>
        <w:tc>
          <w:tcPr>
            <w:tcW w:w="522"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28"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182"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6444"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928"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1152"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b/>
                <w:bCs/>
                <w:sz w:val="18"/>
                <w:szCs w:val="18"/>
              </w:rPr>
              <w:t>权利取得方式</w:t>
            </w:r>
            <w:r>
              <w:rPr>
                <w:rFonts w:ascii="宋体" w:hAnsi="宋体" w:cs="宋体" w:eastAsia="宋体" w:hint="default"/>
                <w:sz w:val="18"/>
                <w:szCs w:val="18"/>
              </w:rPr>
            </w:r>
          </w:p>
        </w:tc>
        <w:tc>
          <w:tcPr>
            <w:tcW w:w="837"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5"/>
              <w:ind w:right="51"/>
              <w:jc w:val="right"/>
              <w:rPr>
                <w:rFonts w:ascii="宋体" w:hAnsi="宋体" w:cs="宋体" w:eastAsia="宋体" w:hint="default"/>
                <w:sz w:val="18"/>
                <w:szCs w:val="18"/>
              </w:rPr>
            </w:pPr>
            <w:r>
              <w:rPr>
                <w:rFonts w:ascii="宋体" w:hAnsi="宋体" w:cs="宋体" w:eastAsia="宋体" w:hint="default"/>
                <w:b/>
                <w:bCs/>
                <w:w w:val="95"/>
                <w:sz w:val="18"/>
                <w:szCs w:val="18"/>
              </w:rPr>
              <w:t>权利范围</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shd w:val="clear" w:color="auto" w:fill="92CDDC"/>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b/>
                <w:bCs/>
                <w:sz w:val="18"/>
                <w:szCs w:val="18"/>
              </w:rPr>
              <w:t>首发日期</w:t>
            </w:r>
            <w:r>
              <w:rPr>
                <w:rFonts w:ascii="宋体" w:hAnsi="宋体" w:cs="宋体" w:eastAsia="宋体" w:hint="default"/>
                <w:sz w:val="18"/>
                <w:szCs w:val="18"/>
              </w:rPr>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1582901</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2016SR404285</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应急通信指挥平台软件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ECCP]V1.0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2016/12/29</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1582958</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2016SR404342</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应急通信小区广播</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CBIPP]V1.0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2016/12/29</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1582985</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2016SR404279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应急通信手机预警短信发布系统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SMIPP]V1.0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2016/12/29</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1792949</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2017SR207665</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w:t>
            </w:r>
            <w:r>
              <w:rPr>
                <w:rFonts w:ascii="Times New Roman" w:hAnsi="Times New Roman" w:cs="Times New Roman" w:eastAsia="Times New Roman" w:hint="default"/>
                <w:sz w:val="18"/>
                <w:szCs w:val="18"/>
              </w:rPr>
              <w:t>IP</w:t>
            </w:r>
            <w:r>
              <w:rPr>
                <w:rFonts w:ascii="宋体" w:hAnsi="宋体" w:cs="宋体" w:eastAsia="宋体" w:hint="default"/>
                <w:sz w:val="18"/>
                <w:szCs w:val="18"/>
              </w:rPr>
              <w:t>设备配置核查系统</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2017/5/25</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1792955</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2017SR207671</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泰策网络仿真系统</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2017/5/25</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1791503</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2017SR206219</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泰策网上攻击实验室系统</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2017/5/25</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2220944</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2017SR635660</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w:t>
            </w:r>
            <w:r>
              <w:rPr>
                <w:rFonts w:ascii="Times New Roman" w:hAnsi="Times New Roman" w:cs="Times New Roman" w:eastAsia="Times New Roman" w:hint="default"/>
                <w:sz w:val="18"/>
                <w:szCs w:val="18"/>
              </w:rPr>
              <w:t>DNS</w:t>
            </w:r>
            <w:r>
              <w:rPr>
                <w:rFonts w:ascii="宋体" w:hAnsi="宋体" w:cs="宋体" w:eastAsia="宋体" w:hint="default"/>
                <w:sz w:val="18"/>
                <w:szCs w:val="18"/>
              </w:rPr>
              <w:t>异网引流系统</w:t>
            </w:r>
            <w:r>
              <w:rPr>
                <w:rFonts w:ascii="Times New Roman" w:hAnsi="Times New Roman" w:cs="Times New Roman" w:eastAsia="Times New Roman" w:hint="default"/>
                <w:sz w:val="18"/>
                <w:szCs w:val="18"/>
              </w:rPr>
              <w:t>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2017/11/20</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2634347</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2018SR305252</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泰策应用性能管理</w:t>
            </w:r>
            <w:r>
              <w:rPr>
                <w:rFonts w:ascii="Times New Roman" w:hAnsi="Times New Roman" w:cs="Times New Roman" w:eastAsia="Times New Roman" w:hint="default"/>
                <w:sz w:val="18"/>
                <w:szCs w:val="18"/>
              </w:rPr>
              <w:t>AppManager</w:t>
            </w:r>
            <w:r>
              <w:rPr>
                <w:rFonts w:ascii="宋体" w:hAnsi="宋体" w:cs="宋体" w:eastAsia="宋体" w:hint="default"/>
                <w:sz w:val="18"/>
                <w:szCs w:val="18"/>
              </w:rPr>
              <w:t>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AppManager]V1.0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2018/5/4</w:t>
            </w:r>
          </w:p>
        </w:tc>
      </w:tr>
      <w:tr>
        <w:trPr>
          <w:trHeight w:val="342"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2744925</w:t>
            </w:r>
            <w:r>
              <w:rPr>
                <w:rFonts w:ascii="宋体" w:hAnsi="宋体" w:cs="宋体" w:eastAsia="宋体" w:hint="default"/>
                <w:sz w:val="18"/>
                <w:szCs w:val="18"/>
              </w:rPr>
              <w:t>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2018SR415830</w:t>
            </w:r>
          </w:p>
        </w:tc>
        <w:tc>
          <w:tcPr>
            <w:tcW w:w="6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泰策敏感数据安全防护系统</w:t>
            </w:r>
            <w:r>
              <w:rPr>
                <w:rFonts w:ascii="Times New Roman" w:hAnsi="Times New Roman" w:cs="Times New Roman" w:eastAsia="Times New Roman" w:hint="default"/>
                <w:sz w:val="18"/>
                <w:szCs w:val="18"/>
              </w:rPr>
              <w:t>DataGuard</w:t>
            </w:r>
            <w:r>
              <w:rPr>
                <w:rFonts w:ascii="宋体" w:hAnsi="宋体" w:cs="宋体" w:eastAsia="宋体" w:hint="default"/>
                <w:sz w:val="18"/>
                <w:szCs w:val="18"/>
              </w:rPr>
              <w:t>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DataGuard]V1.0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2018/6/4</w:t>
            </w:r>
          </w:p>
        </w:tc>
      </w:tr>
    </w:tbl>
    <w:p>
      <w:pPr>
        <w:spacing w:line="240" w:lineRule="auto" w:before="3"/>
        <w:rPr>
          <w:rFonts w:ascii="Times New Roman" w:hAnsi="Times New Roman" w:cs="Times New Roman" w:eastAsia="Times New Roman" w:hint="default"/>
          <w:sz w:val="24"/>
          <w:szCs w:val="24"/>
        </w:rPr>
      </w:pPr>
    </w:p>
    <w:p>
      <w:pPr>
        <w:pStyle w:val="BodyText"/>
        <w:spacing w:line="240" w:lineRule="auto" w:before="44"/>
        <w:ind w:left="140" w:right="0"/>
        <w:jc w:val="left"/>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日，拥有发明专利情况：</w:t>
      </w:r>
    </w:p>
    <w:p>
      <w:pPr>
        <w:spacing w:line="240" w:lineRule="auto" w:before="13"/>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622"/>
        <w:gridCol w:w="4918"/>
        <w:gridCol w:w="1136"/>
        <w:gridCol w:w="1842"/>
        <w:gridCol w:w="1842"/>
        <w:gridCol w:w="1276"/>
        <w:gridCol w:w="1275"/>
        <w:gridCol w:w="1068"/>
      </w:tblGrid>
      <w:tr>
        <w:trPr>
          <w:trHeight w:val="342" w:hRule="exact"/>
        </w:trPr>
        <w:tc>
          <w:tcPr>
            <w:tcW w:w="6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9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b/>
                <w:bCs/>
                <w:sz w:val="18"/>
                <w:szCs w:val="18"/>
              </w:rPr>
              <w:t>专利类型</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专利权人</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专利申请日</w:t>
            </w:r>
            <w:r>
              <w:rPr>
                <w:rFonts w:ascii="宋体" w:hAnsi="宋体" w:cs="宋体" w:eastAsia="宋体" w:hint="default"/>
                <w:sz w:val="18"/>
                <w:szCs w:val="18"/>
              </w:rPr>
            </w:r>
          </w:p>
        </w:tc>
        <w:tc>
          <w:tcPr>
            <w:tcW w:w="12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授权公告日</w:t>
            </w:r>
            <w:r>
              <w:rPr>
                <w:rFonts w:ascii="宋体" w:hAnsi="宋体" w:cs="宋体" w:eastAsia="宋体" w:hint="default"/>
                <w:sz w:val="18"/>
                <w:szCs w:val="18"/>
              </w:rPr>
            </w:r>
          </w:p>
        </w:tc>
        <w:tc>
          <w:tcPr>
            <w:tcW w:w="10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76" w:right="0"/>
              <w:jc w:val="left"/>
              <w:rPr>
                <w:rFonts w:ascii="宋体" w:hAnsi="宋体" w:cs="宋体" w:eastAsia="宋体" w:hint="default"/>
                <w:sz w:val="18"/>
                <w:szCs w:val="18"/>
              </w:rPr>
            </w:pPr>
            <w:r>
              <w:rPr>
                <w:rFonts w:ascii="宋体" w:hAnsi="宋体" w:cs="宋体" w:eastAsia="宋体" w:hint="default"/>
                <w:b/>
                <w:bCs/>
                <w:sz w:val="18"/>
                <w:szCs w:val="18"/>
              </w:rPr>
              <w:t>专利权期限</w:t>
            </w:r>
            <w:r>
              <w:rPr>
                <w:rFonts w:ascii="宋体" w:hAnsi="宋体" w:cs="宋体" w:eastAsia="宋体" w:hint="default"/>
                <w:sz w:val="18"/>
                <w:szCs w:val="18"/>
              </w:rPr>
            </w:r>
          </w:p>
        </w:tc>
      </w:tr>
      <w:tr>
        <w:trPr>
          <w:trHeight w:val="342"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w:t>
            </w:r>
          </w:p>
        </w:tc>
        <w:tc>
          <w:tcPr>
            <w:tcW w:w="4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一种消息的读写方法和装置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200710304415.8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3"/>
              <w:jc w:val="right"/>
              <w:rPr>
                <w:rFonts w:ascii="Times New Roman" w:hAnsi="Times New Roman" w:cs="Times New Roman" w:eastAsia="Times New Roman" w:hint="default"/>
                <w:sz w:val="18"/>
                <w:szCs w:val="18"/>
              </w:rPr>
            </w:pPr>
            <w:r>
              <w:rPr>
                <w:rFonts w:ascii="Times New Roman"/>
                <w:sz w:val="18"/>
              </w:rPr>
              <w:t>2007/12/27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2"/>
              <w:jc w:val="right"/>
              <w:rPr>
                <w:rFonts w:ascii="Times New Roman" w:hAnsi="Times New Roman" w:cs="Times New Roman" w:eastAsia="Times New Roman" w:hint="default"/>
                <w:sz w:val="18"/>
                <w:szCs w:val="18"/>
              </w:rPr>
            </w:pPr>
            <w:r>
              <w:rPr>
                <w:rFonts w:ascii="Times New Roman"/>
                <w:sz w:val="18"/>
              </w:rPr>
              <w:t>2011/10/26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342"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w:t>
            </w:r>
          </w:p>
        </w:tc>
        <w:tc>
          <w:tcPr>
            <w:tcW w:w="4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一种企业服务总线的消息转发方法、服务器及其系统</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200810119861.6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3"/>
              <w:jc w:val="right"/>
              <w:rPr>
                <w:rFonts w:ascii="Times New Roman" w:hAnsi="Times New Roman" w:cs="Times New Roman" w:eastAsia="Times New Roman" w:hint="default"/>
                <w:sz w:val="18"/>
                <w:szCs w:val="18"/>
              </w:rPr>
            </w:pPr>
            <w:r>
              <w:rPr>
                <w:rFonts w:ascii="Times New Roman"/>
                <w:sz w:val="18"/>
              </w:rPr>
              <w:t>2008/9/12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2"/>
              <w:jc w:val="right"/>
              <w:rPr>
                <w:rFonts w:ascii="Times New Roman" w:hAnsi="Times New Roman" w:cs="Times New Roman" w:eastAsia="Times New Roman" w:hint="default"/>
                <w:sz w:val="18"/>
                <w:szCs w:val="18"/>
              </w:rPr>
            </w:pPr>
            <w:r>
              <w:rPr>
                <w:rFonts w:ascii="Times New Roman"/>
                <w:sz w:val="18"/>
              </w:rPr>
              <w:t>2012/1/11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342"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w:t>
            </w:r>
          </w:p>
        </w:tc>
        <w:tc>
          <w:tcPr>
            <w:tcW w:w="4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一种基于分布式、异构数据库统一视图的查询优化方法</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201010112856.X</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3"/>
              <w:jc w:val="right"/>
              <w:rPr>
                <w:rFonts w:ascii="Times New Roman" w:hAnsi="Times New Roman" w:cs="Times New Roman" w:eastAsia="Times New Roman" w:hint="default"/>
                <w:sz w:val="18"/>
                <w:szCs w:val="18"/>
              </w:rPr>
            </w:pPr>
            <w:r>
              <w:rPr>
                <w:rFonts w:ascii="Times New Roman"/>
                <w:sz w:val="18"/>
              </w:rPr>
              <w:t>2010/2/22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2"/>
              <w:jc w:val="right"/>
              <w:rPr>
                <w:rFonts w:ascii="Times New Roman" w:hAnsi="Times New Roman" w:cs="Times New Roman" w:eastAsia="Times New Roman" w:hint="default"/>
                <w:sz w:val="18"/>
                <w:szCs w:val="18"/>
              </w:rPr>
            </w:pPr>
            <w:r>
              <w:rPr>
                <w:rFonts w:ascii="Times New Roman"/>
                <w:sz w:val="18"/>
              </w:rPr>
              <w:t>2013/4/24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342"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w:t>
            </w:r>
          </w:p>
        </w:tc>
        <w:tc>
          <w:tcPr>
            <w:tcW w:w="4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基于约束校验的内存格式化方法</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东方通</w:t>
            </w:r>
            <w:r>
              <w:rPr>
                <w:rFonts w:ascii="Times New Roman" w:hAnsi="Times New Roman" w:cs="Times New Roman" w:eastAsia="Times New Roman" w:hint="default"/>
                <w:sz w:val="18"/>
                <w:szCs w:val="18"/>
              </w:rPr>
              <w:t>/</w:t>
            </w:r>
            <w:r>
              <w:rPr>
                <w:rFonts w:ascii="宋体" w:hAnsi="宋体" w:cs="宋体" w:eastAsia="宋体" w:hint="default"/>
                <w:sz w:val="18"/>
                <w:szCs w:val="18"/>
              </w:rPr>
              <w:t>东方通泰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201110195005.0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3"/>
              <w:jc w:val="right"/>
              <w:rPr>
                <w:rFonts w:ascii="Times New Roman" w:hAnsi="Times New Roman" w:cs="Times New Roman" w:eastAsia="Times New Roman" w:hint="default"/>
                <w:sz w:val="18"/>
                <w:szCs w:val="18"/>
              </w:rPr>
            </w:pPr>
            <w:r>
              <w:rPr>
                <w:rFonts w:ascii="Times New Roman"/>
                <w:sz w:val="18"/>
              </w:rPr>
              <w:t>2011/7/12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2"/>
              <w:jc w:val="right"/>
              <w:rPr>
                <w:rFonts w:ascii="Times New Roman" w:hAnsi="Times New Roman" w:cs="Times New Roman" w:eastAsia="Times New Roman" w:hint="default"/>
                <w:sz w:val="18"/>
                <w:szCs w:val="18"/>
              </w:rPr>
            </w:pPr>
            <w:r>
              <w:rPr>
                <w:rFonts w:ascii="Times New Roman"/>
                <w:sz w:val="18"/>
              </w:rPr>
              <w:t>2014/12/17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342"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w:t>
            </w:r>
          </w:p>
        </w:tc>
        <w:tc>
          <w:tcPr>
            <w:tcW w:w="4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自动配置</w:t>
            </w:r>
            <w:r>
              <w:rPr>
                <w:rFonts w:ascii="Times New Roman" w:hAnsi="Times New Roman" w:cs="Times New Roman" w:eastAsia="Times New Roman" w:hint="default"/>
                <w:sz w:val="18"/>
                <w:szCs w:val="18"/>
              </w:rPr>
              <w:t>Java EE</w:t>
            </w:r>
            <w:r>
              <w:rPr>
                <w:rFonts w:ascii="宋体" w:hAnsi="宋体" w:cs="宋体" w:eastAsia="宋体" w:hint="default"/>
                <w:sz w:val="18"/>
                <w:szCs w:val="18"/>
              </w:rPr>
              <w:t>应用集群的装置和方法</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东方通</w:t>
            </w:r>
            <w:r>
              <w:rPr>
                <w:rFonts w:ascii="Times New Roman" w:hAnsi="Times New Roman" w:cs="Times New Roman" w:eastAsia="Times New Roman" w:hint="default"/>
                <w:sz w:val="18"/>
                <w:szCs w:val="18"/>
              </w:rPr>
              <w:t>/</w:t>
            </w:r>
            <w:r>
              <w:rPr>
                <w:rFonts w:ascii="宋体" w:hAnsi="宋体" w:cs="宋体" w:eastAsia="宋体" w:hint="default"/>
                <w:sz w:val="18"/>
                <w:szCs w:val="18"/>
              </w:rPr>
              <w:t>东方通泰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201110078200.5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3"/>
              <w:jc w:val="right"/>
              <w:rPr>
                <w:rFonts w:ascii="Times New Roman" w:hAnsi="Times New Roman" w:cs="Times New Roman" w:eastAsia="Times New Roman" w:hint="default"/>
                <w:sz w:val="18"/>
                <w:szCs w:val="18"/>
              </w:rPr>
            </w:pPr>
            <w:r>
              <w:rPr>
                <w:rFonts w:ascii="Times New Roman"/>
                <w:sz w:val="18"/>
              </w:rPr>
              <w:t>2011/3/30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2"/>
              <w:jc w:val="right"/>
              <w:rPr>
                <w:rFonts w:ascii="Times New Roman" w:hAnsi="Times New Roman" w:cs="Times New Roman" w:eastAsia="Times New Roman" w:hint="default"/>
                <w:sz w:val="18"/>
                <w:szCs w:val="18"/>
              </w:rPr>
            </w:pPr>
            <w:r>
              <w:rPr>
                <w:rFonts w:ascii="Times New Roman"/>
                <w:sz w:val="18"/>
              </w:rPr>
              <w:t>2015/4/29</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342"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w:t>
            </w:r>
          </w:p>
        </w:tc>
        <w:tc>
          <w:tcPr>
            <w:tcW w:w="4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文件传输系统及文件传输方法</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201110175087.2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3"/>
              <w:jc w:val="right"/>
              <w:rPr>
                <w:rFonts w:ascii="Times New Roman" w:hAnsi="Times New Roman" w:cs="Times New Roman" w:eastAsia="Times New Roman" w:hint="default"/>
                <w:sz w:val="18"/>
                <w:szCs w:val="18"/>
              </w:rPr>
            </w:pPr>
            <w:r>
              <w:rPr>
                <w:rFonts w:ascii="Times New Roman"/>
                <w:sz w:val="18"/>
              </w:rPr>
              <w:t>2011/6/27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2"/>
              <w:jc w:val="right"/>
              <w:rPr>
                <w:rFonts w:ascii="Times New Roman" w:hAnsi="Times New Roman" w:cs="Times New Roman" w:eastAsia="Times New Roman" w:hint="default"/>
                <w:sz w:val="18"/>
                <w:szCs w:val="18"/>
              </w:rPr>
            </w:pPr>
            <w:r>
              <w:rPr>
                <w:rFonts w:ascii="Times New Roman"/>
                <w:sz w:val="18"/>
              </w:rPr>
              <w:t>2015/4/29</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342"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w:t>
            </w:r>
          </w:p>
        </w:tc>
        <w:tc>
          <w:tcPr>
            <w:tcW w:w="4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服务并发访问控制方法及装置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东方通</w:t>
            </w:r>
            <w:r>
              <w:rPr>
                <w:rFonts w:ascii="Times New Roman" w:hAnsi="Times New Roman" w:cs="Times New Roman" w:eastAsia="Times New Roman" w:hint="default"/>
                <w:sz w:val="18"/>
                <w:szCs w:val="18"/>
              </w:rPr>
              <w:t>/</w:t>
            </w:r>
            <w:r>
              <w:rPr>
                <w:rFonts w:ascii="宋体" w:hAnsi="宋体" w:cs="宋体" w:eastAsia="宋体" w:hint="default"/>
                <w:sz w:val="18"/>
                <w:szCs w:val="18"/>
              </w:rPr>
              <w:t>东方通泰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201210506416.1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3"/>
              <w:jc w:val="right"/>
              <w:rPr>
                <w:rFonts w:ascii="Times New Roman" w:hAnsi="Times New Roman" w:cs="Times New Roman" w:eastAsia="Times New Roman" w:hint="default"/>
                <w:sz w:val="18"/>
                <w:szCs w:val="18"/>
              </w:rPr>
            </w:pPr>
            <w:r>
              <w:rPr>
                <w:rFonts w:ascii="Times New Roman"/>
                <w:sz w:val="18"/>
              </w:rPr>
              <w:t>2012/11/30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2"/>
              <w:jc w:val="right"/>
              <w:rPr>
                <w:rFonts w:ascii="Times New Roman" w:hAnsi="Times New Roman" w:cs="Times New Roman" w:eastAsia="Times New Roman" w:hint="default"/>
                <w:sz w:val="18"/>
                <w:szCs w:val="18"/>
              </w:rPr>
            </w:pPr>
            <w:r>
              <w:rPr>
                <w:rFonts w:ascii="Times New Roman"/>
                <w:sz w:val="18"/>
              </w:rPr>
              <w:t>2015/6/10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342"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w:t>
            </w:r>
          </w:p>
        </w:tc>
        <w:tc>
          <w:tcPr>
            <w:tcW w:w="4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OSGI</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的类加载隔离系统和方法</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东方通</w:t>
            </w:r>
            <w:r>
              <w:rPr>
                <w:rFonts w:ascii="Times New Roman" w:hAnsi="Times New Roman" w:cs="Times New Roman" w:eastAsia="Times New Roman" w:hint="default"/>
                <w:sz w:val="18"/>
                <w:szCs w:val="18"/>
              </w:rPr>
              <w:t>/</w:t>
            </w:r>
            <w:r>
              <w:rPr>
                <w:rFonts w:ascii="宋体" w:hAnsi="宋体" w:cs="宋体" w:eastAsia="宋体" w:hint="default"/>
                <w:sz w:val="18"/>
                <w:szCs w:val="18"/>
              </w:rPr>
              <w:t>东方通泰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201310026972.3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3"/>
              <w:jc w:val="right"/>
              <w:rPr>
                <w:rFonts w:ascii="Times New Roman" w:hAnsi="Times New Roman" w:cs="Times New Roman" w:eastAsia="Times New Roman" w:hint="default"/>
                <w:sz w:val="18"/>
                <w:szCs w:val="18"/>
              </w:rPr>
            </w:pPr>
            <w:r>
              <w:rPr>
                <w:rFonts w:ascii="Times New Roman"/>
                <w:sz w:val="18"/>
              </w:rPr>
              <w:t>2013/1/21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2"/>
              <w:jc w:val="right"/>
              <w:rPr>
                <w:rFonts w:ascii="Times New Roman" w:hAnsi="Times New Roman" w:cs="Times New Roman" w:eastAsia="Times New Roman" w:hint="default"/>
                <w:sz w:val="18"/>
                <w:szCs w:val="18"/>
              </w:rPr>
            </w:pPr>
            <w:r>
              <w:rPr>
                <w:rFonts w:ascii="Times New Roman"/>
                <w:sz w:val="18"/>
              </w:rPr>
              <w:t>2016/4/27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342"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w:t>
            </w:r>
          </w:p>
        </w:tc>
        <w:tc>
          <w:tcPr>
            <w:tcW w:w="4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客户端集群访问方法及装置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东方通</w:t>
            </w:r>
            <w:r>
              <w:rPr>
                <w:rFonts w:ascii="Times New Roman" w:hAnsi="Times New Roman" w:cs="Times New Roman" w:eastAsia="Times New Roman" w:hint="default"/>
                <w:sz w:val="18"/>
                <w:szCs w:val="18"/>
              </w:rPr>
              <w:t>/</w:t>
            </w:r>
            <w:r>
              <w:rPr>
                <w:rFonts w:ascii="宋体" w:hAnsi="宋体" w:cs="宋体" w:eastAsia="宋体" w:hint="default"/>
                <w:sz w:val="18"/>
                <w:szCs w:val="18"/>
              </w:rPr>
              <w:t>东方通泰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201210547829.4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3"/>
              <w:jc w:val="right"/>
              <w:rPr>
                <w:rFonts w:ascii="Times New Roman" w:hAnsi="Times New Roman" w:cs="Times New Roman" w:eastAsia="Times New Roman" w:hint="default"/>
                <w:sz w:val="18"/>
                <w:szCs w:val="18"/>
              </w:rPr>
            </w:pPr>
            <w:r>
              <w:rPr>
                <w:rFonts w:ascii="Times New Roman"/>
                <w:sz w:val="18"/>
              </w:rPr>
              <w:t>2012/12/14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2"/>
              <w:jc w:val="right"/>
              <w:rPr>
                <w:rFonts w:ascii="Times New Roman" w:hAnsi="Times New Roman" w:cs="Times New Roman" w:eastAsia="Times New Roman" w:hint="default"/>
                <w:sz w:val="18"/>
                <w:szCs w:val="18"/>
              </w:rPr>
            </w:pPr>
            <w:r>
              <w:rPr>
                <w:rFonts w:ascii="Times New Roman"/>
                <w:sz w:val="18"/>
              </w:rPr>
              <w:t>2018/2/27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342"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w:t>
            </w:r>
          </w:p>
        </w:tc>
        <w:tc>
          <w:tcPr>
            <w:tcW w:w="4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JavaEE</w:t>
            </w:r>
            <w:r>
              <w:rPr>
                <w:rFonts w:ascii="宋体" w:hAnsi="宋体" w:cs="宋体" w:eastAsia="宋体" w:hint="default"/>
                <w:sz w:val="18"/>
                <w:szCs w:val="18"/>
              </w:rPr>
              <w:t>应用类加载冲突分析方法和装置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201510121221.9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3"/>
              <w:jc w:val="right"/>
              <w:rPr>
                <w:rFonts w:ascii="Times New Roman" w:hAnsi="Times New Roman" w:cs="Times New Roman" w:eastAsia="Times New Roman" w:hint="default"/>
                <w:sz w:val="18"/>
                <w:szCs w:val="18"/>
              </w:rPr>
            </w:pPr>
            <w:r>
              <w:rPr>
                <w:rFonts w:ascii="Times New Roman"/>
                <w:sz w:val="18"/>
              </w:rPr>
              <w:t>2012/12/14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2"/>
              <w:jc w:val="right"/>
              <w:rPr>
                <w:rFonts w:ascii="Times New Roman" w:hAnsi="Times New Roman" w:cs="Times New Roman" w:eastAsia="Times New Roman" w:hint="default"/>
                <w:sz w:val="18"/>
                <w:szCs w:val="18"/>
              </w:rPr>
            </w:pPr>
            <w:r>
              <w:rPr>
                <w:rFonts w:ascii="Times New Roman"/>
                <w:sz w:val="18"/>
              </w:rPr>
              <w:t>2018/2/27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2O</w:t>
            </w:r>
            <w:r>
              <w:rPr>
                <w:rFonts w:ascii="宋体" w:hAnsi="宋体" w:cs="宋体" w:eastAsia="宋体" w:hint="default"/>
                <w:sz w:val="18"/>
                <w:szCs w:val="18"/>
              </w:rPr>
              <w:t>年</w:t>
            </w:r>
          </w:p>
        </w:tc>
      </w:tr>
      <w:tr>
        <w:trPr>
          <w:trHeight w:val="342"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11</w:t>
            </w:r>
          </w:p>
        </w:tc>
        <w:tc>
          <w:tcPr>
            <w:tcW w:w="4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一种无线互联网</w:t>
            </w:r>
            <w:r>
              <w:rPr>
                <w:rFonts w:ascii="宋体" w:hAnsi="宋体" w:cs="宋体" w:eastAsia="宋体" w:hint="default"/>
                <w:sz w:val="18"/>
                <w:szCs w:val="18"/>
              </w:rPr>
              <w:t>SP</w:t>
            </w:r>
            <w:r>
              <w:rPr>
                <w:rFonts w:ascii="宋体" w:hAnsi="宋体" w:cs="宋体" w:eastAsia="宋体" w:hint="default"/>
                <w:sz w:val="18"/>
                <w:szCs w:val="18"/>
              </w:rPr>
              <w:t>业务</w:t>
            </w:r>
            <w:r>
              <w:rPr>
                <w:rFonts w:ascii="宋体" w:hAnsi="宋体" w:cs="宋体" w:eastAsia="宋体" w:hint="default"/>
                <w:sz w:val="18"/>
                <w:szCs w:val="18"/>
              </w:rPr>
              <w:t>URL</w:t>
            </w:r>
            <w:r>
              <w:rPr>
                <w:rFonts w:ascii="宋体" w:hAnsi="宋体" w:cs="宋体" w:eastAsia="宋体" w:hint="default"/>
                <w:sz w:val="18"/>
                <w:szCs w:val="18"/>
              </w:rPr>
              <w:t>的记录方法及系统</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微智信业</w:t>
            </w:r>
            <w:r>
              <w:rPr>
                <w:rFonts w:ascii="Times New Roman" w:hAnsi="Times New Roman" w:cs="Times New Roman" w:eastAsia="Times New Roman" w:hint="default"/>
                <w:sz w:val="18"/>
                <w:szCs w:val="18"/>
              </w:rPr>
              <w:t>/</w:t>
            </w:r>
            <w:r>
              <w:rPr>
                <w:rFonts w:ascii="宋体" w:hAnsi="宋体" w:cs="宋体" w:eastAsia="宋体" w:hint="default"/>
                <w:sz w:val="18"/>
                <w:szCs w:val="18"/>
              </w:rPr>
              <w:t>中国联通</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 2008 1</w:t>
            </w:r>
            <w:r>
              <w:rPr>
                <w:rFonts w:ascii="Times New Roman"/>
                <w:spacing w:val="-2"/>
                <w:sz w:val="18"/>
              </w:rPr>
              <w:t> </w:t>
            </w:r>
            <w:r>
              <w:rPr>
                <w:rFonts w:ascii="Times New Roman"/>
                <w:sz w:val="18"/>
              </w:rPr>
              <w:t>0114519.7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3"/>
              <w:jc w:val="right"/>
              <w:rPr>
                <w:rFonts w:ascii="Times New Roman" w:hAnsi="Times New Roman" w:cs="Times New Roman" w:eastAsia="Times New Roman" w:hint="default"/>
                <w:sz w:val="18"/>
                <w:szCs w:val="18"/>
              </w:rPr>
            </w:pPr>
            <w:r>
              <w:rPr>
                <w:rFonts w:ascii="Times New Roman"/>
                <w:sz w:val="18"/>
              </w:rPr>
              <w:t>2008/6/6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2"/>
              <w:jc w:val="right"/>
              <w:rPr>
                <w:rFonts w:ascii="Times New Roman" w:hAnsi="Times New Roman" w:cs="Times New Roman" w:eastAsia="Times New Roman" w:hint="default"/>
                <w:sz w:val="18"/>
                <w:szCs w:val="18"/>
              </w:rPr>
            </w:pPr>
            <w:r>
              <w:rPr>
                <w:rFonts w:ascii="Times New Roman"/>
                <w:sz w:val="18"/>
              </w:rPr>
              <w:t>2012/2/15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342"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12</w:t>
            </w:r>
          </w:p>
        </w:tc>
        <w:tc>
          <w:tcPr>
            <w:tcW w:w="4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图像指纹提取方法及其设备、信息过滤及其系统</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201010112716.2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3"/>
              <w:jc w:val="right"/>
              <w:rPr>
                <w:rFonts w:ascii="Times New Roman" w:hAnsi="Times New Roman" w:cs="Times New Roman" w:eastAsia="Times New Roman" w:hint="default"/>
                <w:sz w:val="18"/>
                <w:szCs w:val="18"/>
              </w:rPr>
            </w:pPr>
            <w:r>
              <w:rPr>
                <w:rFonts w:ascii="Times New Roman"/>
                <w:sz w:val="18"/>
              </w:rPr>
              <w:t>2010/2/24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2"/>
              <w:jc w:val="right"/>
              <w:rPr>
                <w:rFonts w:ascii="Times New Roman" w:hAnsi="Times New Roman" w:cs="Times New Roman" w:eastAsia="Times New Roman" w:hint="default"/>
                <w:sz w:val="18"/>
                <w:szCs w:val="18"/>
              </w:rPr>
            </w:pPr>
            <w:r>
              <w:rPr>
                <w:rFonts w:ascii="Times New Roman"/>
                <w:sz w:val="18"/>
              </w:rPr>
              <w:t>2013/9/25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342"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13</w:t>
            </w:r>
          </w:p>
        </w:tc>
        <w:tc>
          <w:tcPr>
            <w:tcW w:w="4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网络感知探测系统和方法</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201410311058.8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3"/>
              <w:jc w:val="right"/>
              <w:rPr>
                <w:rFonts w:ascii="Times New Roman" w:hAnsi="Times New Roman" w:cs="Times New Roman" w:eastAsia="Times New Roman" w:hint="default"/>
                <w:sz w:val="18"/>
                <w:szCs w:val="18"/>
              </w:rPr>
            </w:pPr>
            <w:r>
              <w:rPr>
                <w:rFonts w:ascii="Times New Roman"/>
                <w:sz w:val="18"/>
              </w:rPr>
              <w:t>2014/7/2</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14</w:t>
            </w:r>
          </w:p>
        </w:tc>
        <w:tc>
          <w:tcPr>
            <w:tcW w:w="4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CSFB</w:t>
            </w:r>
            <w:r>
              <w:rPr>
                <w:rFonts w:ascii="宋体" w:hAnsi="宋体" w:cs="宋体" w:eastAsia="宋体" w:hint="default"/>
                <w:sz w:val="18"/>
                <w:szCs w:val="18"/>
              </w:rPr>
              <w:t>业务质量分析的系统和方法</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201510045125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3"/>
              <w:jc w:val="right"/>
              <w:rPr>
                <w:rFonts w:ascii="Times New Roman" w:hAnsi="Times New Roman" w:cs="Times New Roman" w:eastAsia="Times New Roman" w:hint="default"/>
                <w:sz w:val="18"/>
                <w:szCs w:val="18"/>
              </w:rPr>
            </w:pPr>
            <w:r>
              <w:rPr>
                <w:rFonts w:ascii="Times New Roman"/>
                <w:sz w:val="18"/>
              </w:rPr>
              <w:t>2015/1/29</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15</w:t>
            </w:r>
          </w:p>
        </w:tc>
        <w:tc>
          <w:tcPr>
            <w:tcW w:w="4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HSV</w:t>
            </w:r>
            <w:r>
              <w:rPr>
                <w:rFonts w:ascii="宋体" w:hAnsi="宋体" w:cs="宋体" w:eastAsia="宋体" w:hint="default"/>
                <w:sz w:val="18"/>
                <w:szCs w:val="18"/>
              </w:rPr>
              <w:t>图像相似度的识别方法</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201611149778.4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3"/>
              <w:jc w:val="right"/>
              <w:rPr>
                <w:rFonts w:ascii="Times New Roman" w:hAnsi="Times New Roman" w:cs="Times New Roman" w:eastAsia="Times New Roman" w:hint="default"/>
                <w:sz w:val="18"/>
                <w:szCs w:val="18"/>
              </w:rPr>
            </w:pPr>
            <w:r>
              <w:rPr>
                <w:rFonts w:ascii="Times New Roman"/>
                <w:sz w:val="18"/>
              </w:rPr>
              <w:t>2016/12/14</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1300"/>
        </w:sectPr>
      </w:pPr>
    </w:p>
    <w:p>
      <w:pPr>
        <w:spacing w:line="240" w:lineRule="auto" w:before="4"/>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622"/>
        <w:gridCol w:w="4918"/>
        <w:gridCol w:w="1136"/>
        <w:gridCol w:w="1842"/>
        <w:gridCol w:w="1842"/>
        <w:gridCol w:w="1276"/>
        <w:gridCol w:w="1275"/>
        <w:gridCol w:w="1068"/>
      </w:tblGrid>
      <w:tr>
        <w:trPr>
          <w:trHeight w:val="326" w:hRule="exact"/>
        </w:trPr>
        <w:tc>
          <w:tcPr>
            <w:tcW w:w="6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9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5" w:right="0"/>
              <w:jc w:val="left"/>
              <w:rPr>
                <w:rFonts w:ascii="宋体" w:hAnsi="宋体" w:cs="宋体" w:eastAsia="宋体" w:hint="default"/>
                <w:sz w:val="18"/>
                <w:szCs w:val="18"/>
              </w:rPr>
            </w:pPr>
            <w:r>
              <w:rPr>
                <w:rFonts w:ascii="宋体" w:hAnsi="宋体" w:cs="宋体" w:eastAsia="宋体" w:hint="default"/>
                <w:b/>
                <w:bCs/>
                <w:sz w:val="18"/>
                <w:szCs w:val="18"/>
              </w:rPr>
              <w:t>专利类型</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b/>
                <w:bCs/>
                <w:sz w:val="18"/>
                <w:szCs w:val="18"/>
              </w:rPr>
              <w:t>专利权人</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b/>
                <w:bCs/>
                <w:sz w:val="18"/>
                <w:szCs w:val="18"/>
              </w:rPr>
              <w:t>专利申请日</w:t>
            </w:r>
            <w:r>
              <w:rPr>
                <w:rFonts w:ascii="宋体" w:hAnsi="宋体" w:cs="宋体" w:eastAsia="宋体" w:hint="default"/>
                <w:sz w:val="18"/>
                <w:szCs w:val="18"/>
              </w:rPr>
            </w:r>
          </w:p>
        </w:tc>
        <w:tc>
          <w:tcPr>
            <w:tcW w:w="12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b/>
                <w:bCs/>
                <w:sz w:val="18"/>
                <w:szCs w:val="18"/>
              </w:rPr>
              <w:t>授权公告日</w:t>
            </w:r>
            <w:r>
              <w:rPr>
                <w:rFonts w:ascii="宋体" w:hAnsi="宋体" w:cs="宋体" w:eastAsia="宋体" w:hint="default"/>
                <w:sz w:val="18"/>
                <w:szCs w:val="18"/>
              </w:rPr>
            </w:r>
          </w:p>
        </w:tc>
        <w:tc>
          <w:tcPr>
            <w:tcW w:w="10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76" w:right="0"/>
              <w:jc w:val="left"/>
              <w:rPr>
                <w:rFonts w:ascii="宋体" w:hAnsi="宋体" w:cs="宋体" w:eastAsia="宋体" w:hint="default"/>
                <w:sz w:val="18"/>
                <w:szCs w:val="18"/>
              </w:rPr>
            </w:pPr>
            <w:r>
              <w:rPr>
                <w:rFonts w:ascii="宋体" w:hAnsi="宋体" w:cs="宋体" w:eastAsia="宋体" w:hint="default"/>
                <w:b/>
                <w:bCs/>
                <w:sz w:val="18"/>
                <w:szCs w:val="18"/>
              </w:rPr>
              <w:t>专利权期限</w:t>
            </w:r>
            <w:r>
              <w:rPr>
                <w:rFonts w:ascii="宋体" w:hAnsi="宋体" w:cs="宋体" w:eastAsia="宋体" w:hint="default"/>
                <w:sz w:val="18"/>
                <w:szCs w:val="18"/>
              </w:rPr>
            </w:r>
          </w:p>
        </w:tc>
      </w:tr>
      <w:tr>
        <w:trPr>
          <w:trHeight w:val="342"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16</w:t>
            </w:r>
          </w:p>
        </w:tc>
        <w:tc>
          <w:tcPr>
            <w:tcW w:w="4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一种信息安全共享联动平台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20170656344.1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3"/>
              <w:jc w:val="right"/>
              <w:rPr>
                <w:rFonts w:ascii="Times New Roman" w:hAnsi="Times New Roman" w:cs="Times New Roman" w:eastAsia="Times New Roman" w:hint="default"/>
                <w:sz w:val="18"/>
                <w:szCs w:val="18"/>
              </w:rPr>
            </w:pPr>
            <w:r>
              <w:rPr>
                <w:rFonts w:ascii="Times New Roman"/>
                <w:sz w:val="18"/>
              </w:rPr>
              <w:t>2017/8/3</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17</w:t>
            </w:r>
          </w:p>
        </w:tc>
        <w:tc>
          <w:tcPr>
            <w:tcW w:w="4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tfidf</w:t>
            </w:r>
            <w:r>
              <w:rPr>
                <w:rFonts w:ascii="宋体" w:hAnsi="宋体" w:cs="宋体" w:eastAsia="宋体" w:hint="default"/>
                <w:sz w:val="18"/>
                <w:szCs w:val="18"/>
              </w:rPr>
              <w:t>算法和关键词权重修正的文本分类方法</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20170656342.2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3"/>
              <w:jc w:val="right"/>
              <w:rPr>
                <w:rFonts w:ascii="Times New Roman" w:hAnsi="Times New Roman" w:cs="Times New Roman" w:eastAsia="Times New Roman" w:hint="default"/>
                <w:sz w:val="18"/>
                <w:szCs w:val="18"/>
              </w:rPr>
            </w:pPr>
            <w:r>
              <w:rPr>
                <w:rFonts w:ascii="Times New Roman"/>
                <w:sz w:val="18"/>
              </w:rPr>
              <w:t>2017/8/3</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18</w:t>
            </w:r>
          </w:p>
        </w:tc>
        <w:tc>
          <w:tcPr>
            <w:tcW w:w="4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一种基于大数据的恶意</w:t>
            </w:r>
            <w:r>
              <w:rPr>
                <w:rFonts w:ascii="Times New Roman" w:hAnsi="Times New Roman" w:cs="Times New Roman" w:eastAsia="Times New Roman" w:hint="default"/>
                <w:sz w:val="18"/>
                <w:szCs w:val="18"/>
              </w:rPr>
              <w:t>URL</w:t>
            </w:r>
            <w:r>
              <w:rPr>
                <w:rFonts w:ascii="宋体" w:hAnsi="宋体" w:cs="宋体" w:eastAsia="宋体" w:hint="default"/>
                <w:sz w:val="18"/>
                <w:szCs w:val="18"/>
              </w:rPr>
              <w:t>检测方法</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201810168054.7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3"/>
              <w:jc w:val="right"/>
              <w:rPr>
                <w:rFonts w:ascii="Times New Roman" w:hAnsi="Times New Roman" w:cs="Times New Roman" w:eastAsia="Times New Roman" w:hint="default"/>
                <w:sz w:val="18"/>
                <w:szCs w:val="18"/>
              </w:rPr>
            </w:pPr>
            <w:r>
              <w:rPr>
                <w:rFonts w:ascii="Times New Roman"/>
                <w:sz w:val="18"/>
              </w:rPr>
              <w:t>2018/2/28</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19</w:t>
            </w:r>
          </w:p>
        </w:tc>
        <w:tc>
          <w:tcPr>
            <w:tcW w:w="4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一种单站验证业务测试方法及装置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惠捷朗</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201510109334.7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3"/>
              <w:jc w:val="right"/>
              <w:rPr>
                <w:rFonts w:ascii="Times New Roman" w:hAnsi="Times New Roman" w:cs="Times New Roman" w:eastAsia="Times New Roman" w:hint="default"/>
                <w:sz w:val="18"/>
                <w:szCs w:val="18"/>
              </w:rPr>
            </w:pPr>
            <w:r>
              <w:rPr>
                <w:rFonts w:ascii="Times New Roman"/>
                <w:sz w:val="18"/>
              </w:rPr>
              <w:t>2015/3/12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99" w:right="0"/>
              <w:jc w:val="left"/>
              <w:rPr>
                <w:rFonts w:ascii="Times New Roman" w:hAnsi="Times New Roman" w:cs="Times New Roman" w:eastAsia="Times New Roman" w:hint="default"/>
                <w:sz w:val="18"/>
                <w:szCs w:val="18"/>
              </w:rPr>
            </w:pPr>
            <w:r>
              <w:rPr>
                <w:rFonts w:ascii="Times New Roman"/>
                <w:sz w:val="18"/>
              </w:rPr>
              <w:t>2018/8/10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342"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w:t>
            </w:r>
          </w:p>
        </w:tc>
        <w:tc>
          <w:tcPr>
            <w:tcW w:w="4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一种用于防御</w:t>
            </w:r>
            <w:r>
              <w:rPr>
                <w:rFonts w:ascii="Times New Roman" w:hAnsi="Times New Roman" w:cs="Times New Roman" w:eastAsia="Times New Roman" w:hint="default"/>
                <w:sz w:val="18"/>
                <w:szCs w:val="18"/>
              </w:rPr>
              <w:t>DNS</w:t>
            </w:r>
            <w:r>
              <w:rPr>
                <w:rFonts w:ascii="宋体" w:hAnsi="宋体" w:cs="宋体" w:eastAsia="宋体" w:hint="default"/>
                <w:sz w:val="18"/>
                <w:szCs w:val="18"/>
              </w:rPr>
              <w:t>递归攻击的方法、装置及系统</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201510432040.8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3"/>
              <w:jc w:val="right"/>
              <w:rPr>
                <w:rFonts w:ascii="Times New Roman" w:hAnsi="Times New Roman" w:cs="Times New Roman" w:eastAsia="Times New Roman" w:hint="default"/>
                <w:sz w:val="18"/>
                <w:szCs w:val="18"/>
              </w:rPr>
            </w:pPr>
            <w:r>
              <w:rPr>
                <w:rFonts w:ascii="Times New Roman"/>
                <w:sz w:val="18"/>
              </w:rPr>
              <w:t>2015/7/22</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21</w:t>
            </w:r>
          </w:p>
        </w:tc>
        <w:tc>
          <w:tcPr>
            <w:tcW w:w="4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基于开放</w:t>
            </w:r>
            <w:r>
              <w:rPr>
                <w:rFonts w:ascii="Times New Roman" w:hAnsi="Times New Roman" w:cs="Times New Roman" w:eastAsia="Times New Roman" w:hint="default"/>
                <w:sz w:val="18"/>
                <w:szCs w:val="18"/>
              </w:rPr>
              <w:t>DNS</w:t>
            </w:r>
            <w:r>
              <w:rPr>
                <w:rFonts w:ascii="宋体" w:hAnsi="宋体" w:cs="宋体" w:eastAsia="宋体" w:hint="default"/>
                <w:sz w:val="18"/>
                <w:szCs w:val="18"/>
              </w:rPr>
              <w:t>服务器的域名对应互联网资源的检测方法</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201810226504.3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3"/>
              <w:jc w:val="right"/>
              <w:rPr>
                <w:rFonts w:ascii="Times New Roman" w:hAnsi="Times New Roman" w:cs="Times New Roman" w:eastAsia="Times New Roman" w:hint="default"/>
                <w:sz w:val="18"/>
                <w:szCs w:val="18"/>
              </w:rPr>
            </w:pPr>
            <w:r>
              <w:rPr>
                <w:rFonts w:ascii="Times New Roman"/>
                <w:sz w:val="18"/>
              </w:rPr>
              <w:t>2018/3/19</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22</w:t>
            </w:r>
          </w:p>
        </w:tc>
        <w:tc>
          <w:tcPr>
            <w:tcW w:w="4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基于本地</w:t>
            </w:r>
            <w:r>
              <w:rPr>
                <w:rFonts w:ascii="Times New Roman" w:hAnsi="Times New Roman" w:cs="Times New Roman" w:eastAsia="Times New Roman" w:hint="default"/>
                <w:sz w:val="18"/>
                <w:szCs w:val="18"/>
              </w:rPr>
              <w:t>DNS</w:t>
            </w:r>
            <w:r>
              <w:rPr>
                <w:rFonts w:ascii="宋体" w:hAnsi="宋体" w:cs="宋体" w:eastAsia="宋体" w:hint="default"/>
                <w:sz w:val="18"/>
                <w:szCs w:val="18"/>
              </w:rPr>
              <w:t>的</w:t>
            </w:r>
            <w:r>
              <w:rPr>
                <w:rFonts w:ascii="Times New Roman" w:hAnsi="Times New Roman" w:cs="Times New Roman" w:eastAsia="Times New Roman" w:hint="default"/>
                <w:sz w:val="18"/>
                <w:szCs w:val="18"/>
              </w:rPr>
              <w:t>CDN</w:t>
            </w:r>
            <w:r>
              <w:rPr>
                <w:rFonts w:ascii="宋体" w:hAnsi="宋体" w:cs="宋体" w:eastAsia="宋体" w:hint="default"/>
                <w:sz w:val="18"/>
                <w:szCs w:val="18"/>
              </w:rPr>
              <w:t>优化调度方法</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201811039456.3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3"/>
              <w:jc w:val="right"/>
              <w:rPr>
                <w:rFonts w:ascii="Times New Roman" w:hAnsi="Times New Roman" w:cs="Times New Roman" w:eastAsia="Times New Roman" w:hint="default"/>
                <w:sz w:val="18"/>
                <w:szCs w:val="18"/>
              </w:rPr>
            </w:pPr>
            <w:r>
              <w:rPr>
                <w:rFonts w:ascii="Times New Roman"/>
                <w:sz w:val="18"/>
              </w:rPr>
              <w:t>2018/9/6</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21"/>
          <w:szCs w:val="21"/>
        </w:rPr>
      </w:pPr>
    </w:p>
    <w:p>
      <w:pPr>
        <w:pStyle w:val="BodyText"/>
        <w:spacing w:line="240" w:lineRule="auto" w:before="44"/>
        <w:ind w:left="140" w:right="0"/>
        <w:jc w:val="left"/>
      </w:pPr>
      <w:r>
        <w:rPr/>
        <w:t>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日，拥有商标情况如下表：</w:t>
      </w:r>
    </w:p>
    <w:p>
      <w:pPr>
        <w:spacing w:line="240" w:lineRule="auto" w:before="0"/>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923"/>
        <w:gridCol w:w="4334"/>
        <w:gridCol w:w="2298"/>
        <w:gridCol w:w="1669"/>
        <w:gridCol w:w="1542"/>
        <w:gridCol w:w="1745"/>
        <w:gridCol w:w="1468"/>
      </w:tblGrid>
      <w:tr>
        <w:trPr>
          <w:trHeight w:val="347" w:hRule="exact"/>
        </w:trPr>
        <w:tc>
          <w:tcPr>
            <w:tcW w:w="92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3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商标图样</w:t>
            </w:r>
            <w:r>
              <w:rPr>
                <w:rFonts w:ascii="宋体" w:hAnsi="宋体" w:cs="宋体" w:eastAsia="宋体" w:hint="default"/>
                <w:sz w:val="18"/>
                <w:szCs w:val="18"/>
              </w:rPr>
            </w:r>
          </w:p>
        </w:tc>
        <w:tc>
          <w:tcPr>
            <w:tcW w:w="22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核定服务项目</w:t>
            </w:r>
            <w:r>
              <w:rPr>
                <w:rFonts w:ascii="宋体" w:hAnsi="宋体" w:cs="宋体" w:eastAsia="宋体" w:hint="default"/>
                <w:sz w:val="18"/>
                <w:szCs w:val="18"/>
              </w:rPr>
            </w:r>
          </w:p>
        </w:tc>
        <w:tc>
          <w:tcPr>
            <w:tcW w:w="16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商标注册号</w:t>
            </w:r>
            <w:r>
              <w:rPr>
                <w:rFonts w:ascii="宋体" w:hAnsi="宋体" w:cs="宋体" w:eastAsia="宋体" w:hint="default"/>
                <w:sz w:val="18"/>
                <w:szCs w:val="18"/>
              </w:rPr>
            </w:r>
          </w:p>
        </w:tc>
        <w:tc>
          <w:tcPr>
            <w:tcW w:w="15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注册期</w:t>
            </w:r>
            <w:r>
              <w:rPr>
                <w:rFonts w:ascii="宋体" w:hAnsi="宋体" w:cs="宋体" w:eastAsia="宋体" w:hint="default"/>
                <w:sz w:val="18"/>
                <w:szCs w:val="18"/>
              </w:rPr>
            </w:r>
          </w:p>
        </w:tc>
        <w:tc>
          <w:tcPr>
            <w:tcW w:w="17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有效期</w:t>
            </w:r>
            <w:r>
              <w:rPr>
                <w:rFonts w:ascii="宋体" w:hAnsi="宋体" w:cs="宋体" w:eastAsia="宋体" w:hint="default"/>
                <w:sz w:val="18"/>
                <w:szCs w:val="18"/>
              </w:rPr>
            </w:r>
          </w:p>
        </w:tc>
        <w:tc>
          <w:tcPr>
            <w:tcW w:w="14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455" w:right="0"/>
              <w:jc w:val="left"/>
              <w:rPr>
                <w:rFonts w:ascii="宋体" w:hAnsi="宋体" w:cs="宋体" w:eastAsia="宋体" w:hint="default"/>
                <w:sz w:val="18"/>
                <w:szCs w:val="18"/>
              </w:rPr>
            </w:pPr>
            <w:r>
              <w:rPr>
                <w:rFonts w:ascii="宋体" w:hAnsi="宋体" w:cs="宋体" w:eastAsia="宋体" w:hint="default"/>
                <w:b/>
                <w:bCs/>
                <w:sz w:val="18"/>
                <w:szCs w:val="18"/>
              </w:rPr>
              <w:t>注册人</w:t>
            </w:r>
            <w:r>
              <w:rPr>
                <w:rFonts w:ascii="宋体" w:hAnsi="宋体" w:cs="宋体" w:eastAsia="宋体" w:hint="default"/>
                <w:sz w:val="18"/>
                <w:szCs w:val="18"/>
              </w:rPr>
            </w:r>
          </w:p>
        </w:tc>
      </w:tr>
      <w:tr>
        <w:trPr>
          <w:trHeight w:val="972"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Times New Roman" w:hAnsi="Times New Roman" w:cs="Times New Roman" w:eastAsia="Times New Roman" w:hint="default"/>
                <w:sz w:val="18"/>
                <w:szCs w:val="18"/>
              </w:rPr>
            </w:pPr>
            <w:r>
              <w:rPr>
                <w:rFonts w:ascii="Times New Roman"/>
                <w:sz w:val="18"/>
              </w:rPr>
              <w:t>1</w:t>
            </w:r>
          </w:p>
        </w:tc>
        <w:tc>
          <w:tcPr>
            <w:tcW w:w="4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716" w:lineRule="exact"/>
              <w:ind w:left="1223" w:right="0"/>
              <w:jc w:val="left"/>
              <w:rPr>
                <w:rFonts w:ascii="宋体" w:hAnsi="宋体" w:cs="宋体" w:eastAsia="宋体" w:hint="default"/>
                <w:sz w:val="20"/>
                <w:szCs w:val="20"/>
              </w:rPr>
            </w:pPr>
            <w:r>
              <w:rPr>
                <w:rFonts w:ascii="宋体" w:hAnsi="宋体" w:cs="宋体" w:eastAsia="宋体" w:hint="default"/>
                <w:position w:val="-13"/>
                <w:sz w:val="20"/>
                <w:szCs w:val="20"/>
              </w:rPr>
              <w:drawing>
                <wp:inline distT="0" distB="0" distL="0" distR="0">
                  <wp:extent cx="1187201" cy="455199"/>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4" cstate="print"/>
                          <a:stretch>
                            <a:fillRect/>
                          </a:stretch>
                        </pic:blipFill>
                        <pic:spPr>
                          <a:xfrm>
                            <a:off x="0" y="0"/>
                            <a:ext cx="1187201" cy="455199"/>
                          </a:xfrm>
                          <a:prstGeom prst="rect">
                            <a:avLst/>
                          </a:prstGeom>
                        </pic:spPr>
                      </pic:pic>
                    </a:graphicData>
                  </a:graphic>
                </wp:inline>
              </w:drawing>
            </w:r>
            <w:r>
              <w:rPr>
                <w:rFonts w:ascii="宋体" w:hAnsi="宋体" w:cs="宋体" w:eastAsia="宋体" w:hint="default"/>
                <w:position w:val="-13"/>
                <w:sz w:val="20"/>
                <w:szCs w:val="20"/>
              </w:rPr>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Times New Roman" w:hAnsi="Times New Roman" w:cs="Times New Roman" w:eastAsia="Times New Roman" w:hint="default"/>
                <w:sz w:val="18"/>
                <w:szCs w:val="18"/>
              </w:rPr>
            </w:pPr>
            <w:r>
              <w:rPr>
                <w:rFonts w:ascii="Times New Roman"/>
                <w:sz w:val="18"/>
              </w:rPr>
              <w:t>1272264</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 w:right="0"/>
              <w:jc w:val="center"/>
              <w:rPr>
                <w:rFonts w:ascii="Times New Roman" w:hAnsi="Times New Roman" w:cs="Times New Roman" w:eastAsia="Times New Roman" w:hint="default"/>
                <w:sz w:val="18"/>
                <w:szCs w:val="18"/>
              </w:rPr>
            </w:pPr>
            <w:r>
              <w:rPr>
                <w:rFonts w:ascii="Times New Roman"/>
                <w:sz w:val="18"/>
              </w:rPr>
              <w:t>1999/5/7</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545" w:right="0"/>
              <w:jc w:val="left"/>
              <w:rPr>
                <w:rFonts w:ascii="Times New Roman" w:hAnsi="Times New Roman" w:cs="Times New Roman" w:eastAsia="Times New Roman" w:hint="default"/>
                <w:sz w:val="18"/>
                <w:szCs w:val="18"/>
              </w:rPr>
            </w:pPr>
            <w:r>
              <w:rPr>
                <w:rFonts w:ascii="Times New Roman"/>
                <w:sz w:val="18"/>
              </w:rPr>
              <w:t>2019/5/6</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59"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4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4"/>
                <w:szCs w:val="4"/>
              </w:rPr>
            </w:pPr>
          </w:p>
          <w:p>
            <w:pPr>
              <w:pStyle w:val="TableParagraph"/>
              <w:spacing w:line="522" w:lineRule="exact"/>
              <w:ind w:left="1063" w:right="0"/>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1383895" cy="331755"/>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5" cstate="print"/>
                          <a:stretch>
                            <a:fillRect/>
                          </a:stretch>
                        </pic:blipFill>
                        <pic:spPr>
                          <a:xfrm>
                            <a:off x="0" y="0"/>
                            <a:ext cx="1383895" cy="331755"/>
                          </a:xfrm>
                          <a:prstGeom prst="rect">
                            <a:avLst/>
                          </a:prstGeom>
                        </pic:spPr>
                      </pic:pic>
                    </a:graphicData>
                  </a:graphic>
                </wp:inline>
              </w:drawing>
            </w:r>
            <w:r>
              <w:rPr>
                <w:rFonts w:ascii="宋体" w:hAnsi="宋体" w:cs="宋体" w:eastAsia="宋体" w:hint="default"/>
                <w:position w:val="-9"/>
                <w:sz w:val="20"/>
                <w:szCs w:val="20"/>
              </w:rPr>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1277389</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1999/5/21</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00" w:right="0"/>
              <w:jc w:val="left"/>
              <w:rPr>
                <w:rFonts w:ascii="Times New Roman" w:hAnsi="Times New Roman" w:cs="Times New Roman" w:eastAsia="Times New Roman" w:hint="default"/>
                <w:sz w:val="18"/>
                <w:szCs w:val="18"/>
              </w:rPr>
            </w:pPr>
            <w:r>
              <w:rPr>
                <w:rFonts w:ascii="Times New Roman"/>
                <w:sz w:val="18"/>
              </w:rPr>
              <w:t>2019/5/20</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971"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Times New Roman" w:hAnsi="Times New Roman" w:cs="Times New Roman" w:eastAsia="Times New Roman" w:hint="default"/>
                <w:sz w:val="18"/>
                <w:szCs w:val="18"/>
              </w:rPr>
            </w:pPr>
            <w:r>
              <w:rPr>
                <w:rFonts w:ascii="Times New Roman"/>
                <w:sz w:val="18"/>
              </w:rPr>
              <w:t>3</w:t>
            </w:r>
          </w:p>
        </w:tc>
        <w:tc>
          <w:tcPr>
            <w:tcW w:w="4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633" w:lineRule="exact"/>
              <w:ind w:left="1400" w:right="0"/>
              <w:jc w:val="left"/>
              <w:rPr>
                <w:rFonts w:ascii="宋体" w:hAnsi="宋体" w:cs="宋体" w:eastAsia="宋体" w:hint="default"/>
                <w:sz w:val="20"/>
                <w:szCs w:val="20"/>
              </w:rPr>
            </w:pPr>
            <w:r>
              <w:rPr>
                <w:rFonts w:ascii="宋体" w:hAnsi="宋体" w:cs="宋体" w:eastAsia="宋体" w:hint="default"/>
                <w:position w:val="-12"/>
                <w:sz w:val="20"/>
                <w:szCs w:val="20"/>
              </w:rPr>
              <w:drawing>
                <wp:inline distT="0" distB="0" distL="0" distR="0">
                  <wp:extent cx="962708" cy="402240"/>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6" cstate="print"/>
                          <a:stretch>
                            <a:fillRect/>
                          </a:stretch>
                        </pic:blipFill>
                        <pic:spPr>
                          <a:xfrm>
                            <a:off x="0" y="0"/>
                            <a:ext cx="962708" cy="402240"/>
                          </a:xfrm>
                          <a:prstGeom prst="rect">
                            <a:avLst/>
                          </a:prstGeom>
                        </pic:spPr>
                      </pic:pic>
                    </a:graphicData>
                  </a:graphic>
                </wp:inline>
              </w:drawing>
            </w:r>
            <w:r>
              <w:rPr>
                <w:rFonts w:ascii="宋体" w:hAnsi="宋体" w:cs="宋体" w:eastAsia="宋体" w:hint="default"/>
                <w:position w:val="-12"/>
                <w:sz w:val="20"/>
                <w:szCs w:val="20"/>
              </w:rPr>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Times New Roman" w:hAnsi="Times New Roman" w:cs="Times New Roman" w:eastAsia="Times New Roman" w:hint="default"/>
                <w:sz w:val="18"/>
                <w:szCs w:val="18"/>
              </w:rPr>
            </w:pPr>
            <w:r>
              <w:rPr>
                <w:rFonts w:ascii="Times New Roman"/>
                <w:sz w:val="18"/>
              </w:rPr>
              <w:t>1298700</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Times New Roman" w:hAnsi="Times New Roman" w:cs="Times New Roman" w:eastAsia="Times New Roman" w:hint="default"/>
                <w:sz w:val="18"/>
                <w:szCs w:val="18"/>
              </w:rPr>
            </w:pPr>
            <w:r>
              <w:rPr>
                <w:rFonts w:ascii="Times New Roman"/>
                <w:sz w:val="18"/>
              </w:rPr>
              <w:t>1999/7/28</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500" w:right="0"/>
              <w:jc w:val="left"/>
              <w:rPr>
                <w:rFonts w:ascii="Times New Roman" w:hAnsi="Times New Roman" w:cs="Times New Roman" w:eastAsia="Times New Roman" w:hint="default"/>
                <w:sz w:val="18"/>
                <w:szCs w:val="18"/>
              </w:rPr>
            </w:pPr>
            <w:r>
              <w:rPr>
                <w:rFonts w:ascii="Times New Roman"/>
                <w:sz w:val="18"/>
              </w:rPr>
              <w:t>2019/7/27</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971"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Times New Roman" w:hAnsi="Times New Roman" w:cs="Times New Roman" w:eastAsia="Times New Roman" w:hint="default"/>
                <w:sz w:val="18"/>
                <w:szCs w:val="18"/>
              </w:rPr>
            </w:pPr>
            <w:r>
              <w:rPr>
                <w:rFonts w:ascii="Times New Roman"/>
                <w:sz w:val="18"/>
              </w:rPr>
              <w:t>4</w:t>
            </w:r>
          </w:p>
        </w:tc>
        <w:tc>
          <w:tcPr>
            <w:tcW w:w="4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6"/>
                <w:szCs w:val="6"/>
              </w:rPr>
            </w:pPr>
          </w:p>
          <w:p>
            <w:pPr>
              <w:pStyle w:val="TableParagraph"/>
              <w:spacing w:line="778" w:lineRule="exact"/>
              <w:ind w:left="1155" w:right="0"/>
              <w:jc w:val="left"/>
              <w:rPr>
                <w:rFonts w:ascii="宋体" w:hAnsi="宋体" w:cs="宋体" w:eastAsia="宋体" w:hint="default"/>
                <w:sz w:val="20"/>
                <w:szCs w:val="20"/>
              </w:rPr>
            </w:pPr>
            <w:r>
              <w:rPr>
                <w:rFonts w:ascii="宋体" w:hAnsi="宋体" w:cs="宋体" w:eastAsia="宋体" w:hint="default"/>
                <w:position w:val="-15"/>
                <w:sz w:val="20"/>
                <w:szCs w:val="20"/>
              </w:rPr>
              <w:drawing>
                <wp:inline distT="0" distB="0" distL="0" distR="0">
                  <wp:extent cx="1273482" cy="494538"/>
                  <wp:effectExtent l="0" t="0" r="0" b="0"/>
                  <wp:docPr id="9" name="image3.png" descr=""/>
                  <wp:cNvGraphicFramePr>
                    <a:graphicFrameLocks noChangeAspect="1"/>
                  </wp:cNvGraphicFramePr>
                  <a:graphic>
                    <a:graphicData uri="http://schemas.openxmlformats.org/drawingml/2006/picture">
                      <pic:pic>
                        <pic:nvPicPr>
                          <pic:cNvPr id="10" name="image3.png"/>
                          <pic:cNvPicPr/>
                        </pic:nvPicPr>
                        <pic:blipFill>
                          <a:blip r:embed="rId14" cstate="print"/>
                          <a:stretch>
                            <a:fillRect/>
                          </a:stretch>
                        </pic:blipFill>
                        <pic:spPr>
                          <a:xfrm>
                            <a:off x="0" y="0"/>
                            <a:ext cx="1273482" cy="494538"/>
                          </a:xfrm>
                          <a:prstGeom prst="rect">
                            <a:avLst/>
                          </a:prstGeom>
                        </pic:spPr>
                      </pic:pic>
                    </a:graphicData>
                  </a:graphic>
                </wp:inline>
              </w:drawing>
            </w:r>
            <w:r>
              <w:rPr>
                <w:rFonts w:ascii="宋体" w:hAnsi="宋体" w:cs="宋体" w:eastAsia="宋体" w:hint="default"/>
                <w:position w:val="-15"/>
                <w:sz w:val="20"/>
                <w:szCs w:val="20"/>
              </w:rPr>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Times New Roman" w:hAnsi="Times New Roman" w:cs="Times New Roman" w:eastAsia="Times New Roman" w:hint="default"/>
                <w:sz w:val="18"/>
                <w:szCs w:val="18"/>
              </w:rPr>
            </w:pPr>
            <w:r>
              <w:rPr>
                <w:rFonts w:ascii="Times New Roman"/>
                <w:sz w:val="18"/>
              </w:rPr>
              <w:t>1298714</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Times New Roman" w:hAnsi="Times New Roman" w:cs="Times New Roman" w:eastAsia="Times New Roman" w:hint="default"/>
                <w:sz w:val="18"/>
                <w:szCs w:val="18"/>
              </w:rPr>
            </w:pPr>
            <w:r>
              <w:rPr>
                <w:rFonts w:ascii="Times New Roman"/>
                <w:sz w:val="18"/>
              </w:rPr>
              <w:t>1999/7/28</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500" w:right="0"/>
              <w:jc w:val="left"/>
              <w:rPr>
                <w:rFonts w:ascii="Times New Roman" w:hAnsi="Times New Roman" w:cs="Times New Roman" w:eastAsia="Times New Roman" w:hint="default"/>
                <w:sz w:val="18"/>
                <w:szCs w:val="18"/>
              </w:rPr>
            </w:pPr>
            <w:r>
              <w:rPr>
                <w:rFonts w:ascii="Times New Roman"/>
                <w:sz w:val="18"/>
              </w:rPr>
              <w:t>2019/7/27</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59"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4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387" w:lineRule="exact"/>
              <w:ind w:left="914"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1575174" cy="245744"/>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7" cstate="print"/>
                          <a:stretch>
                            <a:fillRect/>
                          </a:stretch>
                        </pic:blipFill>
                        <pic:spPr>
                          <a:xfrm>
                            <a:off x="0" y="0"/>
                            <a:ext cx="1575174" cy="245744"/>
                          </a:xfrm>
                          <a:prstGeom prst="rect">
                            <a:avLst/>
                          </a:prstGeom>
                        </pic:spPr>
                      </pic:pic>
                    </a:graphicData>
                  </a:graphic>
                </wp:inline>
              </w:drawing>
            </w:r>
            <w:r>
              <w:rPr>
                <w:rFonts w:ascii="宋体" w:hAnsi="宋体" w:cs="宋体" w:eastAsia="宋体" w:hint="default"/>
                <w:position w:val="-7"/>
                <w:sz w:val="20"/>
                <w:szCs w:val="20"/>
              </w:rPr>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3775834</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2005/12/7</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00" w:right="0"/>
              <w:jc w:val="left"/>
              <w:rPr>
                <w:rFonts w:ascii="Times New Roman" w:hAnsi="Times New Roman" w:cs="Times New Roman" w:eastAsia="Times New Roman" w:hint="default"/>
                <w:sz w:val="18"/>
                <w:szCs w:val="18"/>
              </w:rPr>
            </w:pPr>
            <w:r>
              <w:rPr>
                <w:rFonts w:ascii="Times New Roman"/>
                <w:sz w:val="18"/>
              </w:rPr>
              <w:t>2025/12/6</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59"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w:t>
            </w:r>
          </w:p>
        </w:tc>
        <w:tc>
          <w:tcPr>
            <w:tcW w:w="4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4"/>
                <w:szCs w:val="4"/>
              </w:rPr>
            </w:pPr>
          </w:p>
          <w:p>
            <w:pPr>
              <w:pStyle w:val="TableParagraph"/>
              <w:spacing w:line="522" w:lineRule="exact"/>
              <w:ind w:left="1063" w:right="0"/>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1381264" cy="331755"/>
                  <wp:effectExtent l="0" t="0" r="0" b="0"/>
                  <wp:docPr id="13" name="image4.jpeg" descr=""/>
                  <wp:cNvGraphicFramePr>
                    <a:graphicFrameLocks noChangeAspect="1"/>
                  </wp:cNvGraphicFramePr>
                  <a:graphic>
                    <a:graphicData uri="http://schemas.openxmlformats.org/drawingml/2006/picture">
                      <pic:pic>
                        <pic:nvPicPr>
                          <pic:cNvPr id="14" name="image4.jpeg"/>
                          <pic:cNvPicPr/>
                        </pic:nvPicPr>
                        <pic:blipFill>
                          <a:blip r:embed="rId15" cstate="print"/>
                          <a:stretch>
                            <a:fillRect/>
                          </a:stretch>
                        </pic:blipFill>
                        <pic:spPr>
                          <a:xfrm>
                            <a:off x="0" y="0"/>
                            <a:ext cx="1381264" cy="331755"/>
                          </a:xfrm>
                          <a:prstGeom prst="rect">
                            <a:avLst/>
                          </a:prstGeom>
                        </pic:spPr>
                      </pic:pic>
                    </a:graphicData>
                  </a:graphic>
                </wp:inline>
              </w:drawing>
            </w:r>
            <w:r>
              <w:rPr>
                <w:rFonts w:ascii="宋体" w:hAnsi="宋体" w:cs="宋体" w:eastAsia="宋体" w:hint="default"/>
                <w:position w:val="-9"/>
                <w:sz w:val="20"/>
                <w:szCs w:val="20"/>
              </w:rPr>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35</w:t>
            </w:r>
            <w:r>
              <w:rPr>
                <w:rFonts w:ascii="宋体" w:hAnsi="宋体" w:cs="宋体" w:eastAsia="宋体" w:hint="default"/>
                <w:sz w:val="18"/>
                <w:szCs w:val="18"/>
              </w:rPr>
              <w:t>类</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4204278</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2007/12/28</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5" w:right="0"/>
              <w:jc w:val="left"/>
              <w:rPr>
                <w:rFonts w:ascii="Times New Roman" w:hAnsi="Times New Roman" w:cs="Times New Roman" w:eastAsia="Times New Roman" w:hint="default"/>
                <w:sz w:val="18"/>
                <w:szCs w:val="18"/>
              </w:rPr>
            </w:pPr>
            <w:r>
              <w:rPr>
                <w:rFonts w:ascii="Times New Roman"/>
                <w:sz w:val="18"/>
              </w:rPr>
              <w:t>2017/12/27</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6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w:t>
            </w:r>
          </w:p>
        </w:tc>
        <w:tc>
          <w:tcPr>
            <w:tcW w:w="4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528" w:lineRule="exact"/>
              <w:ind w:left="1003"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1478687" cy="335279"/>
                  <wp:effectExtent l="0" t="0" r="0" b="0"/>
                  <wp:docPr id="15" name="image7.jpeg" descr=""/>
                  <wp:cNvGraphicFramePr>
                    <a:graphicFrameLocks noChangeAspect="1"/>
                  </wp:cNvGraphicFramePr>
                  <a:graphic>
                    <a:graphicData uri="http://schemas.openxmlformats.org/drawingml/2006/picture">
                      <pic:pic>
                        <pic:nvPicPr>
                          <pic:cNvPr id="16" name="image7.jpeg"/>
                          <pic:cNvPicPr/>
                        </pic:nvPicPr>
                        <pic:blipFill>
                          <a:blip r:embed="rId18" cstate="print"/>
                          <a:stretch>
                            <a:fillRect/>
                          </a:stretch>
                        </pic:blipFill>
                        <pic:spPr>
                          <a:xfrm>
                            <a:off x="0" y="0"/>
                            <a:ext cx="1478687" cy="335279"/>
                          </a:xfrm>
                          <a:prstGeom prst="rect">
                            <a:avLst/>
                          </a:prstGeom>
                        </pic:spPr>
                      </pic:pic>
                    </a:graphicData>
                  </a:graphic>
                </wp:inline>
              </w:drawing>
            </w:r>
            <w:r>
              <w:rPr>
                <w:rFonts w:ascii="宋体" w:hAnsi="宋体" w:cs="宋体" w:eastAsia="宋体" w:hint="default"/>
                <w:position w:val="-10"/>
                <w:sz w:val="20"/>
                <w:szCs w:val="20"/>
              </w:rPr>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4204280</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2006/11/21</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5" w:right="0"/>
              <w:jc w:val="left"/>
              <w:rPr>
                <w:rFonts w:ascii="Times New Roman" w:hAnsi="Times New Roman" w:cs="Times New Roman" w:eastAsia="Times New Roman" w:hint="default"/>
                <w:sz w:val="18"/>
                <w:szCs w:val="18"/>
              </w:rPr>
            </w:pPr>
            <w:r>
              <w:rPr>
                <w:rFonts w:ascii="Times New Roman"/>
                <w:sz w:val="18"/>
              </w:rPr>
              <w:t>2016/11/20</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东方通</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1300"/>
        </w:sectPr>
      </w:pPr>
    </w:p>
    <w:tbl>
      <w:tblPr>
        <w:tblW w:w="0" w:type="auto"/>
        <w:jc w:val="left"/>
        <w:tblInd w:w="123" w:type="dxa"/>
        <w:tblLayout w:type="fixed"/>
        <w:tblCellMar>
          <w:top w:w="0" w:type="dxa"/>
          <w:left w:w="0" w:type="dxa"/>
          <w:bottom w:w="0" w:type="dxa"/>
          <w:right w:w="0" w:type="dxa"/>
        </w:tblCellMar>
        <w:tblLook w:val="01E0"/>
      </w:tblPr>
      <w:tblGrid>
        <w:gridCol w:w="923"/>
        <w:gridCol w:w="4334"/>
        <w:gridCol w:w="2298"/>
        <w:gridCol w:w="1669"/>
        <w:gridCol w:w="1542"/>
        <w:gridCol w:w="1745"/>
        <w:gridCol w:w="1468"/>
      </w:tblGrid>
      <w:tr>
        <w:trPr>
          <w:trHeight w:val="329" w:hRule="exact"/>
        </w:trPr>
        <w:tc>
          <w:tcPr>
            <w:tcW w:w="92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3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b/>
                <w:bCs/>
                <w:sz w:val="18"/>
                <w:szCs w:val="18"/>
              </w:rPr>
              <w:t>商标图样</w:t>
            </w:r>
            <w:r>
              <w:rPr>
                <w:rFonts w:ascii="宋体" w:hAnsi="宋体" w:cs="宋体" w:eastAsia="宋体" w:hint="default"/>
                <w:sz w:val="18"/>
                <w:szCs w:val="18"/>
              </w:rPr>
            </w:r>
          </w:p>
        </w:tc>
        <w:tc>
          <w:tcPr>
            <w:tcW w:w="22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b/>
                <w:bCs/>
                <w:sz w:val="18"/>
                <w:szCs w:val="18"/>
              </w:rPr>
              <w:t>核定服务项目</w:t>
            </w:r>
            <w:r>
              <w:rPr>
                <w:rFonts w:ascii="宋体" w:hAnsi="宋体" w:cs="宋体" w:eastAsia="宋体" w:hint="default"/>
                <w:sz w:val="18"/>
                <w:szCs w:val="18"/>
              </w:rPr>
            </w:r>
          </w:p>
        </w:tc>
        <w:tc>
          <w:tcPr>
            <w:tcW w:w="16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商标注册号</w:t>
            </w:r>
            <w:r>
              <w:rPr>
                <w:rFonts w:ascii="宋体" w:hAnsi="宋体" w:cs="宋体" w:eastAsia="宋体" w:hint="default"/>
                <w:sz w:val="18"/>
                <w:szCs w:val="18"/>
              </w:rPr>
            </w:r>
          </w:p>
        </w:tc>
        <w:tc>
          <w:tcPr>
            <w:tcW w:w="15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注册期</w:t>
            </w:r>
            <w:r>
              <w:rPr>
                <w:rFonts w:ascii="宋体" w:hAnsi="宋体" w:cs="宋体" w:eastAsia="宋体" w:hint="default"/>
                <w:sz w:val="18"/>
                <w:szCs w:val="18"/>
              </w:rPr>
            </w:r>
          </w:p>
        </w:tc>
        <w:tc>
          <w:tcPr>
            <w:tcW w:w="17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有效期</w:t>
            </w:r>
            <w:r>
              <w:rPr>
                <w:rFonts w:ascii="宋体" w:hAnsi="宋体" w:cs="宋体" w:eastAsia="宋体" w:hint="default"/>
                <w:sz w:val="18"/>
                <w:szCs w:val="18"/>
              </w:rPr>
            </w:r>
          </w:p>
        </w:tc>
        <w:tc>
          <w:tcPr>
            <w:tcW w:w="14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ind w:left="455" w:right="0"/>
              <w:jc w:val="left"/>
              <w:rPr>
                <w:rFonts w:ascii="宋体" w:hAnsi="宋体" w:cs="宋体" w:eastAsia="宋体" w:hint="default"/>
                <w:sz w:val="18"/>
                <w:szCs w:val="18"/>
              </w:rPr>
            </w:pPr>
            <w:r>
              <w:rPr>
                <w:rFonts w:ascii="宋体" w:hAnsi="宋体" w:cs="宋体" w:eastAsia="宋体" w:hint="default"/>
                <w:b/>
                <w:bCs/>
                <w:sz w:val="18"/>
                <w:szCs w:val="18"/>
              </w:rPr>
              <w:t>注册人</w:t>
            </w:r>
            <w:r>
              <w:rPr>
                <w:rFonts w:ascii="宋体" w:hAnsi="宋体" w:cs="宋体" w:eastAsia="宋体" w:hint="default"/>
                <w:sz w:val="18"/>
                <w:szCs w:val="18"/>
              </w:rPr>
            </w:r>
          </w:p>
        </w:tc>
      </w:tr>
      <w:tr>
        <w:trPr>
          <w:trHeight w:val="659"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w:t>
            </w:r>
          </w:p>
        </w:tc>
        <w:tc>
          <w:tcPr>
            <w:tcW w:w="4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8"/>
                <w:szCs w:val="8"/>
              </w:rPr>
            </w:pPr>
          </w:p>
          <w:p>
            <w:pPr>
              <w:pStyle w:val="TableParagraph"/>
              <w:spacing w:line="419" w:lineRule="exact"/>
              <w:ind w:left="991"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1487158" cy="266223"/>
                  <wp:effectExtent l="0" t="0" r="0" b="0"/>
                  <wp:docPr id="17" name="image8.jpeg" descr=""/>
                  <wp:cNvGraphicFramePr>
                    <a:graphicFrameLocks noChangeAspect="1"/>
                  </wp:cNvGraphicFramePr>
                  <a:graphic>
                    <a:graphicData uri="http://schemas.openxmlformats.org/drawingml/2006/picture">
                      <pic:pic>
                        <pic:nvPicPr>
                          <pic:cNvPr id="18" name="image8.jpeg"/>
                          <pic:cNvPicPr/>
                        </pic:nvPicPr>
                        <pic:blipFill>
                          <a:blip r:embed="rId19" cstate="print"/>
                          <a:stretch>
                            <a:fillRect/>
                          </a:stretch>
                        </pic:blipFill>
                        <pic:spPr>
                          <a:xfrm>
                            <a:off x="0" y="0"/>
                            <a:ext cx="1487158" cy="266223"/>
                          </a:xfrm>
                          <a:prstGeom prst="rect">
                            <a:avLst/>
                          </a:prstGeom>
                        </pic:spPr>
                      </pic:pic>
                    </a:graphicData>
                  </a:graphic>
                </wp:inline>
              </w:drawing>
            </w:r>
            <w:r>
              <w:rPr>
                <w:rFonts w:ascii="宋体" w:hAnsi="宋体" w:cs="宋体" w:eastAsia="宋体" w:hint="default"/>
                <w:position w:val="-7"/>
                <w:sz w:val="20"/>
                <w:szCs w:val="20"/>
              </w:rPr>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4204281</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2006/11/21</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55" w:right="0"/>
              <w:jc w:val="left"/>
              <w:rPr>
                <w:rFonts w:ascii="Times New Roman" w:hAnsi="Times New Roman" w:cs="Times New Roman" w:eastAsia="Times New Roman" w:hint="default"/>
                <w:sz w:val="18"/>
                <w:szCs w:val="18"/>
              </w:rPr>
            </w:pPr>
            <w:r>
              <w:rPr>
                <w:rFonts w:ascii="Times New Roman"/>
                <w:sz w:val="18"/>
              </w:rPr>
              <w:t>2016/11/20</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59"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w:t>
            </w:r>
          </w:p>
        </w:tc>
        <w:tc>
          <w:tcPr>
            <w:tcW w:w="4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4"/>
                <w:szCs w:val="4"/>
              </w:rPr>
            </w:pPr>
          </w:p>
          <w:p>
            <w:pPr>
              <w:pStyle w:val="TableParagraph"/>
              <w:spacing w:line="503" w:lineRule="exact"/>
              <w:ind w:left="862" w:right="0"/>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1636486" cy="319468"/>
                  <wp:effectExtent l="0" t="0" r="0" b="0"/>
                  <wp:docPr id="19" name="image9.jpeg" descr=""/>
                  <wp:cNvGraphicFramePr>
                    <a:graphicFrameLocks noChangeAspect="1"/>
                  </wp:cNvGraphicFramePr>
                  <a:graphic>
                    <a:graphicData uri="http://schemas.openxmlformats.org/drawingml/2006/picture">
                      <pic:pic>
                        <pic:nvPicPr>
                          <pic:cNvPr id="20" name="image9.jpeg"/>
                          <pic:cNvPicPr/>
                        </pic:nvPicPr>
                        <pic:blipFill>
                          <a:blip r:embed="rId20" cstate="print"/>
                          <a:stretch>
                            <a:fillRect/>
                          </a:stretch>
                        </pic:blipFill>
                        <pic:spPr>
                          <a:xfrm>
                            <a:off x="0" y="0"/>
                            <a:ext cx="1636486" cy="319468"/>
                          </a:xfrm>
                          <a:prstGeom prst="rect">
                            <a:avLst/>
                          </a:prstGeom>
                        </pic:spPr>
                      </pic:pic>
                    </a:graphicData>
                  </a:graphic>
                </wp:inline>
              </w:drawing>
            </w:r>
            <w:r>
              <w:rPr>
                <w:rFonts w:ascii="宋体" w:hAnsi="宋体" w:cs="宋体" w:eastAsia="宋体" w:hint="default"/>
                <w:position w:val="-9"/>
                <w:sz w:val="20"/>
                <w:szCs w:val="20"/>
              </w:rPr>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4204282</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2006/11/21</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55" w:right="0"/>
              <w:jc w:val="left"/>
              <w:rPr>
                <w:rFonts w:ascii="Times New Roman" w:hAnsi="Times New Roman" w:cs="Times New Roman" w:eastAsia="Times New Roman" w:hint="default"/>
                <w:sz w:val="18"/>
                <w:szCs w:val="18"/>
              </w:rPr>
            </w:pPr>
            <w:r>
              <w:rPr>
                <w:rFonts w:ascii="Times New Roman"/>
                <w:sz w:val="18"/>
              </w:rPr>
              <w:t>2016/11/20</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6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c>
          <w:tcPr>
            <w:tcW w:w="4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384" w:lineRule="exact"/>
              <w:ind w:left="965"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1500661" cy="244030"/>
                  <wp:effectExtent l="0" t="0" r="0" b="0"/>
                  <wp:docPr id="21" name="image10.jpeg" descr=""/>
                  <wp:cNvGraphicFramePr>
                    <a:graphicFrameLocks noChangeAspect="1"/>
                  </wp:cNvGraphicFramePr>
                  <a:graphic>
                    <a:graphicData uri="http://schemas.openxmlformats.org/drawingml/2006/picture">
                      <pic:pic>
                        <pic:nvPicPr>
                          <pic:cNvPr id="22" name="image10.jpeg"/>
                          <pic:cNvPicPr/>
                        </pic:nvPicPr>
                        <pic:blipFill>
                          <a:blip r:embed="rId21" cstate="print"/>
                          <a:stretch>
                            <a:fillRect/>
                          </a:stretch>
                        </pic:blipFill>
                        <pic:spPr>
                          <a:xfrm>
                            <a:off x="0" y="0"/>
                            <a:ext cx="1500661" cy="244030"/>
                          </a:xfrm>
                          <a:prstGeom prst="rect">
                            <a:avLst/>
                          </a:prstGeom>
                        </pic:spPr>
                      </pic:pic>
                    </a:graphicData>
                  </a:graphic>
                </wp:inline>
              </w:drawing>
            </w:r>
            <w:r>
              <w:rPr>
                <w:rFonts w:ascii="宋体" w:hAnsi="宋体" w:cs="宋体" w:eastAsia="宋体" w:hint="default"/>
                <w:position w:val="-7"/>
                <w:sz w:val="20"/>
                <w:szCs w:val="20"/>
              </w:rPr>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4204283</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2006/11/21</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55" w:right="0"/>
              <w:jc w:val="left"/>
              <w:rPr>
                <w:rFonts w:ascii="Times New Roman" w:hAnsi="Times New Roman" w:cs="Times New Roman" w:eastAsia="Times New Roman" w:hint="default"/>
                <w:sz w:val="18"/>
                <w:szCs w:val="18"/>
              </w:rPr>
            </w:pPr>
            <w:r>
              <w:rPr>
                <w:rFonts w:ascii="Times New Roman"/>
                <w:sz w:val="18"/>
              </w:rPr>
              <w:t>2016/11/20</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971"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11</w:t>
            </w:r>
          </w:p>
        </w:tc>
        <w:tc>
          <w:tcPr>
            <w:tcW w:w="4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638" w:lineRule="exact"/>
              <w:ind w:left="975" w:right="0"/>
              <w:jc w:val="left"/>
              <w:rPr>
                <w:rFonts w:ascii="宋体" w:hAnsi="宋体" w:cs="宋体" w:eastAsia="宋体" w:hint="default"/>
                <w:sz w:val="20"/>
                <w:szCs w:val="20"/>
              </w:rPr>
            </w:pPr>
            <w:r>
              <w:rPr>
                <w:rFonts w:ascii="宋体" w:hAnsi="宋体" w:cs="宋体" w:eastAsia="宋体" w:hint="default"/>
                <w:position w:val="-12"/>
                <w:sz w:val="20"/>
                <w:szCs w:val="20"/>
              </w:rPr>
              <w:drawing>
                <wp:inline distT="0" distB="0" distL="0" distR="0">
                  <wp:extent cx="1493704" cy="405479"/>
                  <wp:effectExtent l="0" t="0" r="0" b="0"/>
                  <wp:docPr id="23" name="image11.jpeg" descr=""/>
                  <wp:cNvGraphicFramePr>
                    <a:graphicFrameLocks noChangeAspect="1"/>
                  </wp:cNvGraphicFramePr>
                  <a:graphic>
                    <a:graphicData uri="http://schemas.openxmlformats.org/drawingml/2006/picture">
                      <pic:pic>
                        <pic:nvPicPr>
                          <pic:cNvPr id="24" name="image11.jpeg"/>
                          <pic:cNvPicPr/>
                        </pic:nvPicPr>
                        <pic:blipFill>
                          <a:blip r:embed="rId22" cstate="print"/>
                          <a:stretch>
                            <a:fillRect/>
                          </a:stretch>
                        </pic:blipFill>
                        <pic:spPr>
                          <a:xfrm>
                            <a:off x="0" y="0"/>
                            <a:ext cx="1493704" cy="405479"/>
                          </a:xfrm>
                          <a:prstGeom prst="rect">
                            <a:avLst/>
                          </a:prstGeom>
                        </pic:spPr>
                      </pic:pic>
                    </a:graphicData>
                  </a:graphic>
                </wp:inline>
              </w:drawing>
            </w:r>
            <w:r>
              <w:rPr>
                <w:rFonts w:ascii="宋体" w:hAnsi="宋体" w:cs="宋体" w:eastAsia="宋体" w:hint="default"/>
                <w:position w:val="-12"/>
                <w:sz w:val="20"/>
                <w:szCs w:val="20"/>
              </w:rPr>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4204284</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2006/11/21</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55" w:right="0"/>
              <w:jc w:val="left"/>
              <w:rPr>
                <w:rFonts w:ascii="Times New Roman" w:hAnsi="Times New Roman" w:cs="Times New Roman" w:eastAsia="Times New Roman" w:hint="default"/>
                <w:sz w:val="18"/>
                <w:szCs w:val="18"/>
              </w:rPr>
            </w:pPr>
            <w:r>
              <w:rPr>
                <w:rFonts w:ascii="Times New Roman"/>
                <w:sz w:val="18"/>
              </w:rPr>
              <w:t>2016/11/20</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59"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w:t>
            </w:r>
          </w:p>
        </w:tc>
        <w:tc>
          <w:tcPr>
            <w:tcW w:w="4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4"/>
                <w:szCs w:val="4"/>
              </w:rPr>
            </w:pPr>
          </w:p>
          <w:p>
            <w:pPr>
              <w:pStyle w:val="TableParagraph"/>
              <w:spacing w:line="522" w:lineRule="exact"/>
              <w:ind w:left="1063" w:right="0"/>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1383895" cy="331755"/>
                  <wp:effectExtent l="0" t="0" r="0" b="0"/>
                  <wp:docPr id="25" name="image4.jpeg" descr=""/>
                  <wp:cNvGraphicFramePr>
                    <a:graphicFrameLocks noChangeAspect="1"/>
                  </wp:cNvGraphicFramePr>
                  <a:graphic>
                    <a:graphicData uri="http://schemas.openxmlformats.org/drawingml/2006/picture">
                      <pic:pic>
                        <pic:nvPicPr>
                          <pic:cNvPr id="26" name="image4.jpeg"/>
                          <pic:cNvPicPr/>
                        </pic:nvPicPr>
                        <pic:blipFill>
                          <a:blip r:embed="rId15" cstate="print"/>
                          <a:stretch>
                            <a:fillRect/>
                          </a:stretch>
                        </pic:blipFill>
                        <pic:spPr>
                          <a:xfrm>
                            <a:off x="0" y="0"/>
                            <a:ext cx="1383895" cy="331755"/>
                          </a:xfrm>
                          <a:prstGeom prst="rect">
                            <a:avLst/>
                          </a:prstGeom>
                        </pic:spPr>
                      </pic:pic>
                    </a:graphicData>
                  </a:graphic>
                </wp:inline>
              </w:drawing>
            </w:r>
            <w:r>
              <w:rPr>
                <w:rFonts w:ascii="宋体" w:hAnsi="宋体" w:cs="宋体" w:eastAsia="宋体" w:hint="default"/>
                <w:position w:val="-9"/>
                <w:sz w:val="20"/>
                <w:szCs w:val="20"/>
              </w:rPr>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4204285</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2006/11/21</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55" w:right="0"/>
              <w:jc w:val="left"/>
              <w:rPr>
                <w:rFonts w:ascii="Times New Roman" w:hAnsi="Times New Roman" w:cs="Times New Roman" w:eastAsia="Times New Roman" w:hint="default"/>
                <w:sz w:val="18"/>
                <w:szCs w:val="18"/>
              </w:rPr>
            </w:pPr>
            <w:r>
              <w:rPr>
                <w:rFonts w:ascii="Times New Roman"/>
                <w:sz w:val="18"/>
              </w:rPr>
              <w:t>2016/11/20</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59"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w:t>
            </w:r>
          </w:p>
        </w:tc>
        <w:tc>
          <w:tcPr>
            <w:tcW w:w="4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
                <w:szCs w:val="2"/>
              </w:rPr>
            </w:pPr>
          </w:p>
          <w:p>
            <w:pPr>
              <w:pStyle w:val="TableParagraph"/>
              <w:spacing w:line="553" w:lineRule="exact"/>
              <w:ind w:left="1402"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959138" cy="351663"/>
                  <wp:effectExtent l="0" t="0" r="0" b="0"/>
                  <wp:docPr id="27" name="image12.png" descr=""/>
                  <wp:cNvGraphicFramePr>
                    <a:graphicFrameLocks noChangeAspect="1"/>
                  </wp:cNvGraphicFramePr>
                  <a:graphic>
                    <a:graphicData uri="http://schemas.openxmlformats.org/drawingml/2006/picture">
                      <pic:pic>
                        <pic:nvPicPr>
                          <pic:cNvPr id="28" name="image12.png"/>
                          <pic:cNvPicPr/>
                        </pic:nvPicPr>
                        <pic:blipFill>
                          <a:blip r:embed="rId23" cstate="print"/>
                          <a:stretch>
                            <a:fillRect/>
                          </a:stretch>
                        </pic:blipFill>
                        <pic:spPr>
                          <a:xfrm>
                            <a:off x="0" y="0"/>
                            <a:ext cx="959138" cy="351663"/>
                          </a:xfrm>
                          <a:prstGeom prst="rect">
                            <a:avLst/>
                          </a:prstGeom>
                        </pic:spPr>
                      </pic:pic>
                    </a:graphicData>
                  </a:graphic>
                </wp:inline>
              </w:drawing>
            </w:r>
            <w:r>
              <w:rPr>
                <w:rFonts w:ascii="宋体" w:hAnsi="宋体" w:cs="宋体" w:eastAsia="宋体" w:hint="default"/>
                <w:position w:val="-10"/>
                <w:sz w:val="20"/>
                <w:szCs w:val="20"/>
              </w:rPr>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4204286</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2006/11/21</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55" w:right="0"/>
              <w:jc w:val="left"/>
              <w:rPr>
                <w:rFonts w:ascii="Times New Roman" w:hAnsi="Times New Roman" w:cs="Times New Roman" w:eastAsia="Times New Roman" w:hint="default"/>
                <w:sz w:val="18"/>
                <w:szCs w:val="18"/>
              </w:rPr>
            </w:pPr>
            <w:r>
              <w:rPr>
                <w:rFonts w:ascii="Times New Roman"/>
                <w:sz w:val="18"/>
              </w:rPr>
              <w:t>2016/11/20</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59"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14</w:t>
            </w:r>
          </w:p>
        </w:tc>
        <w:tc>
          <w:tcPr>
            <w:tcW w:w="4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
                <w:szCs w:val="3"/>
              </w:rPr>
            </w:pPr>
          </w:p>
          <w:p>
            <w:pPr>
              <w:pStyle w:val="TableParagraph"/>
              <w:spacing w:line="548" w:lineRule="exact"/>
              <w:ind w:left="1408"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948836" cy="348138"/>
                  <wp:effectExtent l="0" t="0" r="0" b="0"/>
                  <wp:docPr id="29" name="image13.png" descr=""/>
                  <wp:cNvGraphicFramePr>
                    <a:graphicFrameLocks noChangeAspect="1"/>
                  </wp:cNvGraphicFramePr>
                  <a:graphic>
                    <a:graphicData uri="http://schemas.openxmlformats.org/drawingml/2006/picture">
                      <pic:pic>
                        <pic:nvPicPr>
                          <pic:cNvPr id="30" name="image13.png"/>
                          <pic:cNvPicPr/>
                        </pic:nvPicPr>
                        <pic:blipFill>
                          <a:blip r:embed="rId24" cstate="print"/>
                          <a:stretch>
                            <a:fillRect/>
                          </a:stretch>
                        </pic:blipFill>
                        <pic:spPr>
                          <a:xfrm>
                            <a:off x="0" y="0"/>
                            <a:ext cx="948836" cy="348138"/>
                          </a:xfrm>
                          <a:prstGeom prst="rect">
                            <a:avLst/>
                          </a:prstGeom>
                        </pic:spPr>
                      </pic:pic>
                    </a:graphicData>
                  </a:graphic>
                </wp:inline>
              </w:drawing>
            </w:r>
            <w:r>
              <w:rPr>
                <w:rFonts w:ascii="宋体" w:hAnsi="宋体" w:cs="宋体" w:eastAsia="宋体" w:hint="default"/>
                <w:position w:val="-10"/>
                <w:sz w:val="20"/>
                <w:szCs w:val="20"/>
              </w:rPr>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6143543</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2010/2/21</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00" w:right="0"/>
              <w:jc w:val="left"/>
              <w:rPr>
                <w:rFonts w:ascii="Times New Roman" w:hAnsi="Times New Roman" w:cs="Times New Roman" w:eastAsia="Times New Roman" w:hint="default"/>
                <w:sz w:val="18"/>
                <w:szCs w:val="18"/>
              </w:rPr>
            </w:pPr>
            <w:r>
              <w:rPr>
                <w:rFonts w:ascii="Times New Roman"/>
                <w:sz w:val="18"/>
              </w:rPr>
              <w:t>2020/2/20</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59"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w:t>
            </w:r>
          </w:p>
        </w:tc>
        <w:tc>
          <w:tcPr>
            <w:tcW w:w="4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8"/>
                <w:szCs w:val="8"/>
              </w:rPr>
            </w:pPr>
          </w:p>
          <w:p>
            <w:pPr>
              <w:pStyle w:val="TableParagraph"/>
              <w:spacing w:line="422" w:lineRule="exact"/>
              <w:ind w:left="980"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1507559" cy="268224"/>
                  <wp:effectExtent l="0" t="0" r="0" b="0"/>
                  <wp:docPr id="31" name="image14.jpeg" descr=""/>
                  <wp:cNvGraphicFramePr>
                    <a:graphicFrameLocks noChangeAspect="1"/>
                  </wp:cNvGraphicFramePr>
                  <a:graphic>
                    <a:graphicData uri="http://schemas.openxmlformats.org/drawingml/2006/picture">
                      <pic:pic>
                        <pic:nvPicPr>
                          <pic:cNvPr id="32" name="image14.jpeg"/>
                          <pic:cNvPicPr/>
                        </pic:nvPicPr>
                        <pic:blipFill>
                          <a:blip r:embed="rId25" cstate="print"/>
                          <a:stretch>
                            <a:fillRect/>
                          </a:stretch>
                        </pic:blipFill>
                        <pic:spPr>
                          <a:xfrm>
                            <a:off x="0" y="0"/>
                            <a:ext cx="1507559" cy="268224"/>
                          </a:xfrm>
                          <a:prstGeom prst="rect">
                            <a:avLst/>
                          </a:prstGeom>
                        </pic:spPr>
                      </pic:pic>
                    </a:graphicData>
                  </a:graphic>
                </wp:inline>
              </w:drawing>
            </w:r>
            <w:r>
              <w:rPr>
                <w:rFonts w:ascii="宋体" w:hAnsi="宋体" w:cs="宋体" w:eastAsia="宋体" w:hint="default"/>
                <w:position w:val="-7"/>
                <w:sz w:val="20"/>
                <w:szCs w:val="20"/>
              </w:rPr>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9240531</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2012/4/21</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00" w:right="0"/>
              <w:jc w:val="left"/>
              <w:rPr>
                <w:rFonts w:ascii="Times New Roman" w:hAnsi="Times New Roman" w:cs="Times New Roman" w:eastAsia="Times New Roman" w:hint="default"/>
                <w:sz w:val="18"/>
                <w:szCs w:val="18"/>
              </w:rPr>
            </w:pPr>
            <w:r>
              <w:rPr>
                <w:rFonts w:ascii="Times New Roman"/>
                <w:sz w:val="18"/>
              </w:rPr>
              <w:t>2022/4/20</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6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16</w:t>
            </w:r>
          </w:p>
        </w:tc>
        <w:tc>
          <w:tcPr>
            <w:tcW w:w="4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409" w:lineRule="exact"/>
              <w:ind w:left="376"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2269159" cy="259842"/>
                  <wp:effectExtent l="0" t="0" r="0" b="0"/>
                  <wp:docPr id="33" name="image15.jpeg" descr=""/>
                  <wp:cNvGraphicFramePr>
                    <a:graphicFrameLocks noChangeAspect="1"/>
                  </wp:cNvGraphicFramePr>
                  <a:graphic>
                    <a:graphicData uri="http://schemas.openxmlformats.org/drawingml/2006/picture">
                      <pic:pic>
                        <pic:nvPicPr>
                          <pic:cNvPr id="34" name="image15.jpeg"/>
                          <pic:cNvPicPr/>
                        </pic:nvPicPr>
                        <pic:blipFill>
                          <a:blip r:embed="rId26" cstate="print"/>
                          <a:stretch>
                            <a:fillRect/>
                          </a:stretch>
                        </pic:blipFill>
                        <pic:spPr>
                          <a:xfrm>
                            <a:off x="0" y="0"/>
                            <a:ext cx="2269159" cy="259842"/>
                          </a:xfrm>
                          <a:prstGeom prst="rect">
                            <a:avLst/>
                          </a:prstGeom>
                        </pic:spPr>
                      </pic:pic>
                    </a:graphicData>
                  </a:graphic>
                </wp:inline>
              </w:drawing>
            </w:r>
            <w:r>
              <w:rPr>
                <w:rFonts w:ascii="宋体" w:hAnsi="宋体" w:cs="宋体" w:eastAsia="宋体" w:hint="default"/>
                <w:position w:val="-7"/>
                <w:sz w:val="20"/>
                <w:szCs w:val="20"/>
              </w:rPr>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11539512</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2014/3/7</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45" w:right="0"/>
              <w:jc w:val="left"/>
              <w:rPr>
                <w:rFonts w:ascii="Times New Roman" w:hAnsi="Times New Roman" w:cs="Times New Roman" w:eastAsia="Times New Roman" w:hint="default"/>
                <w:sz w:val="18"/>
                <w:szCs w:val="18"/>
              </w:rPr>
            </w:pPr>
            <w:r>
              <w:rPr>
                <w:rFonts w:ascii="Times New Roman"/>
                <w:sz w:val="18"/>
              </w:rPr>
              <w:t>2024/3/6</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59"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17</w:t>
            </w:r>
          </w:p>
        </w:tc>
        <w:tc>
          <w:tcPr>
            <w:tcW w:w="4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4"/>
                <w:szCs w:val="4"/>
              </w:rPr>
            </w:pPr>
          </w:p>
          <w:p>
            <w:pPr>
              <w:pStyle w:val="TableParagraph"/>
              <w:spacing w:line="503" w:lineRule="exact"/>
              <w:ind w:left="1221" w:right="0"/>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1180206" cy="319468"/>
                  <wp:effectExtent l="0" t="0" r="0" b="0"/>
                  <wp:docPr id="35" name="image16.jpeg" descr=""/>
                  <wp:cNvGraphicFramePr>
                    <a:graphicFrameLocks noChangeAspect="1"/>
                  </wp:cNvGraphicFramePr>
                  <a:graphic>
                    <a:graphicData uri="http://schemas.openxmlformats.org/drawingml/2006/picture">
                      <pic:pic>
                        <pic:nvPicPr>
                          <pic:cNvPr id="36" name="image16.jpeg"/>
                          <pic:cNvPicPr/>
                        </pic:nvPicPr>
                        <pic:blipFill>
                          <a:blip r:embed="rId27" cstate="print"/>
                          <a:stretch>
                            <a:fillRect/>
                          </a:stretch>
                        </pic:blipFill>
                        <pic:spPr>
                          <a:xfrm>
                            <a:off x="0" y="0"/>
                            <a:ext cx="1180206" cy="319468"/>
                          </a:xfrm>
                          <a:prstGeom prst="rect">
                            <a:avLst/>
                          </a:prstGeom>
                        </pic:spPr>
                      </pic:pic>
                    </a:graphicData>
                  </a:graphic>
                </wp:inline>
              </w:drawing>
            </w:r>
            <w:r>
              <w:rPr>
                <w:rFonts w:ascii="宋体" w:hAnsi="宋体" w:cs="宋体" w:eastAsia="宋体" w:hint="default"/>
                <w:position w:val="-9"/>
                <w:sz w:val="20"/>
                <w:szCs w:val="20"/>
              </w:rPr>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11714840</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2014/4/14</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500" w:right="0"/>
              <w:jc w:val="left"/>
              <w:rPr>
                <w:rFonts w:ascii="Times New Roman" w:hAnsi="Times New Roman" w:cs="Times New Roman" w:eastAsia="Times New Roman" w:hint="default"/>
                <w:sz w:val="18"/>
                <w:szCs w:val="18"/>
              </w:rPr>
            </w:pPr>
            <w:r>
              <w:rPr>
                <w:rFonts w:ascii="Times New Roman"/>
                <w:sz w:val="18"/>
              </w:rPr>
              <w:t>2024/4/13</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59"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18</w:t>
            </w:r>
          </w:p>
        </w:tc>
        <w:tc>
          <w:tcPr>
            <w:tcW w:w="4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6"/>
                <w:szCs w:val="6"/>
              </w:rPr>
            </w:pPr>
          </w:p>
          <w:p>
            <w:pPr>
              <w:pStyle w:val="TableParagraph"/>
              <w:spacing w:line="468" w:lineRule="exact"/>
              <w:ind w:left="1177"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1256155" cy="297561"/>
                  <wp:effectExtent l="0" t="0" r="0" b="0"/>
                  <wp:docPr id="37" name="image17.jpeg" descr=""/>
                  <wp:cNvGraphicFramePr>
                    <a:graphicFrameLocks noChangeAspect="1"/>
                  </wp:cNvGraphicFramePr>
                  <a:graphic>
                    <a:graphicData uri="http://schemas.openxmlformats.org/drawingml/2006/picture">
                      <pic:pic>
                        <pic:nvPicPr>
                          <pic:cNvPr id="38" name="image17.jpeg"/>
                          <pic:cNvPicPr/>
                        </pic:nvPicPr>
                        <pic:blipFill>
                          <a:blip r:embed="rId28" cstate="print"/>
                          <a:stretch>
                            <a:fillRect/>
                          </a:stretch>
                        </pic:blipFill>
                        <pic:spPr>
                          <a:xfrm>
                            <a:off x="0" y="0"/>
                            <a:ext cx="1256155" cy="297561"/>
                          </a:xfrm>
                          <a:prstGeom prst="rect">
                            <a:avLst/>
                          </a:prstGeom>
                        </pic:spPr>
                      </pic:pic>
                    </a:graphicData>
                  </a:graphic>
                </wp:inline>
              </w:drawing>
            </w:r>
            <w:r>
              <w:rPr>
                <w:rFonts w:ascii="宋体" w:hAnsi="宋体" w:cs="宋体" w:eastAsia="宋体" w:hint="default"/>
                <w:position w:val="-8"/>
                <w:sz w:val="20"/>
                <w:szCs w:val="20"/>
              </w:rPr>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11714841</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2014/4/14</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00" w:right="0"/>
              <w:jc w:val="left"/>
              <w:rPr>
                <w:rFonts w:ascii="Times New Roman" w:hAnsi="Times New Roman" w:cs="Times New Roman" w:eastAsia="Times New Roman" w:hint="default"/>
                <w:sz w:val="18"/>
                <w:szCs w:val="18"/>
              </w:rPr>
            </w:pPr>
            <w:r>
              <w:rPr>
                <w:rFonts w:ascii="Times New Roman"/>
                <w:sz w:val="18"/>
              </w:rPr>
              <w:t>2024/4/13</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59"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w:t>
            </w:r>
          </w:p>
        </w:tc>
        <w:tc>
          <w:tcPr>
            <w:tcW w:w="4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8"/>
                <w:szCs w:val="8"/>
              </w:rPr>
            </w:pPr>
          </w:p>
          <w:p>
            <w:pPr>
              <w:pStyle w:val="TableParagraph"/>
              <w:spacing w:line="399" w:lineRule="exact"/>
              <w:ind w:left="1251"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1145240" cy="253936"/>
                  <wp:effectExtent l="0" t="0" r="0" b="0"/>
                  <wp:docPr id="39" name="image18.jpeg" descr=""/>
                  <wp:cNvGraphicFramePr>
                    <a:graphicFrameLocks noChangeAspect="1"/>
                  </wp:cNvGraphicFramePr>
                  <a:graphic>
                    <a:graphicData uri="http://schemas.openxmlformats.org/drawingml/2006/picture">
                      <pic:pic>
                        <pic:nvPicPr>
                          <pic:cNvPr id="40" name="image18.jpeg"/>
                          <pic:cNvPicPr/>
                        </pic:nvPicPr>
                        <pic:blipFill>
                          <a:blip r:embed="rId29" cstate="print"/>
                          <a:stretch>
                            <a:fillRect/>
                          </a:stretch>
                        </pic:blipFill>
                        <pic:spPr>
                          <a:xfrm>
                            <a:off x="0" y="0"/>
                            <a:ext cx="1145240" cy="253936"/>
                          </a:xfrm>
                          <a:prstGeom prst="rect">
                            <a:avLst/>
                          </a:prstGeom>
                        </pic:spPr>
                      </pic:pic>
                    </a:graphicData>
                  </a:graphic>
                </wp:inline>
              </w:drawing>
            </w:r>
            <w:r>
              <w:rPr>
                <w:rFonts w:ascii="宋体" w:hAnsi="宋体" w:cs="宋体" w:eastAsia="宋体" w:hint="default"/>
                <w:position w:val="-7"/>
                <w:sz w:val="20"/>
                <w:szCs w:val="20"/>
              </w:rPr>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11714842</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2014/4/14</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00" w:right="0"/>
              <w:jc w:val="left"/>
              <w:rPr>
                <w:rFonts w:ascii="Times New Roman" w:hAnsi="Times New Roman" w:cs="Times New Roman" w:eastAsia="Times New Roman" w:hint="default"/>
                <w:sz w:val="18"/>
                <w:szCs w:val="18"/>
              </w:rPr>
            </w:pPr>
            <w:r>
              <w:rPr>
                <w:rFonts w:ascii="Times New Roman"/>
                <w:sz w:val="18"/>
              </w:rPr>
              <w:t>2024/4/13</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6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w:t>
            </w:r>
          </w:p>
        </w:tc>
        <w:tc>
          <w:tcPr>
            <w:tcW w:w="4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399" w:lineRule="exact"/>
              <w:ind w:left="1048"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1401704" cy="253936"/>
                  <wp:effectExtent l="0" t="0" r="0" b="0"/>
                  <wp:docPr id="41" name="image19.jpeg" descr=""/>
                  <wp:cNvGraphicFramePr>
                    <a:graphicFrameLocks noChangeAspect="1"/>
                  </wp:cNvGraphicFramePr>
                  <a:graphic>
                    <a:graphicData uri="http://schemas.openxmlformats.org/drawingml/2006/picture">
                      <pic:pic>
                        <pic:nvPicPr>
                          <pic:cNvPr id="42" name="image19.jpeg"/>
                          <pic:cNvPicPr/>
                        </pic:nvPicPr>
                        <pic:blipFill>
                          <a:blip r:embed="rId30" cstate="print"/>
                          <a:stretch>
                            <a:fillRect/>
                          </a:stretch>
                        </pic:blipFill>
                        <pic:spPr>
                          <a:xfrm>
                            <a:off x="0" y="0"/>
                            <a:ext cx="1401704" cy="253936"/>
                          </a:xfrm>
                          <a:prstGeom prst="rect">
                            <a:avLst/>
                          </a:prstGeom>
                        </pic:spPr>
                      </pic:pic>
                    </a:graphicData>
                  </a:graphic>
                </wp:inline>
              </w:drawing>
            </w:r>
            <w:r>
              <w:rPr>
                <w:rFonts w:ascii="宋体" w:hAnsi="宋体" w:cs="宋体" w:eastAsia="宋体" w:hint="default"/>
                <w:position w:val="-7"/>
                <w:sz w:val="20"/>
                <w:szCs w:val="20"/>
              </w:rPr>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11714843</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2014/4/14</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00" w:right="0"/>
              <w:jc w:val="left"/>
              <w:rPr>
                <w:rFonts w:ascii="Times New Roman" w:hAnsi="Times New Roman" w:cs="Times New Roman" w:eastAsia="Times New Roman" w:hint="default"/>
                <w:sz w:val="18"/>
                <w:szCs w:val="18"/>
              </w:rPr>
            </w:pPr>
            <w:r>
              <w:rPr>
                <w:rFonts w:ascii="Times New Roman"/>
                <w:sz w:val="18"/>
              </w:rPr>
              <w:t>2024/4/13</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东方通</w:t>
            </w:r>
          </w:p>
        </w:tc>
      </w:tr>
    </w:tbl>
    <w:p>
      <w:pPr>
        <w:spacing w:after="0" w:line="240" w:lineRule="auto"/>
        <w:jc w:val="left"/>
        <w:rPr>
          <w:rFonts w:ascii="宋体" w:hAnsi="宋体" w:cs="宋体" w:eastAsia="宋体" w:hint="default"/>
          <w:sz w:val="18"/>
          <w:szCs w:val="18"/>
        </w:rPr>
        <w:sectPr>
          <w:pgSz w:w="16840" w:h="11910" w:orient="landscape"/>
          <w:pgMar w:header="867" w:footer="979" w:top="1140" w:bottom="1160" w:left="1300" w:right="1300"/>
        </w:sectPr>
      </w:pPr>
    </w:p>
    <w:tbl>
      <w:tblPr>
        <w:tblW w:w="0" w:type="auto"/>
        <w:jc w:val="left"/>
        <w:tblInd w:w="123" w:type="dxa"/>
        <w:tblLayout w:type="fixed"/>
        <w:tblCellMar>
          <w:top w:w="0" w:type="dxa"/>
          <w:left w:w="0" w:type="dxa"/>
          <w:bottom w:w="0" w:type="dxa"/>
          <w:right w:w="0" w:type="dxa"/>
        </w:tblCellMar>
        <w:tblLook w:val="01E0"/>
      </w:tblPr>
      <w:tblGrid>
        <w:gridCol w:w="923"/>
        <w:gridCol w:w="4334"/>
        <w:gridCol w:w="2298"/>
        <w:gridCol w:w="1669"/>
        <w:gridCol w:w="1542"/>
        <w:gridCol w:w="1745"/>
        <w:gridCol w:w="1468"/>
      </w:tblGrid>
      <w:tr>
        <w:trPr>
          <w:trHeight w:val="329" w:hRule="exact"/>
        </w:trPr>
        <w:tc>
          <w:tcPr>
            <w:tcW w:w="92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3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b/>
                <w:bCs/>
                <w:sz w:val="18"/>
                <w:szCs w:val="18"/>
              </w:rPr>
              <w:t>商标图样</w:t>
            </w:r>
            <w:r>
              <w:rPr>
                <w:rFonts w:ascii="宋体" w:hAnsi="宋体" w:cs="宋体" w:eastAsia="宋体" w:hint="default"/>
                <w:sz w:val="18"/>
                <w:szCs w:val="18"/>
              </w:rPr>
            </w:r>
          </w:p>
        </w:tc>
        <w:tc>
          <w:tcPr>
            <w:tcW w:w="22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b/>
                <w:bCs/>
                <w:sz w:val="18"/>
                <w:szCs w:val="18"/>
              </w:rPr>
              <w:t>核定服务项目</w:t>
            </w:r>
            <w:r>
              <w:rPr>
                <w:rFonts w:ascii="宋体" w:hAnsi="宋体" w:cs="宋体" w:eastAsia="宋体" w:hint="default"/>
                <w:sz w:val="18"/>
                <w:szCs w:val="18"/>
              </w:rPr>
            </w:r>
          </w:p>
        </w:tc>
        <w:tc>
          <w:tcPr>
            <w:tcW w:w="16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商标注册号</w:t>
            </w:r>
            <w:r>
              <w:rPr>
                <w:rFonts w:ascii="宋体" w:hAnsi="宋体" w:cs="宋体" w:eastAsia="宋体" w:hint="default"/>
                <w:sz w:val="18"/>
                <w:szCs w:val="18"/>
              </w:rPr>
            </w:r>
          </w:p>
        </w:tc>
        <w:tc>
          <w:tcPr>
            <w:tcW w:w="15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注册期</w:t>
            </w:r>
            <w:r>
              <w:rPr>
                <w:rFonts w:ascii="宋体" w:hAnsi="宋体" w:cs="宋体" w:eastAsia="宋体" w:hint="default"/>
                <w:sz w:val="18"/>
                <w:szCs w:val="18"/>
              </w:rPr>
            </w:r>
          </w:p>
        </w:tc>
        <w:tc>
          <w:tcPr>
            <w:tcW w:w="17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有效期</w:t>
            </w:r>
            <w:r>
              <w:rPr>
                <w:rFonts w:ascii="宋体" w:hAnsi="宋体" w:cs="宋体" w:eastAsia="宋体" w:hint="default"/>
                <w:sz w:val="18"/>
                <w:szCs w:val="18"/>
              </w:rPr>
            </w:r>
          </w:p>
        </w:tc>
        <w:tc>
          <w:tcPr>
            <w:tcW w:w="14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ind w:left="455" w:right="0"/>
              <w:jc w:val="left"/>
              <w:rPr>
                <w:rFonts w:ascii="宋体" w:hAnsi="宋体" w:cs="宋体" w:eastAsia="宋体" w:hint="default"/>
                <w:sz w:val="18"/>
                <w:szCs w:val="18"/>
              </w:rPr>
            </w:pPr>
            <w:r>
              <w:rPr>
                <w:rFonts w:ascii="宋体" w:hAnsi="宋体" w:cs="宋体" w:eastAsia="宋体" w:hint="default"/>
                <w:b/>
                <w:bCs/>
                <w:sz w:val="18"/>
                <w:szCs w:val="18"/>
              </w:rPr>
              <w:t>注册人</w:t>
            </w:r>
            <w:r>
              <w:rPr>
                <w:rFonts w:ascii="宋体" w:hAnsi="宋体" w:cs="宋体" w:eastAsia="宋体" w:hint="default"/>
                <w:sz w:val="18"/>
                <w:szCs w:val="18"/>
              </w:rPr>
            </w:r>
          </w:p>
        </w:tc>
      </w:tr>
      <w:tr>
        <w:trPr>
          <w:trHeight w:val="1283"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21</w:t>
            </w:r>
          </w:p>
        </w:tc>
        <w:tc>
          <w:tcPr>
            <w:tcW w:w="4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996" w:lineRule="exact"/>
              <w:ind w:left="1565" w:right="0"/>
              <w:jc w:val="left"/>
              <w:rPr>
                <w:rFonts w:ascii="宋体" w:hAnsi="宋体" w:cs="宋体" w:eastAsia="宋体" w:hint="default"/>
                <w:sz w:val="20"/>
                <w:szCs w:val="20"/>
              </w:rPr>
            </w:pPr>
            <w:r>
              <w:rPr>
                <w:rFonts w:ascii="宋体" w:hAnsi="宋体" w:cs="宋体" w:eastAsia="宋体" w:hint="default"/>
                <w:position w:val="-19"/>
                <w:sz w:val="20"/>
                <w:szCs w:val="20"/>
              </w:rPr>
              <w:drawing>
                <wp:inline distT="0" distB="0" distL="0" distR="0">
                  <wp:extent cx="760435" cy="632840"/>
                  <wp:effectExtent l="0" t="0" r="0" b="0"/>
                  <wp:docPr id="43" name="image20.jpeg" descr=""/>
                  <wp:cNvGraphicFramePr>
                    <a:graphicFrameLocks noChangeAspect="1"/>
                  </wp:cNvGraphicFramePr>
                  <a:graphic>
                    <a:graphicData uri="http://schemas.openxmlformats.org/drawingml/2006/picture">
                      <pic:pic>
                        <pic:nvPicPr>
                          <pic:cNvPr id="44" name="image20.jpeg"/>
                          <pic:cNvPicPr/>
                        </pic:nvPicPr>
                        <pic:blipFill>
                          <a:blip r:embed="rId31" cstate="print"/>
                          <a:stretch>
                            <a:fillRect/>
                          </a:stretch>
                        </pic:blipFill>
                        <pic:spPr>
                          <a:xfrm>
                            <a:off x="0" y="0"/>
                            <a:ext cx="760435" cy="632840"/>
                          </a:xfrm>
                          <a:prstGeom prst="rect">
                            <a:avLst/>
                          </a:prstGeom>
                        </pic:spPr>
                      </pic:pic>
                    </a:graphicData>
                  </a:graphic>
                </wp:inline>
              </w:drawing>
            </w:r>
            <w:r>
              <w:rPr>
                <w:rFonts w:ascii="宋体" w:hAnsi="宋体" w:cs="宋体" w:eastAsia="宋体" w:hint="default"/>
                <w:position w:val="-19"/>
                <w:sz w:val="20"/>
                <w:szCs w:val="20"/>
              </w:rPr>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8065056</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2011/3/28</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500" w:right="0"/>
              <w:jc w:val="left"/>
              <w:rPr>
                <w:rFonts w:ascii="Times New Roman" w:hAnsi="Times New Roman" w:cs="Times New Roman" w:eastAsia="Times New Roman" w:hint="default"/>
                <w:sz w:val="18"/>
                <w:szCs w:val="18"/>
              </w:rPr>
            </w:pPr>
            <w:r>
              <w:rPr>
                <w:rFonts w:ascii="Times New Roman"/>
                <w:sz w:val="18"/>
              </w:rPr>
              <w:t>2021/3/27</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数字天堂</w:t>
            </w:r>
          </w:p>
        </w:tc>
      </w:tr>
      <w:tr>
        <w:trPr>
          <w:trHeight w:val="1283"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22</w:t>
            </w:r>
          </w:p>
        </w:tc>
        <w:tc>
          <w:tcPr>
            <w:tcW w:w="4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996" w:lineRule="exact"/>
              <w:ind w:left="1565" w:right="0"/>
              <w:jc w:val="left"/>
              <w:rPr>
                <w:rFonts w:ascii="宋体" w:hAnsi="宋体" w:cs="宋体" w:eastAsia="宋体" w:hint="default"/>
                <w:sz w:val="20"/>
                <w:szCs w:val="20"/>
              </w:rPr>
            </w:pPr>
            <w:r>
              <w:rPr>
                <w:rFonts w:ascii="宋体" w:hAnsi="宋体" w:cs="宋体" w:eastAsia="宋体" w:hint="default"/>
                <w:position w:val="-19"/>
                <w:sz w:val="20"/>
                <w:szCs w:val="20"/>
              </w:rPr>
              <w:drawing>
                <wp:inline distT="0" distB="0" distL="0" distR="0">
                  <wp:extent cx="759665" cy="632840"/>
                  <wp:effectExtent l="0" t="0" r="0" b="0"/>
                  <wp:docPr id="45" name="image20.jpeg" descr=""/>
                  <wp:cNvGraphicFramePr>
                    <a:graphicFrameLocks noChangeAspect="1"/>
                  </wp:cNvGraphicFramePr>
                  <a:graphic>
                    <a:graphicData uri="http://schemas.openxmlformats.org/drawingml/2006/picture">
                      <pic:pic>
                        <pic:nvPicPr>
                          <pic:cNvPr id="46" name="image20.jpeg"/>
                          <pic:cNvPicPr/>
                        </pic:nvPicPr>
                        <pic:blipFill>
                          <a:blip r:embed="rId31" cstate="print"/>
                          <a:stretch>
                            <a:fillRect/>
                          </a:stretch>
                        </pic:blipFill>
                        <pic:spPr>
                          <a:xfrm>
                            <a:off x="0" y="0"/>
                            <a:ext cx="759665" cy="632840"/>
                          </a:xfrm>
                          <a:prstGeom prst="rect">
                            <a:avLst/>
                          </a:prstGeom>
                        </pic:spPr>
                      </pic:pic>
                    </a:graphicData>
                  </a:graphic>
                </wp:inline>
              </w:drawing>
            </w:r>
            <w:r>
              <w:rPr>
                <w:rFonts w:ascii="宋体" w:hAnsi="宋体" w:cs="宋体" w:eastAsia="宋体" w:hint="default"/>
                <w:position w:val="-19"/>
                <w:sz w:val="20"/>
                <w:szCs w:val="20"/>
              </w:rPr>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38</w:t>
            </w:r>
            <w:r>
              <w:rPr>
                <w:rFonts w:ascii="宋体" w:hAnsi="宋体" w:cs="宋体" w:eastAsia="宋体" w:hint="default"/>
                <w:sz w:val="18"/>
                <w:szCs w:val="18"/>
              </w:rPr>
              <w:t>类</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8065055</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2011/4/7</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545" w:right="0"/>
              <w:jc w:val="left"/>
              <w:rPr>
                <w:rFonts w:ascii="Times New Roman" w:hAnsi="Times New Roman" w:cs="Times New Roman" w:eastAsia="Times New Roman" w:hint="default"/>
                <w:sz w:val="18"/>
                <w:szCs w:val="18"/>
              </w:rPr>
            </w:pPr>
            <w:r>
              <w:rPr>
                <w:rFonts w:ascii="Times New Roman"/>
                <w:sz w:val="18"/>
              </w:rPr>
              <w:t>2021/4/6</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数字天堂</w:t>
            </w:r>
          </w:p>
        </w:tc>
      </w:tr>
      <w:tr>
        <w:trPr>
          <w:trHeight w:val="1908"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23</w:t>
            </w:r>
          </w:p>
        </w:tc>
        <w:tc>
          <w:tcPr>
            <w:tcW w:w="4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5"/>
                <w:szCs w:val="5"/>
              </w:rPr>
            </w:pPr>
          </w:p>
          <w:p>
            <w:pPr>
              <w:pStyle w:val="TableParagraph"/>
              <w:spacing w:line="1722" w:lineRule="exact"/>
              <w:ind w:left="771" w:right="0"/>
              <w:jc w:val="left"/>
              <w:rPr>
                <w:rFonts w:ascii="宋体" w:hAnsi="宋体" w:cs="宋体" w:eastAsia="宋体" w:hint="default"/>
                <w:sz w:val="20"/>
                <w:szCs w:val="20"/>
              </w:rPr>
            </w:pPr>
            <w:r>
              <w:rPr>
                <w:rFonts w:ascii="宋体" w:hAnsi="宋体" w:cs="宋体" w:eastAsia="宋体" w:hint="default"/>
                <w:position w:val="-33"/>
                <w:sz w:val="20"/>
                <w:szCs w:val="20"/>
              </w:rPr>
              <w:drawing>
                <wp:inline distT="0" distB="0" distL="0" distR="0">
                  <wp:extent cx="1761643" cy="1093565"/>
                  <wp:effectExtent l="0" t="0" r="0" b="0"/>
                  <wp:docPr id="47" name="image21.jpeg" descr=""/>
                  <wp:cNvGraphicFramePr>
                    <a:graphicFrameLocks noChangeAspect="1"/>
                  </wp:cNvGraphicFramePr>
                  <a:graphic>
                    <a:graphicData uri="http://schemas.openxmlformats.org/drawingml/2006/picture">
                      <pic:pic>
                        <pic:nvPicPr>
                          <pic:cNvPr id="48" name="image21.jpeg"/>
                          <pic:cNvPicPr/>
                        </pic:nvPicPr>
                        <pic:blipFill>
                          <a:blip r:embed="rId32" cstate="print"/>
                          <a:stretch>
                            <a:fillRect/>
                          </a:stretch>
                        </pic:blipFill>
                        <pic:spPr>
                          <a:xfrm>
                            <a:off x="0" y="0"/>
                            <a:ext cx="1761643" cy="1093565"/>
                          </a:xfrm>
                          <a:prstGeom prst="rect">
                            <a:avLst/>
                          </a:prstGeom>
                        </pic:spPr>
                      </pic:pic>
                    </a:graphicData>
                  </a:graphic>
                </wp:inline>
              </w:drawing>
            </w:r>
            <w:r>
              <w:rPr>
                <w:rFonts w:ascii="宋体" w:hAnsi="宋体" w:cs="宋体" w:eastAsia="宋体" w:hint="default"/>
                <w:position w:val="-33"/>
                <w:sz w:val="20"/>
                <w:szCs w:val="20"/>
              </w:rPr>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00" w:lineRule="auto"/>
              <w:ind w:left="871" w:right="87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38</w:t>
            </w:r>
            <w:r>
              <w:rPr>
                <w:rFonts w:ascii="宋体" w:hAnsi="宋体" w:cs="宋体" w:eastAsia="宋体" w:hint="default"/>
                <w:sz w:val="18"/>
                <w:szCs w:val="18"/>
              </w:rPr>
              <w:t>类 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16759044</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2016/06/28</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55" w:right="0"/>
              <w:jc w:val="left"/>
              <w:rPr>
                <w:rFonts w:ascii="Times New Roman" w:hAnsi="Times New Roman" w:cs="Times New Roman" w:eastAsia="Times New Roman" w:hint="default"/>
                <w:sz w:val="18"/>
                <w:szCs w:val="18"/>
              </w:rPr>
            </w:pPr>
            <w:r>
              <w:rPr>
                <w:rFonts w:ascii="Times New Roman"/>
                <w:sz w:val="18"/>
              </w:rPr>
              <w:t>2026/06/27</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泰策科技</w:t>
            </w:r>
          </w:p>
        </w:tc>
      </w:tr>
      <w:tr>
        <w:trPr>
          <w:trHeight w:val="1595"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24</w:t>
            </w:r>
          </w:p>
        </w:tc>
        <w:tc>
          <w:tcPr>
            <w:tcW w:w="4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6"/>
                <w:szCs w:val="6"/>
              </w:rPr>
            </w:pPr>
          </w:p>
          <w:p>
            <w:pPr>
              <w:pStyle w:val="TableParagraph"/>
              <w:spacing w:line="1396" w:lineRule="exact"/>
              <w:ind w:left="761" w:right="0"/>
              <w:jc w:val="left"/>
              <w:rPr>
                <w:rFonts w:ascii="宋体" w:hAnsi="宋体" w:cs="宋体" w:eastAsia="宋体" w:hint="default"/>
                <w:sz w:val="20"/>
                <w:szCs w:val="20"/>
              </w:rPr>
            </w:pPr>
            <w:r>
              <w:rPr>
                <w:rFonts w:ascii="宋体" w:hAnsi="宋体" w:cs="宋体" w:eastAsia="宋体" w:hint="default"/>
                <w:position w:val="-27"/>
                <w:sz w:val="20"/>
                <w:szCs w:val="20"/>
              </w:rPr>
              <w:drawing>
                <wp:inline distT="0" distB="0" distL="0" distR="0">
                  <wp:extent cx="1771399" cy="886968"/>
                  <wp:effectExtent l="0" t="0" r="0" b="0"/>
                  <wp:docPr id="49" name="image22.jpeg" descr=""/>
                  <wp:cNvGraphicFramePr>
                    <a:graphicFrameLocks noChangeAspect="1"/>
                  </wp:cNvGraphicFramePr>
                  <a:graphic>
                    <a:graphicData uri="http://schemas.openxmlformats.org/drawingml/2006/picture">
                      <pic:pic>
                        <pic:nvPicPr>
                          <pic:cNvPr id="50" name="image22.jpeg"/>
                          <pic:cNvPicPr/>
                        </pic:nvPicPr>
                        <pic:blipFill>
                          <a:blip r:embed="rId33" cstate="print"/>
                          <a:stretch>
                            <a:fillRect/>
                          </a:stretch>
                        </pic:blipFill>
                        <pic:spPr>
                          <a:xfrm>
                            <a:off x="0" y="0"/>
                            <a:ext cx="1771399" cy="886968"/>
                          </a:xfrm>
                          <a:prstGeom prst="rect">
                            <a:avLst/>
                          </a:prstGeom>
                        </pic:spPr>
                      </pic:pic>
                    </a:graphicData>
                  </a:graphic>
                </wp:inline>
              </w:drawing>
            </w:r>
            <w:r>
              <w:rPr>
                <w:rFonts w:ascii="宋体" w:hAnsi="宋体" w:cs="宋体" w:eastAsia="宋体" w:hint="default"/>
                <w:position w:val="-27"/>
                <w:sz w:val="20"/>
                <w:szCs w:val="20"/>
              </w:rPr>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19059557</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2017/03/07</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5" w:right="0"/>
              <w:jc w:val="left"/>
              <w:rPr>
                <w:rFonts w:ascii="Times New Roman" w:hAnsi="Times New Roman" w:cs="Times New Roman" w:eastAsia="Times New Roman" w:hint="default"/>
                <w:sz w:val="18"/>
                <w:szCs w:val="18"/>
              </w:rPr>
            </w:pPr>
            <w:r>
              <w:rPr>
                <w:rFonts w:ascii="Times New Roman"/>
                <w:sz w:val="18"/>
              </w:rPr>
              <w:t>2027/03/06</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泰策科技</w:t>
            </w:r>
          </w:p>
        </w:tc>
      </w:tr>
      <w:tr>
        <w:trPr>
          <w:trHeight w:val="1283"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25</w:t>
            </w:r>
          </w:p>
        </w:tc>
        <w:tc>
          <w:tcPr>
            <w:tcW w:w="4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
                <w:szCs w:val="2"/>
              </w:rPr>
            </w:pPr>
          </w:p>
          <w:p>
            <w:pPr>
              <w:pStyle w:val="TableParagraph"/>
              <w:spacing w:line="1192" w:lineRule="exact"/>
              <w:ind w:left="789" w:right="0"/>
              <w:jc w:val="left"/>
              <w:rPr>
                <w:rFonts w:ascii="宋体" w:hAnsi="宋体" w:cs="宋体" w:eastAsia="宋体" w:hint="default"/>
                <w:sz w:val="20"/>
                <w:szCs w:val="20"/>
              </w:rPr>
            </w:pPr>
            <w:r>
              <w:rPr>
                <w:rFonts w:ascii="宋体" w:hAnsi="宋体" w:cs="宋体" w:eastAsia="宋体" w:hint="default"/>
                <w:position w:val="-23"/>
                <w:sz w:val="20"/>
                <w:szCs w:val="20"/>
              </w:rPr>
              <w:drawing>
                <wp:inline distT="0" distB="0" distL="0" distR="0">
                  <wp:extent cx="1737901" cy="757237"/>
                  <wp:effectExtent l="0" t="0" r="0" b="0"/>
                  <wp:docPr id="51" name="image23.jpeg" descr=""/>
                  <wp:cNvGraphicFramePr>
                    <a:graphicFrameLocks noChangeAspect="1"/>
                  </wp:cNvGraphicFramePr>
                  <a:graphic>
                    <a:graphicData uri="http://schemas.openxmlformats.org/drawingml/2006/picture">
                      <pic:pic>
                        <pic:nvPicPr>
                          <pic:cNvPr id="52" name="image23.jpeg"/>
                          <pic:cNvPicPr/>
                        </pic:nvPicPr>
                        <pic:blipFill>
                          <a:blip r:embed="rId34" cstate="print"/>
                          <a:stretch>
                            <a:fillRect/>
                          </a:stretch>
                        </pic:blipFill>
                        <pic:spPr>
                          <a:xfrm>
                            <a:off x="0" y="0"/>
                            <a:ext cx="1737901" cy="757237"/>
                          </a:xfrm>
                          <a:prstGeom prst="rect">
                            <a:avLst/>
                          </a:prstGeom>
                        </pic:spPr>
                      </pic:pic>
                    </a:graphicData>
                  </a:graphic>
                </wp:inline>
              </w:drawing>
            </w:r>
            <w:r>
              <w:rPr>
                <w:rFonts w:ascii="宋体" w:hAnsi="宋体" w:cs="宋体" w:eastAsia="宋体" w:hint="default"/>
                <w:position w:val="-23"/>
                <w:sz w:val="20"/>
                <w:szCs w:val="20"/>
              </w:rPr>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38</w:t>
            </w:r>
            <w:r>
              <w:rPr>
                <w:rFonts w:ascii="宋体" w:hAnsi="宋体" w:cs="宋体" w:eastAsia="宋体" w:hint="default"/>
                <w:sz w:val="18"/>
                <w:szCs w:val="18"/>
              </w:rPr>
              <w:t>类</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17734847</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2017/07/28</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55" w:right="0"/>
              <w:jc w:val="left"/>
              <w:rPr>
                <w:rFonts w:ascii="Times New Roman" w:hAnsi="Times New Roman" w:cs="Times New Roman" w:eastAsia="Times New Roman" w:hint="default"/>
                <w:sz w:val="18"/>
                <w:szCs w:val="18"/>
              </w:rPr>
            </w:pPr>
            <w:r>
              <w:rPr>
                <w:rFonts w:ascii="Times New Roman"/>
                <w:sz w:val="18"/>
              </w:rPr>
              <w:t>2027/07/27</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泰策科技</w:t>
            </w:r>
          </w:p>
        </w:tc>
      </w:tr>
    </w:tbl>
    <w:p>
      <w:pPr>
        <w:spacing w:after="0" w:line="240" w:lineRule="auto"/>
        <w:jc w:val="left"/>
        <w:rPr>
          <w:rFonts w:ascii="宋体" w:hAnsi="宋体" w:cs="宋体" w:eastAsia="宋体" w:hint="default"/>
          <w:sz w:val="18"/>
          <w:szCs w:val="18"/>
        </w:rPr>
        <w:sectPr>
          <w:pgSz w:w="16840" w:h="11910" w:orient="landscape"/>
          <w:pgMar w:header="867" w:footer="979" w:top="1140" w:bottom="1160" w:left="1300" w:right="1300"/>
        </w:sectPr>
      </w:pPr>
    </w:p>
    <w:p>
      <w:pPr>
        <w:spacing w:line="240" w:lineRule="auto" w:before="12"/>
        <w:rPr>
          <w:rFonts w:ascii="宋体" w:hAnsi="宋体" w:cs="宋体" w:eastAsia="宋体" w:hint="default"/>
          <w:sz w:val="21"/>
          <w:szCs w:val="21"/>
        </w:rPr>
      </w:pPr>
    </w:p>
    <w:p>
      <w:pPr>
        <w:pStyle w:val="Heading5"/>
        <w:spacing w:line="240" w:lineRule="auto" w:before="44"/>
        <w:ind w:left="515" w:right="967"/>
        <w:jc w:val="left"/>
        <w:rPr>
          <w:b w:val="0"/>
          <w:bCs w:val="0"/>
        </w:rPr>
      </w:pPr>
      <w:r>
        <w:rPr/>
        <w:t>（二）商业模式创新</w:t>
      </w:r>
      <w:r>
        <w:rPr>
          <w:b w:val="0"/>
          <w:bCs w:val="0"/>
        </w:rPr>
      </w:r>
    </w:p>
    <w:p>
      <w:pPr>
        <w:spacing w:line="240" w:lineRule="auto" w:before="0"/>
        <w:rPr>
          <w:rFonts w:ascii="宋体" w:hAnsi="宋体" w:cs="宋体" w:eastAsia="宋体" w:hint="default"/>
          <w:b/>
          <w:bCs/>
          <w:sz w:val="15"/>
          <w:szCs w:val="15"/>
        </w:rPr>
      </w:pPr>
    </w:p>
    <w:p>
      <w:pPr>
        <w:pStyle w:val="BodyText"/>
        <w:spacing w:line="319" w:lineRule="auto"/>
        <w:ind w:right="1131" w:firstLine="360"/>
        <w:jc w:val="both"/>
      </w:pPr>
      <w:r>
        <w:rPr>
          <w:spacing w:val="-2"/>
        </w:rPr>
        <w:t>公司上市以来，积极开拓进取，通过内生和外延的双轮驱动，围绕董事会制定的战略目标，改变了上市之初以基础软件</w:t>
      </w:r>
      <w:r>
        <w:rPr/>
        <w:t> </w:t>
      </w:r>
      <w:r>
        <w:rPr>
          <w:spacing w:val="-2"/>
        </w:rPr>
        <w:t>中间件作为唯一主业的局面。公司由原来的基础软件产品销售加维保服务的模式，以“自主可控、安全可靠”作为核心发展</w:t>
      </w:r>
      <w:r>
        <w:rPr>
          <w:spacing w:val="-66"/>
        </w:rPr>
        <w:t> </w:t>
      </w:r>
      <w:r>
        <w:rPr>
          <w:spacing w:val="-66"/>
        </w:rPr>
      </w:r>
      <w:r>
        <w:rPr>
          <w:spacing w:val="-2"/>
        </w:rPr>
        <w:t>理念，积极布局基础安全、信息安全、应急安全、网络安全、军工信息化等业务领域。未来，公司仍将在商业模式上持续创</w:t>
      </w:r>
      <w:r>
        <w:rPr>
          <w:spacing w:val="-72"/>
        </w:rPr>
        <w:t> </w:t>
      </w:r>
      <w:r>
        <w:rPr>
          <w:spacing w:val="-72"/>
        </w:rPr>
      </w:r>
      <w:r>
        <w:rPr/>
        <w:t>新，提升公司业绩与核心竞争力。</w:t>
      </w:r>
    </w:p>
    <w:p>
      <w:pPr>
        <w:pStyle w:val="BodyText"/>
        <w:spacing w:line="319" w:lineRule="auto" w:before="55"/>
        <w:ind w:right="1032" w:firstLine="360"/>
        <w:jc w:val="left"/>
      </w:pPr>
      <w:r>
        <w:rPr>
          <w:spacing w:val="-2"/>
        </w:rPr>
        <w:t>全资子公司微智信业专注于网络安全、信息安全和通信业务安全领域的研究和应用，从基础网络和信息管道着手，深入</w:t>
      </w:r>
      <w:r>
        <w:rPr/>
        <w:t> 研究各类安全问题在网络空间中的特征和传播形态，在安全分析、安全预警、和安全问题处置等专业有着独特的技术积累， </w:t>
      </w:r>
      <w:r>
        <w:rPr>
          <w:spacing w:val="-2"/>
        </w:rPr>
        <w:t>并形成了全面的解决方案。加大对安全风控业务的投入，实现对多种违法违规及恶意网站进行分类、可按类型、地域、行业</w:t>
      </w:r>
      <w:r>
        <w:rPr>
          <w:spacing w:val="-66"/>
        </w:rPr>
        <w:t> </w:t>
      </w:r>
      <w:r>
        <w:rPr>
          <w:spacing w:val="-66"/>
        </w:rPr>
      </w:r>
      <w:r>
        <w:rPr/>
        <w:t>等维度进行结果输出。为安全风控方向做好了技术积累，形成有效市场占有率。</w:t>
      </w:r>
    </w:p>
    <w:p>
      <w:pPr>
        <w:pStyle w:val="BodyText"/>
        <w:spacing w:line="430" w:lineRule="exact" w:before="3"/>
        <w:ind w:left="514" w:right="967" w:firstLine="1"/>
        <w:jc w:val="left"/>
      </w:pPr>
      <w:r>
        <w:rPr>
          <w:rFonts w:ascii="宋体" w:hAnsi="宋体" w:cs="宋体" w:eastAsia="宋体" w:hint="default"/>
          <w:b/>
          <w:bCs/>
        </w:rPr>
        <w:t>（三）管理模式创新</w:t>
      </w:r>
      <w:r>
        <w:rPr>
          <w:rFonts w:ascii="宋体" w:hAnsi="宋体" w:cs="宋体" w:eastAsia="宋体" w:hint="default"/>
          <w:b/>
          <w:bCs/>
          <w:w w:val="99"/>
        </w:rPr>
        <w:t> </w:t>
      </w:r>
      <w:r>
        <w:rPr>
          <w:spacing w:val="-2"/>
        </w:rPr>
        <w:t>公司通过持续外部引进（包括并购）与内部培养相结合的方式组建了管理团队。目前已形成上市公司管理与初始基础软</w:t>
      </w:r>
    </w:p>
    <w:p>
      <w:pPr>
        <w:pStyle w:val="BodyText"/>
        <w:spacing w:line="319" w:lineRule="auto" w:before="15"/>
        <w:ind w:right="1032"/>
        <w:jc w:val="left"/>
      </w:pPr>
      <w:r>
        <w:rPr>
          <w:spacing w:val="-2"/>
        </w:rPr>
        <w:t>件业务的逻辑分离，根据各业务板块的市场定位进一步整合，相互间保持协同，集团公司管理体系已初步建立。公司通过不</w:t>
      </w:r>
      <w:r>
        <w:rPr>
          <w:spacing w:val="-66"/>
        </w:rPr>
        <w:t> </w:t>
      </w:r>
      <w:r>
        <w:rPr>
          <w:spacing w:val="-66"/>
        </w:rPr>
      </w:r>
      <w:r>
        <w:rPr/>
        <w:t>断完善、优化与高效的用人机制，特别是强化激励机制和培训体系来吸纳与培养优秀经营管理人才、营销人才和科技人才， </w:t>
      </w:r>
      <w:r>
        <w:rPr>
          <w:spacing w:val="-2"/>
        </w:rPr>
        <w:t>建立科学的人力资源管理体系，进一步增强公司持续发展能力。同时，公司根据发展战略，确定以价值创造为基础的薪酬与</w:t>
      </w:r>
      <w:r>
        <w:rPr>
          <w:spacing w:val="-66"/>
        </w:rPr>
        <w:t> </w:t>
      </w:r>
      <w:r>
        <w:rPr>
          <w:spacing w:val="-66"/>
        </w:rPr>
      </w:r>
      <w:r>
        <w:rPr>
          <w:spacing w:val="-2"/>
        </w:rPr>
        <w:t>激励政策，以吸引更多的优秀人才，不断增强企业的核心竞争优势。管理模式的创新将为公司持续输送高质量人才管理团队</w:t>
      </w:r>
      <w:r>
        <w:rPr>
          <w:spacing w:val="-66"/>
        </w:rPr>
        <w:t> </w:t>
      </w:r>
      <w:r>
        <w:rPr>
          <w:spacing w:val="-66"/>
        </w:rPr>
      </w:r>
      <w:r>
        <w:rPr/>
        <w:t>和创新源泉，为公司的可持续发展提供不断支撑。</w:t>
      </w:r>
    </w:p>
    <w:p>
      <w:pPr>
        <w:spacing w:after="0" w:line="319" w:lineRule="auto"/>
        <w:jc w:val="left"/>
        <w:sectPr>
          <w:headerReference w:type="default" r:id="rId35"/>
          <w:footerReference w:type="default" r:id="rId36"/>
          <w:pgSz w:w="11910" w:h="16840"/>
          <w:pgMar w:header="877" w:footer="979" w:top="1100" w:bottom="1160" w:left="980" w:right="0"/>
          <w:pgNumType w:start="33"/>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2966" w:right="967"/>
        <w:jc w:val="left"/>
        <w:rPr>
          <w:b w:val="0"/>
          <w:bCs w:val="0"/>
        </w:rPr>
      </w:pPr>
      <w:bookmarkStart w:name="_TOC_250008" w:id="22"/>
      <w:bookmarkStart w:name="第四节 经营情况讨论与分析" w:id="23"/>
      <w:r>
        <w:rPr>
          <w:b w:val="0"/>
          <w:bCs w:val="0"/>
        </w:rPr>
      </w:r>
      <w:r>
        <w:rPr/>
        <w:t>第四节</w:t>
      </w:r>
      <w:r>
        <w:rPr>
          <w:spacing w:val="-8"/>
        </w:rPr>
        <w:t> </w:t>
      </w:r>
      <w:r>
        <w:rPr/>
        <w:t>经营情况讨论与分析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67"/>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29" w:firstLine="360"/>
        <w:jc w:val="both"/>
      </w:pPr>
      <w:r>
        <w:rPr>
          <w:spacing w:val="-6"/>
        </w:rPr>
        <w:t>报告期内，公司实现营业收入</w:t>
      </w:r>
      <w:r>
        <w:rPr>
          <w:rFonts w:ascii="宋体" w:hAnsi="宋体" w:cs="宋体" w:eastAsia="宋体" w:hint="default"/>
          <w:spacing w:val="-6"/>
        </w:rPr>
        <w:t>37,205.23</w:t>
      </w:r>
      <w:r>
        <w:rPr>
          <w:spacing w:val="-6"/>
        </w:rPr>
        <w:t>万元，较上年同期增长</w:t>
      </w:r>
      <w:r>
        <w:rPr>
          <w:rFonts w:ascii="宋体" w:hAnsi="宋体" w:cs="宋体" w:eastAsia="宋体" w:hint="default"/>
          <w:spacing w:val="-6"/>
        </w:rPr>
        <w:t>27.07%</w:t>
      </w:r>
      <w:r>
        <w:rPr>
          <w:spacing w:val="-6"/>
        </w:rPr>
        <w:t>；实现营业利润</w:t>
      </w:r>
      <w:r>
        <w:rPr>
          <w:rFonts w:ascii="宋体" w:hAnsi="宋体" w:cs="宋体" w:eastAsia="宋体" w:hint="default"/>
          <w:spacing w:val="-6"/>
        </w:rPr>
        <w:t>12,663.22</w:t>
      </w:r>
      <w:r>
        <w:rPr>
          <w:spacing w:val="-6"/>
        </w:rPr>
        <w:t>万元，利润总额</w:t>
      </w:r>
      <w:r>
        <w:rPr>
          <w:rFonts w:ascii="宋体" w:hAnsi="宋体" w:cs="宋体" w:eastAsia="宋体" w:hint="default"/>
          <w:spacing w:val="-6"/>
        </w:rPr>
        <w:t>12,646.02</w:t>
      </w:r>
      <w:r>
        <w:rPr>
          <w:rFonts w:ascii="宋体" w:hAnsi="宋体" w:cs="宋体" w:eastAsia="宋体" w:hint="default"/>
        </w:rPr>
        <w:t> </w:t>
      </w:r>
      <w:r>
        <w:rPr>
          <w:spacing w:val="-2"/>
        </w:rPr>
        <w:t>万元，归属于上市公司普通股股东的净利润</w:t>
      </w:r>
      <w:r>
        <w:rPr>
          <w:rFonts w:ascii="宋体" w:hAnsi="宋体" w:cs="宋体" w:eastAsia="宋体" w:hint="default"/>
          <w:spacing w:val="-2"/>
        </w:rPr>
        <w:t>12,216.86</w:t>
      </w:r>
      <w:r>
        <w:rPr>
          <w:spacing w:val="-2"/>
        </w:rPr>
        <w:t>万元，同比增长</w:t>
      </w:r>
      <w:r>
        <w:rPr>
          <w:rFonts w:ascii="宋体" w:hAnsi="宋体" w:cs="宋体" w:eastAsia="宋体" w:hint="default"/>
          <w:spacing w:val="-2"/>
        </w:rPr>
        <w:t>139.76%</w:t>
      </w:r>
      <w:r>
        <w:rPr>
          <w:spacing w:val="-2"/>
        </w:rPr>
        <w:t>。本报告期实现同比扭亏为盈，主要原因为上</w:t>
      </w:r>
      <w:r>
        <w:rPr>
          <w:spacing w:val="-51"/>
        </w:rPr>
        <w:t> </w:t>
      </w:r>
      <w:r>
        <w:rPr>
          <w:spacing w:val="-51"/>
        </w:rPr>
      </w:r>
      <w:r>
        <w:rPr>
          <w:spacing w:val="-2"/>
        </w:rPr>
        <w:t>年同期计提大额商誉减值准备导致亏损，同时本报告期收购北京泰策科技有限公司并纳入合并报表，以及公司整体管理效能</w:t>
      </w:r>
      <w:r>
        <w:rPr>
          <w:spacing w:val="-64"/>
        </w:rPr>
        <w:t> </w:t>
      </w:r>
      <w:r>
        <w:rPr>
          <w:spacing w:val="-64"/>
        </w:rPr>
      </w:r>
      <w:r>
        <w:rPr/>
        <w:t>提升导致营业收入和经营业绩同比增长。</w:t>
      </w:r>
    </w:p>
    <w:p>
      <w:pPr>
        <w:pStyle w:val="BodyText"/>
        <w:spacing w:line="240" w:lineRule="auto" w:before="56"/>
        <w:ind w:left="514" w:right="967"/>
        <w:jc w:val="left"/>
      </w:pPr>
      <w:r>
        <w:rPr/>
        <w:t>在完成经营目标的同时，公司在业务开拓、资本运作、员工激励等方面做了如下主要工作：</w:t>
      </w:r>
    </w:p>
    <w:p>
      <w:pPr>
        <w:pStyle w:val="Heading5"/>
        <w:spacing w:line="240" w:lineRule="auto" w:before="116"/>
        <w:ind w:left="514" w:right="967"/>
        <w:jc w:val="left"/>
        <w:rPr>
          <w:b w:val="0"/>
          <w:bCs w:val="0"/>
        </w:rPr>
      </w:pPr>
      <w:r>
        <w:rPr/>
        <w:t>（一）持续业务开拓，保持业绩增长。</w:t>
      </w:r>
      <w:r>
        <w:rPr>
          <w:b w:val="0"/>
          <w:bCs w:val="0"/>
        </w:rPr>
      </w:r>
    </w:p>
    <w:p>
      <w:pPr>
        <w:pStyle w:val="BodyText"/>
        <w:spacing w:line="357" w:lineRule="auto" w:before="117"/>
        <w:ind w:left="514" w:right="967"/>
        <w:jc w:val="left"/>
        <w:rPr>
          <w:rFonts w:ascii="宋体" w:hAnsi="宋体" w:cs="宋体" w:eastAsia="宋体" w:hint="default"/>
        </w:rPr>
      </w:pPr>
      <w:r>
        <w:rPr/>
        <w:t>（</w:t>
      </w:r>
      <w:r>
        <w:rPr>
          <w:rFonts w:ascii="宋体" w:hAnsi="宋体" w:cs="宋体" w:eastAsia="宋体" w:hint="default"/>
        </w:rPr>
        <w:t>1</w:t>
      </w:r>
      <w:r>
        <w:rPr/>
        <w:t>）基础安全板块方面： </w:t>
      </w:r>
      <w:r>
        <w:rPr>
          <w:spacing w:val="-2"/>
        </w:rPr>
        <w:t>整体来看，通过优化营销管理和销售政策，报告期内营销人员人均合同额实现较高增长，政府、金融和电信行业较</w:t>
      </w:r>
      <w:r>
        <w:rPr>
          <w:rFonts w:ascii="宋体" w:hAnsi="宋体" w:cs="宋体" w:eastAsia="宋体" w:hint="default"/>
          <w:spacing w:val="-2"/>
        </w:rPr>
        <w:t>2017</w:t>
      </w:r>
    </w:p>
    <w:p>
      <w:pPr>
        <w:pStyle w:val="BodyText"/>
        <w:spacing w:line="225" w:lineRule="exact"/>
        <w:ind w:right="967"/>
        <w:jc w:val="left"/>
      </w:pPr>
      <w:r>
        <w:rPr/>
        <w:t>年度增长明显。</w:t>
      </w:r>
    </w:p>
    <w:p>
      <w:pPr>
        <w:pStyle w:val="BodyText"/>
        <w:spacing w:line="357" w:lineRule="auto" w:before="116"/>
        <w:ind w:left="514" w:right="967"/>
        <w:jc w:val="left"/>
      </w:pPr>
      <w:r>
        <w:rPr/>
        <w:t>①数据共享交换 </w:t>
      </w:r>
      <w:r>
        <w:rPr>
          <w:spacing w:val="-2"/>
        </w:rPr>
        <w:t>在国产化的大背景下，政务共享交换业务在国家信息中心政务共享交换平台建设项目成功交付后，本报告期内持续进行</w:t>
      </w:r>
    </w:p>
    <w:p>
      <w:pPr>
        <w:pStyle w:val="BodyText"/>
        <w:spacing w:line="224" w:lineRule="exact"/>
        <w:ind w:right="967"/>
        <w:jc w:val="left"/>
      </w:pPr>
      <w:r>
        <w:rPr/>
        <w:t>全国范围的省级平台跟踪并取得成效，覆盖率达</w:t>
      </w:r>
      <w:r>
        <w:rPr>
          <w:rFonts w:ascii="宋体" w:hAnsi="宋体" w:cs="宋体" w:eastAsia="宋体" w:hint="default"/>
        </w:rPr>
        <w:t>70%</w:t>
      </w:r>
      <w:r>
        <w:rPr/>
        <w:t>，获得最大的市场份额。在国务院《政务信息系统整合共享实施方案》</w:t>
      </w:r>
    </w:p>
    <w:p>
      <w:pPr>
        <w:pStyle w:val="BodyText"/>
        <w:spacing w:line="319" w:lineRule="auto" w:before="76"/>
        <w:ind w:right="967"/>
        <w:jc w:val="left"/>
      </w:pPr>
      <w:r>
        <w:rPr>
          <w:spacing w:val="-2"/>
        </w:rPr>
        <w:t>文件的指导下，报告期内“海南政务信息资源共享交换”项目的成功签约，并提前完成交付进度，得到客户的高度认可，并</w:t>
      </w:r>
      <w:r>
        <w:rPr>
          <w:spacing w:val="-67"/>
        </w:rPr>
        <w:t> </w:t>
      </w:r>
      <w:r>
        <w:rPr>
          <w:spacing w:val="-67"/>
        </w:rPr>
      </w:r>
      <w:r>
        <w:rPr/>
        <w:t>成功中标“上海大数据中心共享交换”项目。</w:t>
      </w:r>
    </w:p>
    <w:p>
      <w:pPr>
        <w:pStyle w:val="BodyText"/>
        <w:spacing w:line="357" w:lineRule="auto" w:before="56"/>
        <w:ind w:left="514" w:right="967"/>
        <w:jc w:val="left"/>
      </w:pPr>
      <w:r>
        <w:rPr/>
        <w:t>②安全可靠二期 </w:t>
      </w:r>
      <w:r>
        <w:rPr>
          <w:spacing w:val="-2"/>
        </w:rPr>
        <w:t>报告期内，在以往用户与合作伙伴资源的基础上，继续加大“安可”项目的拓展力度，利用品牌和产品优势，取得了较</w:t>
      </w:r>
    </w:p>
    <w:p>
      <w:pPr>
        <w:pStyle w:val="BodyText"/>
        <w:spacing w:line="224" w:lineRule="exact"/>
        <w:ind w:right="967"/>
        <w:jc w:val="left"/>
      </w:pPr>
      <w:r>
        <w:rPr/>
        <w:t>大“安可”项目市场份额。安全可靠项目的试点与推广代表国家重视自主可控的强烈意志，预计在</w:t>
      </w:r>
      <w:r>
        <w:rPr>
          <w:rFonts w:ascii="宋体" w:hAnsi="宋体" w:cs="宋体" w:eastAsia="宋体" w:hint="default"/>
        </w:rPr>
        <w:t>2019</w:t>
      </w:r>
      <w:r>
        <w:rPr/>
        <w:t>年乃至以后将继续促</w:t>
      </w:r>
    </w:p>
    <w:p>
      <w:pPr>
        <w:pStyle w:val="BodyText"/>
        <w:spacing w:line="240" w:lineRule="auto" w:before="77"/>
        <w:ind w:right="967"/>
        <w:jc w:val="left"/>
      </w:pPr>
      <w:r>
        <w:rPr/>
        <w:t>进公司拓展业务，公司力争有更多产品进入“安可”产品名录。</w:t>
      </w:r>
    </w:p>
    <w:p>
      <w:pPr>
        <w:pStyle w:val="BodyText"/>
        <w:spacing w:line="357" w:lineRule="auto" w:before="117"/>
        <w:ind w:left="514" w:right="967"/>
        <w:jc w:val="left"/>
      </w:pPr>
      <w:r>
        <w:rPr/>
        <w:t>③金融行业的品牌推广和新销售模式创新 </w:t>
      </w:r>
      <w:r>
        <w:rPr>
          <w:spacing w:val="-2"/>
        </w:rPr>
        <w:t>金融行业继续发挥关键客户作用，通过“反洗钱”、“货发二代”、“人行账户报送”等项目辐射整个银行业。在金融</w:t>
      </w:r>
    </w:p>
    <w:p>
      <w:pPr>
        <w:pStyle w:val="BodyText"/>
        <w:spacing w:line="225" w:lineRule="exact"/>
        <w:ind w:right="967"/>
        <w:jc w:val="left"/>
      </w:pPr>
      <w:r>
        <w:rPr/>
        <w:t>行业树立了广泛的品牌知名度，为迎接金融行业安可业务机会打下良好基础。</w:t>
      </w:r>
    </w:p>
    <w:p>
      <w:pPr>
        <w:pStyle w:val="BodyText"/>
        <w:spacing w:line="240" w:lineRule="auto" w:before="116"/>
        <w:ind w:left="514" w:right="967"/>
        <w:jc w:val="left"/>
      </w:pPr>
      <w:r>
        <w:rPr/>
        <w:t>（</w:t>
      </w:r>
      <w:r>
        <w:rPr>
          <w:rFonts w:ascii="宋体" w:hAnsi="宋体" w:cs="宋体" w:eastAsia="宋体" w:hint="default"/>
        </w:rPr>
        <w:t>2</w:t>
      </w:r>
      <w:r>
        <w:rPr/>
        <w:t>）行业安全板块方面：</w:t>
      </w:r>
    </w:p>
    <w:p>
      <w:pPr>
        <w:pStyle w:val="BodyText"/>
        <w:spacing w:line="357" w:lineRule="auto" w:before="117"/>
        <w:ind w:left="514" w:right="967"/>
        <w:jc w:val="left"/>
      </w:pPr>
      <w:r>
        <w:rPr/>
        <w:t>①信息安全 </w:t>
      </w:r>
      <w:r>
        <w:rPr>
          <w:spacing w:val="-2"/>
        </w:rPr>
        <w:t>报告期内，公司业务开拓成效显著，在传统优势领域继续领先，同时在安全服务方面取得一定突破。传统产品销售区域</w:t>
      </w:r>
    </w:p>
    <w:p>
      <w:pPr>
        <w:pStyle w:val="BodyText"/>
        <w:spacing w:line="224" w:lineRule="exact"/>
        <w:ind w:right="967"/>
        <w:jc w:val="left"/>
      </w:pPr>
      <w:r>
        <w:rPr>
          <w:spacing w:val="-4"/>
        </w:rPr>
        <w:t>方面，除原有地区外，</w:t>
      </w:r>
      <w:r>
        <w:rPr>
          <w:rFonts w:ascii="宋体" w:hAnsi="宋体" w:cs="宋体" w:eastAsia="宋体" w:hint="default"/>
          <w:spacing w:val="-4"/>
        </w:rPr>
        <w:t>2018</w:t>
      </w:r>
      <w:r>
        <w:rPr>
          <w:spacing w:val="-4"/>
        </w:rPr>
        <w:t>年成功拓展了北京移动、陕西联通、中移全通等客户，同时安全服务业务已在多个省份成功部署，</w:t>
      </w:r>
    </w:p>
    <w:p>
      <w:pPr>
        <w:pStyle w:val="BodyText"/>
        <w:spacing w:line="319" w:lineRule="auto" w:before="76"/>
        <w:ind w:right="967"/>
        <w:jc w:val="left"/>
      </w:pPr>
      <w:r>
        <w:rPr>
          <w:spacing w:val="-2"/>
        </w:rPr>
        <w:t>为客户的网络安全保驾护航提供了更有利的保障。成功入围河北联通、山西联通供应商集采名单，为后续入进省分联通市场</w:t>
      </w:r>
      <w:r>
        <w:rPr>
          <w:spacing w:val="-66"/>
        </w:rPr>
        <w:t> </w:t>
      </w:r>
      <w:r>
        <w:rPr>
          <w:spacing w:val="-66"/>
        </w:rPr>
      </w:r>
      <w:r>
        <w:rPr/>
        <w:t>打下了夯实的基础。</w:t>
      </w:r>
    </w:p>
    <w:p>
      <w:pPr>
        <w:pStyle w:val="BodyText"/>
        <w:spacing w:line="357" w:lineRule="auto" w:before="56"/>
        <w:ind w:left="514" w:right="967"/>
        <w:jc w:val="left"/>
      </w:pPr>
      <w:r>
        <w:rPr/>
        <w:t>②通信业务安全 </w:t>
      </w: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月，工业和信息化部办公厅印发《关于推进综合整治骚扰电话专项行动的工作方案》的通知，公司完成了防骚</w:t>
      </w:r>
    </w:p>
    <w:p>
      <w:pPr>
        <w:pStyle w:val="BodyText"/>
        <w:spacing w:line="225" w:lineRule="exact"/>
        <w:ind w:right="967"/>
        <w:jc w:val="left"/>
      </w:pPr>
      <w:r>
        <w:rPr/>
        <w:t>扰防诈骗专项整体解决方案，抢占市场先机，同步安排开展全国省份的技术交流和市场部署。</w:t>
      </w:r>
    </w:p>
    <w:p>
      <w:pPr>
        <w:pStyle w:val="BodyText"/>
        <w:spacing w:line="357" w:lineRule="auto" w:before="116"/>
        <w:ind w:left="604" w:right="1212" w:hanging="90"/>
        <w:jc w:val="left"/>
        <w:rPr>
          <w:rFonts w:ascii="宋体" w:hAnsi="宋体" w:cs="宋体" w:eastAsia="宋体" w:hint="default"/>
        </w:rPr>
      </w:pPr>
      <w:r>
        <w:rPr/>
        <w:t>③基础通信安全 基于运营商</w:t>
      </w:r>
      <w:r>
        <w:rPr>
          <w:rFonts w:ascii="宋体" w:hAnsi="宋体" w:cs="宋体" w:eastAsia="宋体" w:hint="default"/>
        </w:rPr>
        <w:t>CDN</w:t>
      </w:r>
      <w:r>
        <w:rPr/>
        <w:t>下沉需要，支持</w:t>
      </w:r>
      <w:r>
        <w:rPr>
          <w:rFonts w:ascii="宋体" w:hAnsi="宋体" w:cs="宋体" w:eastAsia="宋体" w:hint="default"/>
        </w:rPr>
        <w:t>ECS</w:t>
      </w:r>
      <w:r>
        <w:rPr/>
        <w:t>功能，为用户提供整体解决方案。根据国家对推进</w:t>
      </w:r>
      <w:r>
        <w:rPr>
          <w:rFonts w:ascii="宋体" w:hAnsi="宋体" w:cs="宋体" w:eastAsia="宋体" w:hint="default"/>
        </w:rPr>
        <w:t>IPv6</w:t>
      </w:r>
      <w:r>
        <w:rPr/>
        <w:t>部署要求，开始对全国</w:t>
      </w:r>
      <w:r>
        <w:rPr>
          <w:rFonts w:ascii="宋体" w:hAnsi="宋体" w:cs="宋体" w:eastAsia="宋体" w:hint="default"/>
        </w:rPr>
        <w:t>DNS</w:t>
      </w:r>
    </w:p>
    <w:p>
      <w:pPr>
        <w:pStyle w:val="BodyText"/>
        <w:spacing w:line="224" w:lineRule="exact"/>
        <w:ind w:right="967"/>
        <w:jc w:val="left"/>
        <w:rPr>
          <w:rFonts w:ascii="宋体" w:hAnsi="宋体" w:cs="宋体" w:eastAsia="宋体" w:hint="default"/>
        </w:rPr>
      </w:pPr>
      <w:r>
        <w:rPr>
          <w:spacing w:val="-6"/>
        </w:rPr>
        <w:t>节点全面升级，支持</w:t>
      </w:r>
      <w:r>
        <w:rPr>
          <w:rFonts w:ascii="宋体" w:hAnsi="宋体" w:cs="宋体" w:eastAsia="宋体" w:hint="default"/>
          <w:spacing w:val="-6"/>
        </w:rPr>
        <w:t>IPv6</w:t>
      </w:r>
      <w:r>
        <w:rPr>
          <w:spacing w:val="-6"/>
        </w:rPr>
        <w:t>及双栈服务；高性能</w:t>
      </w:r>
      <w:r>
        <w:rPr>
          <w:rFonts w:ascii="宋体" w:hAnsi="宋体" w:cs="宋体" w:eastAsia="宋体" w:hint="default"/>
          <w:spacing w:val="-6"/>
        </w:rPr>
        <w:t>DNS</w:t>
      </w:r>
      <w:r>
        <w:rPr>
          <w:rFonts w:ascii="宋体" w:hAnsi="宋体" w:cs="宋体" w:eastAsia="宋体" w:hint="default"/>
          <w:spacing w:val="-16"/>
        </w:rPr>
        <w:t> </w:t>
      </w:r>
      <w:r>
        <w:rPr>
          <w:rFonts w:ascii="宋体" w:hAnsi="宋体" w:cs="宋体" w:eastAsia="宋体" w:hint="default"/>
          <w:spacing w:val="-6"/>
        </w:rPr>
        <w:t>Recursor</w:t>
      </w:r>
      <w:r>
        <w:rPr>
          <w:spacing w:val="-6"/>
        </w:rPr>
        <w:t>，支持</w:t>
      </w:r>
      <w:r>
        <w:rPr>
          <w:rFonts w:ascii="宋体" w:hAnsi="宋体" w:cs="宋体" w:eastAsia="宋体" w:hint="default"/>
          <w:spacing w:val="-6"/>
        </w:rPr>
        <w:t>ECS-Only</w:t>
      </w:r>
      <w:r>
        <w:rPr>
          <w:spacing w:val="-6"/>
        </w:rPr>
        <w:t>，优化解析流程，根节点优化；</w:t>
      </w:r>
      <w:r>
        <w:rPr>
          <w:rFonts w:ascii="宋体" w:hAnsi="宋体" w:cs="宋体" w:eastAsia="宋体" w:hint="default"/>
          <w:spacing w:val="-6"/>
        </w:rPr>
        <w:t>DNS</w:t>
      </w:r>
      <w:r>
        <w:rPr>
          <w:spacing w:val="-6"/>
        </w:rPr>
        <w:t>全线产品</w:t>
      </w:r>
      <w:r>
        <w:rPr>
          <w:rFonts w:ascii="宋体" w:hAnsi="宋体" w:cs="宋体" w:eastAsia="宋体" w:hint="default"/>
          <w:spacing w:val="-6"/>
        </w:rPr>
        <w:t>DoT,DoH</w:t>
      </w:r>
    </w:p>
    <w:p>
      <w:pPr>
        <w:pStyle w:val="BodyText"/>
        <w:spacing w:line="240" w:lineRule="auto" w:before="77"/>
        <w:ind w:right="967"/>
        <w:jc w:val="left"/>
      </w:pPr>
      <w:r>
        <w:rPr/>
        <w:t>的支持，提高安全等级，减少信息泄露风险。根据管局要求，增加</w:t>
      </w:r>
      <w:r>
        <w:rPr>
          <w:rFonts w:ascii="宋体" w:hAnsi="宋体" w:cs="宋体" w:eastAsia="宋体" w:hint="default"/>
        </w:rPr>
        <w:t>DNS</w:t>
      </w:r>
      <w:r>
        <w:rPr/>
        <w:t>域名管控功能。</w:t>
      </w:r>
    </w:p>
    <w:p>
      <w:pPr>
        <w:pStyle w:val="BodyText"/>
        <w:spacing w:line="240" w:lineRule="auto" w:before="116"/>
        <w:ind w:left="514" w:right="967"/>
        <w:jc w:val="left"/>
      </w:pPr>
      <w:r>
        <w:rPr/>
        <w:t>④数据安全</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9" w:lineRule="auto" w:before="44"/>
        <w:ind w:right="1129" w:firstLine="360"/>
        <w:jc w:val="both"/>
      </w:pP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w:t>
      </w:r>
      <w:r>
        <w:rPr>
          <w:spacing w:val="-2"/>
        </w:rPr>
        <w:t>日《网络安全法》正式实施，</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w:t>
      </w:r>
      <w:r>
        <w:rPr>
          <w:spacing w:val="-2"/>
        </w:rPr>
        <w:t>日国家标准《信息安全技术—个人信息安全规范》正式实施。工信</w:t>
      </w:r>
      <w:r>
        <w:rPr/>
        <w:t> </w:t>
      </w:r>
      <w:r>
        <w:rPr>
          <w:spacing w:val="-2"/>
        </w:rPr>
        <w:t>部也相继出台了针对加强电信及互联网行业等信息安全管理的指导意见及工作要求。针对敏感信息的发现、数据泄露溯源及</w:t>
      </w:r>
      <w:r>
        <w:rPr>
          <w:spacing w:val="-64"/>
        </w:rPr>
        <w:t> </w:t>
      </w:r>
      <w:r>
        <w:rPr>
          <w:spacing w:val="-64"/>
        </w:rPr>
      </w:r>
      <w:r>
        <w:rPr/>
        <w:t>安全防护方面。报告期内，公司完成了敏感数据安全防护系统开发及解决方案的提供，并应用于多个行业用户。</w:t>
      </w:r>
    </w:p>
    <w:p>
      <w:pPr>
        <w:pStyle w:val="BodyText"/>
        <w:spacing w:line="357" w:lineRule="auto" w:before="56"/>
        <w:ind w:left="514" w:right="967"/>
        <w:jc w:val="left"/>
      </w:pPr>
      <w:r>
        <w:rPr/>
        <w:t>⑤应急安全 </w:t>
      </w:r>
      <w:r>
        <w:rPr>
          <w:spacing w:val="-2"/>
        </w:rPr>
        <w:t>报告期内，公司的应急通信指挥系统、应急决策支持系统、应急卫星终端管理系统、应急资源共享平台、应急大数据分</w:t>
      </w:r>
    </w:p>
    <w:p>
      <w:pPr>
        <w:pStyle w:val="BodyText"/>
        <w:spacing w:line="225" w:lineRule="exact"/>
        <w:ind w:right="967"/>
        <w:jc w:val="left"/>
      </w:pPr>
      <w:r>
        <w:rPr/>
        <w:t>析系统等应急安全类产品，已推广到多个省份的行业客户，并成功完成项目交付，得到了客户的高度认可。</w:t>
      </w:r>
    </w:p>
    <w:p>
      <w:pPr>
        <w:spacing w:line="357" w:lineRule="auto" w:before="116"/>
        <w:ind w:left="514" w:right="967" w:firstLine="0"/>
        <w:jc w:val="left"/>
        <w:rPr>
          <w:rFonts w:ascii="宋体" w:hAnsi="宋体" w:cs="宋体" w:eastAsia="宋体" w:hint="default"/>
          <w:sz w:val="18"/>
          <w:szCs w:val="18"/>
        </w:rPr>
      </w:pPr>
      <w:r>
        <w:rPr>
          <w:rFonts w:ascii="宋体" w:hAnsi="宋体" w:cs="宋体" w:eastAsia="宋体" w:hint="default"/>
          <w:b/>
          <w:bCs/>
          <w:sz w:val="18"/>
          <w:szCs w:val="18"/>
        </w:rPr>
        <w:t>（二）收购优质资产，壮大主航道业务</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报告期内，公司以现金方式收购泰策科技</w:t>
      </w:r>
      <w:r>
        <w:rPr>
          <w:rFonts w:ascii="宋体" w:hAnsi="宋体" w:cs="宋体" w:eastAsia="宋体" w:hint="default"/>
          <w:spacing w:val="-2"/>
          <w:sz w:val="18"/>
          <w:szCs w:val="18"/>
        </w:rPr>
        <w:t>100%</w:t>
      </w:r>
      <w:r>
        <w:rPr>
          <w:rFonts w:ascii="宋体" w:hAnsi="宋体" w:cs="宋体" w:eastAsia="宋体" w:hint="default"/>
          <w:spacing w:val="-2"/>
          <w:sz w:val="18"/>
          <w:szCs w:val="18"/>
        </w:rPr>
        <w:t>股权，继续拓展大安全业务领域。泰策科技是业界领先的</w:t>
      </w:r>
      <w:r>
        <w:rPr>
          <w:rFonts w:ascii="宋体" w:hAnsi="宋体" w:cs="宋体" w:eastAsia="宋体" w:hint="default"/>
          <w:spacing w:val="-2"/>
          <w:sz w:val="18"/>
          <w:szCs w:val="18"/>
        </w:rPr>
        <w:t>DNS</w:t>
      </w:r>
      <w:r>
        <w:rPr>
          <w:rFonts w:ascii="宋体" w:hAnsi="宋体" w:cs="宋体" w:eastAsia="宋体" w:hint="default"/>
          <w:spacing w:val="-2"/>
          <w:sz w:val="18"/>
          <w:szCs w:val="18"/>
        </w:rPr>
        <w:t>（域名解析）</w:t>
      </w:r>
    </w:p>
    <w:p>
      <w:pPr>
        <w:pStyle w:val="BodyText"/>
        <w:spacing w:line="224" w:lineRule="exact"/>
        <w:ind w:right="967"/>
        <w:jc w:val="left"/>
      </w:pPr>
      <w:r>
        <w:rPr/>
        <w:t>系统和数据安全、应急安全产品及服务提供商，拥有工信部、电信运营商等优质客户，且具备较强的盈利能力，本次交易将</w:t>
      </w:r>
    </w:p>
    <w:p>
      <w:pPr>
        <w:pStyle w:val="BodyText"/>
        <w:spacing w:line="319" w:lineRule="auto" w:before="76"/>
        <w:ind w:right="1131"/>
        <w:jc w:val="both"/>
      </w:pPr>
      <w:r>
        <w:rPr>
          <w:spacing w:val="-2"/>
        </w:rPr>
        <w:t>使公司在业务规模、盈利水平等方面得到显著提升，有利于增强上市公司的竞争实力，为上市公司提供新的盈利增长点，有</w:t>
      </w:r>
      <w:r>
        <w:rPr>
          <w:spacing w:val="-66"/>
        </w:rPr>
        <w:t> </w:t>
      </w:r>
      <w:r>
        <w:rPr>
          <w:spacing w:val="-66"/>
        </w:rPr>
      </w:r>
      <w:r>
        <w:rPr>
          <w:spacing w:val="-2"/>
        </w:rPr>
        <w:t>助于公司快速进入数据安全和通信应急安全领域，获取相关领域的核心技术，对现有信息安全业务形成良好补充和延伸，进</w:t>
      </w:r>
      <w:r>
        <w:rPr>
          <w:spacing w:val="-66"/>
        </w:rPr>
        <w:t> </w:t>
      </w:r>
      <w:r>
        <w:rPr>
          <w:spacing w:val="-66"/>
        </w:rPr>
      </w:r>
      <w:r>
        <w:rPr/>
        <w:t>一步加快公司的发展步伐。</w:t>
      </w:r>
    </w:p>
    <w:p>
      <w:pPr>
        <w:spacing w:line="357" w:lineRule="auto" w:before="58"/>
        <w:ind w:left="514" w:right="1032" w:firstLine="0"/>
        <w:jc w:val="left"/>
        <w:rPr>
          <w:rFonts w:ascii="宋体" w:hAnsi="宋体" w:cs="宋体" w:eastAsia="宋体" w:hint="default"/>
          <w:sz w:val="18"/>
          <w:szCs w:val="18"/>
        </w:rPr>
      </w:pPr>
      <w:r>
        <w:rPr>
          <w:rFonts w:ascii="宋体" w:hAnsi="宋体" w:cs="宋体" w:eastAsia="宋体" w:hint="default"/>
          <w:b/>
          <w:bCs/>
          <w:sz w:val="18"/>
          <w:szCs w:val="18"/>
        </w:rPr>
        <w:t>（三）实施股票期权计划，建立长效激励机制</w:t>
      </w:r>
      <w:r>
        <w:rPr>
          <w:rFonts w:ascii="宋体" w:hAnsi="宋体" w:cs="宋体" w:eastAsia="宋体" w:hint="default"/>
          <w:b/>
          <w:bCs/>
          <w:w w:val="99"/>
          <w:sz w:val="18"/>
          <w:szCs w:val="18"/>
        </w:rPr>
        <w:t> </w:t>
      </w:r>
      <w:r>
        <w:rPr>
          <w:rFonts w:ascii="宋体" w:hAnsi="宋体" w:cs="宋体" w:eastAsia="宋体" w:hint="default"/>
          <w:sz w:val="18"/>
          <w:szCs w:val="18"/>
        </w:rPr>
        <w:t>为了充分调动公司员工的积极性，将股东利益、公司利益和核心骨干员工的个人利益有效结合，公司建立科学、规范、</w:t>
      </w:r>
    </w:p>
    <w:p>
      <w:pPr>
        <w:pStyle w:val="BodyText"/>
        <w:spacing w:line="224" w:lineRule="exact"/>
        <w:ind w:right="967"/>
        <w:jc w:val="left"/>
      </w:pPr>
      <w:r>
        <w:rPr/>
        <w:t>长效的激励体系与管理机制，推出并实施了</w:t>
      </w:r>
      <w:r>
        <w:rPr>
          <w:rFonts w:ascii="宋体" w:hAnsi="宋体" w:cs="宋体" w:eastAsia="宋体" w:hint="default"/>
        </w:rPr>
        <w:t>2018</w:t>
      </w:r>
      <w:r>
        <w:rPr/>
        <w:t>年股票期权激励计划，于</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20</w:t>
      </w:r>
      <w:r>
        <w:rPr/>
        <w:t>日，向</w:t>
      </w:r>
      <w:r>
        <w:rPr>
          <w:rFonts w:ascii="宋体" w:hAnsi="宋体" w:cs="宋体" w:eastAsia="宋体" w:hint="default"/>
        </w:rPr>
        <w:t>68</w:t>
      </w:r>
      <w:r>
        <w:rPr/>
        <w:t>名激励对象授予</w:t>
      </w:r>
      <w:r>
        <w:rPr>
          <w:rFonts w:ascii="宋体" w:hAnsi="宋体" w:cs="宋体" w:eastAsia="宋体" w:hint="default"/>
        </w:rPr>
        <w:t>1,198</w:t>
      </w:r>
      <w:r>
        <w:rPr/>
        <w:t>万份股</w:t>
      </w:r>
    </w:p>
    <w:p>
      <w:pPr>
        <w:pStyle w:val="BodyText"/>
        <w:spacing w:line="240" w:lineRule="auto" w:before="77"/>
        <w:ind w:right="967"/>
        <w:jc w:val="left"/>
      </w:pPr>
      <w:r>
        <w:rPr/>
        <w:t>票期权，行权价格为</w:t>
      </w:r>
      <w:r>
        <w:rPr>
          <w:rFonts w:ascii="宋体" w:hAnsi="宋体" w:cs="宋体" w:eastAsia="宋体" w:hint="default"/>
        </w:rPr>
        <w:t>15.06</w:t>
      </w:r>
      <w:r>
        <w:rPr/>
        <w:t>元</w:t>
      </w:r>
      <w:r>
        <w:rPr>
          <w:rFonts w:ascii="宋体" w:hAnsi="宋体" w:cs="宋体" w:eastAsia="宋体" w:hint="default"/>
        </w:rPr>
        <w:t>/</w:t>
      </w:r>
      <w:r>
        <w:rPr/>
        <w:t>股。</w:t>
      </w:r>
    </w:p>
    <w:p>
      <w:pPr>
        <w:spacing w:line="357" w:lineRule="auto" w:before="116"/>
        <w:ind w:left="514" w:right="967" w:firstLine="0"/>
        <w:jc w:val="left"/>
        <w:rPr>
          <w:rFonts w:ascii="宋体" w:hAnsi="宋体" w:cs="宋体" w:eastAsia="宋体" w:hint="default"/>
          <w:sz w:val="18"/>
          <w:szCs w:val="18"/>
        </w:rPr>
      </w:pPr>
      <w:r>
        <w:rPr>
          <w:rFonts w:ascii="宋体" w:hAnsi="宋体" w:cs="宋体" w:eastAsia="宋体" w:hint="default"/>
          <w:b/>
          <w:bCs/>
          <w:sz w:val="18"/>
          <w:szCs w:val="18"/>
        </w:rPr>
        <w:t>（四）完成股份回购，作为员工持股计划股票来源</w:t>
      </w:r>
      <w:r>
        <w:rPr>
          <w:rFonts w:ascii="宋体" w:hAnsi="宋体" w:cs="宋体" w:eastAsia="宋体" w:hint="default"/>
          <w:b/>
          <w:bCs/>
          <w:w w:val="99"/>
          <w:sz w:val="18"/>
          <w:szCs w:val="18"/>
        </w:rPr>
        <w:t> </w:t>
      </w:r>
      <w:r>
        <w:rPr>
          <w:rFonts w:ascii="宋体" w:hAnsi="宋体" w:cs="宋体" w:eastAsia="宋体" w:hint="default"/>
          <w:spacing w:val="-2"/>
          <w:sz w:val="18"/>
          <w:szCs w:val="18"/>
        </w:rPr>
        <w:t>为了进一步健全公司长效激励机制，本报告期公司实施了股份回购。通过股票回购专用证券账户以集中竞价交易方式累</w:t>
      </w:r>
    </w:p>
    <w:p>
      <w:pPr>
        <w:pStyle w:val="BodyText"/>
        <w:spacing w:line="225" w:lineRule="exact"/>
        <w:ind w:right="967"/>
        <w:jc w:val="left"/>
      </w:pPr>
      <w:r>
        <w:rPr>
          <w:spacing w:val="-3"/>
        </w:rPr>
        <w:t>计回购公司股份</w:t>
      </w:r>
      <w:r>
        <w:rPr>
          <w:rFonts w:ascii="宋体" w:hAnsi="宋体" w:cs="宋体" w:eastAsia="宋体" w:hint="default"/>
          <w:spacing w:val="-3"/>
        </w:rPr>
        <w:t>10,336,816</w:t>
      </w:r>
      <w:r>
        <w:rPr>
          <w:spacing w:val="-3"/>
        </w:rPr>
        <w:t>股，占公司总股本的</w:t>
      </w:r>
      <w:r>
        <w:rPr>
          <w:rFonts w:ascii="宋体" w:hAnsi="宋体" w:cs="宋体" w:eastAsia="宋体" w:hint="default"/>
          <w:spacing w:val="-3"/>
        </w:rPr>
        <w:t>3.73%</w:t>
      </w:r>
      <w:r>
        <w:rPr>
          <w:spacing w:val="-3"/>
        </w:rPr>
        <w:t>，回购均价为</w:t>
      </w:r>
      <w:r>
        <w:rPr>
          <w:rFonts w:ascii="宋体" w:hAnsi="宋体" w:cs="宋体" w:eastAsia="宋体" w:hint="default"/>
          <w:spacing w:val="-3"/>
        </w:rPr>
        <w:t>14.512</w:t>
      </w:r>
      <w:r>
        <w:rPr>
          <w:spacing w:val="-3"/>
        </w:rPr>
        <w:t>元</w:t>
      </w:r>
      <w:r>
        <w:rPr>
          <w:rFonts w:ascii="宋体" w:hAnsi="宋体" w:cs="宋体" w:eastAsia="宋体" w:hint="default"/>
          <w:spacing w:val="-3"/>
        </w:rPr>
        <w:t>/</w:t>
      </w:r>
      <w:r>
        <w:rPr>
          <w:spacing w:val="-3"/>
        </w:rPr>
        <w:t>股。该等股份将用于员工持股计划的股票来源。</w:t>
      </w:r>
    </w:p>
    <w:p>
      <w:pPr>
        <w:spacing w:line="240" w:lineRule="auto" w:before="13"/>
        <w:rPr>
          <w:rFonts w:ascii="宋体" w:hAnsi="宋体" w:cs="宋体" w:eastAsia="宋体" w:hint="default"/>
          <w:sz w:val="24"/>
          <w:szCs w:val="24"/>
        </w:rPr>
      </w:pPr>
    </w:p>
    <w:p>
      <w:pPr>
        <w:pStyle w:val="Heading2"/>
        <w:spacing w:line="240" w:lineRule="auto"/>
        <w:ind w:right="967"/>
        <w:jc w:val="left"/>
        <w:rPr>
          <w:b w:val="0"/>
          <w:bCs w:val="0"/>
        </w:rPr>
      </w:pPr>
      <w:bookmarkStart w:name="二、主营业务分析" w:id="25"/>
      <w:bookmarkEnd w:id="25"/>
      <w:r>
        <w:rPr>
          <w:b w:val="0"/>
          <w:bCs w:val="0"/>
        </w:rPr>
      </w:r>
      <w:r>
        <w:rPr/>
        <w:t>二、主营业务分析</w:t>
      </w:r>
      <w:r>
        <w:rPr>
          <w:b w:val="0"/>
          <w:bCs w:val="0"/>
        </w:rPr>
      </w:r>
    </w:p>
    <w:p>
      <w:pPr>
        <w:spacing w:line="240" w:lineRule="auto" w:before="10"/>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967"/>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972"/>
        <w:jc w:val="left"/>
      </w:pPr>
      <w:r>
        <w:rPr/>
        <w:t>公司是否需要遵守光伏产业链相关业的披露要求 否</w:t>
      </w:r>
    </w:p>
    <w:p>
      <w:pPr>
        <w:pStyle w:val="BodyText"/>
        <w:spacing w:line="338" w:lineRule="auto" w:before="29"/>
        <w:ind w:right="139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2"/>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0"/>
        <w:ind w:right="1136"/>
        <w:jc w:val="left"/>
      </w:pPr>
      <w:r>
        <w:rPr/>
        <w:t>公司是否需遵守《深圳证券交易所创业板行业信息披露指引第</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4"/>
        <w:ind w:right="1663"/>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340" w:lineRule="auto" w:before="42"/>
        <w:ind w:right="1663"/>
        <w:jc w:val="left"/>
      </w:pPr>
      <w:r>
        <w:rPr/>
        <w:t>公司是否需遵守《深圳证券交易所行业信息披露指引第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 是</w:t>
      </w:r>
    </w:p>
    <w:p>
      <w:pPr>
        <w:spacing w:after="0" w:line="3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07"/>
        <w:gridCol w:w="1008"/>
        <w:gridCol w:w="1010"/>
        <w:gridCol w:w="1011"/>
        <w:gridCol w:w="1012"/>
        <w:gridCol w:w="1003"/>
        <w:gridCol w:w="1005"/>
        <w:gridCol w:w="1002"/>
        <w:gridCol w:w="1002"/>
      </w:tblGrid>
      <w:tr>
        <w:trPr>
          <w:trHeight w:val="206"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196" w:hRule="exact"/>
        </w:trPr>
        <w:tc>
          <w:tcPr>
            <w:tcW w:w="1507" w:type="dxa"/>
            <w:vMerge w:val="restart"/>
            <w:tcBorders>
              <w:top w:val="nil" w:sz="6" w:space="0" w:color="auto"/>
              <w:left w:val="single" w:sz="4" w:space="0" w:color="000000"/>
              <w:right w:val="single" w:sz="4" w:space="0" w:color="000000"/>
            </w:tcBorders>
            <w:shd w:val="clear" w:color="auto" w:fill="D2D2D2"/>
          </w:tcPr>
          <w:p>
            <w:pPr/>
          </w:p>
        </w:tc>
        <w:tc>
          <w:tcPr>
            <w:tcW w:w="4041" w:type="dxa"/>
            <w:gridSpan w:val="4"/>
            <w:vMerge/>
            <w:tcBorders>
              <w:left w:val="single" w:sz="4" w:space="0" w:color="000000"/>
              <w:bottom w:val="single" w:sz="4" w:space="0" w:color="000000"/>
              <w:right w:val="single" w:sz="4" w:space="0" w:color="000000"/>
            </w:tcBorders>
            <w:shd w:val="clear" w:color="auto" w:fill="D2D2D2"/>
          </w:tcPr>
          <w:p>
            <w:pPr/>
          </w:p>
        </w:tc>
        <w:tc>
          <w:tcPr>
            <w:tcW w:w="4012" w:type="dxa"/>
            <w:gridSpan w:val="4"/>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507"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5"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2"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5"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60,348,536.0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49,691,285.3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81,497,128.5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1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180,515,395.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26</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52,575,613.2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0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47,980,076.5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89,645,842.8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102,584,867.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r>
      <w:tr>
        <w:trPr>
          <w:trHeight w:val="392" w:hRule="exact"/>
        </w:trPr>
        <w:tc>
          <w:tcPr>
            <w:tcW w:w="15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vMerge/>
            <w:tcBorders>
              <w:left w:val="single" w:sz="9" w:space="0" w:color="D2D2D2"/>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r>
      <w:tr>
        <w:trPr>
          <w:trHeight w:val="161"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9" w:space="0" w:color="D2D2D2"/>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2"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r>
      <w:tr>
        <w:trPr>
          <w:trHeight w:val="715" w:hRule="exact"/>
        </w:trPr>
        <w:tc>
          <w:tcPr>
            <w:tcW w:w="1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3,294,694.29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-1,685,331.0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20,857,082.1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99,702,121.6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3,114,364.01</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4,350,497.94</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30,568,625.3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-345,320,19</w:t>
            </w:r>
          </w:p>
          <w:p>
            <w:pPr>
              <w:pStyle w:val="TableParagraph"/>
              <w:spacing w:line="240" w:lineRule="auto" w:before="105"/>
              <w:ind w:left="653" w:right="0"/>
              <w:jc w:val="left"/>
              <w:rPr>
                <w:rFonts w:ascii="Times New Roman" w:hAnsi="Times New Roman" w:cs="Times New Roman" w:eastAsia="Times New Roman" w:hint="default"/>
                <w:sz w:val="18"/>
                <w:szCs w:val="18"/>
              </w:rPr>
            </w:pPr>
            <w:r>
              <w:rPr>
                <w:rFonts w:ascii="Times New Roman"/>
                <w:sz w:val="18"/>
              </w:rPr>
              <w:t>6.35</w:t>
            </w:r>
          </w:p>
        </w:tc>
      </w:tr>
    </w:tbl>
    <w:p>
      <w:pPr>
        <w:pStyle w:val="BodyText"/>
        <w:spacing w:line="357" w:lineRule="auto" w:before="51"/>
        <w:ind w:left="514" w:right="967" w:hanging="360"/>
        <w:jc w:val="left"/>
      </w:pPr>
      <w:r>
        <w:rPr/>
        <w:t>说明经营季节性（或周期性）发生的原因及波动风险 </w:t>
      </w:r>
      <w:r>
        <w:rPr>
          <w:spacing w:val="-2"/>
        </w:rPr>
        <w:t>业绩季节性波动风险。因公司及子公司客户群体以政府、电信运营商、金融等领域客户为主，受其采用的预算管理制度</w:t>
      </w:r>
    </w:p>
    <w:p>
      <w:pPr>
        <w:pStyle w:val="BodyText"/>
        <w:spacing w:line="224" w:lineRule="exact"/>
        <w:ind w:right="967"/>
        <w:jc w:val="left"/>
      </w:pPr>
      <w:r>
        <w:rPr/>
        <w:t>和集中采购制度等影响，通常在一季度制定本年度全年的信息技术采购计划和指标；在第二季度及第三季度上半段进行相关</w:t>
      </w:r>
    </w:p>
    <w:p>
      <w:pPr>
        <w:pStyle w:val="BodyText"/>
        <w:spacing w:line="319" w:lineRule="auto" w:before="76"/>
        <w:ind w:right="967"/>
        <w:jc w:val="left"/>
      </w:pPr>
      <w:r>
        <w:rPr>
          <w:spacing w:val="-2"/>
        </w:rPr>
        <w:t>产品现场调研、邀请相关厂商进行产品测试以及对入围厂商进行招标、投标、评标和定标；第三季度下半段及第四季度才正</w:t>
      </w:r>
      <w:r>
        <w:rPr>
          <w:spacing w:val="-66"/>
        </w:rPr>
        <w:t> </w:t>
      </w:r>
      <w:r>
        <w:rPr>
          <w:spacing w:val="-66"/>
        </w:rPr>
      </w:r>
      <w:r>
        <w:rPr/>
        <w:t>式确定所需采购产品并与中标厂商签订采购合同。因此，公司存在明显的季节性销售特征。</w:t>
      </w:r>
    </w:p>
    <w:p>
      <w:pPr>
        <w:pStyle w:val="BodyText"/>
        <w:spacing w:line="319" w:lineRule="auto" w:before="56"/>
        <w:ind w:right="1130" w:firstLine="360"/>
        <w:jc w:val="both"/>
      </w:pPr>
      <w:r>
        <w:rPr>
          <w:spacing w:val="-2"/>
        </w:rPr>
        <w:t>公司</w:t>
      </w:r>
      <w:r>
        <w:rPr>
          <w:rFonts w:ascii="宋体" w:hAnsi="宋体" w:cs="宋体" w:eastAsia="宋体" w:hint="default"/>
          <w:spacing w:val="-2"/>
        </w:rPr>
        <w:t>2018</w:t>
      </w:r>
      <w:r>
        <w:rPr>
          <w:spacing w:val="-2"/>
        </w:rPr>
        <w:t>年度下半年的营业收入占全年营业收入的</w:t>
      </w:r>
      <w:r>
        <w:rPr>
          <w:rFonts w:ascii="宋体" w:hAnsi="宋体" w:cs="宋体" w:eastAsia="宋体" w:hint="default"/>
          <w:spacing w:val="-2"/>
        </w:rPr>
        <w:t>70.42%</w:t>
      </w:r>
      <w:r>
        <w:rPr>
          <w:spacing w:val="-2"/>
        </w:rPr>
        <w:t>，下半年归属于上市公司股东的净利润占全年归属于上市公司</w:t>
      </w:r>
      <w:r>
        <w:rPr/>
        <w:t> </w:t>
      </w:r>
      <w:r>
        <w:rPr>
          <w:spacing w:val="-2"/>
        </w:rPr>
        <w:t>股东的净利润的</w:t>
      </w:r>
      <w:r>
        <w:rPr>
          <w:rFonts w:ascii="宋体" w:hAnsi="宋体" w:cs="宋体" w:eastAsia="宋体" w:hint="default"/>
          <w:spacing w:val="-2"/>
        </w:rPr>
        <w:t>98.68%</w:t>
      </w:r>
      <w:r>
        <w:rPr>
          <w:spacing w:val="-2"/>
        </w:rPr>
        <w:t>，其中第四季度归属于上市公司股东的净利润占全年的</w:t>
      </w:r>
      <w:r>
        <w:rPr>
          <w:rFonts w:ascii="宋体" w:hAnsi="宋体" w:cs="宋体" w:eastAsia="宋体" w:hint="default"/>
          <w:spacing w:val="-2"/>
        </w:rPr>
        <w:t>81.61%</w:t>
      </w:r>
      <w:r>
        <w:rPr>
          <w:spacing w:val="-2"/>
        </w:rPr>
        <w:t>；公司</w:t>
      </w:r>
      <w:r>
        <w:rPr>
          <w:rFonts w:ascii="宋体" w:hAnsi="宋体" w:cs="宋体" w:eastAsia="宋体" w:hint="default"/>
          <w:spacing w:val="-2"/>
        </w:rPr>
        <w:t>2017</w:t>
      </w:r>
      <w:r>
        <w:rPr>
          <w:spacing w:val="-2"/>
        </w:rPr>
        <w:t>年度下半年的营业收入占全</w:t>
      </w:r>
      <w:r>
        <w:rPr>
          <w:spacing w:val="-48"/>
        </w:rPr>
        <w:t> </w:t>
      </w:r>
      <w:r>
        <w:rPr/>
        <w:t>年营业收入的</w:t>
      </w:r>
      <w:r>
        <w:rPr>
          <w:rFonts w:ascii="宋体" w:hAnsi="宋体" w:cs="宋体" w:eastAsia="宋体" w:hint="default"/>
        </w:rPr>
        <w:t>65.66%</w:t>
      </w:r>
      <w:r>
        <w:rPr/>
        <w:t>，下半年归属于上市公司股东的净利润占全年归属于上市公司股东的净利润的</w:t>
      </w:r>
      <w:r>
        <w:rPr>
          <w:rFonts w:ascii="宋体" w:hAnsi="宋体" w:cs="宋体" w:eastAsia="宋体" w:hint="default"/>
        </w:rPr>
        <w:t>102.43%</w:t>
      </w:r>
      <w:r>
        <w:rPr/>
        <w:t>，其中第四季度 归属于上市公司股东的净利润占全年的</w:t>
      </w:r>
      <w:r>
        <w:rPr>
          <w:rFonts w:ascii="宋体" w:hAnsi="宋体" w:cs="宋体" w:eastAsia="宋体" w:hint="default"/>
        </w:rPr>
        <w:t>112.38%</w:t>
      </w:r>
      <w:r>
        <w:rPr/>
        <w:t>。</w:t>
      </w:r>
    </w:p>
    <w:p>
      <w:pPr>
        <w:pStyle w:val="BodyText"/>
        <w:spacing w:line="240" w:lineRule="auto" w:before="56"/>
        <w:ind w:right="967"/>
        <w:jc w:val="left"/>
      </w:pPr>
      <w:r>
        <w:rPr/>
        <w:t>营业收入整体情况</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372,052,345.23</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292,786,400.27</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27.07%</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216,455,389.92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184,683,138.17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63.08%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102,142,854.68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57,783,808.11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19.74%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76.77%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24,099,809.73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16,387,004.93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12,944,310.73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13,306,468.40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16,409,980.17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20,625,980.66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软件基础设施</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150,685,298.00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107,078,781.99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36.57%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创新应用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221,367,047.23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185,707,618.28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63.43%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97,488,845.49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127,839,977.27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43.66%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153,673,828.05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92,434,310.29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31.57%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66.25%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44,142,949.62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35,822,643.11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12.24%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20,764,490.04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15,800,072.05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23,849,920.55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9,098,860.33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3.11%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162.12%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14,359,660.60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7,201,518.85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99.40%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17,772,650.88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4,589,018.37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7" w:right="0"/>
              <w:jc w:val="left"/>
              <w:rPr>
                <w:rFonts w:ascii="Times New Roman" w:hAnsi="Times New Roman" w:cs="Times New Roman" w:eastAsia="Times New Roman" w:hint="default"/>
                <w:sz w:val="18"/>
                <w:szCs w:val="18"/>
              </w:rPr>
            </w:pPr>
            <w:r>
              <w:rPr>
                <w:rFonts w:ascii="Times New Roman"/>
                <w:sz w:val="18"/>
              </w:rPr>
              <w:t>287.29%</w:t>
            </w:r>
          </w:p>
        </w:tc>
      </w:tr>
    </w:tbl>
    <w:p>
      <w:pPr>
        <w:spacing w:line="240" w:lineRule="auto" w:before="2"/>
        <w:rPr>
          <w:rFonts w:ascii="宋体" w:hAnsi="宋体" w:cs="宋体" w:eastAsia="宋体" w:hint="default"/>
          <w:sz w:val="19"/>
          <w:szCs w:val="19"/>
        </w:rPr>
      </w:pPr>
    </w:p>
    <w:p>
      <w:pPr>
        <w:pStyle w:val="Heading3"/>
        <w:spacing w:line="240" w:lineRule="auto" w:before="35"/>
        <w:ind w:right="967"/>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8"/>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pStyle w:val="BodyText"/>
        <w:spacing w:line="348" w:lineRule="auto" w:before="44"/>
        <w:ind w:right="58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是</w:t>
      </w:r>
    </w:p>
    <w:p>
      <w:pPr>
        <w:pStyle w:val="BodyText"/>
        <w:spacing w:line="240" w:lineRule="auto" w:before="35"/>
        <w:ind w:right="5830"/>
        <w:jc w:val="left"/>
      </w:pPr>
      <w:r>
        <w:rPr/>
        <w:t>软件与信息技术服务业</w:t>
      </w:r>
    </w:p>
    <w:p>
      <w:pPr>
        <w:pStyle w:val="BodyText"/>
        <w:spacing w:line="240" w:lineRule="auto" w:before="117"/>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216,455,389.92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71,223,504.26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21.49%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102,142,854.68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11,673,019.74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38.67%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3.14%</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软件基础实施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150,685,298.00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15,827,923.08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60.20%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创新应用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221,367,047.23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75,664,955.83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17.94%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0.37%</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97,488,845.49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26,037,443.47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-33.42%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-13.34%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153,673,828.05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36,626,768.74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71.10%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9.07%</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44,142,949.62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8,766,293.90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24.64%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-9.88%</w:t>
            </w:r>
          </w:p>
        </w:tc>
      </w:tr>
    </w:tbl>
    <w:p>
      <w:pPr>
        <w:pStyle w:val="BodyText"/>
        <w:spacing w:line="240" w:lineRule="auto" w:before="51"/>
        <w:ind w:right="967"/>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967"/>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967"/>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967"/>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38" w:lineRule="auto" w:before="44"/>
        <w:ind w:right="-18"/>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3189"/>
        <w:gridCol w:w="3188"/>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同比增减金额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91,492,878.91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31.69%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74,034,535.88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3" w:right="0"/>
              <w:jc w:val="left"/>
              <w:rPr>
                <w:rFonts w:ascii="Times New Roman" w:hAnsi="Times New Roman" w:cs="Times New Roman" w:eastAsia="Times New Roman" w:hint="default"/>
                <w:sz w:val="18"/>
                <w:szCs w:val="18"/>
              </w:rPr>
            </w:pPr>
            <w:r>
              <w:rPr>
                <w:rFonts w:ascii="Times New Roman"/>
                <w:sz w:val="18"/>
              </w:rPr>
              <w:t>11.70%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23.58%</w:t>
            </w:r>
          </w:p>
        </w:tc>
      </w:tr>
    </w:tbl>
    <w:p>
      <w:pPr>
        <w:pStyle w:val="BodyText"/>
        <w:spacing w:line="240" w:lineRule="auto" w:before="51"/>
        <w:ind w:right="967"/>
        <w:jc w:val="left"/>
      </w:pPr>
      <w:r>
        <w:rPr/>
        <w:t>行业和产品分类</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71,223,504.26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58,623,830.90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21.49%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11,673,019.74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8,417,940.27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38.67%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2,839,412.86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2,551,463.19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11.29%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1,332,088.76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656,333.99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102.96%</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4,424,853.29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3,784,967.53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5.11%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16.91%</w:t>
            </w:r>
          </w:p>
        </w:tc>
      </w:tr>
    </w:tbl>
    <w:p>
      <w:pPr>
        <w:pStyle w:val="BodyText"/>
        <w:spacing w:line="240" w:lineRule="auto" w:before="51"/>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软件基础设施</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15,827,923.08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9,879,867.86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60.20%</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创新应用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75,664,955.83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64,154,668.02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17.94%</w:t>
            </w:r>
          </w:p>
        </w:tc>
      </w:tr>
    </w:tbl>
    <w:p>
      <w:pPr>
        <w:pStyle w:val="BodyText"/>
        <w:spacing w:line="240" w:lineRule="auto" w:before="51"/>
        <w:ind w:right="967"/>
        <w:jc w:val="left"/>
      </w:pPr>
      <w:r>
        <w:rPr/>
        <w:t>说明</w:t>
      </w:r>
    </w:p>
    <w:p>
      <w:pPr>
        <w:spacing w:line="240" w:lineRule="auto" w:before="10"/>
        <w:rPr>
          <w:rFonts w:ascii="宋体" w:hAnsi="宋体" w:cs="宋体" w:eastAsia="宋体" w:hint="default"/>
          <w:sz w:val="26"/>
          <w:szCs w:val="26"/>
        </w:rPr>
      </w:pPr>
    </w:p>
    <w:p>
      <w:pPr>
        <w:pStyle w:val="Heading3"/>
        <w:spacing w:line="240" w:lineRule="auto"/>
        <w:ind w:right="967"/>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967"/>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967"/>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67"/>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212,568,751.98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57.13%</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967"/>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81,416,261.13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72,572,719.38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42,269,445.21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8,793,059.21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7,517,267.05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212,568,751.98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57.13%</w:t>
            </w:r>
          </w:p>
        </w:tc>
      </w:tr>
    </w:tbl>
    <w:p>
      <w:pPr>
        <w:pStyle w:val="BodyText"/>
        <w:spacing w:line="240" w:lineRule="auto" w:before="51"/>
        <w:ind w:right="967"/>
        <w:jc w:val="left"/>
      </w:pPr>
      <w:r>
        <w:rPr/>
        <w:t>主要客户其他情况说明</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32,864,399.22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58.35%</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967"/>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16,132,087.01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8,048,315.00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3,268,717.22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2,881,210.33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2,534,069.66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32,864,399.22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58.35%</w:t>
            </w:r>
          </w:p>
        </w:tc>
      </w:tr>
    </w:tbl>
    <w:p>
      <w:pPr>
        <w:pStyle w:val="BodyText"/>
        <w:spacing w:line="240" w:lineRule="auto" w:before="51"/>
        <w:ind w:right="967"/>
        <w:jc w:val="left"/>
      </w:pPr>
      <w:r>
        <w:rPr/>
        <w:t>主要供应商其他情况说明</w:t>
      </w:r>
    </w:p>
    <w:p>
      <w:pPr>
        <w:pStyle w:val="BodyText"/>
        <w:spacing w:line="240" w:lineRule="auto" w:before="117"/>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967"/>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56,862,164.97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43,818,066.20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29.77%</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报告期内加大市场开拓费用增加所 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63,218,798.95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51,503,150.37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22.75%</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报告期内为提升管理效能，增加人力</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成本等费用所致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87" w:right="0"/>
              <w:jc w:val="left"/>
              <w:rPr>
                <w:rFonts w:ascii="Times New Roman" w:hAnsi="Times New Roman" w:cs="Times New Roman" w:eastAsia="Times New Roman" w:hint="default"/>
                <w:sz w:val="18"/>
                <w:szCs w:val="18"/>
              </w:rPr>
            </w:pPr>
            <w:r>
              <w:rPr>
                <w:rFonts w:ascii="Times New Roman"/>
                <w:sz w:val="18"/>
              </w:rPr>
              <w:t>-6,384,495.56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-9,157,046.92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报告期内计入担保公司担保费等</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57" w:right="0"/>
              <w:jc w:val="left"/>
              <w:rPr>
                <w:rFonts w:ascii="Times New Roman" w:hAnsi="Times New Roman" w:cs="Times New Roman" w:eastAsia="Times New Roman" w:hint="default"/>
                <w:sz w:val="18"/>
                <w:szCs w:val="18"/>
              </w:rPr>
            </w:pPr>
            <w:r>
              <w:rPr>
                <w:rFonts w:ascii="Times New Roman"/>
                <w:sz w:val="18"/>
              </w:rPr>
              <w:t>70,369,152.84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62,092,582.36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报告期内加大研发投入所致</w:t>
            </w:r>
          </w:p>
        </w:tc>
      </w:tr>
    </w:tbl>
    <w:p>
      <w:pPr>
        <w:spacing w:line="240" w:lineRule="auto" w:before="3"/>
        <w:rPr>
          <w:rFonts w:ascii="宋体" w:hAnsi="宋体" w:cs="宋体" w:eastAsia="宋体" w:hint="default"/>
          <w:sz w:val="19"/>
          <w:szCs w:val="19"/>
        </w:rPr>
      </w:pPr>
    </w:p>
    <w:p>
      <w:pPr>
        <w:pStyle w:val="Heading3"/>
        <w:spacing w:line="240" w:lineRule="auto" w:before="35"/>
        <w:ind w:right="967"/>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5"/>
        <w:spacing w:line="240" w:lineRule="auto" w:before="103"/>
        <w:ind w:left="514" w:right="967"/>
        <w:jc w:val="left"/>
        <w:rPr>
          <w:b w:val="0"/>
          <w:bCs w:val="0"/>
        </w:rPr>
      </w:pPr>
      <w:r>
        <w:rPr/>
        <w:t>（</w:t>
      </w:r>
      <w:r>
        <w:rPr>
          <w:rFonts w:ascii="Times New Roman" w:hAnsi="Times New Roman" w:cs="Times New Roman" w:eastAsia="Times New Roman" w:hint="default"/>
        </w:rPr>
        <w:t>1</w:t>
      </w:r>
      <w:r>
        <w:rPr/>
        <w:t>）基础软件</w:t>
      </w:r>
      <w:r>
        <w:rPr>
          <w:b w:val="0"/>
          <w:bCs w:val="0"/>
        </w:rPr>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b/>
          <w:bCs/>
          <w:sz w:val="21"/>
          <w:szCs w:val="21"/>
        </w:rPr>
      </w:pPr>
    </w:p>
    <w:p>
      <w:pPr>
        <w:pStyle w:val="BodyText"/>
        <w:spacing w:line="309" w:lineRule="auto" w:before="44"/>
        <w:ind w:right="1032" w:firstLine="433"/>
        <w:jc w:val="left"/>
      </w:pPr>
      <w:r>
        <w:rPr/>
        <w:t>标准中间件产品线：报告期内各产品线进行产品的升级与改进，基于细分市场需求推出了多个产品的新版本，包括： 应用服务器</w:t>
      </w:r>
      <w:r>
        <w:rPr>
          <w:rFonts w:ascii="Times New Roman" w:hAnsi="Times New Roman" w:cs="Times New Roman" w:eastAsia="Times New Roman" w:hint="default"/>
        </w:rPr>
        <w:t>TongWeb</w:t>
      </w:r>
      <w:r>
        <w:rPr/>
        <w:t>持续跟进国际</w:t>
      </w:r>
      <w:r>
        <w:rPr>
          <w:rFonts w:ascii="Times New Roman" w:hAnsi="Times New Roman" w:cs="Times New Roman" w:eastAsia="Times New Roman" w:hint="default"/>
        </w:rPr>
        <w:t>JEE</w:t>
      </w:r>
      <w:r>
        <w:rPr/>
        <w:t>体系技术规范研发并发布了最新版本并通过</w:t>
      </w:r>
      <w:r>
        <w:rPr>
          <w:rFonts w:ascii="Times New Roman" w:hAnsi="Times New Roman" w:cs="Times New Roman" w:eastAsia="Times New Roman" w:hint="default"/>
        </w:rPr>
        <w:t>JEE7</w:t>
      </w:r>
      <w:r>
        <w:rPr/>
        <w:t>兼容认证、参考国家信息安全等级保 </w:t>
      </w:r>
      <w:r>
        <w:rPr>
          <w:spacing w:val="-1"/>
        </w:rPr>
        <w:t>护制度要求在安全加固方面进行完善和提升并配合完成保密机型号安全基线增强、支持和完善</w:t>
      </w:r>
      <w:r>
        <w:rPr>
          <w:rFonts w:ascii="Times New Roman" w:hAnsi="Times New Roman" w:cs="Times New Roman" w:eastAsia="Times New Roman" w:hint="default"/>
          <w:spacing w:val="-1"/>
        </w:rPr>
        <w:t>IPV6</w:t>
      </w:r>
      <w:r>
        <w:rPr>
          <w:spacing w:val="-1"/>
        </w:rPr>
        <w:t>相关能力的支持和完善、</w:t>
      </w:r>
      <w:r>
        <w:rPr>
          <w:spacing w:val="-47"/>
        </w:rPr>
        <w:t> </w:t>
      </w:r>
      <w:r>
        <w:rPr/>
        <w:t>国产化芯片及操作系统的适配及特色功能增强、国内主流公有云及私有云平台的适配和云化能力增强；消息中间件 </w:t>
      </w:r>
      <w:r>
        <w:rPr>
          <w:rFonts w:ascii="Times New Roman" w:hAnsi="Times New Roman" w:cs="Times New Roman" w:eastAsia="Times New Roman" w:hint="default"/>
        </w:rPr>
        <w:t>TongLINK/Q</w:t>
      </w:r>
      <w:r>
        <w:rPr/>
        <w:t>完成</w:t>
      </w:r>
      <w:r>
        <w:rPr>
          <w:rFonts w:ascii="Times New Roman" w:hAnsi="Times New Roman" w:cs="Times New Roman" w:eastAsia="Times New Roman" w:hint="default"/>
        </w:rPr>
        <w:t>IPV6</w:t>
      </w:r>
      <w:r>
        <w:rPr/>
        <w:t>改造、国产化系统适配、容器化和云化适配、专有网络通信等一系列的技术升级与改造，进一步扩大 了产品了产品的应用范畴，夯实产品的质量和稳定性，将产品打造成更安全、适应新技术业务场景的功能更强的拳头产品； 交易中间件</w:t>
      </w:r>
      <w:r>
        <w:rPr>
          <w:rFonts w:ascii="Times New Roman" w:hAnsi="Times New Roman" w:cs="Times New Roman" w:eastAsia="Times New Roman" w:hint="default"/>
        </w:rPr>
        <w:t>TongEASY</w:t>
      </w:r>
      <w:r>
        <w:rPr/>
        <w:t>基于重点客户需求实现并发布最新版本，开发了动态名字服务和集中管理平台，提供了云环境下的动 态部署及动态适应能力，可适应云计算环境下新一代实时交易系统的需求；负载均衡软件</w:t>
      </w:r>
      <w:r>
        <w:rPr>
          <w:rFonts w:ascii="Times New Roman" w:hAnsi="Times New Roman" w:cs="Times New Roman" w:eastAsia="Times New Roman" w:hint="default"/>
        </w:rPr>
        <w:t>TongLB</w:t>
      </w:r>
      <w:r>
        <w:rPr/>
        <w:t>产品发布全新版本，可满 </w:t>
      </w:r>
      <w:r>
        <w:rPr>
          <w:spacing w:val="-2"/>
        </w:rPr>
        <w:t>足用户对负载均衡服务的需求，提升系统整体的可靠性、高效性、可扩展性及资源利用率，更好适应高性能负载均衡应用方</w:t>
      </w:r>
      <w:r>
        <w:rPr>
          <w:spacing w:val="-66"/>
        </w:rPr>
        <w:t> </w:t>
      </w:r>
      <w:r>
        <w:rPr>
          <w:spacing w:val="-66"/>
        </w:rPr>
      </w:r>
      <w:r>
        <w:rPr/>
        <w:t>案。</w:t>
      </w:r>
    </w:p>
    <w:p>
      <w:pPr>
        <w:pStyle w:val="BodyText"/>
        <w:spacing w:line="309" w:lineRule="auto" w:before="62"/>
        <w:ind w:right="967" w:firstLine="360"/>
        <w:jc w:val="left"/>
      </w:pPr>
      <w:r>
        <w:rPr/>
        <w:t>平台中间件产品线：报告期内，</w:t>
      </w:r>
      <w:r>
        <w:rPr>
          <w:rFonts w:ascii="Times New Roman" w:hAnsi="Times New Roman" w:cs="Times New Roman" w:eastAsia="Times New Roman" w:hint="default"/>
        </w:rPr>
        <w:t>TongDXP</w:t>
      </w:r>
      <w:r>
        <w:rPr/>
        <w:t>产品进行了安全加固，优化了交换机制，增加了交换流程监控、交换对账、 </w:t>
      </w:r>
      <w:r>
        <w:rPr>
          <w:spacing w:val="-2"/>
        </w:rPr>
        <w:t>平台级联及多服务器静态负载功能能够实现多级数据交换和异构交换平台的对接，进一步完善交换监控和对账功能，同时增</w:t>
      </w:r>
      <w:r>
        <w:rPr>
          <w:spacing w:val="-64"/>
        </w:rPr>
        <w:t> </w:t>
      </w:r>
      <w:r>
        <w:rPr>
          <w:spacing w:val="-64"/>
        </w:rPr>
      </w:r>
      <w:r>
        <w:rPr>
          <w:spacing w:val="-2"/>
        </w:rPr>
        <w:t>强节点集群能力并持续提升交换效率和交换稳定性，完善了监控统计，进行了安全加固等，为政府和企业实现多层级、跨地</w:t>
      </w:r>
      <w:r>
        <w:rPr>
          <w:spacing w:val="-66"/>
        </w:rPr>
        <w:t> </w:t>
      </w:r>
      <w:r>
        <w:rPr>
          <w:spacing w:val="-66"/>
        </w:rPr>
      </w:r>
      <w:r>
        <w:rPr>
          <w:spacing w:val="-2"/>
        </w:rPr>
        <w:t>域、多部门间的数据交换共享和业务协同提供了更加安全可靠的支撑平台，完成了了国家级平台和多个省级市级平台的建设</w:t>
      </w:r>
      <w:r>
        <w:rPr>
          <w:spacing w:val="-64"/>
        </w:rPr>
        <w:t> </w:t>
      </w:r>
      <w:r>
        <w:rPr>
          <w:spacing w:val="-64"/>
        </w:rPr>
      </w:r>
      <w:r>
        <w:rPr>
          <w:spacing w:val="-2"/>
        </w:rPr>
        <w:t>工作；</w:t>
      </w:r>
      <w:r>
        <w:rPr>
          <w:rFonts w:ascii="Times New Roman" w:hAnsi="Times New Roman" w:cs="Times New Roman" w:eastAsia="Times New Roman" w:hint="default"/>
          <w:spacing w:val="-2"/>
        </w:rPr>
        <w:t>TongETL</w:t>
      </w:r>
      <w:r>
        <w:rPr>
          <w:spacing w:val="-2"/>
        </w:rPr>
        <w:t>产品重点加强了传输加密安全，增加对触发器双向同步的支持，增加支持空间数据类型，对</w:t>
      </w:r>
      <w:r>
        <w:rPr>
          <w:rFonts w:ascii="Times New Roman" w:hAnsi="Times New Roman" w:cs="Times New Roman" w:eastAsia="Times New Roman" w:hint="default"/>
          <w:spacing w:val="-2"/>
        </w:rPr>
        <w:t>CDC</w:t>
      </w:r>
      <w:r>
        <w:rPr>
          <w:spacing w:val="-2"/>
        </w:rPr>
        <w:t>模式的功能</w:t>
      </w:r>
      <w:r>
        <w:rPr>
          <w:spacing w:val="-59"/>
        </w:rPr>
        <w:t> </w:t>
      </w:r>
      <w:r>
        <w:rPr>
          <w:spacing w:val="-2"/>
        </w:rPr>
        <w:t>及性能进行了优化，对集成开发工具界面做了进一步完善和功能增强，进一步增加平台产品线的整体竞争力。同时</w:t>
      </w:r>
      <w:r>
        <w:rPr>
          <w:rFonts w:ascii="Times New Roman" w:hAnsi="Times New Roman" w:cs="Times New Roman" w:eastAsia="Times New Roman" w:hint="default"/>
          <w:spacing w:val="-2"/>
        </w:rPr>
        <w:t>TongETL</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t>和</w:t>
      </w:r>
      <w:r>
        <w:rPr>
          <w:rFonts w:ascii="Times New Roman" w:hAnsi="Times New Roman" w:cs="Times New Roman" w:eastAsia="Times New Roman" w:hint="default"/>
        </w:rPr>
        <w:t>TongESB</w:t>
      </w:r>
      <w:r>
        <w:rPr/>
        <w:t>均根据市场需求增加了流行的适配器，进一步加强产品的适应能力。</w:t>
      </w:r>
    </w:p>
    <w:p>
      <w:pPr>
        <w:pStyle w:val="BodyText"/>
        <w:spacing w:line="319" w:lineRule="auto" w:before="44"/>
        <w:ind w:right="967" w:firstLine="360"/>
        <w:jc w:val="left"/>
      </w:pPr>
      <w:r>
        <w:rPr>
          <w:spacing w:val="-2"/>
        </w:rPr>
        <w:t>云基础产品线：在报告期内，公司启动了新一代云基础产品的定义和研发工作，将以新一代云架构为基础，承载标准中</w:t>
      </w:r>
      <w:r>
        <w:rPr/>
        <w:t> 间件产品、平台中间件产品、数据服务产品等，为企业级应用快速上云提供一站式解决方案。</w:t>
      </w:r>
    </w:p>
    <w:p>
      <w:pPr>
        <w:pStyle w:val="BodyText"/>
        <w:spacing w:line="338" w:lineRule="auto" w:before="56"/>
        <w:ind w:left="514" w:right="116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）大数据信息安全</w:t>
      </w:r>
      <w:r>
        <w:rPr>
          <w:rFonts w:ascii="宋体" w:hAnsi="宋体" w:cs="宋体" w:eastAsia="宋体" w:hint="default"/>
          <w:b/>
          <w:bCs/>
          <w:w w:val="99"/>
        </w:rPr>
        <w:t> </w:t>
      </w:r>
      <w:r>
        <w:rPr/>
        <w:t>互联网安全方面，针对互联网中危害日益严重的钓鱼</w:t>
      </w:r>
      <w:r>
        <w:rPr>
          <w:rFonts w:ascii="Times New Roman" w:hAnsi="Times New Roman" w:cs="Times New Roman" w:eastAsia="Times New Roman" w:hint="default"/>
        </w:rPr>
        <w:t>/</w:t>
      </w:r>
      <w:r>
        <w:rPr/>
        <w:t>仿冒应用、恶意网址、恶意软件等安全事件，传统的防火墙、入</w:t>
      </w:r>
    </w:p>
    <w:p>
      <w:pPr>
        <w:pStyle w:val="BodyText"/>
        <w:spacing w:line="217" w:lineRule="exact"/>
        <w:ind w:right="967"/>
        <w:jc w:val="left"/>
      </w:pPr>
      <w:r>
        <w:rPr/>
        <w:t>侵检测、杀毒软件等很难适应复杂多变的安全威胁及欺诈手段。公司设计并实现了基于大数据技术，结合深度学习算法、贝</w:t>
      </w:r>
    </w:p>
    <w:p>
      <w:pPr>
        <w:pStyle w:val="BodyText"/>
        <w:spacing w:line="312" w:lineRule="auto" w:before="77"/>
        <w:ind w:right="967"/>
        <w:jc w:val="left"/>
      </w:pPr>
      <w:r>
        <w:rPr>
          <w:spacing w:val="-1"/>
        </w:rPr>
        <w:t>叶斯算法、决策树算法和</w:t>
      </w:r>
      <w:r>
        <w:rPr>
          <w:rFonts w:ascii="Times New Roman" w:hAnsi="Times New Roman" w:cs="Times New Roman" w:eastAsia="Times New Roman" w:hint="default"/>
          <w:spacing w:val="-1"/>
        </w:rPr>
        <w:t>SVM</w:t>
      </w:r>
      <w:r>
        <w:rPr>
          <w:spacing w:val="-1"/>
        </w:rPr>
        <w:t>分类算法与黑白名单技术的恶意</w:t>
      </w:r>
      <w:r>
        <w:rPr>
          <w:rFonts w:ascii="Times New Roman" w:hAnsi="Times New Roman" w:cs="Times New Roman" w:eastAsia="Times New Roman" w:hint="default"/>
          <w:spacing w:val="-1"/>
        </w:rPr>
        <w:t>URL</w:t>
      </w:r>
      <w:r>
        <w:rPr>
          <w:spacing w:val="-1"/>
        </w:rPr>
        <w:t>检测系统。该系统可以有效提升针对移动上网中的钓鱼、</w:t>
      </w:r>
      <w:r>
        <w:rPr>
          <w:spacing w:val="-58"/>
        </w:rPr>
        <w:t> </w:t>
      </w:r>
      <w:r>
        <w:rPr>
          <w:spacing w:val="-58"/>
        </w:rPr>
      </w:r>
      <w:r>
        <w:rPr>
          <w:spacing w:val="-2"/>
        </w:rPr>
        <w:t>仿冒、恶意等行为的检测能力，减少移动互联网用户遇到的网络欺诈、手机中毒等网络安全问题，同时有助于互联网企业发</w:t>
      </w:r>
      <w:r>
        <w:rPr>
          <w:spacing w:val="-66"/>
        </w:rPr>
        <w:t> </w:t>
      </w:r>
      <w:r>
        <w:rPr>
          <w:spacing w:val="-66"/>
        </w:rPr>
      </w:r>
      <w:r>
        <w:rPr>
          <w:spacing w:val="-2"/>
        </w:rPr>
        <w:t>现自身应用的威胁及漏洞并采取有效措施进行防范。目前，已经产品化应用于中国电信、中国移动相关部门，并形成了和国</w:t>
      </w:r>
      <w:r>
        <w:rPr>
          <w:spacing w:val="-66"/>
        </w:rPr>
        <w:t> </w:t>
      </w:r>
      <w:r>
        <w:rPr>
          <w:spacing w:val="-66"/>
        </w:rPr>
      </w:r>
      <w:r>
        <w:rPr/>
        <w:t>家相关部门，互联网相关企业的联动。</w:t>
      </w:r>
    </w:p>
    <w:p>
      <w:pPr>
        <w:pStyle w:val="BodyText"/>
        <w:spacing w:line="314" w:lineRule="auto" w:before="62"/>
        <w:ind w:right="1032" w:firstLine="360"/>
        <w:jc w:val="left"/>
      </w:pPr>
      <w:r>
        <w:rPr>
          <w:spacing w:val="-2"/>
        </w:rPr>
        <w:t>通信网络安全方面，近年来，不良信息的传播呈现出由短信群发向语音外呼转移的趋势，骚扰电话数量显著增加，造成</w:t>
      </w:r>
      <w:r>
        <w:rPr/>
        <w:t> 了恶劣的社会影响，给电信用户带来极大困扰，侵害了广大电信用户的合法权益，甚至可能危害社会稳定和国家信息安全。 </w:t>
      </w:r>
      <w:r>
        <w:rPr>
          <w:spacing w:val="-2"/>
        </w:rPr>
        <w:t>骚扰电话的治理工作一直以来也是政府相关部门和运营商的重要课题，我公司在骚扰电话的治理方面一直有着持续的研发投</w:t>
      </w:r>
      <w:r>
        <w:rPr>
          <w:spacing w:val="-64"/>
        </w:rPr>
        <w:t> </w:t>
      </w:r>
      <w:r>
        <w:rPr>
          <w:spacing w:val="-64"/>
        </w:rPr>
      </w:r>
      <w:r>
        <w:rPr/>
        <w:t>入和相关成果。报告期公司实现了</w:t>
      </w:r>
      <w:r>
        <w:rPr>
          <w:spacing w:val="-18"/>
        </w:rPr>
        <w:t> </w:t>
      </w:r>
      <w:r>
        <w:rPr>
          <w:rFonts w:ascii="Times New Roman" w:hAnsi="Times New Roman" w:cs="Times New Roman" w:eastAsia="Times New Roman" w:hint="default"/>
        </w:rPr>
        <w:t>“</w:t>
      </w:r>
      <w:r>
        <w:rPr/>
        <w:t>基于防通讯信息骚扰综合服务平台</w:t>
      </w:r>
      <w:r>
        <w:rPr>
          <w:rFonts w:ascii="Times New Roman" w:hAnsi="Times New Roman" w:cs="Times New Roman" w:eastAsia="Times New Roman" w:hint="default"/>
        </w:rPr>
        <w:t>”</w:t>
      </w:r>
      <w:r>
        <w:rPr/>
        <w:t>的开发升级工作，该系统引入语音识别和语义识别 的</w:t>
      </w:r>
      <w:r>
        <w:rPr>
          <w:rFonts w:ascii="Times New Roman" w:hAnsi="Times New Roman" w:cs="Times New Roman" w:eastAsia="Times New Roman" w:hint="default"/>
        </w:rPr>
        <w:t>AI</w:t>
      </w:r>
      <w:r>
        <w:rPr/>
        <w:t>技术，为骚扰电话的智能识别、取证、治理提供了更加智能的方法。同时，系统实现了语料库积累、语音识别模型训 练、骚扰电话识别、骚扰电话行为分析等配套功能，形成了异常语音呼叫行为识别、过滤和处置能力，为护用户合法权益， </w:t>
      </w:r>
      <w:r>
        <w:rPr>
          <w:spacing w:val="-2"/>
        </w:rPr>
        <w:t>提升电信行业监管提供了有效手段。目前该系已在国家相关部门通讯防骚扰治理研究工作和处置工作中取得了良好的应用效</w:t>
      </w:r>
      <w:r>
        <w:rPr>
          <w:spacing w:val="-64"/>
        </w:rPr>
        <w:t> </w:t>
      </w:r>
      <w:r>
        <w:rPr>
          <w:spacing w:val="-64"/>
        </w:rPr>
      </w:r>
      <w:r>
        <w:rPr>
          <w:spacing w:val="-2"/>
        </w:rPr>
        <w:t>果，为健全和完善骚扰电话等相关法律法规的制定及方案形成起到了积极的推动作用和实践。同时，该系统也应用于电信运</w:t>
      </w:r>
      <w:r>
        <w:rPr>
          <w:spacing w:val="-66"/>
        </w:rPr>
        <w:t> </w:t>
      </w:r>
      <w:r>
        <w:rPr>
          <w:spacing w:val="-66"/>
        </w:rPr>
      </w:r>
      <w:r>
        <w:rPr/>
        <w:t>营商的专线资源合规管理和防范骚扰的治理工作中，对可能形成骚扰的通信行为进行及时的发现和管理。</w:t>
      </w:r>
    </w:p>
    <w:p>
      <w:pPr>
        <w:pStyle w:val="BodyText"/>
        <w:spacing w:line="314" w:lineRule="auto" w:before="59"/>
        <w:ind w:right="1034" w:firstLine="360"/>
        <w:jc w:val="left"/>
      </w:pPr>
      <w:r>
        <w:rPr>
          <w:spacing w:val="-2"/>
        </w:rPr>
        <w:t>内容安全方面，公司在文本识别、语义分析、图像分析、视频分析、语音分析等技术方面持续加大研发投入力度，积极</w:t>
      </w:r>
      <w:r>
        <w:rPr/>
        <w:t> </w:t>
      </w:r>
      <w:r>
        <w:rPr>
          <w:spacing w:val="-2"/>
        </w:rPr>
        <w:t>应用新的人工智能技术，在不良信息治理和内容风控业务领域形成了独特的技术积累和业务能力，在报告期内，公司加强了</w:t>
      </w:r>
      <w:r>
        <w:rPr>
          <w:spacing w:val="-66"/>
        </w:rPr>
        <w:t> </w:t>
      </w:r>
      <w:r>
        <w:rPr>
          <w:spacing w:val="-66"/>
        </w:rPr>
      </w:r>
      <w:r>
        <w:rPr>
          <w:spacing w:val="-2"/>
        </w:rPr>
        <w:t>安全服务产品的提供，为多个运营商、政府部门、及互联网企业提供持续的内容风控服务；公司面向未来业务发展，定义了</w:t>
      </w:r>
      <w:r>
        <w:rPr>
          <w:spacing w:val="-66"/>
        </w:rPr>
        <w:t> </w:t>
      </w:r>
      <w:r>
        <w:rPr>
          <w:spacing w:val="-66"/>
        </w:rPr>
      </w:r>
      <w:r>
        <w:rPr>
          <w:rFonts w:ascii="Times New Roman" w:hAnsi="Times New Roman" w:cs="Times New Roman" w:eastAsia="Times New Roman" w:hint="default"/>
          <w:spacing w:val="-2"/>
        </w:rPr>
        <w:t>SaaS</w:t>
      </w:r>
      <w:r>
        <w:rPr>
          <w:spacing w:val="-2"/>
        </w:rPr>
        <w:t>模式的内容风控平台，启动了相关研发工作，该产品推出后，运营企业及内容提供商将可以通过互联网模式轻易获得内</w:t>
      </w:r>
      <w:r>
        <w:rPr>
          <w:spacing w:val="-63"/>
        </w:rPr>
        <w:t> </w:t>
      </w:r>
      <w:r>
        <w:rPr>
          <w:spacing w:val="-63"/>
        </w:rPr>
      </w:r>
      <w:r>
        <w:rPr/>
        <w:t>容风控的服务。 </w:t>
      </w:r>
      <w:r>
        <w:rPr>
          <w:spacing w:val="-2"/>
        </w:rPr>
        <w:t>同时，在报告期内，公司启动了新一代舆情系统的开发工作，该系统综合应用了爬虫技术、内容还原技术、</w:t>
      </w:r>
      <w:r>
        <w:rPr>
          <w:spacing w:val="-82"/>
        </w:rPr>
        <w:t> </w:t>
      </w:r>
      <w:r>
        <w:rPr>
          <w:spacing w:val="-82"/>
        </w:rPr>
      </w:r>
      <w:r>
        <w:rPr>
          <w:rFonts w:ascii="Times New Roman" w:hAnsi="Times New Roman" w:cs="Times New Roman" w:eastAsia="Times New Roman" w:hint="default"/>
          <w:spacing w:val="-2"/>
        </w:rPr>
        <w:t>DPI</w:t>
      </w:r>
      <w:r>
        <w:rPr>
          <w:spacing w:val="-2"/>
        </w:rPr>
        <w:t>技术、语义分析技术、知识图谱构建、搜索引擎等新的技术，构建了集舆情、商情及态势分析为一体的新一代舆情系统。</w:t>
      </w:r>
    </w:p>
    <w:p>
      <w:pPr>
        <w:spacing w:line="240" w:lineRule="auto" w:before="0"/>
        <w:rPr>
          <w:rFonts w:ascii="宋体" w:hAnsi="宋体" w:cs="宋体" w:eastAsia="宋体" w:hint="default"/>
          <w:sz w:val="18"/>
          <w:szCs w:val="18"/>
        </w:rPr>
      </w:pPr>
    </w:p>
    <w:p>
      <w:pPr>
        <w:pStyle w:val="Heading5"/>
        <w:spacing w:line="240" w:lineRule="auto" w:before="158"/>
        <w:ind w:left="514" w:right="967"/>
        <w:jc w:val="left"/>
        <w:rPr>
          <w:b w:val="0"/>
          <w:bCs w:val="0"/>
        </w:rPr>
      </w:pPr>
      <w:r>
        <w:rPr/>
        <w:t>（</w:t>
      </w:r>
      <w:r>
        <w:rPr>
          <w:rFonts w:ascii="Times New Roman" w:hAnsi="Times New Roman" w:cs="Times New Roman" w:eastAsia="Times New Roman" w:hint="default"/>
        </w:rPr>
        <w:t>3</w:t>
      </w:r>
      <w:r>
        <w:rPr/>
        <w:t>）基础通信、数据安全和应急安全</w:t>
      </w:r>
      <w:r>
        <w:rPr>
          <w:b w:val="0"/>
          <w:bCs w:val="0"/>
        </w:rPr>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b/>
          <w:bCs/>
          <w:sz w:val="21"/>
          <w:szCs w:val="21"/>
        </w:rPr>
      </w:pPr>
    </w:p>
    <w:p>
      <w:pPr>
        <w:pStyle w:val="BodyText"/>
        <w:spacing w:line="240" w:lineRule="auto" w:before="44"/>
        <w:ind w:left="514" w:right="967"/>
        <w:jc w:val="left"/>
      </w:pPr>
      <w:r>
        <w:rPr/>
        <w:t>①</w:t>
      </w:r>
      <w:r>
        <w:rPr>
          <w:rFonts w:ascii="Times New Roman" w:hAnsi="Times New Roman" w:cs="Times New Roman" w:eastAsia="Times New Roman" w:hint="default"/>
        </w:rPr>
        <w:t>DNS</w:t>
      </w:r>
      <w:r>
        <w:rPr/>
        <w:t>解析软件</w:t>
      </w:r>
    </w:p>
    <w:p>
      <w:pPr>
        <w:pStyle w:val="BodyText"/>
        <w:spacing w:line="300" w:lineRule="auto" w:before="101"/>
        <w:ind w:right="1131" w:firstLine="433"/>
        <w:jc w:val="both"/>
      </w:pPr>
      <w:r>
        <w:rPr>
          <w:rFonts w:ascii="Times New Roman" w:hAnsi="Times New Roman" w:cs="Times New Roman" w:eastAsia="Times New Roman" w:hint="default"/>
        </w:rPr>
        <w:t>DNS</w:t>
      </w:r>
      <w:r>
        <w:rPr/>
        <w:t>解析软件方向：报告期内各产品线进行产品的升级与改进，基于细分市场需求推出了多个产品的新版本，包括： </w:t>
      </w:r>
      <w:r>
        <w:rPr>
          <w:rFonts w:ascii="Times New Roman" w:hAnsi="Times New Roman" w:cs="Times New Roman" w:eastAsia="Times New Roman" w:hint="default"/>
          <w:spacing w:val="-1"/>
        </w:rPr>
        <w:t>DNS</w:t>
      </w:r>
      <w:r>
        <w:rPr>
          <w:spacing w:val="-1"/>
        </w:rPr>
        <w:t>基于移动</w:t>
      </w:r>
      <w:r>
        <w:rPr>
          <w:rFonts w:ascii="Times New Roman" w:hAnsi="Times New Roman" w:cs="Times New Roman" w:eastAsia="Times New Roman" w:hint="default"/>
          <w:spacing w:val="-1"/>
        </w:rPr>
        <w:t>CDN</w:t>
      </w:r>
      <w:r>
        <w:rPr>
          <w:spacing w:val="-1"/>
        </w:rPr>
        <w:t>下沉需要，支持</w:t>
      </w:r>
      <w:r>
        <w:rPr>
          <w:rFonts w:ascii="Times New Roman" w:hAnsi="Times New Roman" w:cs="Times New Roman" w:eastAsia="Times New Roman" w:hint="default"/>
          <w:spacing w:val="-1"/>
        </w:rPr>
        <w:t>ECS</w:t>
      </w:r>
      <w:r>
        <w:rPr>
          <w:spacing w:val="-1"/>
        </w:rPr>
        <w:t>功能，提供整体解决方案，根据《中国移动</w:t>
      </w:r>
      <w:r>
        <w:rPr>
          <w:rFonts w:ascii="Times New Roman" w:hAnsi="Times New Roman" w:cs="Times New Roman" w:eastAsia="Times New Roman" w:hint="default"/>
          <w:spacing w:val="-1"/>
        </w:rPr>
        <w:t>2018</w:t>
      </w:r>
      <w:r>
        <w:rPr>
          <w:spacing w:val="-1"/>
        </w:rPr>
        <w:t>年推进</w:t>
      </w:r>
      <w:r>
        <w:rPr>
          <w:rFonts w:ascii="Times New Roman" w:hAnsi="Times New Roman" w:cs="Times New Roman" w:eastAsia="Times New Roman" w:hint="default"/>
          <w:spacing w:val="-1"/>
        </w:rPr>
        <w:t>IPv6</w:t>
      </w:r>
      <w:r>
        <w:rPr>
          <w:spacing w:val="-1"/>
        </w:rPr>
        <w:t>规模部署》要求，全面支</w:t>
      </w:r>
      <w:r>
        <w:rPr/>
        <w:t> </w:t>
      </w:r>
      <w:r>
        <w:rPr>
          <w:spacing w:val="-1"/>
        </w:rPr>
        <w:t>持</w:t>
      </w:r>
      <w:r>
        <w:rPr>
          <w:rFonts w:ascii="Times New Roman" w:hAnsi="Times New Roman" w:cs="Times New Roman" w:eastAsia="Times New Roman" w:hint="default"/>
          <w:spacing w:val="-1"/>
        </w:rPr>
        <w:t>IPv6</w:t>
      </w:r>
      <w:r>
        <w:rPr>
          <w:spacing w:val="-1"/>
        </w:rPr>
        <w:t>及双栈服务；高性能</w:t>
      </w:r>
      <w:r>
        <w:rPr>
          <w:rFonts w:ascii="Times New Roman" w:hAnsi="Times New Roman" w:cs="Times New Roman" w:eastAsia="Times New Roman" w:hint="default"/>
          <w:spacing w:val="-1"/>
        </w:rPr>
        <w:t>DNS</w:t>
      </w:r>
      <w:r>
        <w:rPr>
          <w:rFonts w:ascii="Times New Roman" w:hAnsi="Times New Roman" w:cs="Times New Roman" w:eastAsia="Times New Roman" w:hint="default"/>
        </w:rPr>
        <w:t> </w:t>
      </w:r>
      <w:r>
        <w:rPr>
          <w:rFonts w:ascii="Times New Roman" w:hAnsi="Times New Roman" w:cs="Times New Roman" w:eastAsia="Times New Roman" w:hint="default"/>
          <w:spacing w:val="-2"/>
        </w:rPr>
        <w:t>Recursor</w:t>
      </w:r>
      <w:r>
        <w:rPr>
          <w:spacing w:val="-2"/>
        </w:rPr>
        <w:t>，支持</w:t>
      </w:r>
      <w:r>
        <w:rPr>
          <w:rFonts w:ascii="Times New Roman" w:hAnsi="Times New Roman" w:cs="Times New Roman" w:eastAsia="Times New Roman" w:hint="default"/>
          <w:spacing w:val="-2"/>
        </w:rPr>
        <w:t>ECS-Only</w:t>
      </w:r>
      <w:r>
        <w:rPr>
          <w:spacing w:val="-2"/>
        </w:rPr>
        <w:t>，优化解析流程，根节点优化；</w:t>
      </w:r>
      <w:r>
        <w:rPr>
          <w:rFonts w:ascii="Times New Roman" w:hAnsi="Times New Roman" w:cs="Times New Roman" w:eastAsia="Times New Roman" w:hint="default"/>
          <w:spacing w:val="-2"/>
        </w:rPr>
        <w:t>DNS</w:t>
      </w:r>
      <w:r>
        <w:rPr>
          <w:spacing w:val="-2"/>
        </w:rPr>
        <w:t>全线产品</w:t>
      </w:r>
      <w:r>
        <w:rPr>
          <w:rFonts w:ascii="Times New Roman" w:hAnsi="Times New Roman" w:cs="Times New Roman" w:eastAsia="Times New Roman" w:hint="default"/>
          <w:spacing w:val="-2"/>
        </w:rPr>
        <w:t>DoT,DoH</w:t>
      </w:r>
      <w:r>
        <w:rPr>
          <w:spacing w:val="-2"/>
        </w:rPr>
        <w:t>的支持，提</w:t>
      </w:r>
      <w:r>
        <w:rPr>
          <w:spacing w:val="-51"/>
        </w:rPr>
        <w:t> </w:t>
      </w:r>
      <w:r>
        <w:rPr>
          <w:spacing w:val="-51"/>
        </w:rPr>
      </w:r>
      <w:r>
        <w:rPr/>
        <w:t>高安全等级，减少信息泄露风险；根据管局要求，增加</w:t>
      </w:r>
      <w:r>
        <w:rPr>
          <w:rFonts w:ascii="Times New Roman" w:hAnsi="Times New Roman" w:cs="Times New Roman" w:eastAsia="Times New Roman" w:hint="default"/>
        </w:rPr>
        <w:t>DNS</w:t>
      </w:r>
      <w:r>
        <w:rPr/>
        <w:t>域名管控功能。</w:t>
      </w:r>
    </w:p>
    <w:p>
      <w:pPr>
        <w:pStyle w:val="BodyText"/>
        <w:spacing w:line="240" w:lineRule="auto" w:before="53"/>
        <w:ind w:left="514" w:right="967"/>
        <w:jc w:val="left"/>
      </w:pPr>
      <w:r>
        <w:rPr/>
        <w:t>②</w:t>
      </w:r>
      <w:r>
        <w:rPr>
          <w:rFonts w:ascii="Times New Roman" w:hAnsi="Times New Roman" w:cs="Times New Roman" w:eastAsia="Times New Roman" w:hint="default"/>
        </w:rPr>
        <w:t>DNS</w:t>
      </w:r>
      <w:r>
        <w:rPr/>
        <w:t>管理平台</w:t>
      </w:r>
    </w:p>
    <w:p>
      <w:pPr>
        <w:pStyle w:val="BodyText"/>
        <w:spacing w:line="302" w:lineRule="auto" w:before="101"/>
        <w:ind w:right="1148" w:firstLine="420"/>
        <w:jc w:val="left"/>
      </w:pPr>
      <w:r>
        <w:rPr>
          <w:rFonts w:ascii="Times New Roman" w:hAnsi="Times New Roman" w:cs="Times New Roman" w:eastAsia="Times New Roman" w:hint="default"/>
        </w:rPr>
        <w:t>DNS</w:t>
      </w:r>
      <w:r>
        <w:rPr>
          <w:rFonts w:ascii="Times New Roman" w:hAnsi="Times New Roman" w:cs="Times New Roman" w:eastAsia="Times New Roman" w:hint="default"/>
          <w:spacing w:val="-1"/>
        </w:rPr>
        <w:t> </w:t>
      </w:r>
      <w:r>
        <w:rPr>
          <w:rFonts w:ascii="Times New Roman" w:hAnsi="Times New Roman" w:cs="Times New Roman" w:eastAsia="Times New Roman" w:hint="default"/>
        </w:rPr>
        <w:t>Manager</w:t>
      </w:r>
      <w:r>
        <w:rPr/>
        <w:t>基于移动</w:t>
      </w:r>
      <w:r>
        <w:rPr>
          <w:rFonts w:ascii="Times New Roman" w:hAnsi="Times New Roman" w:cs="Times New Roman" w:eastAsia="Times New Roman" w:hint="default"/>
        </w:rPr>
        <w:t>4A</w:t>
      </w:r>
      <w:r>
        <w:rPr/>
        <w:t>镜像管理方式的兼容性，做镜像浏览器适配，优化界面，提高易用性，提供域名管控接口， 协同管局进行域名访问控制。</w:t>
      </w:r>
    </w:p>
    <w:p>
      <w:pPr>
        <w:pStyle w:val="BodyText"/>
        <w:spacing w:line="357" w:lineRule="auto" w:before="69"/>
        <w:ind w:left="514" w:right="1032" w:firstLine="60"/>
        <w:jc w:val="left"/>
      </w:pPr>
      <w:r>
        <w:rPr/>
        <w:t>③用户体验优化系统 随着互联网技术特别是移动互联网技术的不断发展，互联网上的应用也日益增加，门户网站、及时通信、视频、音乐、</w:t>
      </w:r>
    </w:p>
    <w:p>
      <w:pPr>
        <w:pStyle w:val="BodyText"/>
        <w:spacing w:line="224" w:lineRule="exact"/>
        <w:ind w:right="0"/>
        <w:jc w:val="both"/>
      </w:pPr>
      <w:r>
        <w:rPr>
          <w:spacing w:val="-4"/>
        </w:rPr>
        <w:t>游戏、网上购物、网上学习、视频会议、生活支付等种类繁多的应用一方面丰富了我们的生活，另一方面也让我们足不出户、</w:t>
      </w:r>
    </w:p>
    <w:p>
      <w:pPr>
        <w:pStyle w:val="BodyText"/>
        <w:spacing w:line="319" w:lineRule="auto" w:before="76"/>
        <w:ind w:right="1131"/>
        <w:jc w:val="both"/>
      </w:pPr>
      <w:r>
        <w:rPr>
          <w:spacing w:val="-2"/>
        </w:rPr>
        <w:t>无需排队、安全便捷的完成工作和生活中的诸多事情。互联网时代是一个用户为王的时代，如何获取用户访问资源情况，合</w:t>
      </w:r>
      <w:r>
        <w:rPr>
          <w:spacing w:val="-66"/>
        </w:rPr>
        <w:t> </w:t>
      </w:r>
      <w:r>
        <w:rPr>
          <w:spacing w:val="-66"/>
        </w:rPr>
      </w:r>
      <w:r>
        <w:rPr>
          <w:spacing w:val="-2"/>
        </w:rPr>
        <w:t>理部署应用资源，提升用户体验显得至关重要。用户体验优化系统是一款分析域名归属地，优化查询，分析恶意域名及目的</w:t>
      </w:r>
      <w:r>
        <w:rPr>
          <w:spacing w:val="-66"/>
        </w:rPr>
        <w:t> </w:t>
      </w:r>
      <w:r>
        <w:rPr>
          <w:spacing w:val="-66"/>
        </w:rPr>
      </w:r>
      <w:r>
        <w:rPr/>
        <w:t>地址非法备案等内容的综合系统，致力于为用户提供一个安全快速的上网环境。</w:t>
      </w:r>
    </w:p>
    <w:p>
      <w:pPr>
        <w:pStyle w:val="BodyText"/>
        <w:spacing w:line="240" w:lineRule="auto" w:before="56"/>
        <w:ind w:left="574" w:right="967"/>
        <w:jc w:val="left"/>
      </w:pPr>
      <w:r>
        <w:rPr/>
        <w:t>④敏感数据安全防护系统</w:t>
      </w:r>
    </w:p>
    <w:p>
      <w:pPr>
        <w:pStyle w:val="BodyText"/>
        <w:spacing w:line="307" w:lineRule="auto" w:before="115"/>
        <w:ind w:right="1129"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w:t>
      </w:r>
      <w:r>
        <w:rPr>
          <w:spacing w:val="-2"/>
        </w:rPr>
        <w:t>日《网络安全法》正式实施，</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w:t>
      </w:r>
      <w:r>
        <w:rPr>
          <w:spacing w:val="-2"/>
        </w:rPr>
        <w:t>日国家标准《信息安全技术</w:t>
      </w:r>
      <w:r>
        <w:rPr>
          <w:rFonts w:ascii="Times New Roman" w:hAnsi="Times New Roman" w:cs="Times New Roman" w:eastAsia="Times New Roman" w:hint="default"/>
          <w:spacing w:val="-2"/>
        </w:rPr>
        <w:t>—</w:t>
      </w:r>
      <w:r>
        <w:rPr>
          <w:spacing w:val="-2"/>
        </w:rPr>
        <w:t>个人信息安全规范》正式实施。工信</w:t>
      </w:r>
      <w:r>
        <w:rPr/>
        <w:t> </w:t>
      </w:r>
      <w:r>
        <w:rPr>
          <w:spacing w:val="-2"/>
        </w:rPr>
        <w:t>部也相继出台了针对加强电信及互联网行业等信息安全管理的指导意见及工作要求。针对敏感信息的发现、数据泄露溯源及</w:t>
      </w:r>
      <w:r>
        <w:rPr>
          <w:spacing w:val="-64"/>
        </w:rPr>
        <w:t> </w:t>
      </w:r>
      <w:r>
        <w:rPr>
          <w:spacing w:val="-64"/>
        </w:rPr>
      </w:r>
      <w:r>
        <w:rPr/>
        <w:t>安全防护方面，公司一直保持着持续的研发。报告期内，公司在完成了敏感数据安全防护系统</w:t>
      </w:r>
      <w:r>
        <w:rPr>
          <w:rFonts w:ascii="Times New Roman" w:hAnsi="Times New Roman" w:cs="Times New Roman" w:eastAsia="Times New Roman" w:hint="default"/>
        </w:rPr>
        <w:t>DataGuard</w:t>
      </w:r>
      <w:r>
        <w:rPr/>
        <w:t>的软件开发及整套 系统解决方案的提供，并得到了多个行业用户的认可。</w:t>
      </w:r>
    </w:p>
    <w:p>
      <w:pPr>
        <w:pStyle w:val="BodyText"/>
        <w:spacing w:line="357" w:lineRule="auto" w:before="67"/>
        <w:ind w:left="514" w:right="967" w:firstLine="60"/>
        <w:jc w:val="left"/>
      </w:pPr>
      <w:r>
        <w:rPr/>
        <w:t>⑤应急通信系统 </w:t>
      </w:r>
      <w:r>
        <w:rPr>
          <w:spacing w:val="-2"/>
        </w:rPr>
        <w:t>报告期内，自主研发了应急通信指挥系统、应急决策支持系统、应急卫星终端管理系统、应急资源共享平台、应急大数</w:t>
      </w:r>
    </w:p>
    <w:p>
      <w:pPr>
        <w:pStyle w:val="BodyText"/>
        <w:spacing w:line="224" w:lineRule="exact"/>
        <w:ind w:right="0"/>
        <w:jc w:val="both"/>
      </w:pPr>
      <w:r>
        <w:rPr/>
        <w:t>据分析系统等产品，其中多个应急产品已推广到多个省份的行业客户，并成功参与了工信部、省运营商、省通管局的应急平</w:t>
      </w:r>
    </w:p>
    <w:p>
      <w:pPr>
        <w:pStyle w:val="BodyText"/>
        <w:spacing w:line="240" w:lineRule="auto" w:before="77"/>
        <w:ind w:right="0"/>
        <w:jc w:val="both"/>
      </w:pPr>
      <w:r>
        <w:rPr/>
        <w:t>台项目的建设中，并成功完成项目交付，得到了客户的高度认可。</w:t>
      </w:r>
    </w:p>
    <w:p>
      <w:pPr>
        <w:pStyle w:val="Heading5"/>
        <w:spacing w:line="240" w:lineRule="auto" w:before="116"/>
        <w:ind w:left="514" w:right="967"/>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5G</w:t>
      </w:r>
      <w:r>
        <w:rPr/>
        <w:t>业务方向</w:t>
      </w:r>
      <w:r>
        <w:rPr>
          <w:b w:val="0"/>
          <w:bCs w:val="0"/>
        </w:rPr>
      </w:r>
    </w:p>
    <w:p>
      <w:pPr>
        <w:pStyle w:val="BodyText"/>
        <w:spacing w:line="300" w:lineRule="auto" w:before="102"/>
        <w:ind w:right="1129" w:firstLine="360"/>
        <w:jc w:val="left"/>
      </w:pPr>
      <w:r>
        <w:rPr/>
        <w:t>工信部发布的《信息通信行业发展规划（</w:t>
      </w:r>
      <w:r>
        <w:rPr>
          <w:rFonts w:ascii="Times New Roman" w:hAnsi="Times New Roman" w:cs="Times New Roman" w:eastAsia="Times New Roman" w:hint="default"/>
        </w:rPr>
        <w:t>2016-2020</w:t>
      </w:r>
      <w:r>
        <w:rPr/>
        <w:t>年）》明确提出将在</w:t>
      </w:r>
      <w:r>
        <w:rPr>
          <w:rFonts w:ascii="Times New Roman" w:hAnsi="Times New Roman" w:cs="Times New Roman" w:eastAsia="Times New Roman" w:hint="default"/>
        </w:rPr>
        <w:t>2020</w:t>
      </w:r>
      <w:r>
        <w:rPr/>
        <w:t>年启动</w:t>
      </w:r>
      <w:r>
        <w:rPr>
          <w:rFonts w:ascii="Times New Roman" w:hAnsi="Times New Roman" w:cs="Times New Roman" w:eastAsia="Times New Roman" w:hint="default"/>
        </w:rPr>
        <w:t>5G</w:t>
      </w:r>
      <w:r>
        <w:rPr/>
        <w:t>商用服务。根据各个运营商的工 </w:t>
      </w:r>
      <w:r>
        <w:rPr>
          <w:spacing w:val="-2"/>
        </w:rPr>
        <w:t>作计划，</w:t>
      </w:r>
      <w:r>
        <w:rPr>
          <w:rFonts w:ascii="Times New Roman" w:hAnsi="Times New Roman" w:cs="Times New Roman" w:eastAsia="Times New Roman" w:hint="default"/>
          <w:spacing w:val="-2"/>
        </w:rPr>
        <w:t>2019</w:t>
      </w:r>
      <w:r>
        <w:rPr>
          <w:spacing w:val="-2"/>
        </w:rPr>
        <w:t>年将是</w:t>
      </w:r>
      <w:r>
        <w:rPr>
          <w:rFonts w:ascii="Times New Roman" w:hAnsi="Times New Roman" w:cs="Times New Roman" w:eastAsia="Times New Roman" w:hint="default"/>
          <w:spacing w:val="-2"/>
        </w:rPr>
        <w:t>5G</w:t>
      </w:r>
      <w:r>
        <w:rPr>
          <w:spacing w:val="-2"/>
        </w:rPr>
        <w:t>网络建设的重要节点，在报告期内公司完成了</w:t>
      </w:r>
      <w:r>
        <w:rPr>
          <w:rFonts w:ascii="Times New Roman" w:hAnsi="Times New Roman" w:cs="Times New Roman" w:eastAsia="Times New Roman" w:hint="default"/>
          <w:spacing w:val="-2"/>
        </w:rPr>
        <w:t>Nb-Iot</w:t>
      </w:r>
      <w:r>
        <w:rPr>
          <w:spacing w:val="-2"/>
        </w:rPr>
        <w:t>网络优化产品的研发，发布了商用软件产品，同</w:t>
      </w:r>
      <w:r>
        <w:rPr>
          <w:spacing w:val="-37"/>
        </w:rPr>
        <w:t> </w:t>
      </w:r>
      <w:r>
        <w:rPr>
          <w:spacing w:val="-37"/>
        </w:rPr>
      </w:r>
      <w:r>
        <w:rPr/>
        <w:t>时启动</w:t>
      </w:r>
      <w:r>
        <w:rPr>
          <w:rFonts w:ascii="Times New Roman" w:hAnsi="Times New Roman" w:cs="Times New Roman" w:eastAsia="Times New Roman" w:hint="default"/>
        </w:rPr>
        <w:t>5G</w:t>
      </w:r>
      <w:r>
        <w:rPr/>
        <w:t>网络路测产品、优化产品、智能运维产品的研发工作，为即将到来的</w:t>
      </w:r>
      <w:r>
        <w:rPr>
          <w:rFonts w:ascii="Times New Roman" w:hAnsi="Times New Roman" w:cs="Times New Roman" w:eastAsia="Times New Roman" w:hint="default"/>
        </w:rPr>
        <w:t>5G</w:t>
      </w:r>
      <w:r>
        <w:rPr/>
        <w:t>网络建设提供有力的产品和服务。立足于 公司优势资源，在网优路测仪表领域不断突破创新。</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PC</w:t>
      </w:r>
      <w:r>
        <w:rPr/>
        <w:t>版路测软件先后中标移动、电信集团采购，新开发产品便携 式</w:t>
      </w:r>
      <w:r>
        <w:rPr>
          <w:rFonts w:ascii="Times New Roman" w:hAnsi="Times New Roman" w:cs="Times New Roman" w:eastAsia="Times New Roman" w:hint="default"/>
        </w:rPr>
        <w:t>NB</w:t>
      </w:r>
      <w:r>
        <w:rPr/>
        <w:t>测试仪表正式投入使用，为将来的</w:t>
      </w:r>
      <w:r>
        <w:rPr>
          <w:rFonts w:ascii="Times New Roman" w:hAnsi="Times New Roman" w:cs="Times New Roman" w:eastAsia="Times New Roman" w:hint="default"/>
        </w:rPr>
        <w:t>5G</w:t>
      </w:r>
      <w:r>
        <w:rPr/>
        <w:t>路测产品奠定了坚实的基础。</w:t>
      </w:r>
      <w:r>
        <w:rPr>
          <w:spacing w:val="-32"/>
        </w:rPr>
        <w:t> </w:t>
      </w:r>
      <w:r>
        <w:rPr/>
        <w:t>具体成果有，</w:t>
      </w:r>
      <w:r>
        <w:rPr>
          <w:rFonts w:ascii="Times New Roman" w:hAnsi="Times New Roman" w:cs="Times New Roman" w:eastAsia="Times New Roman" w:hint="default"/>
        </w:rPr>
        <w:t>CDS7.1</w:t>
      </w:r>
      <w:r>
        <w:rPr/>
        <w:t>软件</w:t>
      </w:r>
      <w:r>
        <w:rPr>
          <w:rFonts w:ascii="Times New Roman" w:hAnsi="Times New Roman" w:cs="Times New Roman" w:eastAsia="Times New Roman" w:hint="default"/>
        </w:rPr>
        <w:t>NB</w:t>
      </w:r>
      <w:r>
        <w:rPr/>
        <w:t>功能模块的开发，完 </w:t>
      </w:r>
      <w:r>
        <w:rPr>
          <w:spacing w:val="-1"/>
        </w:rPr>
        <w:t>成</w:t>
      </w:r>
      <w:r>
        <w:rPr>
          <w:rFonts w:ascii="Times New Roman" w:hAnsi="Times New Roman" w:cs="Times New Roman" w:eastAsia="Times New Roman" w:hint="default"/>
          <w:spacing w:val="-1"/>
        </w:rPr>
        <w:t>CDS</w:t>
      </w:r>
      <w:r>
        <w:rPr>
          <w:spacing w:val="-1"/>
        </w:rPr>
        <w:t>路测软件中</w:t>
      </w:r>
      <w:r>
        <w:rPr>
          <w:rFonts w:ascii="Times New Roman" w:hAnsi="Times New Roman" w:cs="Times New Roman" w:eastAsia="Times New Roman" w:hint="default"/>
          <w:spacing w:val="-1"/>
        </w:rPr>
        <w:t>NB</w:t>
      </w:r>
      <w:r>
        <w:rPr>
          <w:spacing w:val="-1"/>
        </w:rPr>
        <w:t>功能模块的开发工作，同时针对各家运营商个性化需求，完善</w:t>
      </w:r>
      <w:r>
        <w:rPr>
          <w:rFonts w:ascii="Times New Roman" w:hAnsi="Times New Roman" w:cs="Times New Roman" w:eastAsia="Times New Roman" w:hint="default"/>
          <w:spacing w:val="-1"/>
        </w:rPr>
        <w:t>NB</w:t>
      </w:r>
      <w:r>
        <w:rPr>
          <w:spacing w:val="-1"/>
        </w:rPr>
        <w:t>功能模块，最终在</w:t>
      </w:r>
      <w:r>
        <w:rPr>
          <w:rFonts w:ascii="Times New Roman" w:hAnsi="Times New Roman" w:cs="Times New Roman" w:eastAsia="Times New Roman" w:hint="default"/>
          <w:spacing w:val="-1"/>
        </w:rPr>
        <w:t>2018</w:t>
      </w:r>
      <w:r>
        <w:rPr>
          <w:spacing w:val="-1"/>
        </w:rPr>
        <w:t>年移动及电信</w:t>
      </w:r>
      <w:r>
        <w:rPr>
          <w:spacing w:val="-70"/>
        </w:rPr>
        <w:t> </w:t>
      </w:r>
      <w:r>
        <w:rPr/>
        <w:t>集团集中采购中双双中标；完成便携式</w:t>
      </w:r>
      <w:r>
        <w:rPr>
          <w:rFonts w:ascii="Times New Roman" w:hAnsi="Times New Roman" w:cs="Times New Roman" w:eastAsia="Times New Roman" w:hint="default"/>
        </w:rPr>
        <w:t>NB</w:t>
      </w:r>
      <w:r>
        <w:rPr/>
        <w:t>测试仪表的开发，智能手机通过</w:t>
      </w:r>
      <w:r>
        <w:rPr>
          <w:rFonts w:ascii="Times New Roman" w:hAnsi="Times New Roman" w:cs="Times New Roman" w:eastAsia="Times New Roman" w:hint="default"/>
        </w:rPr>
        <w:t>WIFI</w:t>
      </w:r>
      <w:r>
        <w:rPr/>
        <w:t>连接</w:t>
      </w:r>
      <w:r>
        <w:rPr>
          <w:rFonts w:ascii="Times New Roman" w:hAnsi="Times New Roman" w:cs="Times New Roman" w:eastAsia="Times New Roman" w:hint="default"/>
        </w:rPr>
        <w:t>NB</w:t>
      </w:r>
      <w:r>
        <w:rPr/>
        <w:t>模组进行</w:t>
      </w:r>
      <w:r>
        <w:rPr>
          <w:rFonts w:ascii="Times New Roman" w:hAnsi="Times New Roman" w:cs="Times New Roman" w:eastAsia="Times New Roman" w:hint="default"/>
        </w:rPr>
        <w:t>NB</w:t>
      </w:r>
      <w:r>
        <w:rPr/>
        <w:t>网络测试的便携式测试 方案，完成</w:t>
      </w:r>
      <w:r>
        <w:rPr>
          <w:rFonts w:ascii="Times New Roman" w:hAnsi="Times New Roman" w:cs="Times New Roman" w:eastAsia="Times New Roman" w:hint="default"/>
        </w:rPr>
        <w:t>CDSPLUS</w:t>
      </w:r>
      <w:r>
        <w:rPr/>
        <w:t>中便携式</w:t>
      </w:r>
      <w:r>
        <w:rPr>
          <w:rFonts w:ascii="Times New Roman" w:hAnsi="Times New Roman" w:cs="Times New Roman" w:eastAsia="Times New Roman" w:hint="default"/>
        </w:rPr>
        <w:t>NB</w:t>
      </w:r>
      <w:r>
        <w:rPr/>
        <w:t>路测软件功能模块的开发工作，完成新的</w:t>
      </w:r>
      <w:r>
        <w:rPr>
          <w:rFonts w:ascii="Times New Roman" w:hAnsi="Times New Roman" w:cs="Times New Roman" w:eastAsia="Times New Roman" w:hint="default"/>
        </w:rPr>
        <w:t>NB</w:t>
      </w:r>
      <w:r>
        <w:rPr/>
        <w:t>模组</w:t>
      </w:r>
      <w:r>
        <w:rPr>
          <w:rFonts w:ascii="Times New Roman" w:hAnsi="Times New Roman" w:cs="Times New Roman" w:eastAsia="Times New Roman" w:hint="default"/>
        </w:rPr>
        <w:t>Iot-Access-Box</w:t>
      </w:r>
      <w:r>
        <w:rPr/>
        <w:t>，并顺利投入使用；</w:t>
      </w:r>
      <w:r>
        <w:rPr>
          <w:w w:val="99"/>
        </w:rPr>
        <w:t> </w:t>
      </w:r>
      <w:r>
        <w:rPr>
          <w:rFonts w:ascii="Times New Roman" w:hAnsi="Times New Roman" w:cs="Times New Roman" w:eastAsia="Times New Roman" w:hint="default"/>
          <w:spacing w:val="-1"/>
        </w:rPr>
        <w:t>CDSPLUS</w:t>
      </w:r>
      <w:r>
        <w:rPr>
          <w:rFonts w:ascii="Times New Roman" w:hAnsi="Times New Roman" w:cs="Times New Roman" w:eastAsia="Times New Roman" w:hint="default"/>
        </w:rPr>
        <w:t> </w:t>
      </w:r>
      <w:r>
        <w:rPr>
          <w:rFonts w:ascii="Times New Roman" w:hAnsi="Times New Roman" w:cs="Times New Roman" w:eastAsia="Times New Roman" w:hint="default"/>
          <w:spacing w:val="-2"/>
        </w:rPr>
        <w:t>APP</w:t>
      </w:r>
      <w:r>
        <w:rPr>
          <w:spacing w:val="-2"/>
        </w:rPr>
        <w:t>全新升级改版；完善</w:t>
      </w:r>
      <w:r>
        <w:rPr>
          <w:rFonts w:ascii="Times New Roman" w:hAnsi="Times New Roman" w:cs="Times New Roman" w:eastAsia="Times New Roman" w:hint="default"/>
          <w:spacing w:val="-2"/>
        </w:rPr>
        <w:t>NB</w:t>
      </w:r>
      <w:r>
        <w:rPr>
          <w:spacing w:val="-2"/>
        </w:rPr>
        <w:t>扫频功能，适配</w:t>
      </w:r>
      <w:r>
        <w:rPr>
          <w:rFonts w:ascii="Times New Roman" w:hAnsi="Times New Roman" w:cs="Times New Roman" w:eastAsia="Times New Roman" w:hint="default"/>
          <w:spacing w:val="-2"/>
        </w:rPr>
        <w:t>RS</w:t>
      </w:r>
      <w:r>
        <w:rPr>
          <w:spacing w:val="-2"/>
        </w:rPr>
        <w:t>最新扫频仪，完善扫频仪和模组同时测试能力；原有</w:t>
      </w:r>
      <w:r>
        <w:rPr>
          <w:rFonts w:ascii="Times New Roman" w:hAnsi="Times New Roman" w:cs="Times New Roman" w:eastAsia="Times New Roman" w:hint="default"/>
          <w:spacing w:val="-2"/>
        </w:rPr>
        <w:t>2/3/4G</w:t>
      </w:r>
      <w:r>
        <w:rPr>
          <w:spacing w:val="-2"/>
        </w:rPr>
        <w:t>网优路</w:t>
      </w:r>
      <w:r>
        <w:rPr>
          <w:spacing w:val="-41"/>
        </w:rPr>
        <w:t> </w:t>
      </w:r>
      <w:r>
        <w:rPr/>
        <w:t>测产品功能完善，跟进市场需求、适配新的测试终端。</w:t>
      </w:r>
    </w:p>
    <w:p>
      <w:pPr>
        <w:pStyle w:val="BodyText"/>
        <w:spacing w:line="338" w:lineRule="auto" w:before="70"/>
        <w:ind w:right="967" w:firstLine="360"/>
        <w:jc w:val="left"/>
      </w:pPr>
      <w:r>
        <w:rPr>
          <w:spacing w:val="-2"/>
        </w:rPr>
        <w:t>随着商用终端市场的不断发展，更新软件适配新的商用终端，根据运营商不断变化的招标技术规范增加测试内容，改进</w:t>
      </w:r>
      <w:r>
        <w:rPr/>
        <w:t> 测试方法，完善原有软件功能、强化细节改进分析模块、报告统计模块等，逐步完善软件功能、强化软件细节。 近三年公司研发投入金额及占营业收入的比例</w:t>
      </w:r>
    </w:p>
    <w:p>
      <w:pPr>
        <w:spacing w:line="240" w:lineRule="auto" w:before="6"/>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3096"/>
        <w:gridCol w:w="2280"/>
        <w:gridCol w:w="2268"/>
        <w:gridCol w:w="1913"/>
      </w:tblGrid>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65.75%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64.55%</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70,369,152.84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62,092,582.36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54,819,492.78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08"/>
        <w:gridCol w:w="2280"/>
        <w:gridCol w:w="2268"/>
        <w:gridCol w:w="1913"/>
      </w:tblGrid>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16.85%</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2,963,136.47</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5.41%</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pStyle w:val="BodyText"/>
        <w:spacing w:line="240" w:lineRule="auto" w:before="51"/>
        <w:ind w:right="-19"/>
        <w:jc w:val="left"/>
      </w:pPr>
      <w:r>
        <w:rPr/>
        <w:t>研发投入总额占营业收入的比重较上年发生显著变化的原因</w:t>
      </w:r>
    </w:p>
    <w:p>
      <w:pPr>
        <w:pStyle w:val="BodyText"/>
        <w:spacing w:line="338" w:lineRule="auto" w:before="117"/>
        <w:ind w:right="49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58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bl>
    <w:p>
      <w:pPr>
        <w:spacing w:line="240" w:lineRule="auto" w:before="2"/>
        <w:rPr>
          <w:rFonts w:ascii="宋体" w:hAnsi="宋体" w:cs="宋体" w:eastAsia="宋体" w:hint="default"/>
          <w:sz w:val="19"/>
          <w:szCs w:val="19"/>
        </w:rPr>
      </w:pPr>
    </w:p>
    <w:p>
      <w:pPr>
        <w:pStyle w:val="Heading3"/>
        <w:spacing w:line="240" w:lineRule="auto" w:before="35"/>
        <w:ind w:right="967"/>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486,574,965.62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386,610,742.52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25.86%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359,919,388.69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277,442,203.59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29.73%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126,655,576.93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109,168,538.93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w w:val="95"/>
                <w:sz w:val="18"/>
              </w:rPr>
              <w:t>3,118.00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108.47%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362,565,489.26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157,849,992.00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129.69%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-362,558,989.26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-157,846,874.00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-129.69%</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14,833,983.82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978.60%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151,004,584.16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28,175,733.27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435.94%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8,995,415.84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-13,341,749.45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167.42%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-226,907,996.49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-62,020,084.52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-265.86%</w:t>
            </w:r>
            <w:r>
              <w:rPr>
                <w:rFonts w:ascii="Times New Roman"/>
                <w:sz w:val="18"/>
              </w:rPr>
            </w:r>
          </w:p>
        </w:tc>
      </w:tr>
    </w:tbl>
    <w:p>
      <w:pPr>
        <w:pStyle w:val="BodyText"/>
        <w:spacing w:line="240" w:lineRule="auto" w:before="51"/>
        <w:ind w:right="967"/>
        <w:jc w:val="left"/>
      </w:pPr>
      <w:r>
        <w:rPr/>
        <w:t>相关数据同比发生重大变动的主要影响因素说明</w:t>
      </w:r>
    </w:p>
    <w:p>
      <w:pPr>
        <w:pStyle w:val="BodyText"/>
        <w:spacing w:line="240" w:lineRule="auto" w:before="116"/>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967"/>
        <w:jc w:val="left"/>
      </w:pPr>
      <w:r>
        <w:rPr>
          <w:rFonts w:ascii="Times New Roman" w:hAnsi="Times New Roman" w:cs="Times New Roman" w:eastAsia="Times New Roman" w:hint="default"/>
        </w:rPr>
        <w:t>1</w:t>
      </w:r>
      <w:r>
        <w:rPr/>
        <w:t>、报告期内，经营活动产生的现金流量净额</w:t>
      </w:r>
      <w:r>
        <w:rPr>
          <w:rFonts w:ascii="Times New Roman" w:hAnsi="Times New Roman" w:cs="Times New Roman" w:eastAsia="Times New Roman" w:hint="default"/>
        </w:rPr>
        <w:t>126,655,576.93</w:t>
      </w:r>
      <w:r>
        <w:rPr/>
        <w:t>，同比增加</w:t>
      </w:r>
      <w:r>
        <w:rPr>
          <w:rFonts w:ascii="Times New Roman" w:hAnsi="Times New Roman" w:cs="Times New Roman" w:eastAsia="Times New Roman" w:hint="default"/>
        </w:rPr>
        <w:t>16.02%</w:t>
      </w:r>
      <w:r>
        <w:rPr/>
        <w:t>，主要原因为本期销售回款增加。</w:t>
      </w:r>
    </w:p>
    <w:p>
      <w:pPr>
        <w:pStyle w:val="BodyText"/>
        <w:spacing w:line="307" w:lineRule="auto" w:before="63"/>
        <w:ind w:right="967"/>
        <w:jc w:val="left"/>
      </w:pPr>
      <w:r>
        <w:rPr>
          <w:rFonts w:ascii="Times New Roman" w:hAnsi="Times New Roman" w:cs="Times New Roman" w:eastAsia="Times New Roman" w:hint="default"/>
          <w:spacing w:val="-1"/>
        </w:rPr>
        <w:t>2</w:t>
      </w:r>
      <w:r>
        <w:rPr>
          <w:spacing w:val="-1"/>
        </w:rPr>
        <w:t>、报告期内，投资活动产生的现金流量净额</w:t>
      </w:r>
      <w:r>
        <w:rPr>
          <w:rFonts w:ascii="Times New Roman" w:hAnsi="Times New Roman" w:cs="Times New Roman" w:eastAsia="Times New Roman" w:hint="default"/>
          <w:spacing w:val="-1"/>
        </w:rPr>
        <w:t>-362,558,989.26</w:t>
      </w:r>
      <w:r>
        <w:rPr>
          <w:spacing w:val="-1"/>
        </w:rPr>
        <w:t>，同比减少</w:t>
      </w:r>
      <w:r>
        <w:rPr>
          <w:rFonts w:ascii="Times New Roman" w:hAnsi="Times New Roman" w:cs="Times New Roman" w:eastAsia="Times New Roman" w:hint="default"/>
          <w:spacing w:val="-1"/>
        </w:rPr>
        <w:t>129.69%</w:t>
      </w:r>
      <w:r>
        <w:rPr>
          <w:spacing w:val="-1"/>
        </w:rPr>
        <w:t>，主要原因为现金收购泰策科技、追加清响</w:t>
      </w:r>
      <w:r>
        <w:rPr>
          <w:spacing w:val="-51"/>
        </w:rPr>
        <w:t> </w:t>
      </w:r>
      <w:r>
        <w:rPr>
          <w:spacing w:val="-51"/>
        </w:rPr>
      </w:r>
      <w:r>
        <w:rPr/>
        <w:t>基金投资以及购置办公用房所致。 </w:t>
      </w:r>
      <w:r>
        <w:rPr>
          <w:rFonts w:ascii="Times New Roman" w:hAnsi="Times New Roman" w:cs="Times New Roman" w:eastAsia="Times New Roman" w:hint="default"/>
          <w:spacing w:val="-1"/>
        </w:rPr>
        <w:t>3</w:t>
      </w:r>
      <w:r>
        <w:rPr>
          <w:spacing w:val="-1"/>
        </w:rPr>
        <w:t>、报告期内，筹资活动产生的现金流量净额</w:t>
      </w:r>
      <w:r>
        <w:rPr>
          <w:rFonts w:ascii="Times New Roman" w:hAnsi="Times New Roman" w:cs="Times New Roman" w:eastAsia="Times New Roman" w:hint="default"/>
          <w:spacing w:val="-1"/>
        </w:rPr>
        <w:t>8,995,415.84</w:t>
      </w:r>
      <w:r>
        <w:rPr>
          <w:spacing w:val="-1"/>
        </w:rPr>
        <w:t>，同比增加</w:t>
      </w:r>
      <w:r>
        <w:rPr>
          <w:rFonts w:ascii="Times New Roman" w:hAnsi="Times New Roman" w:cs="Times New Roman" w:eastAsia="Times New Roman" w:hint="default"/>
          <w:spacing w:val="-1"/>
        </w:rPr>
        <w:t>167.42%</w:t>
      </w:r>
      <w:r>
        <w:rPr>
          <w:spacing w:val="-1"/>
        </w:rPr>
        <w:t>，主要原因为新增并购贷款</w:t>
      </w:r>
      <w:r>
        <w:rPr>
          <w:rFonts w:ascii="Times New Roman" w:hAnsi="Times New Roman" w:cs="Times New Roman" w:eastAsia="Times New Roman" w:hint="default"/>
          <w:spacing w:val="-1"/>
        </w:rPr>
        <w:t>1.6</w:t>
      </w:r>
      <w:r>
        <w:rPr>
          <w:spacing w:val="-1"/>
        </w:rPr>
        <w:t>亿元，以及公司</w:t>
      </w:r>
      <w:r>
        <w:rPr>
          <w:spacing w:val="-39"/>
        </w:rPr>
        <w:t> </w:t>
      </w:r>
      <w:r>
        <w:rPr>
          <w:spacing w:val="-39"/>
        </w:rPr>
      </w:r>
      <w:r>
        <w:rPr/>
        <w:t>实施股份回购所致。</w:t>
      </w:r>
    </w:p>
    <w:p>
      <w:pPr>
        <w:pStyle w:val="BodyText"/>
        <w:spacing w:line="240" w:lineRule="auto" w:before="67"/>
        <w:ind w:right="967"/>
        <w:jc w:val="left"/>
      </w:pPr>
      <w:r>
        <w:rPr/>
        <w:t>报告期内公司经营活动产生的现金净流量与本年度净利润存在重大差异的原因说明</w:t>
      </w:r>
    </w:p>
    <w:p>
      <w:pPr>
        <w:pStyle w:val="BodyText"/>
        <w:spacing w:line="240" w:lineRule="auto" w:before="116"/>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967"/>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967"/>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67"/>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7"/>
        <w:gridCol w:w="1175"/>
        <w:gridCol w:w="1063"/>
        <w:gridCol w:w="1196"/>
        <w:gridCol w:w="1063"/>
        <w:gridCol w:w="798"/>
        <w:gridCol w:w="2918"/>
      </w:tblGrid>
      <w:tr>
        <w:trPr>
          <w:trHeight w:val="379"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370,094,606.0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18.21%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598,624,131.70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38.32%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-20.11%</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主要原因为现金收购泰策科技、实施</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股份回购，以及购置办公用房</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350,312,838.5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17.24%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301,033,038.49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19.27%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-2.03%</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38,577,722.60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33,248,823.40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67,605,343.76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55,906,246.82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4,050,192.08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3,927,937.46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5.51%</w:t>
            </w:r>
          </w:p>
        </w:tc>
        <w:tc>
          <w:tcPr>
            <w:tcW w:w="1196"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5.51%</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报告期新增并购贷款</w:t>
            </w:r>
          </w:p>
        </w:tc>
      </w:tr>
      <w:tr>
        <w:trPr>
          <w:trHeight w:val="393"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967"/>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line="544" w:lineRule="auto" w:before="0"/>
        <w:ind w:left="154" w:right="7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3、截至报告期末的资产权利受限情况" w:id="43"/>
      <w:bookmarkEnd w:id="43"/>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99"/>
          <w:sz w:val="21"/>
          <w:szCs w:val="21"/>
        </w:rPr>
        <w:t> </w:t>
      </w:r>
      <w:r>
        <w:rPr>
          <w:rFonts w:ascii="宋体" w:hAnsi="宋体" w:cs="宋体" w:eastAsia="宋体" w:hint="default"/>
          <w:sz w:val="18"/>
          <w:szCs w:val="18"/>
        </w:rPr>
        <w:t>不适用</w:t>
      </w:r>
    </w:p>
    <w:p>
      <w:pPr>
        <w:pStyle w:val="Heading2"/>
        <w:spacing w:line="240" w:lineRule="auto" w:before="100"/>
        <w:ind w:right="967"/>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67"/>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612,000,000.00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926.85%</w:t>
            </w:r>
          </w:p>
        </w:tc>
      </w:tr>
    </w:tbl>
    <w:p>
      <w:pPr>
        <w:spacing w:line="240" w:lineRule="auto" w:before="3"/>
        <w:rPr>
          <w:rFonts w:ascii="宋体" w:hAnsi="宋体" w:cs="宋体" w:eastAsia="宋体" w:hint="default"/>
          <w:sz w:val="19"/>
          <w:szCs w:val="19"/>
        </w:rPr>
      </w:pPr>
    </w:p>
    <w:p>
      <w:pPr>
        <w:pStyle w:val="Heading3"/>
        <w:spacing w:line="240" w:lineRule="auto" w:before="35"/>
        <w:ind w:right="967"/>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0" w:right="1130"/>
        <w:jc w:val="right"/>
      </w:pPr>
      <w:r>
        <w:rPr/>
        <w:pict>
          <v:group style="position:absolute;margin-left:126.32pt;margin-top:71.051727pt;width:32.6pt;height:144.4pt;mso-position-horizontal-relative:page;mso-position-vertical-relative:paragraph;z-index:-1135672" coordorigin="2526,1421" coordsize="652,2888">
            <v:group style="position:absolute;left:2526;top:1421;width:652;height:1248" coordorigin="2526,1421" coordsize="652,1248">
              <v:shape style="position:absolute;left:2526;top:1421;width:652;height:1248" coordorigin="2526,1421" coordsize="652,1248" path="m2526,2669l3178,2669,3178,1421,2526,1421,2526,2669xe" filled="true" fillcolor="#ffffff" stroked="false">
                <v:path arrowok="t"/>
                <v:fill type="solid"/>
              </v:shape>
            </v:group>
            <v:group style="position:absolute;left:2538;top:2669;width:2;height:392" coordorigin="2538,2669" coordsize="2,392">
              <v:shape style="position:absolute;left:2538;top:2669;width:2;height:392" coordorigin="2538,2669" coordsize="0,392" path="m2538,2669l2538,3060e" filled="false" stroked="true" strokeweight="1.140pt" strokecolor="#ffffff">
                <v:path arrowok="t"/>
              </v:shape>
            </v:group>
            <v:group style="position:absolute;left:2526;top:3060;width:652;height:1248" coordorigin="2526,3060" coordsize="652,1248">
              <v:shape style="position:absolute;left:2526;top:3060;width:652;height:1248" coordorigin="2526,3060" coordsize="652,1248" path="m2526,4308l3178,4308,3178,3060,2526,3060,2526,4308xe" filled="true" fillcolor="#ffffff" stroked="false">
                <v:path arrowok="t"/>
                <v:fill type="solid"/>
              </v:shape>
            </v:group>
            <v:group style="position:absolute;left:2549;top:2669;width:606;height:392" coordorigin="2549,2669" coordsize="606,392">
              <v:shape style="position:absolute;left:2549;top:2669;width:606;height:392" coordorigin="2549,2669" coordsize="606,392" path="m2549,3060l3155,3060,3155,2669,2549,2669,2549,3060xe" filled="true" fillcolor="#ffffff" stroked="false">
                <v:path arrowok="t"/>
                <v:fill type="solid"/>
              </v:shape>
            </v:group>
            <w10:wrap type="none"/>
          </v:group>
        </w:pict>
      </w: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5" w:right="57"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4"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4"/>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289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19"/>
              <w:jc w:val="both"/>
              <w:rPr>
                <w:rFonts w:ascii="宋体" w:hAnsi="宋体" w:cs="宋体" w:eastAsia="宋体" w:hint="default"/>
                <w:sz w:val="18"/>
                <w:szCs w:val="18"/>
              </w:rPr>
            </w:pPr>
            <w:r>
              <w:rPr>
                <w:rFonts w:ascii="宋体" w:hAnsi="宋体" w:cs="宋体" w:eastAsia="宋体" w:hint="default"/>
                <w:sz w:val="18"/>
                <w:szCs w:val="18"/>
              </w:rPr>
              <w:t>北京泰 策科技 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3" w:right="119"/>
              <w:jc w:val="both"/>
              <w:rPr>
                <w:rFonts w:ascii="宋体" w:hAnsi="宋体" w:cs="宋体" w:eastAsia="宋体" w:hint="default"/>
                <w:sz w:val="18"/>
                <w:szCs w:val="18"/>
              </w:rPr>
            </w:pPr>
            <w:r>
              <w:rPr>
                <w:rFonts w:ascii="宋体" w:hAnsi="宋体" w:cs="宋体" w:eastAsia="宋体" w:hint="default"/>
                <w:sz w:val="18"/>
                <w:szCs w:val="18"/>
              </w:rPr>
              <w:t>基础软 件服务 应用软 件服务 技术开 发</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
              <w:ind w:right="0"/>
              <w:jc w:val="left"/>
              <w:rPr>
                <w:rFonts w:ascii="宋体" w:hAnsi="宋体" w:cs="宋体" w:eastAsia="宋体" w:hint="default"/>
                <w:sz w:val="17"/>
                <w:szCs w:val="17"/>
              </w:rPr>
            </w:pPr>
          </w:p>
          <w:p>
            <w:pPr>
              <w:pStyle w:val="TableParagraph"/>
              <w:spacing w:line="195" w:lineRule="exact"/>
              <w:ind w:left="22" w:right="0"/>
              <w:jc w:val="left"/>
              <w:rPr>
                <w:rFonts w:ascii="宋体" w:hAnsi="宋体" w:cs="宋体" w:eastAsia="宋体" w:hint="default"/>
                <w:sz w:val="18"/>
                <w:szCs w:val="18"/>
              </w:rPr>
            </w:pPr>
            <w:r>
              <w:rPr>
                <w:rFonts w:ascii="宋体" w:hAnsi="宋体" w:cs="宋体" w:eastAsia="宋体" w:hint="default"/>
                <w:sz w:val="18"/>
                <w:szCs w:val="18"/>
              </w:rPr>
              <w:t>收购</w:t>
            </w:r>
          </w:p>
          <w:p>
            <w:pPr>
              <w:pStyle w:val="TableParagraph"/>
              <w:spacing w:line="195"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88"/>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63"/>
              <w:jc w:val="right"/>
              <w:rPr>
                <w:rFonts w:ascii="宋体" w:hAnsi="宋体" w:cs="宋体" w:eastAsia="宋体" w:hint="default"/>
                <w:sz w:val="18"/>
                <w:szCs w:val="18"/>
              </w:rPr>
            </w:pPr>
            <w:r>
              <w:rPr>
                <w:rFonts w:ascii="宋体" w:hAnsi="宋体" w:cs="宋体" w:eastAsia="宋体" w:hint="default"/>
                <w:sz w:val="18"/>
                <w:szCs w:val="18"/>
              </w:rPr>
              <w:t>股权</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41,190,5</w:t>
            </w:r>
          </w:p>
          <w:p>
            <w:pPr>
              <w:pStyle w:val="TableParagraph"/>
              <w:spacing w:line="240" w:lineRule="auto" w:before="105"/>
              <w:ind w:left="301" w:right="0"/>
              <w:jc w:val="left"/>
              <w:rPr>
                <w:rFonts w:ascii="Times New Roman" w:hAnsi="Times New Roman" w:cs="Times New Roman" w:eastAsia="Times New Roman" w:hint="default"/>
                <w:sz w:val="18"/>
                <w:szCs w:val="18"/>
              </w:rPr>
            </w:pPr>
            <w:r>
              <w:rPr>
                <w:rFonts w:ascii="Times New Roman"/>
                <w:sz w:val="18"/>
              </w:rPr>
              <w:t>57.21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w:t>
            </w:r>
            <w:r>
              <w:rPr>
                <w:rFonts w:ascii="宋体" w:hAnsi="宋体" w:cs="宋体" w:eastAsia="宋体" w:hint="default"/>
                <w:spacing w:val="-14"/>
                <w:sz w:val="18"/>
                <w:szCs w:val="18"/>
              </w:rPr>
              <w:t>讯网《关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于收购 北京泰 策科技 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p>
          <w:p>
            <w:pPr>
              <w:pStyle w:val="TableParagraph"/>
              <w:spacing w:line="319" w:lineRule="auto"/>
              <w:ind w:left="23" w:right="149"/>
              <w:jc w:val="left"/>
              <w:rPr>
                <w:rFonts w:ascii="宋体" w:hAnsi="宋体" w:cs="宋体" w:eastAsia="宋体" w:hint="default"/>
                <w:sz w:val="18"/>
                <w:szCs w:val="18"/>
              </w:rPr>
            </w:pPr>
            <w:r>
              <w:rPr>
                <w:rFonts w:ascii="宋体" w:hAnsi="宋体" w:cs="宋体" w:eastAsia="宋体" w:hint="default"/>
                <w:sz w:val="18"/>
                <w:szCs w:val="18"/>
              </w:rPr>
              <w:t>股权的 公告》</w:t>
            </w:r>
          </w:p>
        </w:tc>
      </w:tr>
      <w:tr>
        <w:trPr>
          <w:trHeight w:val="383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杭州清 响投资 管理合 伙企业</w:t>
            </w:r>
          </w:p>
          <w:p>
            <w:pPr>
              <w:pStyle w:val="TableParagraph"/>
              <w:spacing w:line="319" w:lineRule="auto" w:before="19"/>
              <w:ind w:left="22" w:right="119"/>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投资管 </w:t>
            </w:r>
            <w:r>
              <w:rPr>
                <w:rFonts w:ascii="宋体" w:hAnsi="宋体" w:cs="宋体" w:eastAsia="宋体" w:hint="default"/>
                <w:spacing w:val="-21"/>
                <w:sz w:val="18"/>
                <w:szCs w:val="18"/>
              </w:rPr>
              <w:t>理、投资</w:t>
            </w:r>
            <w:r>
              <w:rPr>
                <w:rFonts w:ascii="宋体" w:hAnsi="宋体" w:cs="宋体" w:eastAsia="宋体" w:hint="default"/>
                <w:sz w:val="18"/>
                <w:szCs w:val="18"/>
              </w:rPr>
              <w:t> </w:t>
            </w:r>
            <w:r>
              <w:rPr>
                <w:rFonts w:ascii="宋体" w:hAnsi="宋体" w:cs="宋体" w:eastAsia="宋体" w:hint="default"/>
                <w:spacing w:val="-21"/>
                <w:sz w:val="18"/>
                <w:szCs w:val="18"/>
              </w:rPr>
              <w:t>咨询、实</w:t>
            </w:r>
            <w:r>
              <w:rPr>
                <w:rFonts w:ascii="宋体" w:hAnsi="宋体" w:cs="宋体" w:eastAsia="宋体" w:hint="default"/>
                <w:sz w:val="18"/>
                <w:szCs w:val="18"/>
              </w:rPr>
              <w:t> 业投资 资产管 理</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195" w:lineRule="exact" w:before="119"/>
              <w:ind w:left="22" w:right="0"/>
              <w:jc w:val="left"/>
              <w:rPr>
                <w:rFonts w:ascii="宋体" w:hAnsi="宋体" w:cs="宋体" w:eastAsia="宋体" w:hint="default"/>
                <w:sz w:val="18"/>
                <w:szCs w:val="18"/>
              </w:rPr>
            </w:pPr>
            <w:r>
              <w:rPr>
                <w:rFonts w:ascii="宋体" w:hAnsi="宋体" w:cs="宋体" w:eastAsia="宋体" w:hint="default"/>
                <w:sz w:val="18"/>
                <w:szCs w:val="18"/>
              </w:rPr>
              <w:t>增资</w:t>
            </w:r>
          </w:p>
          <w:p>
            <w:pPr>
              <w:pStyle w:val="TableParagraph"/>
              <w:spacing w:line="195"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51" w:right="0"/>
              <w:jc w:val="center"/>
              <w:rPr>
                <w:rFonts w:ascii="Times New Roman" w:hAnsi="Times New Roman" w:cs="Times New Roman" w:eastAsia="Times New Roman" w:hint="default"/>
                <w:sz w:val="18"/>
                <w:szCs w:val="18"/>
              </w:rPr>
            </w:pPr>
            <w:r>
              <w:rPr>
                <w:rFonts w:ascii="Times New Roman"/>
                <w:sz w:val="18"/>
              </w:rPr>
              <w:t>99.00%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88"/>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 w:right="83"/>
              <w:jc w:val="both"/>
              <w:rPr>
                <w:rFonts w:ascii="宋体" w:hAnsi="宋体" w:cs="宋体" w:eastAsia="宋体" w:hint="default"/>
                <w:sz w:val="18"/>
                <w:szCs w:val="18"/>
              </w:rPr>
            </w:pPr>
            <w:r>
              <w:rPr>
                <w:rFonts w:ascii="宋体" w:hAnsi="宋体" w:cs="宋体" w:eastAsia="宋体" w:hint="default"/>
                <w:sz w:val="18"/>
                <w:szCs w:val="18"/>
              </w:rPr>
              <w:t>深圳前 海觅贝 投资有 限公司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263"/>
              <w:jc w:val="right"/>
              <w:rPr>
                <w:rFonts w:ascii="宋体" w:hAnsi="宋体" w:cs="宋体" w:eastAsia="宋体" w:hint="default"/>
                <w:sz w:val="18"/>
                <w:szCs w:val="18"/>
              </w:rPr>
            </w:pPr>
            <w:r>
              <w:rPr>
                <w:rFonts w:ascii="宋体" w:hAnsi="宋体" w:cs="宋体" w:eastAsia="宋体" w:hint="default"/>
                <w:sz w:val="18"/>
                <w:szCs w:val="18"/>
              </w:rPr>
              <w:t>股权</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80" w:right="0"/>
              <w:jc w:val="lef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-295,932</w:t>
            </w:r>
          </w:p>
          <w:p>
            <w:pPr>
              <w:pStyle w:val="TableParagraph"/>
              <w:spacing w:line="240" w:lineRule="auto" w:before="105"/>
              <w:ind w:left="481" w:right="0"/>
              <w:jc w:val="left"/>
              <w:rPr>
                <w:rFonts w:ascii="Times New Roman" w:hAnsi="Times New Roman" w:cs="Times New Roman" w:eastAsia="Times New Roman" w:hint="default"/>
                <w:sz w:val="18"/>
                <w:szCs w:val="18"/>
              </w:rPr>
            </w:pPr>
            <w:r>
              <w:rPr>
                <w:rFonts w:ascii="Times New Roman"/>
                <w:sz w:val="18"/>
              </w:rPr>
              <w:t>.50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31"/>
              <w:jc w:val="left"/>
              <w:rPr>
                <w:rFonts w:ascii="宋体" w:hAnsi="宋体" w:cs="宋体" w:eastAsia="宋体" w:hint="default"/>
                <w:sz w:val="18"/>
                <w:szCs w:val="18"/>
              </w:rPr>
            </w:pPr>
            <w:r>
              <w:rPr>
                <w:rFonts w:ascii="宋体" w:hAnsi="宋体" w:cs="宋体" w:eastAsia="宋体" w:hint="default"/>
                <w:sz w:val="18"/>
                <w:szCs w:val="18"/>
              </w:rPr>
              <w:t>巨潮资 </w:t>
            </w:r>
            <w:r>
              <w:rPr>
                <w:rFonts w:ascii="宋体" w:hAnsi="宋体" w:cs="宋体" w:eastAsia="宋体" w:hint="default"/>
                <w:spacing w:val="-14"/>
                <w:sz w:val="18"/>
                <w:szCs w:val="18"/>
              </w:rPr>
              <w:t>讯网《关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于参与 设立的 产业基 金变更 普通合 伙人及 管理人 的公告》</w:t>
            </w:r>
          </w:p>
          <w:p>
            <w:pPr>
              <w:pStyle w:val="TableParagraph"/>
              <w:spacing w:line="302" w:lineRule="auto" w:before="19"/>
              <w:ind w:left="23" w:right="8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2018- 058</w:t>
            </w:r>
            <w:r>
              <w:rPr>
                <w:rFonts w:ascii="宋体" w:hAnsi="宋体" w:cs="宋体" w:eastAsia="宋体" w:hint="default"/>
                <w:sz w:val="18"/>
                <w:szCs w:val="18"/>
              </w:rPr>
              <w:t>）</w:t>
            </w:r>
          </w:p>
        </w:tc>
      </w:tr>
      <w:tr>
        <w:trPr>
          <w:trHeight w:val="715"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612,000</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3"/>
              <w:jc w:val="right"/>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5"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left"/>
              <w:rPr>
                <w:rFonts w:ascii="Times New Roman" w:hAnsi="Times New Roman" w:cs="Times New Roman" w:eastAsia="Times New Roman" w:hint="default"/>
                <w:sz w:val="18"/>
                <w:szCs w:val="18"/>
              </w:rPr>
            </w:pPr>
            <w:r>
              <w:rPr>
                <w:rFonts w:ascii="Times New Roman"/>
                <w:sz w:val="18"/>
              </w:rPr>
              <w:t>40,894,6</w:t>
            </w:r>
          </w:p>
          <w:p>
            <w:pPr>
              <w:pStyle w:val="TableParagraph"/>
              <w:spacing w:line="240" w:lineRule="auto" w:before="105"/>
              <w:ind w:left="301" w:right="0"/>
              <w:jc w:val="left"/>
              <w:rPr>
                <w:rFonts w:ascii="Times New Roman" w:hAnsi="Times New Roman" w:cs="Times New Roman" w:eastAsia="Times New Roman" w:hint="default"/>
                <w:sz w:val="18"/>
                <w:szCs w:val="18"/>
              </w:rPr>
            </w:pPr>
            <w:r>
              <w:rPr>
                <w:rFonts w:ascii="Times New Roman"/>
                <w:sz w:val="18"/>
              </w:rPr>
              <w:t>24.71</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967"/>
        <w:jc w:val="left"/>
        <w:rPr>
          <w:b w:val="0"/>
          <w:bCs w:val="0"/>
        </w:rPr>
      </w:pPr>
      <w:r>
        <w:rPr/>
        <w:pict>
          <v:group style="position:absolute;margin-left:126.32pt;margin-top:-154.756348pt;width:32.6pt;height:105.95pt;mso-position-horizontal-relative:page;mso-position-vertical-relative:paragraph;z-index:-1135648" coordorigin="2526,-3095" coordsize="652,2119">
            <v:group style="position:absolute;left:2538;top:-3084;width:2;height:392" coordorigin="2538,-3084" coordsize="2,392">
              <v:shape style="position:absolute;left:2538;top:-3084;width:2;height:392" coordorigin="2538,-3084" coordsize="0,392" path="m2538,-3084l2538,-2693e" filled="false" stroked="true" strokeweight="1.140pt" strokecolor="#ffffff">
                <v:path arrowok="t"/>
              </v:shape>
            </v:group>
            <v:group style="position:absolute;left:2526;top:-2693;width:652;height:1717" coordorigin="2526,-2693" coordsize="652,1717">
              <v:shape style="position:absolute;left:2526;top:-2693;width:652;height:1717" coordorigin="2526,-2693" coordsize="652,1717" path="m2526,-976l3178,-976,3178,-2693,2526,-2693,2526,-976xe" filled="true" fillcolor="#ffffff" stroked="false">
                <v:path arrowok="t"/>
                <v:fill type="solid"/>
              </v:shape>
            </v:group>
            <v:group style="position:absolute;left:2549;top:-3084;width:606;height:392" coordorigin="2549,-3084" coordsize="606,392">
              <v:shape style="position:absolute;left:2549;top:-3084;width:606;height:392" coordorigin="2549,-3084" coordsize="606,392" path="m2549,-2693l3155,-2693,3155,-3084,2549,-3084,2549,-2693xe" filled="true" fillcolor="#ffffff" stroked="false">
                <v:path arrowok="t"/>
                <v:fill type="solid"/>
              </v:shape>
            </v:group>
            <w10:wrap type="none"/>
          </v:group>
        </w:pict>
      </w: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967"/>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967"/>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after="0" w:line="338" w:lineRule="auto"/>
        <w:jc w:val="left"/>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967"/>
        <w:jc w:val="left"/>
        <w:rPr>
          <w:b w:val="0"/>
          <w:bCs w:val="0"/>
        </w:rPr>
      </w:pPr>
      <w:bookmarkStart w:name="六、重大资产和股权出售" w:id="50"/>
      <w:bookmarkEnd w:id="50"/>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67"/>
        <w:jc w:val="left"/>
        <w:rPr>
          <w:b w:val="0"/>
          <w:bCs w:val="0"/>
        </w:rPr>
      </w:pPr>
      <w:bookmarkStart w:name="1、出售重大资产情况" w:id="51"/>
      <w:bookmarkEnd w:id="51"/>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right="967"/>
        <w:jc w:val="left"/>
        <w:rPr>
          <w:b w:val="0"/>
          <w:bCs w:val="0"/>
        </w:rPr>
      </w:pPr>
      <w:bookmarkStart w:name="2、出售重大股权情况" w:id="52"/>
      <w:bookmarkEnd w:id="52"/>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67"/>
        <w:jc w:val="left"/>
        <w:rPr>
          <w:b w:val="0"/>
          <w:bCs w:val="0"/>
        </w:rPr>
      </w:pPr>
      <w:bookmarkStart w:name="七、主要控股参股公司分析" w:id="53"/>
      <w:bookmarkEnd w:id="53"/>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北京微智信 业科技有限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大数据信息 安全</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414,276,464.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304,826,066.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193,211,917.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76,282,088.4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72,154,453.4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北京泰策科 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域名解析系 </w:t>
            </w:r>
            <w:r>
              <w:rPr>
                <w:rFonts w:ascii="宋体" w:hAnsi="宋体" w:cs="宋体" w:eastAsia="宋体" w:hint="default"/>
                <w:spacing w:val="-27"/>
                <w:w w:val="99"/>
                <w:sz w:val="18"/>
                <w:szCs w:val="18"/>
              </w:rPr>
              <w:t>统（</w:t>
            </w:r>
            <w:r>
              <w:rPr>
                <w:rFonts w:ascii="Times New Roman" w:hAnsi="Times New Roman" w:cs="Times New Roman" w:eastAsia="Times New Roman" w:hint="default"/>
                <w:spacing w:val="-27"/>
                <w:w w:val="99"/>
                <w:sz w:val="18"/>
                <w:szCs w:val="18"/>
              </w:rPr>
              <w:t>DNS</w:t>
            </w:r>
            <w:r>
              <w:rPr>
                <w:rFonts w:ascii="宋体" w:hAnsi="宋体" w:cs="宋体" w:eastAsia="宋体" w:hint="default"/>
                <w:spacing w:val="-27"/>
                <w:w w:val="99"/>
                <w:sz w:val="18"/>
                <w:szCs w:val="18"/>
              </w:rPr>
              <w:t>）、</w:t>
            </w:r>
            <w:r>
              <w:rPr>
                <w:rFonts w:ascii="宋体" w:hAnsi="宋体" w:cs="宋体" w:eastAsia="宋体" w:hint="default"/>
                <w:spacing w:val="-84"/>
                <w:w w:val="99"/>
                <w:sz w:val="18"/>
                <w:szCs w:val="18"/>
              </w:rPr>
              <w:t> </w:t>
            </w:r>
            <w:r>
              <w:rPr>
                <w:rFonts w:ascii="宋体" w:hAnsi="宋体" w:cs="宋体" w:eastAsia="宋体" w:hint="default"/>
                <w:sz w:val="18"/>
                <w:szCs w:val="18"/>
              </w:rPr>
              <w:t>应急通信系</w:t>
            </w:r>
            <w:r>
              <w:rPr>
                <w:rFonts w:ascii="宋体" w:hAnsi="宋体" w:cs="宋体" w:eastAsia="宋体" w:hint="default"/>
                <w:sz w:val="18"/>
                <w:szCs w:val="18"/>
              </w:rPr>
              <w:t> 统和数据安 全系统</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89,230,406.9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68,793,128.0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72,422,641.1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47,956,512.4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41,190,557.2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right="967"/>
        <w:jc w:val="left"/>
      </w:pPr>
      <w:r>
        <w:rPr/>
        <w:t>报告期内取得和处置子公司的情况</w:t>
      </w:r>
    </w:p>
    <w:p>
      <w:pPr>
        <w:pStyle w:val="BodyText"/>
        <w:spacing w:line="240" w:lineRule="auto" w:before="117"/>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321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北京泰策科技有限公司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年度泰策科技经审计的净利润为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41,190,557.21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元，对本报告期损益影响</w:t>
            </w:r>
          </w:p>
          <w:p>
            <w:pPr>
              <w:pStyle w:val="TableParagraph"/>
              <w:spacing w:line="314" w:lineRule="auto" w:before="63"/>
              <w:ind w:left="22" w:right="53"/>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24,921,130.08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元。本次收购使公司在 业务规模、盈利水平等方面得到显著提 升，有利于增强上市公司的竞争实力， 为上市公司提供新的盈利增长点，有助 于公司快速进入数据安全和通信应急安 全领域，获取相关领域的核心技术，对 现有信息安全业务形成良好补充和延 伸，进一步加快公司的发展步伐。</w:t>
            </w:r>
          </w:p>
        </w:tc>
      </w:tr>
    </w:tbl>
    <w:p>
      <w:pPr>
        <w:pStyle w:val="BodyText"/>
        <w:spacing w:line="240" w:lineRule="auto" w:before="51"/>
        <w:ind w:right="967"/>
        <w:jc w:val="left"/>
      </w:pPr>
      <w:r>
        <w:rPr/>
        <w:t>主要控股参股公司情况说明</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967"/>
        <w:jc w:val="left"/>
        <w:rPr>
          <w:b w:val="0"/>
          <w:bCs w:val="0"/>
        </w:rPr>
      </w:pPr>
      <w:bookmarkStart w:name="八、公司控制的结构化主体情况" w:id="54"/>
      <w:bookmarkEnd w:id="54"/>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967"/>
        <w:jc w:val="left"/>
        <w:rPr>
          <w:b w:val="0"/>
          <w:bCs w:val="0"/>
        </w:rPr>
      </w:pPr>
      <w:bookmarkStart w:name="九、公司未来发展的展望" w:id="55"/>
      <w:bookmarkEnd w:id="55"/>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67"/>
        <w:jc w:val="left"/>
      </w:pPr>
      <w:r>
        <w:rPr/>
        <w:t>（一）行业格局和趋势</w:t>
      </w:r>
    </w:p>
    <w:p>
      <w:pPr>
        <w:pStyle w:val="BodyText"/>
        <w:spacing w:line="340" w:lineRule="auto" w:before="76"/>
        <w:ind w:left="634" w:right="967" w:hanging="480"/>
        <w:jc w:val="left"/>
      </w:pPr>
      <w:r>
        <w:rPr>
          <w:rFonts w:ascii="Times New Roman" w:hAnsi="Times New Roman" w:cs="Times New Roman" w:eastAsia="Times New Roman" w:hint="default"/>
        </w:rPr>
        <w:t>1</w:t>
      </w:r>
      <w:r>
        <w:rPr/>
        <w:t>、自主可控与信息安全 </w:t>
      </w:r>
      <w:r>
        <w:rPr>
          <w:spacing w:val="-1"/>
        </w:rPr>
        <w:t>随着云计算、大数据、物联网等新技术的推广应用，软件基础设施产品和技术正发生巨大的变化，传统中间件软件正</w:t>
      </w:r>
    </w:p>
    <w:p>
      <w:pPr>
        <w:pStyle w:val="BodyText"/>
        <w:spacing w:line="307" w:lineRule="auto"/>
        <w:ind w:right="1032"/>
        <w:jc w:val="left"/>
      </w:pPr>
      <w:r>
        <w:rPr/>
        <w:t>逐渐发展成为软件基础设施。同时，国家网络空间安全战略也让关键核心技术的自主可控、安全可靠受到越来越多的关注， 大力推进安全、可信国产软件基础设施在政府、金融、电信、能源、交通、军工等关键领域应用，将成为大势所趋</w:t>
      </w:r>
      <w:r>
        <w:rPr>
          <w:rFonts w:ascii="Times New Roman" w:hAnsi="Times New Roman" w:cs="Times New Roman" w:eastAsia="Times New Roman" w:hint="default"/>
        </w:rPr>
        <w:t>,</w:t>
      </w:r>
      <w:r>
        <w:rPr/>
        <w:t>市场规 模处于持续增长的态势。在整个基础软件市场竞争格局中，外资厂商</w:t>
      </w:r>
      <w:r>
        <w:rPr>
          <w:rFonts w:ascii="Times New Roman" w:hAnsi="Times New Roman" w:cs="Times New Roman" w:eastAsia="Times New Roman" w:hint="default"/>
        </w:rPr>
        <w:t>IBM</w:t>
      </w:r>
      <w:r>
        <w:rPr/>
        <w:t>、</w:t>
      </w:r>
      <w:r>
        <w:rPr>
          <w:rFonts w:ascii="Times New Roman" w:hAnsi="Times New Roman" w:cs="Times New Roman" w:eastAsia="Times New Roman" w:hint="default"/>
        </w:rPr>
        <w:t>Oracle</w:t>
      </w:r>
      <w:r>
        <w:rPr/>
        <w:t>在市场中仍占有较大的份额，还处于主导 </w:t>
      </w:r>
      <w:r>
        <w:rPr>
          <w:spacing w:val="-2"/>
        </w:rPr>
        <w:t>地位，但在军民融合、国产化的大背景下，自主、可控、安全的理念逐步深入人心，国产信息技术保障国家信息安全，自主</w:t>
      </w:r>
      <w:r>
        <w:rPr>
          <w:spacing w:val="-71"/>
        </w:rPr>
        <w:t> </w:t>
      </w:r>
      <w:r>
        <w:rPr>
          <w:spacing w:val="-71"/>
        </w:rPr>
      </w:r>
      <w:r>
        <w:rPr/>
        <w:t>可控助推民族</w:t>
      </w:r>
      <w:r>
        <w:rPr>
          <w:rFonts w:ascii="Times New Roman" w:hAnsi="Times New Roman" w:cs="Times New Roman" w:eastAsia="Times New Roman" w:hint="default"/>
        </w:rPr>
        <w:t>IT</w:t>
      </w:r>
      <w:r>
        <w:rPr/>
        <w:t>产业腾飞</w:t>
      </w:r>
      <w:r>
        <w:rPr>
          <w:rFonts w:ascii="Times New Roman" w:hAnsi="Times New Roman" w:cs="Times New Roman" w:eastAsia="Times New Roman" w:hint="default"/>
        </w:rPr>
        <w:t>,</w:t>
      </w:r>
      <w:r>
        <w:rPr/>
        <w:t>强力推进国产自主化建设应用，是国家和国防信息化发展战略的大势所趋，也是全面深化改革的 </w:t>
      </w:r>
      <w:r>
        <w:rPr>
          <w:spacing w:val="-2"/>
        </w:rPr>
        <w:t>潮流所向。为了在关键领域不受制于人，从自主可控到软件国产化，将是构建安全基础设施的重中之重。</w:t>
      </w:r>
      <w:r>
        <w:rPr>
          <w:rFonts w:ascii="Times New Roman" w:hAnsi="Times New Roman" w:cs="Times New Roman" w:eastAsia="Times New Roman" w:hint="default"/>
          <w:spacing w:val="-2"/>
        </w:rPr>
        <w:t>2019</w:t>
      </w:r>
      <w:r>
        <w:rPr>
          <w:spacing w:val="-2"/>
        </w:rPr>
        <w:t>年将是</w:t>
      </w:r>
      <w:r>
        <w:rPr>
          <w:rFonts w:ascii="Times New Roman" w:hAnsi="Times New Roman" w:cs="Times New Roman" w:eastAsia="Times New Roman" w:hint="default"/>
          <w:spacing w:val="-2"/>
        </w:rPr>
        <w:t>“</w:t>
      </w:r>
      <w:r>
        <w:rPr>
          <w:spacing w:val="-2"/>
        </w:rPr>
        <w:t>安可</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4"/>
        </w:rPr>
        <w:t> </w:t>
      </w:r>
      <w:r>
        <w:rPr/>
        <w:t>领域的推广元年，试点阶段完成后将全面在党政行业全面应用，未来将延伸至电信、能源、金融等其他重点行业。</w:t>
      </w:r>
    </w:p>
    <w:p>
      <w:pPr>
        <w:pStyle w:val="BodyText"/>
        <w:spacing w:line="302" w:lineRule="auto" w:before="65"/>
        <w:ind w:right="967" w:firstLine="480"/>
        <w:jc w:val="left"/>
      </w:pPr>
      <w:r>
        <w:rPr/>
        <w:t>受</w:t>
      </w:r>
      <w:r>
        <w:rPr>
          <w:rFonts w:ascii="Times New Roman" w:hAnsi="Times New Roman" w:cs="Times New Roman" w:eastAsia="Times New Roman" w:hint="default"/>
        </w:rPr>
        <w:t>“</w:t>
      </w:r>
      <w:r>
        <w:rPr/>
        <w:t>棱镜门</w:t>
      </w:r>
      <w:r>
        <w:rPr>
          <w:rFonts w:ascii="Times New Roman" w:hAnsi="Times New Roman" w:cs="Times New Roman" w:eastAsia="Times New Roman" w:hint="default"/>
        </w:rPr>
        <w:t>”</w:t>
      </w:r>
      <w:r>
        <w:rPr/>
        <w:t>事件爆发催化</w:t>
      </w:r>
      <w:r>
        <w:rPr>
          <w:rFonts w:ascii="Times New Roman" w:hAnsi="Times New Roman" w:cs="Times New Roman" w:eastAsia="Times New Roman" w:hint="default"/>
        </w:rPr>
        <w:t>,</w:t>
      </w:r>
      <w:r>
        <w:rPr/>
        <w:t>以及近年来国内网络安全事件地频繁发生，我国现已掀起了建设自主信息安全体系的浪潮</w:t>
      </w:r>
      <w:r>
        <w:rPr>
          <w:rFonts w:ascii="Times New Roman" w:hAnsi="Times New Roman" w:cs="Times New Roman" w:eastAsia="Times New Roman" w:hint="default"/>
        </w:rPr>
        <w:t>, </w:t>
      </w:r>
      <w:r>
        <w:rPr>
          <w:spacing w:val="-2"/>
        </w:rPr>
        <w:t>对于信息安全防护建设的政策支持力度不断上升，其中网络信息安全与自主可控将构成国防信息安全市场的两大基石。中信</w:t>
      </w:r>
      <w:r>
        <w:rPr>
          <w:spacing w:val="-64"/>
        </w:rPr>
        <w:t> </w:t>
      </w:r>
      <w:r>
        <w:rPr>
          <w:spacing w:val="-64"/>
        </w:rPr>
      </w:r>
      <w:r>
        <w:rPr/>
        <w:t>建投证券研究所预测</w:t>
      </w:r>
      <w:r>
        <w:rPr>
          <w:rFonts w:ascii="Times New Roman" w:hAnsi="Times New Roman" w:cs="Times New Roman" w:eastAsia="Times New Roman" w:hint="default"/>
        </w:rPr>
        <w:t>,</w:t>
      </w:r>
      <w:r>
        <w:rPr/>
        <w:t>中国信息安全市场规模将由</w:t>
      </w:r>
      <w:r>
        <w:rPr>
          <w:rFonts w:ascii="Times New Roman" w:hAnsi="Times New Roman" w:cs="Times New Roman" w:eastAsia="Times New Roman" w:hint="default"/>
        </w:rPr>
        <w:t>2015</w:t>
      </w:r>
      <w:r>
        <w:rPr/>
        <w:t>年的</w:t>
      </w:r>
      <w:r>
        <w:rPr>
          <w:rFonts w:ascii="Times New Roman" w:hAnsi="Times New Roman" w:cs="Times New Roman" w:eastAsia="Times New Roman" w:hint="default"/>
        </w:rPr>
        <w:t>2367</w:t>
      </w:r>
      <w:r>
        <w:rPr/>
        <w:t>亿元增长至</w:t>
      </w:r>
      <w:r>
        <w:rPr>
          <w:rFonts w:ascii="Times New Roman" w:hAnsi="Times New Roman" w:cs="Times New Roman" w:eastAsia="Times New Roman" w:hint="default"/>
        </w:rPr>
        <w:t>2025</w:t>
      </w:r>
      <w:r>
        <w:rPr/>
        <w:t>年的</w:t>
      </w:r>
      <w:r>
        <w:rPr>
          <w:rFonts w:ascii="Times New Roman" w:hAnsi="Times New Roman" w:cs="Times New Roman" w:eastAsia="Times New Roman" w:hint="default"/>
        </w:rPr>
        <w:t>7320</w:t>
      </w:r>
      <w:r>
        <w:rPr/>
        <w:t>亿元</w:t>
      </w:r>
      <w:r>
        <w:rPr>
          <w:rFonts w:ascii="Times New Roman" w:hAnsi="Times New Roman" w:cs="Times New Roman" w:eastAsia="Times New Roman" w:hint="default"/>
        </w:rPr>
        <w:t>,</w:t>
      </w:r>
      <w:r>
        <w:rPr/>
        <w:t>十年增长两倍</w:t>
      </w:r>
      <w:r>
        <w:rPr>
          <w:rFonts w:ascii="Times New Roman" w:hAnsi="Times New Roman" w:cs="Times New Roman" w:eastAsia="Times New Roman" w:hint="default"/>
        </w:rPr>
        <w:t>,</w:t>
      </w:r>
      <w:r>
        <w:rPr/>
        <w:t>复合增长率达 </w:t>
      </w:r>
      <w:r>
        <w:rPr>
          <w:rFonts w:ascii="Times New Roman" w:hAnsi="Times New Roman" w:cs="Times New Roman" w:eastAsia="Times New Roman" w:hint="default"/>
          <w:spacing w:val="-3"/>
        </w:rPr>
        <w:t>11%</w:t>
      </w:r>
      <w:r>
        <w:rPr>
          <w:spacing w:val="-3"/>
        </w:rPr>
        <w:t>。匹配国家层面的战略规划，各项信息安全建设的落实支持政策陆续出台，《网络安全法》、《国家网络空间安全战略》</w:t>
      </w:r>
      <w:r>
        <w:rPr>
          <w:spacing w:val="-67"/>
        </w:rPr>
        <w:t> </w:t>
      </w:r>
      <w:r>
        <w:rPr>
          <w:spacing w:val="-67"/>
        </w:rPr>
      </w:r>
      <w:r>
        <w:rPr>
          <w:spacing w:val="-1"/>
        </w:rPr>
        <w:t>等多项重磅政策密集出台，加速推动信息安全产品需求释放。</w:t>
      </w:r>
      <w:r>
        <w:rPr>
          <w:rFonts w:ascii="Times New Roman" w:hAnsi="Times New Roman" w:cs="Times New Roman" w:eastAsia="Times New Roman" w:hint="default"/>
          <w:spacing w:val="-1"/>
        </w:rPr>
        <w:t>2019</w:t>
      </w:r>
      <w:r>
        <w:rPr>
          <w:spacing w:val="-1"/>
        </w:rPr>
        <w:t>年等级保护</w:t>
      </w:r>
      <w:r>
        <w:rPr>
          <w:rFonts w:ascii="Times New Roman" w:hAnsi="Times New Roman" w:cs="Times New Roman" w:eastAsia="Times New Roman" w:hint="default"/>
          <w:spacing w:val="-1"/>
        </w:rPr>
        <w:t>2.0</w:t>
      </w:r>
      <w:r>
        <w:rPr>
          <w:spacing w:val="-1"/>
        </w:rPr>
        <w:t>的发布将是国内网络安全的一次重大升级，</w:t>
      </w:r>
      <w:r>
        <w:rPr>
          <w:spacing w:val="-70"/>
        </w:rPr>
        <w:t> </w:t>
      </w:r>
      <w:r>
        <w:rPr>
          <w:spacing w:val="-70"/>
        </w:rPr>
      </w:r>
      <w:r>
        <w:rPr/>
        <w:t>将催生网络安全新需求，为符合</w:t>
      </w:r>
      <w:r>
        <w:rPr>
          <w:rFonts w:ascii="Times New Roman" w:hAnsi="Times New Roman" w:cs="Times New Roman" w:eastAsia="Times New Roman" w:hint="default"/>
        </w:rPr>
        <w:t>2.0</w:t>
      </w:r>
      <w:r>
        <w:rPr/>
        <w:t>的要求，相关政府机关、金融能源等重点行业，需要对信息系统重新进行定级、备案、 整改、测评，将加大信息安全产品和服务的投入；</w:t>
      </w:r>
      <w:r>
        <w:rPr>
          <w:rFonts w:ascii="Times New Roman" w:hAnsi="Times New Roman" w:cs="Times New Roman" w:eastAsia="Times New Roman" w:hint="default"/>
        </w:rPr>
        <w:t>2.0</w:t>
      </w:r>
      <w:r>
        <w:rPr/>
        <w:t>把包括云计算、物理网、移动互联、工业控制、大数据等新业态也纳 入监管，范围扩大。</w:t>
      </w:r>
      <w:r>
        <w:rPr>
          <w:rFonts w:ascii="Times New Roman" w:hAnsi="Times New Roman" w:cs="Times New Roman" w:eastAsia="Times New Roman" w:hint="default"/>
        </w:rPr>
        <w:t>2019</w:t>
      </w:r>
      <w:r>
        <w:rPr/>
        <w:t>年等级保护</w:t>
      </w:r>
      <w:r>
        <w:rPr>
          <w:rFonts w:ascii="Times New Roman" w:hAnsi="Times New Roman" w:cs="Times New Roman" w:eastAsia="Times New Roman" w:hint="default"/>
        </w:rPr>
        <w:t>2.0</w:t>
      </w:r>
      <w:r>
        <w:rPr/>
        <w:t>即将落地将会成为信息安全下一个大周期的开始。</w:t>
      </w:r>
    </w:p>
    <w:p>
      <w:pPr>
        <w:pStyle w:val="BodyText"/>
        <w:spacing w:line="309" w:lineRule="auto" w:before="49"/>
        <w:ind w:right="1130" w:firstLine="480"/>
        <w:jc w:val="both"/>
      </w:pPr>
      <w:r>
        <w:rPr>
          <w:spacing w:val="-2"/>
        </w:rPr>
        <w:t>随着德国</w:t>
      </w:r>
      <w:r>
        <w:rPr>
          <w:rFonts w:ascii="Times New Roman" w:hAnsi="Times New Roman" w:cs="Times New Roman" w:eastAsia="Times New Roman" w:hint="default"/>
          <w:spacing w:val="-2"/>
        </w:rPr>
        <w:t>“</w:t>
      </w:r>
      <w:r>
        <w:rPr>
          <w:spacing w:val="-2"/>
        </w:rPr>
        <w:t>工业</w:t>
      </w:r>
      <w:r>
        <w:rPr>
          <w:rFonts w:ascii="Times New Roman" w:hAnsi="Times New Roman" w:cs="Times New Roman" w:eastAsia="Times New Roman" w:hint="default"/>
          <w:spacing w:val="-2"/>
        </w:rPr>
        <w:t>4.0”</w:t>
      </w:r>
      <w:r>
        <w:rPr>
          <w:spacing w:val="-2"/>
        </w:rPr>
        <w:t>、英国</w:t>
      </w:r>
      <w:r>
        <w:rPr>
          <w:rFonts w:ascii="Times New Roman" w:hAnsi="Times New Roman" w:cs="Times New Roman" w:eastAsia="Times New Roman" w:hint="default"/>
          <w:spacing w:val="-2"/>
        </w:rPr>
        <w:t>“</w:t>
      </w:r>
      <w:r>
        <w:rPr>
          <w:spacing w:val="-2"/>
        </w:rPr>
        <w:t>高值制造</w:t>
      </w:r>
      <w:r>
        <w:rPr>
          <w:rFonts w:ascii="Times New Roman" w:hAnsi="Times New Roman" w:cs="Times New Roman" w:eastAsia="Times New Roman" w:hint="default"/>
          <w:spacing w:val="-2"/>
        </w:rPr>
        <w:t>”</w:t>
      </w:r>
      <w:r>
        <w:rPr>
          <w:spacing w:val="-2"/>
        </w:rPr>
        <w:t>、美国</w:t>
      </w:r>
      <w:r>
        <w:rPr>
          <w:rFonts w:ascii="Times New Roman" w:hAnsi="Times New Roman" w:cs="Times New Roman" w:eastAsia="Times New Roman" w:hint="default"/>
          <w:spacing w:val="-2"/>
        </w:rPr>
        <w:t>“</w:t>
      </w:r>
      <w:r>
        <w:rPr>
          <w:spacing w:val="-2"/>
        </w:rPr>
        <w:t>先进制造</w:t>
      </w:r>
      <w:r>
        <w:rPr>
          <w:rFonts w:ascii="Times New Roman" w:hAnsi="Times New Roman" w:cs="Times New Roman" w:eastAsia="Times New Roman" w:hint="default"/>
          <w:spacing w:val="-2"/>
        </w:rPr>
        <w:t>”</w:t>
      </w:r>
      <w:r>
        <w:rPr>
          <w:spacing w:val="-2"/>
        </w:rPr>
        <w:t>以及</w:t>
      </w:r>
      <w:r>
        <w:rPr>
          <w:rFonts w:ascii="Times New Roman" w:hAnsi="Times New Roman" w:cs="Times New Roman" w:eastAsia="Times New Roman" w:hint="default"/>
          <w:spacing w:val="-2"/>
        </w:rPr>
        <w:t>“</w:t>
      </w:r>
      <w:r>
        <w:rPr>
          <w:spacing w:val="-2"/>
        </w:rPr>
        <w:t>中国制造</w:t>
      </w:r>
      <w:r>
        <w:rPr>
          <w:spacing w:val="8"/>
        </w:rPr>
        <w:t> </w:t>
      </w:r>
      <w:r>
        <w:rPr>
          <w:rFonts w:ascii="Times New Roman" w:hAnsi="Times New Roman" w:cs="Times New Roman" w:eastAsia="Times New Roman" w:hint="default"/>
          <w:spacing w:val="-1"/>
        </w:rPr>
        <w:t>2025”</w:t>
      </w:r>
      <w:r>
        <w:rPr>
          <w:spacing w:val="-1"/>
        </w:rPr>
        <w:t>战略的陆续推出，工业领域设备联网实现</w:t>
      </w:r>
      <w:r>
        <w:rPr/>
        <w:t> </w:t>
      </w:r>
      <w:r>
        <w:rPr>
          <w:spacing w:val="-2"/>
        </w:rPr>
        <w:t>智能化将成为必然的趋势。工控领域的信息安全威胁也将迅速上升，而目前工控系统的安全防护主要以边界防护为主，在漏</w:t>
      </w:r>
      <w:r>
        <w:rPr>
          <w:spacing w:val="-66"/>
        </w:rPr>
        <w:t> </w:t>
      </w:r>
      <w:r>
        <w:rPr>
          <w:spacing w:val="-66"/>
        </w:rPr>
      </w:r>
      <w:r>
        <w:rPr/>
        <w:t>洞监测、安全审计、未知威胁检测、综合预警等方面存在较大的市场空白，产业具备大规模商业扩张的基础。</w:t>
      </w:r>
    </w:p>
    <w:p>
      <w:pPr>
        <w:pStyle w:val="BodyText"/>
        <w:spacing w:line="319" w:lineRule="auto" w:before="62"/>
        <w:ind w:right="1132" w:firstLine="480"/>
        <w:jc w:val="both"/>
      </w:pPr>
      <w:r>
        <w:rPr>
          <w:spacing w:val="-1"/>
        </w:rPr>
        <w:t>匹配国家层面的战略规划，各项信息安全建设的支持政策陆续出台，《网络安全法》、《国家网络空间安全战略》等</w:t>
      </w:r>
      <w:r>
        <w:rPr/>
        <w:t> </w:t>
      </w:r>
      <w:r>
        <w:rPr>
          <w:spacing w:val="-2"/>
        </w:rPr>
        <w:t>多项重磅政策密集出台，加速推动信息安全产品需求释放。从政策趋势来看，未来政府对信息安全建设的支持力度有望持续</w:t>
      </w:r>
      <w:r>
        <w:rPr>
          <w:spacing w:val="-65"/>
        </w:rPr>
        <w:t> </w:t>
      </w:r>
      <w:r>
        <w:rPr>
          <w:spacing w:val="-65"/>
        </w:rPr>
      </w:r>
      <w:r>
        <w:rPr/>
        <w:t>提升。</w:t>
      </w:r>
    </w:p>
    <w:p>
      <w:pPr>
        <w:pStyle w:val="BodyText"/>
        <w:spacing w:line="319" w:lineRule="auto" w:before="56"/>
        <w:ind w:right="1133" w:firstLine="480"/>
        <w:jc w:val="both"/>
      </w:pPr>
      <w:r>
        <w:rPr>
          <w:spacing w:val="-1"/>
        </w:rPr>
        <w:t>作为中国基础软件和信息安全的领先企业，公司的基础软件与信息安全业务，在国家自主可控、安全可靠的理念指引</w:t>
      </w:r>
      <w:r>
        <w:rPr/>
        <w:t> 与政策导向下，</w:t>
      </w:r>
      <w:r>
        <w:rPr>
          <w:spacing w:val="-19"/>
        </w:rPr>
        <w:t> </w:t>
      </w:r>
      <w:r>
        <w:rPr/>
        <w:t>将进一步受益，在未来市场竞争中继续保持优势，赢得更多发展机遇。</w:t>
      </w:r>
    </w:p>
    <w:p>
      <w:pPr>
        <w:spacing w:line="240" w:lineRule="auto" w:before="0"/>
        <w:rPr>
          <w:rFonts w:ascii="宋体" w:hAnsi="宋体" w:cs="宋体" w:eastAsia="宋体" w:hint="default"/>
          <w:sz w:val="18"/>
          <w:szCs w:val="18"/>
        </w:rPr>
      </w:pPr>
    </w:p>
    <w:p>
      <w:pPr>
        <w:pStyle w:val="BodyText"/>
        <w:spacing w:line="340" w:lineRule="auto" w:before="132"/>
        <w:ind w:left="634" w:right="967" w:hanging="480"/>
        <w:jc w:val="left"/>
      </w:pPr>
      <w:r>
        <w:rPr>
          <w:rFonts w:ascii="Times New Roman" w:hAnsi="Times New Roman" w:cs="Times New Roman" w:eastAsia="Times New Roman" w:hint="default"/>
        </w:rPr>
        <w:t>2</w:t>
      </w:r>
      <w:r>
        <w:rPr/>
        <w:t>、国防军工信息化领域 </w:t>
      </w:r>
      <w:r>
        <w:rPr>
          <w:spacing w:val="-1"/>
        </w:rPr>
        <w:t>习总书记在十九大报告提出，坚持走中国特色强军之路，全面推进国防和军队现代化。适应世界新军事革命发展趋势</w:t>
      </w:r>
    </w:p>
    <w:p>
      <w:pPr>
        <w:pStyle w:val="BodyText"/>
        <w:spacing w:line="314" w:lineRule="auto"/>
        <w:ind w:right="1032"/>
        <w:jc w:val="left"/>
      </w:pPr>
      <w:r>
        <w:rPr>
          <w:spacing w:val="-2"/>
        </w:rPr>
        <w:t>和国家安全需求，提高建设质量和效益，确保到二〇二〇年基本实现机械化，信息化建设取得重大进展，战略能力有大的提</w:t>
      </w:r>
      <w:r>
        <w:rPr>
          <w:spacing w:val="-66"/>
        </w:rPr>
        <w:t> </w:t>
      </w:r>
      <w:r>
        <w:rPr>
          <w:spacing w:val="-66"/>
        </w:rPr>
      </w:r>
      <w:r>
        <w:rPr/>
        <w:t>升。树立科技是核心战斗力的思想，建设世界一流军队，就是全面提高国防和军队现代化水平，构建能够打赢信息化战争、 </w:t>
      </w:r>
      <w:r>
        <w:rPr>
          <w:spacing w:val="-2"/>
        </w:rPr>
        <w:t>有效履行使命任务的中国特色现代军事力量体系。尽管我国国防信息化建设已全面开展，但由于产业基础薄弱，未来仍有非</w:t>
      </w:r>
      <w:r>
        <w:rPr>
          <w:spacing w:val="-66"/>
        </w:rPr>
        <w:t> </w:t>
      </w:r>
      <w:r>
        <w:rPr>
          <w:spacing w:val="-66"/>
        </w:rPr>
      </w:r>
      <w:r>
        <w:rPr>
          <w:spacing w:val="-2"/>
        </w:rPr>
        <w:t>常大的提升空间。根据据前瞻产业研究院提供的《中国军工产业深度市场调研与投资战略规划分析报告》数据，</w:t>
      </w:r>
      <w:r>
        <w:rPr>
          <w:rFonts w:ascii="Times New Roman" w:hAnsi="Times New Roman" w:cs="Times New Roman" w:eastAsia="Times New Roman" w:hint="default"/>
          <w:spacing w:val="-2"/>
        </w:rPr>
        <w:t>2015</w:t>
      </w:r>
      <w:r>
        <w:rPr>
          <w:spacing w:val="-2"/>
        </w:rPr>
        <w:t>年，我</w:t>
      </w:r>
      <w:r>
        <w:rPr>
          <w:spacing w:val="-61"/>
        </w:rPr>
        <w:t> </w:t>
      </w:r>
      <w:r>
        <w:rPr>
          <w:spacing w:val="-61"/>
        </w:rPr>
      </w:r>
      <w:r>
        <w:rPr/>
        <w:t>国国防信息化开支约为</w:t>
      </w:r>
      <w:r>
        <w:rPr>
          <w:rFonts w:ascii="Times New Roman" w:hAnsi="Times New Roman" w:cs="Times New Roman" w:eastAsia="Times New Roman" w:hint="default"/>
        </w:rPr>
        <w:t>875</w:t>
      </w:r>
      <w:r>
        <w:rPr/>
        <w:t>亿元，同比增长</w:t>
      </w:r>
      <w:r>
        <w:rPr>
          <w:rFonts w:ascii="Times New Roman" w:hAnsi="Times New Roman" w:cs="Times New Roman" w:eastAsia="Times New Roman" w:hint="default"/>
        </w:rPr>
        <w:t>17%</w:t>
      </w:r>
      <w:r>
        <w:rPr/>
        <w:t>；预计到</w:t>
      </w:r>
      <w:r>
        <w:rPr>
          <w:rFonts w:ascii="Times New Roman" w:hAnsi="Times New Roman" w:cs="Times New Roman" w:eastAsia="Times New Roman" w:hint="default"/>
        </w:rPr>
        <w:t>2025</w:t>
      </w:r>
      <w:r>
        <w:rPr/>
        <w:t>年，国防信息化开支增至</w:t>
      </w:r>
      <w:r>
        <w:rPr>
          <w:rFonts w:ascii="Times New Roman" w:hAnsi="Times New Roman" w:cs="Times New Roman" w:eastAsia="Times New Roman" w:hint="default"/>
        </w:rPr>
        <w:t>2513</w:t>
      </w:r>
      <w:r>
        <w:rPr/>
        <w:t>亿元，年复合增长率达到</w:t>
      </w:r>
      <w:r>
        <w:rPr>
          <w:rFonts w:ascii="Times New Roman" w:hAnsi="Times New Roman" w:cs="Times New Roman" w:eastAsia="Times New Roman" w:hint="default"/>
        </w:rPr>
        <w:t>11.6%</w:t>
      </w:r>
      <w:r>
        <w:rPr/>
        <w:t>。</w:t>
      </w:r>
    </w:p>
    <w:p>
      <w:pPr>
        <w:pStyle w:val="BodyText"/>
        <w:spacing w:line="309" w:lineRule="auto" w:before="40"/>
        <w:ind w:right="1051" w:firstLine="480"/>
        <w:jc w:val="both"/>
      </w:pPr>
      <w:r>
        <w:rPr>
          <w:spacing w:val="-3"/>
        </w:rPr>
        <w:t>国防信息安全涵盖硬件、软件、数据与管理安全</w:t>
      </w:r>
      <w:r>
        <w:rPr>
          <w:rFonts w:ascii="Times New Roman" w:hAnsi="Times New Roman" w:cs="Times New Roman" w:eastAsia="Times New Roman" w:hint="default"/>
          <w:spacing w:val="-3"/>
        </w:rPr>
        <w:t>,</w:t>
      </w:r>
      <w:r>
        <w:rPr>
          <w:spacing w:val="-3"/>
        </w:rPr>
        <w:t>是国防信息化建设软实力的体现。美军拥有完整的信息安全防护网络</w:t>
      </w:r>
      <w:r>
        <w:rPr>
          <w:rFonts w:ascii="Times New Roman" w:hAnsi="Times New Roman" w:cs="Times New Roman" w:eastAsia="Times New Roman" w:hint="default"/>
          <w:spacing w:val="-3"/>
        </w:rPr>
        <w:t>,</w:t>
      </w:r>
      <w:r>
        <w:rPr>
          <w:rFonts w:ascii="Times New Roman" w:hAnsi="Times New Roman" w:cs="Times New Roman" w:eastAsia="Times New Roman" w:hint="default"/>
        </w:rPr>
        <w:t> </w:t>
      </w:r>
      <w:r>
        <w:rPr>
          <w:spacing w:val="-2"/>
        </w:rPr>
        <w:t>具备高效的信息安全协同作战能力。而我国国防信息安全则面临着核心软硬件自主程度低、信息技术标准遭垄断与网络攻击</w:t>
      </w:r>
      <w:r>
        <w:rPr>
          <w:spacing w:val="-64"/>
        </w:rPr>
        <w:t> </w:t>
      </w:r>
      <w:r>
        <w:rPr>
          <w:spacing w:val="-64"/>
        </w:rPr>
      </w:r>
      <w:r>
        <w:rPr/>
        <w:t>日益增多的严峻形势。随着</w:t>
      </w:r>
      <w:r>
        <w:rPr>
          <w:rFonts w:ascii="Times New Roman" w:hAnsi="Times New Roman" w:cs="Times New Roman" w:eastAsia="Times New Roman" w:hint="default"/>
        </w:rPr>
        <w:t>2016</w:t>
      </w:r>
      <w:r>
        <w:rPr/>
        <w:t>年以来国家军改稳步推进，军品软件市场需求稳步提升，军民融合政策扶持力度逐渐加大，</w:t>
      </w:r>
    </w:p>
    <w:p>
      <w:pPr>
        <w:spacing w:after="0" w:line="309" w:lineRule="auto"/>
        <w:jc w:val="both"/>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357" w:lineRule="auto" w:before="44"/>
        <w:ind w:left="634" w:right="967" w:hanging="480"/>
        <w:jc w:val="left"/>
      </w:pPr>
      <w:r>
        <w:rPr/>
        <w:t>民参军企业重点受益。 </w:t>
      </w:r>
      <w:r>
        <w:rPr>
          <w:spacing w:val="-1"/>
        </w:rPr>
        <w:t>东方通宇作为东方通面向国防，军工领域的平台，立足于军队、国防工业信息化领域，为客户提供全自主可控配套解</w:t>
      </w:r>
    </w:p>
    <w:p>
      <w:pPr>
        <w:pStyle w:val="BodyText"/>
        <w:spacing w:line="224" w:lineRule="exact"/>
        <w:ind w:right="967"/>
        <w:jc w:val="left"/>
      </w:pPr>
      <w:r>
        <w:rPr/>
        <w:t>决方案为己任，为军队、国防军工企业市场提供一流的软件基础设施支撑平台、信息安全解决方案、移动信息化解决方案为</w:t>
      </w:r>
    </w:p>
    <w:p>
      <w:pPr>
        <w:pStyle w:val="BodyText"/>
        <w:spacing w:line="240" w:lineRule="auto" w:before="77"/>
        <w:ind w:right="967"/>
        <w:jc w:val="left"/>
      </w:pPr>
      <w:r>
        <w:rPr/>
        <w:t>使命，贯彻国家</w:t>
      </w:r>
      <w:r>
        <w:rPr>
          <w:rFonts w:ascii="Times New Roman" w:hAnsi="Times New Roman" w:cs="Times New Roman" w:eastAsia="Times New Roman" w:hint="default"/>
        </w:rPr>
        <w:t>“</w:t>
      </w:r>
      <w:r>
        <w:rPr/>
        <w:t>军民融合</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科技强军</w:t>
      </w:r>
      <w:r>
        <w:rPr>
          <w:rFonts w:ascii="Times New Roman" w:hAnsi="Times New Roman" w:cs="Times New Roman" w:eastAsia="Times New Roman" w:hint="default"/>
        </w:rPr>
        <w:t>”</w:t>
      </w:r>
      <w:r>
        <w:rPr/>
        <w:t>战略，顺应国防科技工业体制改革，势必迎来良好的发展机遇。</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6"/>
          <w:szCs w:val="16"/>
        </w:rPr>
      </w:pPr>
    </w:p>
    <w:p>
      <w:pPr>
        <w:pStyle w:val="BodyText"/>
        <w:spacing w:line="240" w:lineRule="auto"/>
        <w:ind w:right="967"/>
        <w:jc w:val="left"/>
      </w:pPr>
      <w:r>
        <w:rPr>
          <w:rFonts w:ascii="Times New Roman" w:hAnsi="Times New Roman" w:cs="Times New Roman" w:eastAsia="Times New Roman" w:hint="default"/>
        </w:rPr>
        <w:t>3</w:t>
      </w:r>
      <w:r>
        <w:rPr/>
        <w:t>、基础通信和基础安全领域</w:t>
      </w:r>
    </w:p>
    <w:p>
      <w:pPr>
        <w:pStyle w:val="BodyText"/>
        <w:spacing w:line="300" w:lineRule="auto" w:before="101"/>
        <w:ind w:right="967" w:firstLine="480"/>
        <w:jc w:val="left"/>
      </w:pPr>
      <w:r>
        <w:rPr/>
        <w:t>为了更好地迎接</w:t>
      </w:r>
      <w:r>
        <w:rPr>
          <w:rFonts w:ascii="Times New Roman" w:hAnsi="Times New Roman" w:cs="Times New Roman" w:eastAsia="Times New Roman" w:hint="default"/>
        </w:rPr>
        <w:t>5G</w:t>
      </w:r>
      <w:r>
        <w:rPr/>
        <w:t>时代的到来，</w:t>
      </w:r>
      <w:r>
        <w:rPr>
          <w:spacing w:val="-20"/>
        </w:rPr>
        <w:t> </w:t>
      </w:r>
      <w:r>
        <w:rPr>
          <w:rFonts w:ascii="Times New Roman" w:hAnsi="Times New Roman" w:cs="Times New Roman" w:eastAsia="Times New Roman" w:hint="default"/>
        </w:rPr>
        <w:t>DNS</w:t>
      </w:r>
      <w:r>
        <w:rPr/>
        <w:t>系统需要向虚拟化和容器化方向演进；关于国家在</w:t>
      </w:r>
      <w:r>
        <w:rPr>
          <w:rFonts w:ascii="Times New Roman" w:hAnsi="Times New Roman" w:cs="Times New Roman" w:eastAsia="Times New Roman" w:hint="default"/>
        </w:rPr>
        <w:t>Ipv6</w:t>
      </w:r>
      <w:r>
        <w:rPr/>
        <w:t>工作推进方面，中办、 </w:t>
      </w:r>
      <w:r>
        <w:rPr>
          <w:spacing w:val="-4"/>
          <w:w w:val="99"/>
        </w:rPr>
        <w:t>国办文件中，对于各级政府和企业网站支持</w:t>
      </w:r>
      <w:r>
        <w:rPr>
          <w:rFonts w:ascii="Times New Roman" w:hAnsi="Times New Roman" w:cs="Times New Roman" w:eastAsia="Times New Roman" w:hint="default"/>
          <w:spacing w:val="-4"/>
          <w:w w:val="99"/>
        </w:rPr>
        <w:t>IPv6</w:t>
      </w:r>
      <w:r>
        <w:rPr>
          <w:spacing w:val="-4"/>
          <w:w w:val="99"/>
        </w:rPr>
        <w:t>提出了明确的时间要求，公司为此专门研发了</w:t>
      </w:r>
      <w:r>
        <w:rPr>
          <w:rFonts w:ascii="Times New Roman" w:hAnsi="Times New Roman" w:cs="Times New Roman" w:eastAsia="Times New Roman" w:hint="default"/>
          <w:spacing w:val="-4"/>
          <w:w w:val="99"/>
        </w:rPr>
        <w:t>IPv6/IPv4</w:t>
      </w:r>
      <w:r>
        <w:rPr>
          <w:spacing w:val="-4"/>
          <w:w w:val="99"/>
        </w:rPr>
        <w:t>转换系统，可以让</w:t>
      </w:r>
      <w:r>
        <w:rPr>
          <w:rFonts w:ascii="Times New Roman" w:hAnsi="Times New Roman" w:cs="Times New Roman" w:eastAsia="Times New Roman" w:hint="default"/>
          <w:spacing w:val="-4"/>
          <w:w w:val="99"/>
        </w:rPr>
        <w:t>IPv6</w:t>
      </w:r>
      <w:r>
        <w:rPr>
          <w:rFonts w:ascii="Times New Roman" w:hAnsi="Times New Roman" w:cs="Times New Roman" w:eastAsia="Times New Roman" w:hint="default"/>
          <w:spacing w:val="-27"/>
          <w:w w:val="99"/>
        </w:rPr>
        <w:t> </w:t>
      </w:r>
      <w:r>
        <w:rPr>
          <w:rFonts w:ascii="Times New Roman" w:hAnsi="Times New Roman" w:cs="Times New Roman" w:eastAsia="Times New Roman" w:hint="default"/>
          <w:spacing w:val="-27"/>
          <w:w w:val="99"/>
        </w:rPr>
      </w:r>
      <w:r>
        <w:rPr/>
        <w:t>终端畅通访问</w:t>
      </w:r>
      <w:r>
        <w:rPr>
          <w:rFonts w:ascii="Times New Roman" w:hAnsi="Times New Roman" w:cs="Times New Roman" w:eastAsia="Times New Roman" w:hint="default"/>
        </w:rPr>
        <w:t>IPv4</w:t>
      </w:r>
      <w:r>
        <w:rPr/>
        <w:t>网站，目前该产品已经在客户测试中。</w:t>
      </w:r>
    </w:p>
    <w:p>
      <w:pPr>
        <w:pStyle w:val="BodyText"/>
        <w:spacing w:line="307" w:lineRule="auto" w:before="52"/>
        <w:ind w:right="1132" w:firstLine="480"/>
        <w:jc w:val="both"/>
      </w:pPr>
      <w:r>
        <w:rPr/>
        <w:t>数据安全，国家标准</w:t>
      </w:r>
      <w:r>
        <w:rPr>
          <w:rFonts w:ascii="Times New Roman" w:hAnsi="Times New Roman" w:cs="Times New Roman" w:eastAsia="Times New Roman" w:hint="default"/>
        </w:rPr>
        <w:t>GB/T 35273-2017</w:t>
      </w:r>
      <w:r>
        <w:rPr>
          <w:rFonts w:ascii="Times New Roman" w:hAnsi="Times New Roman" w:cs="Times New Roman" w:eastAsia="Times New Roman" w:hint="default"/>
          <w:spacing w:val="24"/>
        </w:rPr>
        <w:t> </w:t>
      </w:r>
      <w:r>
        <w:rPr/>
        <w:t>《信息安全技术个人信息安全规范》发布和实施，促进数据安全保障再上新台 阶。个人敏感信息防护、</w:t>
      </w:r>
      <w:r>
        <w:rPr>
          <w:rFonts w:ascii="Times New Roman" w:hAnsi="Times New Roman" w:cs="Times New Roman" w:eastAsia="Times New Roman" w:hint="default"/>
        </w:rPr>
        <w:t>APP</w:t>
      </w:r>
      <w:r>
        <w:rPr/>
        <w:t>应用安全监控的要求对移动互联网、互联网</w:t>
      </w:r>
      <w:r>
        <w:rPr>
          <w:rFonts w:ascii="Times New Roman" w:hAnsi="Times New Roman" w:cs="Times New Roman" w:eastAsia="Times New Roman" w:hint="default"/>
        </w:rPr>
        <w:t>+</w:t>
      </w:r>
      <w:r>
        <w:rPr/>
        <w:t>中的各行各业的都将产生巨大影响，同时也给信 </w:t>
      </w:r>
      <w:r>
        <w:rPr>
          <w:spacing w:val="-2"/>
        </w:rPr>
        <w:t>息安全防护产品带来巨大的市场空间。全资子公司泰策科技将在之前部分客户成功试点的基础上，加大市场力度并不断完善</w:t>
      </w:r>
      <w:r>
        <w:rPr>
          <w:spacing w:val="-64"/>
        </w:rPr>
        <w:t> </w:t>
      </w:r>
      <w:r>
        <w:rPr>
          <w:spacing w:val="-64"/>
        </w:rPr>
      </w:r>
      <w:r>
        <w:rPr/>
        <w:t>产品，力争取得多行业规模化突破。</w:t>
      </w:r>
    </w:p>
    <w:p>
      <w:pPr>
        <w:pStyle w:val="BodyText"/>
        <w:spacing w:line="240" w:lineRule="auto" w:before="65"/>
        <w:ind w:right="967"/>
        <w:jc w:val="left"/>
      </w:pPr>
      <w:r>
        <w:rPr>
          <w:rFonts w:ascii="Times New Roman" w:hAnsi="Times New Roman" w:cs="Times New Roman" w:eastAsia="Times New Roman" w:hint="default"/>
        </w:rPr>
        <w:t>4</w:t>
      </w:r>
      <w:r>
        <w:rPr/>
        <w:t>、应急安全领域</w:t>
      </w:r>
    </w:p>
    <w:p>
      <w:pPr>
        <w:pStyle w:val="BodyText"/>
        <w:spacing w:line="314" w:lineRule="auto" w:before="101"/>
        <w:ind w:right="967" w:firstLine="480"/>
        <w:jc w:val="left"/>
      </w:pPr>
      <w:r>
        <w:rPr>
          <w:spacing w:val="-2"/>
        </w:rPr>
        <w:t>根据前瞻产业研究院发布的《</w:t>
      </w:r>
      <w:r>
        <w:rPr>
          <w:rFonts w:ascii="Times New Roman" w:hAnsi="Times New Roman" w:cs="Times New Roman" w:eastAsia="Times New Roman" w:hint="default"/>
          <w:spacing w:val="-2"/>
        </w:rPr>
        <w:t>2018-2023</w:t>
      </w:r>
      <w:r>
        <w:rPr>
          <w:spacing w:val="-2"/>
        </w:rPr>
        <w:t>年中国应急通信行业发展前景预测与投资战略规划分析报告》资料显示，</w:t>
      </w:r>
      <w:r>
        <w:rPr>
          <w:rFonts w:ascii="Times New Roman" w:hAnsi="Times New Roman" w:cs="Times New Roman" w:eastAsia="Times New Roman" w:hint="default"/>
          <w:spacing w:val="-2"/>
        </w:rPr>
        <w:t>2003</w:t>
      </w:r>
      <w:r>
        <w:rPr>
          <w:rFonts w:ascii="Times New Roman" w:hAnsi="Times New Roman" w:cs="Times New Roman" w:eastAsia="Times New Roman" w:hint="default"/>
        </w:rPr>
        <w:t> </w:t>
      </w:r>
      <w:r>
        <w:rPr>
          <w:spacing w:val="-4"/>
        </w:rPr>
        <w:t>年非典发生后，国家十分重视应急管理工作，作为应急管理的物质保障，应急产业的产业地位也逐步确立，并开始发展起来。</w:t>
      </w:r>
      <w:r>
        <w:rPr>
          <w:spacing w:val="-46"/>
        </w:rPr>
        <w:t> </w:t>
      </w:r>
      <w:r>
        <w:rPr>
          <w:spacing w:val="-46"/>
        </w:rPr>
      </w:r>
      <w:r>
        <w:rPr>
          <w:spacing w:val="-2"/>
        </w:rPr>
        <w:t>应急产业涵盖了消防安全、防灾减灾、信息安全、公共安全等领域。发展应急产业既可以为装备、材料、医药、通信等领域</w:t>
      </w:r>
      <w:r>
        <w:rPr>
          <w:spacing w:val="-70"/>
        </w:rPr>
        <w:t> </w:t>
      </w:r>
      <w:r>
        <w:rPr>
          <w:spacing w:val="-70"/>
        </w:rPr>
      </w:r>
      <w:r>
        <w:rPr>
          <w:spacing w:val="-2"/>
        </w:rPr>
        <w:t>提供新的发展空间，也可能孕育出紧急救援服务等新的产业形态。据初步估算，全国安全应急、应急装备等领域专用产品和</w:t>
      </w:r>
      <w:r>
        <w:rPr>
          <w:spacing w:val="-66"/>
        </w:rPr>
        <w:t> </w:t>
      </w:r>
      <w:r>
        <w:rPr>
          <w:spacing w:val="-66"/>
        </w:rPr>
      </w:r>
      <w:r>
        <w:rPr/>
        <w:t>服务的产值达到近万亿元规模，近三年来我国应急产业产值规模年均增长速度在</w:t>
      </w:r>
      <w:r>
        <w:rPr>
          <w:rFonts w:ascii="Times New Roman" w:hAnsi="Times New Roman" w:cs="Times New Roman" w:eastAsia="Times New Roman" w:hint="default"/>
        </w:rPr>
        <w:t>20%</w:t>
      </w:r>
      <w:r>
        <w:rPr/>
        <w:t>左右，高于同期工业经济平均增速。</w:t>
      </w:r>
    </w:p>
    <w:p>
      <w:pPr>
        <w:pStyle w:val="BodyText"/>
        <w:spacing w:line="314" w:lineRule="auto" w:before="40"/>
        <w:ind w:right="967" w:firstLine="480"/>
        <w:jc w:val="left"/>
      </w:pPr>
      <w:r>
        <w:rPr/>
        <w:t>公司紧随国家应急产业政策和发展规划，在未来</w:t>
      </w:r>
      <w:r>
        <w:rPr>
          <w:rFonts w:ascii="Times New Roman" w:hAnsi="Times New Roman" w:cs="Times New Roman" w:eastAsia="Times New Roman" w:hint="default"/>
        </w:rPr>
        <w:t>3</w:t>
      </w:r>
      <w:r>
        <w:rPr/>
        <w:t>年里，面向国家公共安全重大需求，围绕应急平台体系架构进行产 </w:t>
      </w:r>
      <w:r>
        <w:rPr>
          <w:spacing w:val="-2"/>
        </w:rPr>
        <w:t>品研发，形成面向各级政府、行业和社区的应急平台软件及装备产品体系，并提供数据、基础支撑系统及场所的建设与集成</w:t>
      </w:r>
      <w:r>
        <w:rPr>
          <w:spacing w:val="-66"/>
        </w:rPr>
        <w:t> </w:t>
      </w:r>
      <w:r>
        <w:rPr>
          <w:spacing w:val="-66"/>
        </w:rPr>
      </w:r>
      <w:r>
        <w:rPr>
          <w:spacing w:val="-4"/>
        </w:rPr>
        <w:t>服务，解决各级政府应急管理需求提供强有力的保障。积极推动应急领域体系化建设，以政府应急平台作为应急体系的节点，</w:t>
      </w:r>
      <w:r>
        <w:rPr>
          <w:spacing w:val="-44"/>
        </w:rPr>
        <w:t> </w:t>
      </w:r>
      <w:r>
        <w:rPr>
          <w:spacing w:val="-44"/>
        </w:rPr>
      </w:r>
      <w:r>
        <w:rPr>
          <w:spacing w:val="-2"/>
        </w:rPr>
        <w:t>形成国家、省、地市、区县到基层单位上下贯通，行业部门左右协同、互联互通、信息共享、互有侧重、互为支撑、安全畅</w:t>
      </w:r>
      <w:r>
        <w:rPr>
          <w:spacing w:val="-69"/>
        </w:rPr>
        <w:t> </w:t>
      </w:r>
      <w:r>
        <w:rPr>
          <w:spacing w:val="-69"/>
        </w:rPr>
      </w:r>
      <w:r>
        <w:rPr/>
        <w:t>通的应急平台体系。</w:t>
      </w:r>
    </w:p>
    <w:p>
      <w:pPr>
        <w:pStyle w:val="BodyText"/>
        <w:spacing w:line="319" w:lineRule="auto" w:before="59"/>
        <w:ind w:right="1133" w:firstLine="480"/>
        <w:jc w:val="both"/>
      </w:pPr>
      <w:r>
        <w:rPr>
          <w:spacing w:val="-1"/>
        </w:rPr>
        <w:t>同时针对城市应急建设需求，公司积极探索构建全面的智慧应急综合解决方案，积极探索城市智能化的发展途径，形</w:t>
      </w:r>
      <w:r>
        <w:rPr/>
        <w:t> </w:t>
      </w:r>
      <w:r>
        <w:rPr>
          <w:spacing w:val="-2"/>
        </w:rPr>
        <w:t>成围绕应急信息化规划与设计服务、软件产品与系统定制化开发服务、系统集成与工程实施服务、应急指挥信息化建设的核</w:t>
      </w:r>
      <w:r>
        <w:rPr>
          <w:spacing w:val="-66"/>
        </w:rPr>
        <w:t> </w:t>
      </w:r>
      <w:r>
        <w:rPr>
          <w:spacing w:val="-66"/>
        </w:rPr>
      </w:r>
      <w:r>
        <w:rPr>
          <w:spacing w:val="-2"/>
        </w:rPr>
        <w:t>心技术与重要成果，业务涉及政府服务、公共安全、应急指挥等领域。公司将全力打造“智慧应急先行者”，助力各级政府</w:t>
      </w:r>
      <w:r>
        <w:rPr>
          <w:spacing w:val="-71"/>
        </w:rPr>
        <w:t> </w:t>
      </w:r>
      <w:r>
        <w:rPr>
          <w:spacing w:val="-71"/>
        </w:rPr>
      </w:r>
      <w:r>
        <w:rPr/>
        <w:t>和行业用户应急管理工作的创新。</w:t>
      </w:r>
    </w:p>
    <w:p>
      <w:pPr>
        <w:pStyle w:val="Heading5"/>
        <w:spacing w:line="240" w:lineRule="auto" w:before="136"/>
        <w:ind w:left="492" w:right="8767"/>
        <w:jc w:val="center"/>
        <w:rPr>
          <w:b w:val="0"/>
          <w:bCs w:val="0"/>
        </w:rPr>
      </w:pPr>
      <w:r>
        <w:rPr/>
        <w:t>（二）公司发展战略</w:t>
      </w:r>
      <w:r>
        <w:rPr>
          <w:b w:val="0"/>
          <w:bCs w:val="0"/>
        </w:rPr>
      </w:r>
    </w:p>
    <w:p>
      <w:pPr>
        <w:spacing w:line="240" w:lineRule="auto" w:before="0"/>
        <w:rPr>
          <w:rFonts w:ascii="宋体" w:hAnsi="宋体" w:cs="宋体" w:eastAsia="宋体" w:hint="default"/>
          <w:b/>
          <w:bCs/>
          <w:sz w:val="15"/>
          <w:szCs w:val="15"/>
        </w:rPr>
      </w:pPr>
    </w:p>
    <w:p>
      <w:pPr>
        <w:pStyle w:val="BodyText"/>
        <w:spacing w:line="307" w:lineRule="auto"/>
        <w:ind w:right="967" w:firstLine="480"/>
        <w:jc w:val="left"/>
      </w:pPr>
      <w:r>
        <w:rPr>
          <w:rFonts w:ascii="Times New Roman" w:hAnsi="Times New Roman" w:cs="Times New Roman" w:eastAsia="Times New Roman" w:hint="default"/>
        </w:rPr>
        <w:t>2018</w:t>
      </w:r>
      <w:r>
        <w:rPr/>
        <w:t>年在国际上和国内都发生了众多信息安全事件，我国对信息安全的重视提升到前所未有的高度，为了要从根本上 </w:t>
      </w:r>
      <w:r>
        <w:rPr>
          <w:spacing w:val="-2"/>
        </w:rPr>
        <w:t>消除我国信息安全的隐患，保护国家安全，我国大力推进国产替代，在芯片技术、基础软件等技术领域，要求国产厂家快速</w:t>
      </w:r>
      <w:r>
        <w:rPr>
          <w:spacing w:val="-66"/>
        </w:rPr>
        <w:t> </w:t>
      </w:r>
      <w:r>
        <w:rPr>
          <w:spacing w:val="-66"/>
        </w:rPr>
      </w:r>
      <w:r>
        <w:rPr/>
        <w:t>成长，掌握核心技术，提供安全可靠的产品。我国在</w:t>
      </w:r>
      <w:r>
        <w:rPr>
          <w:rFonts w:ascii="Times New Roman" w:hAnsi="Times New Roman" w:cs="Times New Roman" w:eastAsia="Times New Roman" w:hint="default"/>
        </w:rPr>
        <w:t>5G</w:t>
      </w:r>
      <w:r>
        <w:rPr/>
        <w:t>的发展上，在全球来看已经处在世界前列。近期举行的中央经济工 作会议指出，加快</w:t>
      </w:r>
      <w:r>
        <w:rPr>
          <w:rFonts w:ascii="Times New Roman" w:hAnsi="Times New Roman" w:cs="Times New Roman" w:eastAsia="Times New Roman" w:hint="default"/>
        </w:rPr>
        <w:t>5G</w:t>
      </w:r>
      <w:r>
        <w:rPr/>
        <w:t>的研发和商用步伐，将</w:t>
      </w:r>
      <w:r>
        <w:rPr>
          <w:rFonts w:ascii="Times New Roman" w:hAnsi="Times New Roman" w:cs="Times New Roman" w:eastAsia="Times New Roman" w:hint="default"/>
        </w:rPr>
        <w:t>5G</w:t>
      </w:r>
      <w:r>
        <w:rPr/>
        <w:t>的发展作为科技强国的基础建设，抢占全球技术竞争的制高点，</w:t>
      </w:r>
      <w:r>
        <w:rPr>
          <w:rFonts w:ascii="Times New Roman" w:hAnsi="Times New Roman" w:cs="Times New Roman" w:eastAsia="Times New Roman" w:hint="default"/>
        </w:rPr>
        <w:t>5G</w:t>
      </w:r>
      <w:r>
        <w:rPr/>
        <w:t>已升级为 国家战略。国内三大电信运营商作为</w:t>
      </w:r>
      <w:r>
        <w:rPr>
          <w:rFonts w:ascii="Times New Roman" w:hAnsi="Times New Roman" w:cs="Times New Roman" w:eastAsia="Times New Roman" w:hint="default"/>
        </w:rPr>
        <w:t>5G</w:t>
      </w:r>
      <w:r>
        <w:rPr/>
        <w:t>网络建设的主力军，已全力开展</w:t>
      </w:r>
      <w:r>
        <w:rPr>
          <w:rFonts w:ascii="Times New Roman" w:hAnsi="Times New Roman" w:cs="Times New Roman" w:eastAsia="Times New Roman" w:hint="default"/>
        </w:rPr>
        <w:t>5G</w:t>
      </w:r>
      <w:r>
        <w:rPr/>
        <w:t>的预商用工作，未来几年，我国将迎来</w:t>
      </w:r>
      <w:r>
        <w:rPr>
          <w:rFonts w:ascii="Times New Roman" w:hAnsi="Times New Roman" w:cs="Times New Roman" w:eastAsia="Times New Roman" w:hint="default"/>
        </w:rPr>
        <w:t>5G</w:t>
      </w:r>
      <w:r>
        <w:rPr/>
        <w:t>建设的</w:t>
      </w:r>
      <w:r>
        <w:rPr>
          <w:spacing w:val="1"/>
        </w:rPr>
        <w:t> </w:t>
      </w:r>
      <w:r>
        <w:rPr>
          <w:spacing w:val="-2"/>
        </w:rPr>
        <w:t>高峰。</w:t>
      </w:r>
      <w:r>
        <w:rPr>
          <w:rFonts w:ascii="Times New Roman" w:hAnsi="Times New Roman" w:cs="Times New Roman" w:eastAsia="Times New Roman" w:hint="default"/>
          <w:spacing w:val="-2"/>
        </w:rPr>
        <w:t>5G</w:t>
      </w:r>
      <w:r>
        <w:rPr>
          <w:spacing w:val="-2"/>
        </w:rPr>
        <w:t>相比</w:t>
      </w:r>
      <w:r>
        <w:rPr>
          <w:rFonts w:ascii="Times New Roman" w:hAnsi="Times New Roman" w:cs="Times New Roman" w:eastAsia="Times New Roman" w:hint="default"/>
          <w:spacing w:val="-2"/>
        </w:rPr>
        <w:t>4G</w:t>
      </w:r>
      <w:r>
        <w:rPr>
          <w:spacing w:val="-2"/>
        </w:rPr>
        <w:t>带来的网络能力的升级是巨大的，将改变整个社会的运行模式，是发展智能制造、工业互联网、智慧城市、</w:t>
      </w:r>
      <w:r>
        <w:rPr>
          <w:spacing w:val="-55"/>
        </w:rPr>
        <w:t> </w:t>
      </w:r>
      <w:r>
        <w:rPr>
          <w:spacing w:val="-55"/>
        </w:rPr>
      </w:r>
      <w:r>
        <w:rPr>
          <w:spacing w:val="-2"/>
        </w:rPr>
        <w:t>智慧生活的网络基础，其所能承载的数据数量将是指数级的增长，所能支持的业务类型也将远超现有的范围，原有的安全技</w:t>
      </w:r>
      <w:r>
        <w:rPr>
          <w:spacing w:val="-66"/>
        </w:rPr>
        <w:t> </w:t>
      </w:r>
      <w:r>
        <w:rPr>
          <w:spacing w:val="-66"/>
        </w:rPr>
      </w:r>
      <w:r>
        <w:rPr/>
        <w:t>术已经无法满足这样的海量数据、高度复杂的业务、数据处理需求，只有通过</w:t>
      </w:r>
      <w:r>
        <w:rPr>
          <w:rFonts w:ascii="Times New Roman" w:hAnsi="Times New Roman" w:cs="Times New Roman" w:eastAsia="Times New Roman" w:hint="default"/>
        </w:rPr>
        <w:t>AI</w:t>
      </w:r>
      <w:r>
        <w:rPr/>
        <w:t>的加持，才能适应</w:t>
      </w:r>
      <w:r>
        <w:rPr>
          <w:rFonts w:ascii="Times New Roman" w:hAnsi="Times New Roman" w:cs="Times New Roman" w:eastAsia="Times New Roman" w:hint="default"/>
        </w:rPr>
        <w:t>5G</w:t>
      </w:r>
      <w:r>
        <w:rPr/>
        <w:t>环境下的新的信息安 </w:t>
      </w:r>
      <w:r>
        <w:rPr>
          <w:spacing w:val="-2"/>
        </w:rPr>
        <w:t>全需求。东方通与国内一流高校进行产学研合作，持续加大研发投入，将人工智能领域的语言识别、语言理解、机器学习等</w:t>
      </w:r>
      <w:r>
        <w:rPr>
          <w:spacing w:val="-66"/>
        </w:rPr>
        <w:t> </w:t>
      </w:r>
      <w:r>
        <w:rPr>
          <w:spacing w:val="-66"/>
        </w:rPr>
      </w:r>
      <w:r>
        <w:rPr/>
        <w:t>能力应用到东方通的安全解决方案产品中，用全面升级的安全产品和服务来迎接</w:t>
      </w:r>
      <w:r>
        <w:rPr>
          <w:rFonts w:ascii="Times New Roman" w:hAnsi="Times New Roman" w:cs="Times New Roman" w:eastAsia="Times New Roman" w:hint="default"/>
        </w:rPr>
        <w:t>5G</w:t>
      </w:r>
      <w:r>
        <w:rPr/>
        <w:t>的大潮。</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300" w:lineRule="auto"/>
        <w:ind w:right="1112" w:firstLine="480"/>
        <w:jc w:val="left"/>
      </w:pPr>
      <w:r>
        <w:rPr/>
        <w:t>东方通从</w:t>
      </w:r>
      <w:r>
        <w:rPr>
          <w:rFonts w:ascii="Times New Roman" w:hAnsi="Times New Roman" w:cs="Times New Roman" w:eastAsia="Times New Roman" w:hint="default"/>
        </w:rPr>
        <w:t>2018</w:t>
      </w:r>
      <w:r>
        <w:rPr/>
        <w:t>年开始更专注于智能安全领域的深耕与拓展，主推</w:t>
      </w:r>
      <w:r>
        <w:rPr>
          <w:rFonts w:ascii="Times New Roman" w:hAnsi="Times New Roman" w:cs="Times New Roman" w:eastAsia="Times New Roman" w:hint="default"/>
        </w:rPr>
        <w:t>“</w:t>
      </w:r>
      <w:r>
        <w:rPr/>
        <w:t>自主可控、安全可靠</w:t>
      </w:r>
      <w:r>
        <w:rPr>
          <w:rFonts w:ascii="Times New Roman" w:hAnsi="Times New Roman" w:cs="Times New Roman" w:eastAsia="Times New Roman" w:hint="default"/>
        </w:rPr>
        <w:t>”</w:t>
      </w:r>
      <w:r>
        <w:rPr/>
        <w:t>的全线安全产品和解决方案， </w:t>
      </w:r>
      <w:r>
        <w:rPr>
          <w:spacing w:val="-2"/>
        </w:rPr>
        <w:t>致力于成为大安全领域的核心企业。经过对公司主航道业务的梳理，将公司业务分为基础安全和行业安全两大板块，并分别</w:t>
      </w:r>
    </w:p>
    <w:p>
      <w:pPr>
        <w:spacing w:after="0" w:line="30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2" w:lineRule="auto" w:before="44"/>
        <w:ind w:right="1172"/>
        <w:jc w:val="left"/>
      </w:pPr>
      <w:r>
        <w:rPr/>
        <w:t>建立覆盖全国的营销平台。基于多年积累的人工智能、</w:t>
      </w:r>
      <w:r>
        <w:rPr>
          <w:rFonts w:ascii="Times New Roman" w:hAnsi="Times New Roman" w:cs="Times New Roman" w:eastAsia="Times New Roman" w:hint="default"/>
        </w:rPr>
        <w:t>5G</w:t>
      </w:r>
      <w:r>
        <w:rPr/>
        <w:t>技术能力储备进行产品技术升级，大力布局基础安全及行业安全 产业。</w:t>
      </w:r>
    </w:p>
    <w:p>
      <w:pPr>
        <w:pStyle w:val="BodyText"/>
        <w:spacing w:line="319" w:lineRule="auto" w:before="68"/>
        <w:ind w:right="967" w:firstLine="480"/>
        <w:jc w:val="left"/>
      </w:pPr>
      <w:r>
        <w:rPr>
          <w:spacing w:val="-3"/>
        </w:rPr>
        <w:t>在基础安全领域，全面打造更丰富的基础安全产品线和安全可控生态环境。在市场方面，进一步聚焦做强政务、金融、</w:t>
      </w:r>
      <w:r>
        <w:rPr/>
        <w:t> </w:t>
      </w:r>
      <w:r>
        <w:rPr>
          <w:spacing w:val="-2"/>
        </w:rPr>
        <w:t>交通、电信等传统优势行业，持续提升公司在重点行业的品牌优势地位。同时公司将加大能源、电力、医疗、公安等垂直行</w:t>
      </w:r>
      <w:r>
        <w:rPr>
          <w:spacing w:val="-67"/>
        </w:rPr>
        <w:t> </w:t>
      </w:r>
      <w:r>
        <w:rPr>
          <w:spacing w:val="-67"/>
        </w:rPr>
      </w:r>
      <w:r>
        <w:rPr/>
        <w:t>业的市场投入，力争取得较大突破。</w:t>
      </w:r>
      <w:r>
        <w:rPr>
          <w:spacing w:val="-18"/>
        </w:rPr>
        <w:t> </w:t>
      </w:r>
      <w:r>
        <w:rPr/>
        <w:t>此外，加强渠道建设，增强业务拓展能力和交付能力；与合作伙伴一起形成市场协同</w:t>
      </w:r>
      <w:r>
        <w:rPr/>
        <w:t> </w:t>
      </w:r>
      <w:r>
        <w:rPr>
          <w:spacing w:val="-2"/>
        </w:rPr>
        <w:t>效应，发挥资源优势，加强市场覆盖；全面整合集团各业务板块的解决方案能力，提升复杂解决方案的交付能力；在产品方</w:t>
      </w:r>
      <w:r>
        <w:rPr>
          <w:spacing w:val="-66"/>
        </w:rPr>
        <w:t> </w:t>
      </w:r>
      <w:r>
        <w:rPr>
          <w:spacing w:val="-66"/>
        </w:rPr>
      </w:r>
      <w:r>
        <w:rPr>
          <w:spacing w:val="-2"/>
        </w:rPr>
        <w:t>面，继续保持传统中间件产品的优势，在功能、性能、可靠性、稳定性、安全性等方面继续提升，继续加大共享交换等业务</w:t>
      </w:r>
      <w:r>
        <w:rPr>
          <w:spacing w:val="-72"/>
        </w:rPr>
        <w:t> </w:t>
      </w:r>
      <w:r>
        <w:rPr>
          <w:spacing w:val="-72"/>
        </w:rPr>
      </w:r>
      <w:r>
        <w:rPr/>
        <w:t>方向的拓展。</w:t>
      </w:r>
    </w:p>
    <w:p>
      <w:pPr>
        <w:pStyle w:val="BodyText"/>
        <w:spacing w:line="309" w:lineRule="auto" w:before="56"/>
        <w:ind w:right="1130" w:firstLine="480"/>
        <w:jc w:val="both"/>
      </w:pPr>
      <w:r>
        <w:rPr/>
        <w:t>在行业安全领域，顺应国家</w:t>
      </w:r>
      <w:r>
        <w:rPr>
          <w:rFonts w:ascii="Times New Roman" w:hAnsi="Times New Roman" w:cs="Times New Roman" w:eastAsia="Times New Roman" w:hint="default"/>
        </w:rPr>
        <w:t>5G</w:t>
      </w:r>
      <w:r>
        <w:rPr/>
        <w:t>、工业互联网等产业发展良好机遇，主打</w:t>
      </w:r>
      <w:r>
        <w:rPr>
          <w:rFonts w:ascii="Times New Roman" w:hAnsi="Times New Roman" w:cs="Times New Roman" w:eastAsia="Times New Roman" w:hint="default"/>
        </w:rPr>
        <w:t>“</w:t>
      </w:r>
      <w:r>
        <w:rPr/>
        <w:t>安全</w:t>
      </w:r>
      <w:r>
        <w:rPr>
          <w:rFonts w:ascii="Times New Roman" w:hAnsi="Times New Roman" w:cs="Times New Roman" w:eastAsia="Times New Roman" w:hint="default"/>
        </w:rPr>
        <w:t>+”</w:t>
      </w:r>
      <w:r>
        <w:rPr/>
        <w:t>市场升级战略，将安全融入工业互联 </w:t>
      </w:r>
      <w:r>
        <w:rPr>
          <w:spacing w:val="-2"/>
        </w:rPr>
        <w:t>网、智慧政务、社会治理、军工信息化等新兴领域，从运营商通信、信息安全扩展到多个行业的信息安全解决方案，拓展出</w:t>
      </w:r>
      <w:r>
        <w:rPr>
          <w:spacing w:val="-67"/>
        </w:rPr>
        <w:t> </w:t>
      </w:r>
      <w:r>
        <w:rPr>
          <w:spacing w:val="-67"/>
        </w:rPr>
      </w:r>
      <w:r>
        <w:rPr/>
        <w:t>行业数据安全、工业互联网安全、应急安全、军工信息化等新的行业安全领域。</w:t>
      </w:r>
    </w:p>
    <w:p>
      <w:pPr>
        <w:pStyle w:val="BodyText"/>
        <w:spacing w:line="240" w:lineRule="auto" w:before="64"/>
        <w:ind w:left="634" w:right="967"/>
        <w:jc w:val="left"/>
      </w:pPr>
      <w:r>
        <w:rPr/>
        <w:t>东方通在大安全领域将致力于形成纵向根植于基础安全建设，横向实现覆盖全行业的安全解决方案的能力。</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3"/>
          <w:szCs w:val="23"/>
        </w:rPr>
      </w:pPr>
    </w:p>
    <w:p>
      <w:pPr>
        <w:pStyle w:val="Heading5"/>
        <w:spacing w:line="240" w:lineRule="auto"/>
        <w:ind w:left="511" w:right="967"/>
        <w:jc w:val="left"/>
        <w:rPr>
          <w:b w:val="0"/>
          <w:bCs w:val="0"/>
        </w:rPr>
      </w:pPr>
      <w:r>
        <w:rPr/>
        <w:t>（三）经营计划</w:t>
      </w:r>
      <w:r>
        <w:rPr>
          <w:b w:val="0"/>
          <w:bCs w:val="0"/>
        </w:rPr>
      </w:r>
    </w:p>
    <w:p>
      <w:pPr>
        <w:spacing w:line="240" w:lineRule="auto" w:before="1"/>
        <w:rPr>
          <w:rFonts w:ascii="宋体" w:hAnsi="宋体" w:cs="宋体" w:eastAsia="宋体" w:hint="default"/>
          <w:b/>
          <w:bCs/>
          <w:sz w:val="15"/>
          <w:szCs w:val="15"/>
        </w:rPr>
      </w:pPr>
    </w:p>
    <w:p>
      <w:pPr>
        <w:spacing w:line="338" w:lineRule="auto" w:before="0"/>
        <w:ind w:left="514" w:right="9040" w:hanging="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、基础安全板块</w:t>
      </w:r>
      <w:r>
        <w:rPr>
          <w:rFonts w:ascii="宋体" w:hAnsi="宋体" w:cs="宋体" w:eastAsia="宋体" w:hint="default"/>
          <w:b/>
          <w:bCs/>
          <w:w w:val="99"/>
          <w:sz w:val="18"/>
          <w:szCs w:val="18"/>
        </w:rPr>
        <w:t> </w:t>
      </w:r>
      <w:r>
        <w:rPr>
          <w:rFonts w:ascii="宋体" w:hAnsi="宋体" w:cs="宋体" w:eastAsia="宋体" w:hint="default"/>
          <w:sz w:val="18"/>
          <w:szCs w:val="18"/>
        </w:rPr>
      </w:r>
      <w:r>
        <w:rPr>
          <w:rFonts w:ascii="宋体" w:hAnsi="宋体" w:cs="宋体" w:eastAsia="宋体" w:hint="default"/>
          <w:sz w:val="18"/>
          <w:szCs w:val="18"/>
          <w:u w:val="single" w:color="000000"/>
        </w:rPr>
        <w:t>业务拓展：</w:t>
      </w:r>
      <w:r>
        <w:rPr>
          <w:rFonts w:ascii="宋体" w:hAnsi="宋体" w:cs="宋体" w:eastAsia="宋体" w:hint="default"/>
          <w:sz w:val="18"/>
          <w:szCs w:val="18"/>
        </w:rPr>
      </w:r>
    </w:p>
    <w:p>
      <w:pPr>
        <w:pStyle w:val="BodyText"/>
        <w:spacing w:line="300" w:lineRule="auto" w:before="43"/>
        <w:ind w:right="1112" w:firstLine="480"/>
        <w:jc w:val="left"/>
      </w:pPr>
      <w:r>
        <w:rPr/>
        <w:t>总体目标为积极把握国产化、</w:t>
      </w:r>
      <w:r>
        <w:rPr>
          <w:rFonts w:ascii="Times New Roman" w:hAnsi="Times New Roman" w:cs="Times New Roman" w:eastAsia="Times New Roman" w:hint="default"/>
        </w:rPr>
        <w:t>“</w:t>
      </w:r>
      <w:r>
        <w:rPr/>
        <w:t>安可</w:t>
      </w:r>
      <w:r>
        <w:rPr>
          <w:rFonts w:ascii="Times New Roman" w:hAnsi="Times New Roman" w:cs="Times New Roman" w:eastAsia="Times New Roman" w:hint="default"/>
        </w:rPr>
        <w:t>”</w:t>
      </w:r>
      <w:r>
        <w:rPr/>
        <w:t>机遇，通过加大市场拓展力度、加大人员培养，提高整体效能等举措，利用好已 有客户积累，保持核心业务的优势，在成长业务和新兴业务方面实现新的突破。</w:t>
      </w:r>
    </w:p>
    <w:p>
      <w:pPr>
        <w:pStyle w:val="BodyText"/>
        <w:spacing w:line="302" w:lineRule="auto" w:before="70"/>
        <w:ind w:right="967" w:firstLine="480"/>
        <w:jc w:val="left"/>
      </w:pPr>
      <w:r>
        <w:rPr>
          <w:rFonts w:ascii="Times New Roman" w:hAnsi="Times New Roman" w:cs="Times New Roman" w:eastAsia="Times New Roman" w:hint="default"/>
          <w:spacing w:val="-3"/>
        </w:rPr>
        <w:t>(1)</w:t>
      </w:r>
      <w:r>
        <w:rPr>
          <w:spacing w:val="-3"/>
        </w:rPr>
        <w:t>继续加大经营产出，保持政务、交通、金融、电信等行业的优势，做好深耕细作，业绩将持续提升；完善渠道建设，</w:t>
      </w:r>
      <w:r>
        <w:rPr>
          <w:w w:val="99"/>
        </w:rPr>
        <w:t> </w:t>
      </w:r>
      <w:r>
        <w:rPr/>
        <w:t>加强与合作伙伴的互动，建立自己的业务生态圈；</w:t>
      </w:r>
    </w:p>
    <w:p>
      <w:pPr>
        <w:pStyle w:val="BodyText"/>
        <w:spacing w:line="302" w:lineRule="auto" w:before="69"/>
        <w:ind w:right="967" w:firstLine="480"/>
        <w:jc w:val="left"/>
      </w:pPr>
      <w:r>
        <w:rPr>
          <w:rFonts w:ascii="Times New Roman" w:hAnsi="Times New Roman" w:cs="Times New Roman" w:eastAsia="Times New Roman" w:hint="default"/>
          <w:spacing w:val="-2"/>
        </w:rPr>
        <w:t>(2)</w:t>
      </w:r>
      <w:r>
        <w:rPr>
          <w:spacing w:val="-2"/>
        </w:rPr>
        <w:t>提高整体效能，继续完善各部门的团队结构，建立健全人员梯队化；通过制度完善和流程优化，进一步提高人均产</w:t>
      </w:r>
      <w:r>
        <w:rPr>
          <w:w w:val="99"/>
        </w:rPr>
        <w:t> </w:t>
      </w:r>
      <w:r>
        <w:rPr/>
        <w:t>出；完善定岗定编制度和薪酬体系；加强全员的培训，尤其销售团队的整体综合技能。</w:t>
      </w:r>
    </w:p>
    <w:p>
      <w:pPr>
        <w:pStyle w:val="BodyText"/>
        <w:spacing w:line="338" w:lineRule="auto" w:before="69"/>
        <w:ind w:left="511" w:right="5923" w:firstLine="122"/>
        <w:jc w:val="left"/>
        <w:rPr>
          <w:rFonts w:ascii="宋体" w:hAnsi="宋体" w:cs="宋体" w:eastAsia="宋体" w:hint="default"/>
        </w:rPr>
      </w:pPr>
      <w:r>
        <w:rPr>
          <w:rFonts w:ascii="Times New Roman" w:hAnsi="Times New Roman" w:cs="Times New Roman" w:eastAsia="Times New Roman" w:hint="default"/>
        </w:rPr>
        <w:t>(3)</w:t>
      </w:r>
      <w:r>
        <w:rPr/>
        <w:t>加强技术和产品管理，做好产品的全生命周期管理。</w:t>
      </w:r>
      <w:r>
        <w:rPr>
          <w:w w:val="99"/>
        </w:rPr>
        <w:t> </w:t>
      </w:r>
      <w:r>
        <w:rPr>
          <w:rFonts w:ascii="宋体" w:hAnsi="宋体" w:cs="宋体" w:eastAsia="宋体" w:hint="default"/>
          <w:b/>
          <w:bCs/>
          <w:w w:val="99"/>
        </w:rPr>
      </w:r>
      <w:r>
        <w:rPr>
          <w:rFonts w:ascii="宋体" w:hAnsi="宋体" w:cs="宋体" w:eastAsia="宋体" w:hint="default"/>
          <w:b/>
          <w:bCs/>
          <w:u w:val="single" w:color="000000"/>
        </w:rPr>
        <w:t>产品研发：</w:t>
      </w:r>
      <w:r>
        <w:rPr>
          <w:rFonts w:ascii="宋体" w:hAnsi="宋体" w:cs="宋体" w:eastAsia="宋体" w:hint="default"/>
          <w:b/>
          <w:bCs/>
        </w:rPr>
      </w:r>
      <w:r>
        <w:rPr>
          <w:rFonts w:ascii="宋体" w:hAnsi="宋体" w:cs="宋体" w:eastAsia="宋体" w:hint="default"/>
        </w:rPr>
      </w:r>
    </w:p>
    <w:p>
      <w:pPr>
        <w:pStyle w:val="BodyText"/>
        <w:spacing w:line="314" w:lineRule="auto" w:before="42"/>
        <w:ind w:right="967" w:firstLine="480"/>
        <w:jc w:val="left"/>
      </w:pPr>
      <w:r>
        <w:rPr/>
        <w:t>（</w:t>
      </w:r>
      <w:r>
        <w:rPr>
          <w:rFonts w:ascii="Times New Roman" w:hAnsi="Times New Roman" w:cs="Times New Roman" w:eastAsia="Times New Roman" w:hint="default"/>
        </w:rPr>
        <w:t>1</w:t>
      </w:r>
      <w:r>
        <w:rPr/>
        <w:t>）持续研发创新与升级。结合当前行业状况和发展趋势，基础安全产品研发要基于市场需求和技术方向持续进行 </w:t>
      </w:r>
      <w:r>
        <w:rPr>
          <w:spacing w:val="-4"/>
        </w:rPr>
        <w:t>产品的增量开发与改进，进行产品升级，同时面向国产化替代市场进行针对性的研发，巩固和拓展已有中间件产品市场份额。</w:t>
      </w:r>
      <w:r>
        <w:rPr>
          <w:spacing w:val="-44"/>
        </w:rPr>
        <w:t> </w:t>
      </w:r>
      <w:r>
        <w:rPr>
          <w:spacing w:val="-44"/>
        </w:rPr>
      </w:r>
      <w:r>
        <w:rPr>
          <w:spacing w:val="-2"/>
        </w:rPr>
        <w:t>基础软件平台产品线进行功能改进，支撑更大规模的平台应用，并在整体解决方案方向上，积极拓展新市场，大力推广数据</w:t>
      </w:r>
      <w:r>
        <w:rPr>
          <w:spacing w:val="-66"/>
        </w:rPr>
        <w:t> </w:t>
      </w:r>
      <w:r>
        <w:rPr>
          <w:spacing w:val="-66"/>
        </w:rPr>
      </w:r>
      <w:r>
        <w:rPr>
          <w:spacing w:val="-2"/>
        </w:rPr>
        <w:t>类整体解决方案项目的实施落地；适应大数据业务场景，推出高性能大数据处理平台产品的新版本，提升产品竞争力，提升</w:t>
      </w:r>
      <w:r>
        <w:rPr>
          <w:spacing w:val="-66"/>
        </w:rPr>
        <w:t> </w:t>
      </w:r>
      <w:r>
        <w:rPr>
          <w:spacing w:val="-66"/>
        </w:rPr>
      </w:r>
      <w:r>
        <w:rPr/>
        <w:t>基础软件的整体业绩收入。</w:t>
      </w:r>
    </w:p>
    <w:p>
      <w:pPr>
        <w:pStyle w:val="BodyText"/>
        <w:spacing w:line="312" w:lineRule="auto" w:before="59"/>
        <w:ind w:right="967" w:firstLine="480"/>
        <w:jc w:val="left"/>
      </w:pPr>
      <w:r>
        <w:rPr/>
        <w:t>（</w:t>
      </w:r>
      <w:r>
        <w:rPr>
          <w:rFonts w:ascii="Times New Roman" w:hAnsi="Times New Roman" w:cs="Times New Roman" w:eastAsia="Times New Roman" w:hint="default"/>
        </w:rPr>
        <w:t>2</w:t>
      </w:r>
      <w:r>
        <w:rPr/>
        <w:t>）推进产品云化。计划在云计算市场领域进行进一步探索，推进中间件产品的云化工作，首先在现有产品的基础 </w:t>
      </w:r>
      <w:r>
        <w:rPr>
          <w:spacing w:val="-2"/>
        </w:rPr>
        <w:t>上进行创新升级，推出满足云计算市场需求的云化版中间件产品，包括云版应用服务器、云版消息中间件等；公司还计划根</w:t>
      </w:r>
      <w:r>
        <w:rPr>
          <w:spacing w:val="-66"/>
        </w:rPr>
        <w:t> </w:t>
      </w:r>
      <w:r>
        <w:rPr>
          <w:spacing w:val="-66"/>
        </w:rPr>
      </w:r>
      <w:r>
        <w:rPr>
          <w:spacing w:val="-4"/>
        </w:rPr>
        <w:t>据市场实际需要后续进一步打造云中间件系列产品，努力开拓云计算市场，为业务应用提供全面、系统的基础软件支撑能力，</w:t>
      </w:r>
      <w:r>
        <w:rPr>
          <w:spacing w:val="-44"/>
        </w:rPr>
        <w:t> </w:t>
      </w:r>
      <w:r>
        <w:rPr>
          <w:spacing w:val="-44"/>
        </w:rPr>
      </w:r>
      <w:r>
        <w:rPr/>
        <w:t>为用户及合作伙伴提供专业优质的产品和服务。</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spacing w:line="338" w:lineRule="auto" w:before="0"/>
        <w:ind w:left="514" w:right="9040" w:hanging="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、行业安全板块</w:t>
      </w:r>
      <w:r>
        <w:rPr>
          <w:rFonts w:ascii="宋体" w:hAnsi="宋体" w:cs="宋体" w:eastAsia="宋体" w:hint="default"/>
          <w:b/>
          <w:bCs/>
          <w:w w:val="99"/>
          <w:sz w:val="18"/>
          <w:szCs w:val="18"/>
        </w:rPr>
        <w:t> </w:t>
      </w:r>
      <w:r>
        <w:rPr>
          <w:rFonts w:ascii="宋体" w:hAnsi="宋体" w:cs="宋体" w:eastAsia="宋体" w:hint="default"/>
          <w:sz w:val="18"/>
          <w:szCs w:val="18"/>
        </w:rPr>
      </w:r>
      <w:r>
        <w:rPr>
          <w:rFonts w:ascii="宋体" w:hAnsi="宋体" w:cs="宋体" w:eastAsia="宋体" w:hint="default"/>
          <w:sz w:val="18"/>
          <w:szCs w:val="18"/>
          <w:u w:val="single" w:color="000000"/>
        </w:rPr>
        <w:t>业务拓展：</w:t>
      </w:r>
      <w:r>
        <w:rPr>
          <w:rFonts w:ascii="宋体" w:hAnsi="宋体" w:cs="宋体" w:eastAsia="宋体" w:hint="default"/>
          <w:sz w:val="18"/>
          <w:szCs w:val="18"/>
        </w:rPr>
      </w:r>
    </w:p>
    <w:p>
      <w:pPr>
        <w:pStyle w:val="BodyText"/>
        <w:spacing w:line="300" w:lineRule="auto" w:before="43"/>
        <w:ind w:right="1182" w:firstLine="480"/>
        <w:jc w:val="left"/>
      </w:pPr>
      <w:r>
        <w:rPr/>
        <w:t>（</w:t>
      </w:r>
      <w:r>
        <w:rPr>
          <w:rFonts w:ascii="Times New Roman" w:hAnsi="Times New Roman" w:cs="Times New Roman" w:eastAsia="Times New Roman" w:hint="default"/>
        </w:rPr>
        <w:t>1</w:t>
      </w:r>
      <w:r>
        <w:rPr/>
        <w:t>）加大创新投入，升级人工智能技术，全面进军信息安全、网络安全、应急安全、数据安全、业务安全等领域。 联合高校等科研机构形成多个技术创新平台。</w:t>
      </w:r>
    </w:p>
    <w:p>
      <w:pPr>
        <w:pStyle w:val="BodyText"/>
        <w:spacing w:line="302" w:lineRule="auto" w:before="71"/>
        <w:ind w:right="1202" w:firstLine="480"/>
        <w:jc w:val="left"/>
      </w:pPr>
      <w:r>
        <w:rPr/>
        <w:t>（</w:t>
      </w:r>
      <w:r>
        <w:rPr>
          <w:rFonts w:ascii="Times New Roman" w:hAnsi="Times New Roman" w:cs="Times New Roman" w:eastAsia="Times New Roman" w:hint="default"/>
        </w:rPr>
        <w:t>2</w:t>
      </w:r>
      <w:r>
        <w:rPr/>
        <w:t>）巩固现有电信运营商客户资源，持续提高运营商市场占有率。拓展</w:t>
      </w:r>
      <w:r>
        <w:rPr>
          <w:rFonts w:ascii="Times New Roman" w:hAnsi="Times New Roman" w:cs="Times New Roman" w:eastAsia="Times New Roman" w:hint="default"/>
        </w:rPr>
        <w:t>“</w:t>
      </w:r>
      <w:r>
        <w:rPr/>
        <w:t>安全风控</w:t>
      </w:r>
      <w:r>
        <w:rPr>
          <w:rFonts w:ascii="Times New Roman" w:hAnsi="Times New Roman" w:cs="Times New Roman" w:eastAsia="Times New Roman" w:hint="default"/>
        </w:rPr>
        <w:t>”</w:t>
      </w:r>
      <w:r>
        <w:rPr/>
        <w:t>业务领域，在终端安全、业务安 全、数据安全领域仍有巨大的市场空间。</w:t>
      </w:r>
    </w:p>
    <w:p>
      <w:pPr>
        <w:pStyle w:val="BodyText"/>
        <w:spacing w:line="240" w:lineRule="auto" w:before="69"/>
        <w:ind w:left="634" w:right="967"/>
        <w:jc w:val="left"/>
      </w:pPr>
      <w:r>
        <w:rPr/>
        <w:t>（</w:t>
      </w:r>
      <w:r>
        <w:rPr>
          <w:rFonts w:ascii="Times New Roman" w:hAnsi="Times New Roman" w:cs="Times New Roman" w:eastAsia="Times New Roman" w:hint="default"/>
        </w:rPr>
        <w:t>3</w:t>
      </w:r>
      <w:r>
        <w:rPr/>
        <w:t>）建立和完善集约化的项目管理体系与精细化的运作机制，简化流程，提高运营效率。</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634" w:right="967"/>
        <w:jc w:val="left"/>
      </w:pPr>
      <w:r>
        <w:rPr/>
        <w:t>（</w:t>
      </w:r>
      <w:r>
        <w:rPr>
          <w:rFonts w:ascii="Times New Roman" w:hAnsi="Times New Roman" w:cs="Times New Roman" w:eastAsia="Times New Roman" w:hint="default"/>
        </w:rPr>
        <w:t>4</w:t>
      </w:r>
      <w:r>
        <w:rPr/>
        <w:t>）微智信业吸收合并惠捷朗网优路测软件业务，有效协同。</w:t>
      </w:r>
    </w:p>
    <w:p>
      <w:pPr>
        <w:pStyle w:val="BodyText"/>
        <w:spacing w:line="340" w:lineRule="auto" w:before="102"/>
        <w:ind w:left="511" w:right="4523" w:firstLine="122"/>
        <w:jc w:val="left"/>
        <w:rPr>
          <w:rFonts w:ascii="宋体" w:hAnsi="宋体" w:cs="宋体" w:eastAsia="宋体" w:hint="default"/>
        </w:rPr>
      </w:pPr>
      <w:r>
        <w:rPr/>
        <w:t>（</w:t>
      </w:r>
      <w:r>
        <w:rPr>
          <w:rFonts w:ascii="Times New Roman" w:hAnsi="Times New Roman" w:cs="Times New Roman" w:eastAsia="Times New Roman" w:hint="default"/>
        </w:rPr>
        <w:t>5</w:t>
      </w:r>
      <w:r>
        <w:rPr/>
        <w:t>）加大</w:t>
      </w:r>
      <w:r>
        <w:rPr>
          <w:rFonts w:ascii="Times New Roman" w:hAnsi="Times New Roman" w:cs="Times New Roman" w:eastAsia="Times New Roman" w:hint="default"/>
        </w:rPr>
        <w:t>5G</w:t>
      </w:r>
      <w:r>
        <w:rPr/>
        <w:t>业务投入，布局</w:t>
      </w:r>
      <w:r>
        <w:rPr>
          <w:rFonts w:ascii="Times New Roman" w:hAnsi="Times New Roman" w:cs="Times New Roman" w:eastAsia="Times New Roman" w:hint="default"/>
        </w:rPr>
        <w:t>5G</w:t>
      </w:r>
      <w:r>
        <w:rPr/>
        <w:t>网络优化、信息安全、业务安全等方向。 </w:t>
      </w:r>
      <w:r>
        <w:rPr>
          <w:rFonts w:ascii="宋体" w:hAnsi="宋体" w:cs="宋体" w:eastAsia="宋体" w:hint="default"/>
          <w:b/>
          <w:bCs/>
        </w:rPr>
        <w:t>产品研发：</w:t>
      </w:r>
      <w:r>
        <w:rPr>
          <w:rFonts w:ascii="宋体" w:hAnsi="宋体" w:cs="宋体" w:eastAsia="宋体" w:hint="default"/>
        </w:rPr>
      </w:r>
    </w:p>
    <w:p>
      <w:pPr>
        <w:pStyle w:val="BodyText"/>
        <w:spacing w:line="304" w:lineRule="auto" w:before="39"/>
        <w:ind w:right="1122" w:firstLine="480"/>
        <w:jc w:val="left"/>
      </w:pPr>
      <w:r>
        <w:rPr/>
        <w:t>（</w:t>
      </w:r>
      <w:r>
        <w:rPr>
          <w:rFonts w:ascii="Times New Roman" w:hAnsi="Times New Roman" w:cs="Times New Roman" w:eastAsia="Times New Roman" w:hint="default"/>
        </w:rPr>
        <w:t>1</w:t>
      </w:r>
      <w:r>
        <w:rPr/>
        <w:t>）持续研发创新投入。持续加大核心技术研发投入，联合科研机构形成多个技术创新平台；通过信息安全标准建 设加强对行业及资源的控制；重点关注</w:t>
      </w:r>
      <w:r>
        <w:rPr>
          <w:rFonts w:ascii="Times New Roman" w:hAnsi="Times New Roman" w:cs="Times New Roman" w:eastAsia="Times New Roman" w:hint="default"/>
        </w:rPr>
        <w:t>5G/</w:t>
      </w:r>
      <w:r>
        <w:rPr/>
        <w:t>物联网领域的网络安全与信息安全，提供由于网络开放化带来的新威胁、终端智 </w:t>
      </w:r>
      <w:r>
        <w:rPr>
          <w:spacing w:val="-2"/>
        </w:rPr>
        <w:t>能化带来的新风险、业务多元化带来的新挑战、网络犯罪带来的新问题等方面的解决措施。研究虚拟技术、计算资源的集中</w:t>
      </w:r>
      <w:r>
        <w:rPr>
          <w:spacing w:val="-65"/>
        </w:rPr>
        <w:t> </w:t>
      </w:r>
      <w:r>
        <w:rPr>
          <w:spacing w:val="-65"/>
        </w:rPr>
      </w:r>
      <w:r>
        <w:rPr/>
        <w:t>等给网络安全带来新的挑战，研究云计算环境下安全域划分的问题；加大</w:t>
      </w:r>
      <w:r>
        <w:rPr>
          <w:rFonts w:ascii="Times New Roman" w:hAnsi="Times New Roman" w:cs="Times New Roman" w:eastAsia="Times New Roman" w:hint="default"/>
        </w:rPr>
        <w:t>AI</w:t>
      </w:r>
      <w:r>
        <w:rPr/>
        <w:t>技术在安全领域应用的研发工作，包括</w:t>
      </w:r>
      <w:r>
        <w:rPr>
          <w:rFonts w:ascii="Times New Roman" w:hAnsi="Times New Roman" w:cs="Times New Roman" w:eastAsia="Times New Roman" w:hint="default"/>
        </w:rPr>
        <w:t>AI</w:t>
      </w:r>
      <w:r>
        <w:rPr/>
        <w:t>技术 在内容安全和风控方面的应用的增强、</w:t>
      </w:r>
      <w:r>
        <w:rPr>
          <w:rFonts w:ascii="Times New Roman" w:hAnsi="Times New Roman" w:cs="Times New Roman" w:eastAsia="Times New Roman" w:hint="default"/>
        </w:rPr>
        <w:t>AI</w:t>
      </w:r>
      <w:r>
        <w:rPr/>
        <w:t>技术在网络安全领域的应用增强、</w:t>
      </w:r>
      <w:r>
        <w:rPr>
          <w:rFonts w:ascii="Times New Roman" w:hAnsi="Times New Roman" w:cs="Times New Roman" w:eastAsia="Times New Roman" w:hint="default"/>
        </w:rPr>
        <w:t>AI</w:t>
      </w:r>
      <w:r>
        <w:rPr/>
        <w:t>技术在</w:t>
      </w:r>
      <w:r>
        <w:rPr>
          <w:rFonts w:ascii="Times New Roman" w:hAnsi="Times New Roman" w:cs="Times New Roman" w:eastAsia="Times New Roman" w:hint="default"/>
        </w:rPr>
        <w:t>DPI</w:t>
      </w:r>
      <w:r>
        <w:rPr/>
        <w:t>等专有设备上的应用增强。</w:t>
      </w:r>
    </w:p>
    <w:p>
      <w:pPr>
        <w:pStyle w:val="BodyText"/>
        <w:spacing w:line="300" w:lineRule="auto" w:before="47"/>
        <w:ind w:right="1130" w:firstLine="48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5G</w:t>
      </w:r>
      <w:r>
        <w:rPr/>
        <w:t>业务方向。技术上引进行业内优秀的产品和研发人才。与现有技术团队充分融合，同时与行业里其它的技术 </w:t>
      </w:r>
      <w:r>
        <w:rPr>
          <w:spacing w:val="-2"/>
        </w:rPr>
        <w:t>团队开展合作，取长补短，保持</w:t>
      </w:r>
      <w:r>
        <w:rPr>
          <w:rFonts w:ascii="Times New Roman" w:hAnsi="Times New Roman" w:cs="Times New Roman" w:eastAsia="Times New Roman" w:hint="default"/>
          <w:spacing w:val="-2"/>
        </w:rPr>
        <w:t>CDS</w:t>
      </w:r>
      <w:r>
        <w:rPr>
          <w:spacing w:val="-2"/>
        </w:rPr>
        <w:t>网优路测软件产品在现阶段的先进性，同时加强技术服务力度，增强用户满意度，维护</w:t>
      </w:r>
      <w:r>
        <w:rPr>
          <w:spacing w:val="-56"/>
        </w:rPr>
        <w:t> </w:t>
      </w:r>
      <w:r>
        <w:rPr>
          <w:spacing w:val="-56"/>
        </w:rPr>
      </w:r>
      <w:r>
        <w:rPr/>
        <w:t>健康市场环境；研究</w:t>
      </w:r>
      <w:r>
        <w:rPr>
          <w:rFonts w:ascii="Times New Roman" w:hAnsi="Times New Roman" w:cs="Times New Roman" w:eastAsia="Times New Roman" w:hint="default"/>
        </w:rPr>
        <w:t>5G</w:t>
      </w:r>
      <w:r>
        <w:rPr/>
        <w:t>关键技术，在标准冻结条件下，从规划建设与落地的视角，研究无线领域</w:t>
      </w:r>
      <w:r>
        <w:rPr>
          <w:rFonts w:ascii="Times New Roman" w:hAnsi="Times New Roman" w:cs="Times New Roman" w:eastAsia="Times New Roman" w:hint="default"/>
        </w:rPr>
        <w:t>5G</w:t>
      </w:r>
      <w:r>
        <w:rPr/>
        <w:t>网络架构、网络性能， 产生</w:t>
      </w:r>
      <w:r>
        <w:rPr>
          <w:rFonts w:ascii="Times New Roman" w:hAnsi="Times New Roman" w:cs="Times New Roman" w:eastAsia="Times New Roman" w:hint="default"/>
        </w:rPr>
        <w:t>5G</w:t>
      </w:r>
      <w:r>
        <w:rPr/>
        <w:t>相关专利、研究报告及相关产品；投入的产品方向为：</w:t>
      </w:r>
      <w:r>
        <w:rPr>
          <w:rFonts w:ascii="Times New Roman" w:hAnsi="Times New Roman" w:cs="Times New Roman" w:eastAsia="Times New Roman" w:hint="default"/>
        </w:rPr>
        <w:t>4G/5G</w:t>
      </w:r>
      <w:r>
        <w:rPr/>
        <w:t>无线网络路测</w:t>
      </w:r>
      <w:r>
        <w:rPr>
          <w:rFonts w:ascii="Times New Roman" w:hAnsi="Times New Roman" w:cs="Times New Roman" w:eastAsia="Times New Roman" w:hint="default"/>
        </w:rPr>
        <w:t>/</w:t>
      </w:r>
      <w:r>
        <w:rPr/>
        <w:t>拨测工具，</w:t>
      </w:r>
      <w:r>
        <w:rPr>
          <w:rFonts w:ascii="Times New Roman" w:hAnsi="Times New Roman" w:cs="Times New Roman" w:eastAsia="Times New Roman" w:hint="default"/>
        </w:rPr>
        <w:t>5G</w:t>
      </w:r>
      <w:r>
        <w:rPr>
          <w:rFonts w:ascii="Times New Roman" w:hAnsi="Times New Roman" w:cs="Times New Roman" w:eastAsia="Times New Roman" w:hint="default"/>
          <w:spacing w:val="-2"/>
        </w:rPr>
        <w:t> </w:t>
      </w:r>
      <w:r>
        <w:rPr>
          <w:rFonts w:ascii="Times New Roman" w:hAnsi="Times New Roman" w:cs="Times New Roman" w:eastAsia="Times New Roman" w:hint="default"/>
        </w:rPr>
        <w:t>DPI</w:t>
      </w:r>
      <w:r>
        <w:rPr/>
        <w:t>分析工具，</w:t>
      </w:r>
      <w:r>
        <w:rPr>
          <w:rFonts w:ascii="Times New Roman" w:hAnsi="Times New Roman" w:cs="Times New Roman" w:eastAsia="Times New Roman" w:hint="default"/>
        </w:rPr>
        <w:t>5G</w:t>
      </w:r>
      <w:r>
        <w:rPr/>
        <w:t>无线网 络性能规划、监控及分析工具，智慧运维产品。</w:t>
      </w:r>
    </w:p>
    <w:p>
      <w:pPr>
        <w:pStyle w:val="BodyText"/>
        <w:spacing w:line="300" w:lineRule="auto" w:before="71"/>
        <w:ind w:right="1151" w:firstLine="480"/>
        <w:jc w:val="both"/>
      </w:pPr>
      <w:r>
        <w:rPr/>
        <w:t>（</w:t>
      </w:r>
      <w:r>
        <w:rPr>
          <w:rFonts w:ascii="Times New Roman" w:hAnsi="Times New Roman" w:cs="Times New Roman" w:eastAsia="Times New Roman" w:hint="default"/>
        </w:rPr>
        <w:t>3</w:t>
      </w:r>
      <w:r>
        <w:rPr/>
        <w:t>）基础通信安全方向。加强基于域名解析系统（</w:t>
      </w:r>
      <w:r>
        <w:rPr>
          <w:rFonts w:ascii="Times New Roman" w:hAnsi="Times New Roman" w:cs="Times New Roman" w:eastAsia="Times New Roman" w:hint="default"/>
        </w:rPr>
        <w:t>DNS</w:t>
      </w:r>
      <w:r>
        <w:rPr/>
        <w:t>）大数据的异常域名检测开发，同时进行可运营</w:t>
      </w:r>
      <w:r>
        <w:rPr>
          <w:rFonts w:ascii="Times New Roman" w:hAnsi="Times New Roman" w:cs="Times New Roman" w:eastAsia="Times New Roman" w:hint="default"/>
        </w:rPr>
        <w:t>DNS</w:t>
      </w:r>
      <w:r>
        <w:rPr/>
        <w:t>系统的 调研与研发工作，力争将</w:t>
      </w:r>
      <w:r>
        <w:rPr>
          <w:rFonts w:ascii="Times New Roman" w:hAnsi="Times New Roman" w:cs="Times New Roman" w:eastAsia="Times New Roman" w:hint="default"/>
        </w:rPr>
        <w:t>DNS</w:t>
      </w:r>
      <w:r>
        <w:rPr/>
        <w:t>与业务深度融合，开创商用</w:t>
      </w:r>
      <w:r>
        <w:rPr>
          <w:rFonts w:ascii="Times New Roman" w:hAnsi="Times New Roman" w:cs="Times New Roman" w:eastAsia="Times New Roman" w:hint="default"/>
        </w:rPr>
        <w:t>DNS</w:t>
      </w:r>
      <w:r>
        <w:rPr/>
        <w:t>市场的新格局；作为</w:t>
      </w:r>
      <w:r>
        <w:rPr>
          <w:rFonts w:ascii="Times New Roman" w:hAnsi="Times New Roman" w:cs="Times New Roman" w:eastAsia="Times New Roman" w:hint="default"/>
        </w:rPr>
        <w:t>IP</w:t>
      </w:r>
      <w:r>
        <w:rPr/>
        <w:t>网络的基础和核心，</w:t>
      </w:r>
      <w:r>
        <w:rPr>
          <w:rFonts w:ascii="Times New Roman" w:hAnsi="Times New Roman" w:cs="Times New Roman" w:eastAsia="Times New Roman" w:hint="default"/>
        </w:rPr>
        <w:t>DNS</w:t>
      </w:r>
      <w:r>
        <w:rPr/>
        <w:t>在</w:t>
      </w:r>
      <w:r>
        <w:rPr>
          <w:rFonts w:ascii="Times New Roman" w:hAnsi="Times New Roman" w:cs="Times New Roman" w:eastAsia="Times New Roman" w:hint="default"/>
        </w:rPr>
        <w:t>5G</w:t>
      </w:r>
      <w:r>
        <w:rPr/>
        <w:t>网络中 也是重要的网络设施，既服务于普通用户终端，也要服务</w:t>
      </w:r>
      <w:r>
        <w:rPr>
          <w:rFonts w:ascii="Times New Roman" w:hAnsi="Times New Roman" w:cs="Times New Roman" w:eastAsia="Times New Roman" w:hint="default"/>
        </w:rPr>
        <w:t>5G</w:t>
      </w:r>
      <w:r>
        <w:rPr/>
        <w:t>网络设备的互通，公司将完成基于</w:t>
      </w:r>
      <w:r>
        <w:rPr>
          <w:rFonts w:ascii="Times New Roman" w:hAnsi="Times New Roman" w:cs="Times New Roman" w:eastAsia="Times New Roman" w:hint="default"/>
        </w:rPr>
        <w:t>5G</w:t>
      </w:r>
      <w:r>
        <w:rPr/>
        <w:t>网络环境下的</w:t>
      </w:r>
      <w:r>
        <w:rPr>
          <w:rFonts w:ascii="Times New Roman" w:hAnsi="Times New Roman" w:cs="Times New Roman" w:eastAsia="Times New Roman" w:hint="default"/>
        </w:rPr>
        <w:t>DNS</w:t>
      </w:r>
      <w:r>
        <w:rPr/>
        <w:t>系统开 发。</w:t>
      </w:r>
    </w:p>
    <w:p>
      <w:pPr>
        <w:pStyle w:val="BodyText"/>
        <w:spacing w:line="302" w:lineRule="auto" w:before="70"/>
        <w:ind w:right="1182" w:firstLine="480"/>
        <w:jc w:val="left"/>
      </w:pPr>
      <w:r>
        <w:rPr/>
        <w:t>（</w:t>
      </w:r>
      <w:r>
        <w:rPr>
          <w:rFonts w:ascii="Times New Roman" w:hAnsi="Times New Roman" w:cs="Times New Roman" w:eastAsia="Times New Roman" w:hint="default"/>
        </w:rPr>
        <w:t>4</w:t>
      </w:r>
      <w:r>
        <w:rPr/>
        <w:t>）应急安全方向。根据应急产业的发展趋势以及用户需求的变化，对应急通信指挥系统、应急决策支持系统、应 急卫星终端管理系统、应急资源共享平台、应急大数据分析系统等产品进行持续改进、升级，提升产品竞争能力。</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line="338" w:lineRule="auto" w:before="0"/>
        <w:ind w:left="634" w:right="3612" w:hanging="12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、集团管理重点工作</w:t>
      </w:r>
      <w:r>
        <w:rPr>
          <w:rFonts w:ascii="宋体" w:hAnsi="宋体" w:cs="宋体" w:eastAsia="宋体" w:hint="default"/>
          <w:b/>
          <w:bCs/>
          <w:w w:val="99"/>
          <w:sz w:val="18"/>
          <w:szCs w:val="18"/>
        </w:rPr>
        <w:t> </w:t>
      </w:r>
      <w:r>
        <w:rPr>
          <w:rFonts w:ascii="宋体" w:hAnsi="宋体" w:cs="宋体" w:eastAsia="宋体" w:hint="default"/>
          <w:sz w:val="18"/>
          <w:szCs w:val="18"/>
        </w:rPr>
        <w:t>整体目标为支撑管理体系进一步整合，提升管理效率，为业务板块提供服务和支撑：</w:t>
      </w:r>
    </w:p>
    <w:p>
      <w:pPr>
        <w:pStyle w:val="BodyText"/>
        <w:spacing w:line="340" w:lineRule="auto" w:before="41"/>
        <w:ind w:left="634" w:right="967" w:hanging="120"/>
        <w:jc w:val="left"/>
      </w:pPr>
      <w:r>
        <w:rPr/>
        <w:t>（</w:t>
      </w:r>
      <w:r>
        <w:rPr>
          <w:rFonts w:ascii="Times New Roman" w:hAnsi="Times New Roman" w:cs="Times New Roman" w:eastAsia="Times New Roman" w:hint="default"/>
        </w:rPr>
        <w:t>1</w:t>
      </w:r>
      <w:r>
        <w:rPr/>
        <w:t>）完善公司制度，深化集团化建设 </w:t>
      </w:r>
      <w:r>
        <w:rPr>
          <w:spacing w:val="-3"/>
        </w:rPr>
        <w:t>着力制度和流程优化，致力完善决策机制及职责分工、提升经营水平，努力在经营管理各方面取得创新性进步与突破。</w:t>
      </w:r>
    </w:p>
    <w:p>
      <w:pPr>
        <w:pStyle w:val="BodyText"/>
        <w:spacing w:line="319" w:lineRule="auto" w:before="1"/>
        <w:ind w:right="1032"/>
        <w:jc w:val="left"/>
      </w:pPr>
      <w:r>
        <w:rPr/>
        <w:t>完善决策机制及职责分工。进一步规范明确决策机构、执行机构的职责范围，完善董事会、管理层和各子公司之间的分工、 </w:t>
      </w:r>
      <w:r>
        <w:rPr>
          <w:spacing w:val="-2"/>
        </w:rPr>
        <w:t>权责和管控模式，不断完善各子公司法人治理结构，强化组织管理原则，建立规范的决策程序和管理流程，提高决策水平和</w:t>
      </w:r>
      <w:r>
        <w:rPr>
          <w:spacing w:val="-66"/>
        </w:rPr>
        <w:t> </w:t>
      </w:r>
      <w:r>
        <w:rPr>
          <w:spacing w:val="-66"/>
        </w:rPr>
      </w:r>
      <w:r>
        <w:rPr/>
        <w:t>决策效率。提高经营管控能力。完善战略规划体系，加大战略规划的执行力度。</w:t>
      </w:r>
    </w:p>
    <w:p>
      <w:pPr>
        <w:spacing w:line="240" w:lineRule="auto" w:before="0"/>
        <w:rPr>
          <w:rFonts w:ascii="宋体" w:hAnsi="宋体" w:cs="宋体" w:eastAsia="宋体" w:hint="default"/>
          <w:sz w:val="18"/>
          <w:szCs w:val="18"/>
        </w:rPr>
      </w:pPr>
    </w:p>
    <w:p>
      <w:pPr>
        <w:pStyle w:val="BodyText"/>
        <w:spacing w:line="340" w:lineRule="auto" w:before="132"/>
        <w:ind w:left="634" w:right="967" w:hanging="120"/>
        <w:jc w:val="left"/>
      </w:pPr>
      <w:r>
        <w:rPr/>
        <w:t>（</w:t>
      </w:r>
      <w:r>
        <w:rPr>
          <w:rFonts w:ascii="Times New Roman" w:hAnsi="Times New Roman" w:cs="Times New Roman" w:eastAsia="Times New Roman" w:hint="default"/>
        </w:rPr>
        <w:t>2</w:t>
      </w:r>
      <w:r>
        <w:rPr/>
        <w:t>）集团内整合，强化内部控制 </w:t>
      </w:r>
      <w:r>
        <w:rPr>
          <w:spacing w:val="-1"/>
        </w:rPr>
        <w:t>将管理水平的提升视为公司基业常青的根本保证。公司将从人才队伍、激励及考核机制、各项业务流程、建立企业文</w:t>
      </w:r>
    </w:p>
    <w:p>
      <w:pPr>
        <w:pStyle w:val="BodyText"/>
        <w:spacing w:line="319" w:lineRule="auto"/>
        <w:ind w:right="967"/>
        <w:jc w:val="left"/>
      </w:pPr>
      <w:r>
        <w:rPr>
          <w:spacing w:val="-4"/>
        </w:rPr>
        <w:t>化、内控制度监督等各个方面全面提升公司的管理水平。进一步进行集团内的协同整合，遵循公开、公平、公正的三公原则，</w:t>
      </w:r>
      <w:r>
        <w:rPr>
          <w:spacing w:val="-44"/>
        </w:rPr>
        <w:t> </w:t>
      </w:r>
      <w:r>
        <w:rPr>
          <w:spacing w:val="-44"/>
        </w:rPr>
      </w:r>
      <w:r>
        <w:rPr/>
        <w:t>建立建全集团内部交易结算制度。</w:t>
      </w:r>
    </w:p>
    <w:p>
      <w:pPr>
        <w:spacing w:line="240" w:lineRule="auto" w:before="0"/>
        <w:rPr>
          <w:rFonts w:ascii="宋体" w:hAnsi="宋体" w:cs="宋体" w:eastAsia="宋体" w:hint="default"/>
          <w:sz w:val="18"/>
          <w:szCs w:val="18"/>
        </w:rPr>
      </w:pPr>
    </w:p>
    <w:p>
      <w:pPr>
        <w:pStyle w:val="BodyText"/>
        <w:spacing w:line="340" w:lineRule="auto" w:before="133"/>
        <w:ind w:left="634" w:right="967" w:hanging="120"/>
        <w:jc w:val="left"/>
      </w:pPr>
      <w:r>
        <w:rPr/>
        <w:t>（</w:t>
      </w:r>
      <w:r>
        <w:rPr>
          <w:rFonts w:ascii="Times New Roman" w:hAnsi="Times New Roman" w:cs="Times New Roman" w:eastAsia="Times New Roman" w:hint="default"/>
        </w:rPr>
        <w:t>3</w:t>
      </w:r>
      <w:r>
        <w:rPr/>
        <w:t>）加强品牌推广与投资者交流 </w:t>
      </w:r>
      <w:r>
        <w:rPr>
          <w:spacing w:val="-1"/>
        </w:rPr>
        <w:t>公司将进一步加大公司品牌推广力度，集中优势资源在基础安全、行业安全领域进行品牌再塑，打造行业领军者的品</w:t>
      </w:r>
    </w:p>
    <w:p>
      <w:pPr>
        <w:pStyle w:val="BodyText"/>
        <w:spacing w:line="307" w:lineRule="auto"/>
        <w:ind w:right="1131"/>
        <w:jc w:val="both"/>
      </w:pPr>
      <w:r>
        <w:rPr/>
        <w:t>牌形象。公司将组织或参与一系列品牌及行业市场活动，加大参与</w:t>
      </w:r>
      <w:r>
        <w:rPr>
          <w:rFonts w:ascii="Times New Roman" w:hAnsi="Times New Roman" w:cs="Times New Roman" w:eastAsia="Times New Roman" w:hint="default"/>
        </w:rPr>
        <w:t>“</w:t>
      </w:r>
      <w:r>
        <w:rPr/>
        <w:t>安全可靠技术和产业联盟</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国家网信安全生态建设联 盟</w:t>
      </w:r>
      <w:r>
        <w:rPr>
          <w:rFonts w:ascii="Times New Roman" w:hAnsi="Times New Roman" w:cs="Times New Roman" w:eastAsia="Times New Roman" w:hint="default"/>
        </w:rPr>
        <w:t>”</w:t>
      </w:r>
      <w:r>
        <w:rPr/>
        <w:t>等联盟建设，与行业用户、合作伙伴等各方传递公司的品牌价值，持续塑造专业、专注、领先、可信赖的品牌形象。除 </w:t>
      </w:r>
      <w:r>
        <w:rPr>
          <w:spacing w:val="-2"/>
        </w:rPr>
        <w:t>继续通过业绩说明会、互动易平台、投资者关系电话等多渠道常态互动外，增加投资者调研会频次，进一步加强投资者与上</w:t>
      </w:r>
      <w:r>
        <w:rPr>
          <w:spacing w:val="-66"/>
        </w:rPr>
        <w:t> </w:t>
      </w:r>
      <w:r>
        <w:rPr>
          <w:spacing w:val="-66"/>
        </w:rPr>
      </w:r>
      <w:r>
        <w:rPr/>
        <w:t>市公司交流的渠道，增强公司运作透明度。</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pStyle w:val="BodyText"/>
        <w:spacing w:line="340" w:lineRule="auto"/>
        <w:ind w:left="634" w:right="4152" w:hanging="120"/>
        <w:jc w:val="left"/>
      </w:pPr>
      <w:r>
        <w:rPr/>
        <w:t>（</w:t>
      </w:r>
      <w:r>
        <w:rPr>
          <w:rFonts w:ascii="Times New Roman" w:hAnsi="Times New Roman" w:cs="Times New Roman" w:eastAsia="Times New Roman" w:hint="default"/>
        </w:rPr>
        <w:t>4</w:t>
      </w:r>
      <w:r>
        <w:rPr/>
        <w:t>）员工激励 完成</w:t>
      </w:r>
      <w:r>
        <w:rPr>
          <w:rFonts w:ascii="Times New Roman" w:hAnsi="Times New Roman" w:cs="Times New Roman" w:eastAsia="Times New Roman" w:hint="default"/>
        </w:rPr>
        <w:t>2018</w:t>
      </w:r>
      <w:r>
        <w:rPr/>
        <w:t>年股权激励计划行权配套工作，同时加快员工持股计划的落地执行。</w:t>
      </w:r>
    </w:p>
    <w:p>
      <w:pPr>
        <w:spacing w:after="0" w:line="3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BodyText"/>
        <w:spacing w:line="338" w:lineRule="auto" w:before="44"/>
        <w:ind w:left="634" w:right="967"/>
        <w:jc w:val="left"/>
      </w:pPr>
      <w:r>
        <w:rPr/>
        <w:t>（</w:t>
      </w:r>
      <w:r>
        <w:rPr>
          <w:rFonts w:ascii="Times New Roman" w:hAnsi="Times New Roman" w:cs="Times New Roman" w:eastAsia="Times New Roman" w:hint="default"/>
        </w:rPr>
        <w:t>5</w:t>
      </w:r>
      <w:r>
        <w:rPr/>
        <w:t>）人力资源 </w:t>
      </w:r>
      <w:r>
        <w:rPr>
          <w:spacing w:val="-1"/>
        </w:rPr>
        <w:t>公司始终把人才选拔、培养作为工作的重中之重，是公司高速发展的保障。</w:t>
      </w:r>
      <w:r>
        <w:rPr>
          <w:rFonts w:ascii="Times New Roman" w:hAnsi="Times New Roman" w:cs="Times New Roman" w:eastAsia="Times New Roman" w:hint="default"/>
          <w:spacing w:val="-1"/>
        </w:rPr>
        <w:t>2019</w:t>
      </w:r>
      <w:r>
        <w:rPr>
          <w:spacing w:val="-1"/>
        </w:rPr>
        <w:t>年度公司将继续从人才培养和激励机</w:t>
      </w:r>
    </w:p>
    <w:p>
      <w:pPr>
        <w:pStyle w:val="BodyText"/>
        <w:spacing w:line="217" w:lineRule="exact"/>
        <w:ind w:right="0"/>
        <w:jc w:val="both"/>
      </w:pPr>
      <w:r>
        <w:rPr/>
        <w:t>制两方面来完善公司人才建设。公司将继续探讨激励制度的创新及完善，建立科学合理的绩效奖励制度、公平的竞争晋升机</w:t>
      </w:r>
    </w:p>
    <w:p>
      <w:pPr>
        <w:pStyle w:val="BodyText"/>
        <w:spacing w:line="240" w:lineRule="auto" w:before="78"/>
        <w:ind w:right="0"/>
        <w:jc w:val="both"/>
      </w:pPr>
      <w:r>
        <w:rPr/>
        <w:t>制，提升员工积极性，优化员工结构。此外，将加强培训体系建设，提供全面、完善的培训计划，提升员工业务能力。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right="0"/>
        <w:jc w:val="both"/>
      </w:pPr>
      <w:r>
        <w:rPr/>
        <w:t>（四）可能面临的风险</w:t>
      </w:r>
    </w:p>
    <w:p>
      <w:pPr>
        <w:pStyle w:val="BodyText"/>
        <w:spacing w:line="309" w:lineRule="auto" w:before="117"/>
        <w:ind w:right="967" w:firstLine="480"/>
        <w:jc w:val="left"/>
      </w:pPr>
      <w:r>
        <w:rPr>
          <w:rFonts w:ascii="Times New Roman" w:hAnsi="Times New Roman" w:cs="Times New Roman" w:eastAsia="Times New Roman" w:hint="default"/>
        </w:rPr>
        <w:t>1</w:t>
      </w:r>
      <w:r>
        <w:rPr/>
        <w:t>、市场竞争风险。报告期内，信息安全和中间件业务是公司营业收入的重要组成部分。在国内中间件领域，</w:t>
      </w:r>
      <w:r>
        <w:rPr>
          <w:rFonts w:ascii="Times New Roman" w:hAnsi="Times New Roman" w:cs="Times New Roman" w:eastAsia="Times New Roman" w:hint="default"/>
        </w:rPr>
        <w:t>IBM</w:t>
      </w:r>
      <w:r>
        <w:rPr/>
        <w:t>、 </w:t>
      </w:r>
      <w:r>
        <w:rPr>
          <w:rFonts w:ascii="Times New Roman" w:hAnsi="Times New Roman" w:cs="Times New Roman" w:eastAsia="Times New Roman" w:hint="default"/>
          <w:spacing w:val="-1"/>
        </w:rPr>
        <w:t>Oracle</w:t>
      </w:r>
      <w:r>
        <w:rPr>
          <w:spacing w:val="-1"/>
        </w:rPr>
        <w:t>两国外软件企业仍然所占市场份额最高，其市场占有率高的主要原因在于品牌影响力、技术积累及其在数据库、服务</w:t>
      </w:r>
      <w:r>
        <w:rPr>
          <w:spacing w:val="-58"/>
        </w:rPr>
        <w:t> </w:t>
      </w:r>
      <w:r>
        <w:rPr>
          <w:spacing w:val="-58"/>
        </w:rPr>
      </w:r>
      <w:r>
        <w:rPr>
          <w:spacing w:val="-2"/>
        </w:rPr>
        <w:t>器领域良好的配套支持。与国际知名软件厂商相比，公司在技术研发实力、市场培育、产品销售渠道建设等方面仍存在较大</w:t>
      </w:r>
      <w:r>
        <w:rPr>
          <w:spacing w:val="-66"/>
        </w:rPr>
        <w:t> </w:t>
      </w:r>
      <w:r>
        <w:rPr>
          <w:spacing w:val="-66"/>
        </w:rPr>
      </w:r>
      <w:r>
        <w:rPr>
          <w:spacing w:val="-2"/>
        </w:rPr>
        <w:t>差距。随着软件国产化及企业信息化的不断推进，软件基础平台市场成长迅速，行业景气度的提升使得行业内原有竞争对手</w:t>
      </w:r>
      <w:r>
        <w:rPr>
          <w:spacing w:val="-66"/>
        </w:rPr>
        <w:t> </w:t>
      </w:r>
      <w:r>
        <w:rPr>
          <w:spacing w:val="-66"/>
        </w:rPr>
      </w:r>
      <w:r>
        <w:rPr>
          <w:spacing w:val="-2"/>
        </w:rPr>
        <w:t>的规模和竞争力不断提高，同时市场新进入的竞争者会逐步增加。在信息安全领域，行业进入爆发式增长，竞争加剧。随着</w:t>
      </w:r>
    </w:p>
    <w:p>
      <w:pPr>
        <w:pStyle w:val="BodyText"/>
        <w:spacing w:line="319" w:lineRule="auto" w:before="24"/>
        <w:ind w:right="1131"/>
        <w:jc w:val="both"/>
      </w:pPr>
      <w:r>
        <w:rPr>
          <w:spacing w:val="-2"/>
        </w:rPr>
        <w:t>《国家网络空间安全战略》的发布，国家对于网络安全和信息安全的重视程度极大提升，安全领域成为局部热点，行业也更</w:t>
      </w:r>
      <w:r>
        <w:rPr>
          <w:spacing w:val="-66"/>
        </w:rPr>
        <w:t> </w:t>
      </w:r>
      <w:r>
        <w:rPr>
          <w:spacing w:val="-66"/>
        </w:rPr>
      </w:r>
      <w:r>
        <w:rPr>
          <w:spacing w:val="-2"/>
        </w:rPr>
        <w:t>加细分，在细分的专业也出现了一批新型的安全产品和服务提供厂家，竞争将更加激烈。进入大数据时代，信息安全技术的</w:t>
      </w:r>
      <w:r>
        <w:rPr>
          <w:spacing w:val="-66"/>
        </w:rPr>
        <w:t> </w:t>
      </w:r>
      <w:r>
        <w:rPr>
          <w:spacing w:val="-66"/>
        </w:rPr>
      </w:r>
      <w:r>
        <w:rPr>
          <w:spacing w:val="-2"/>
        </w:rPr>
        <w:t>滞后于网络形态和数据规模的发展速度，可能影响新技术新业务甚至一些新兴行业的发展。信息安全市场的多元化发展趋势</w:t>
      </w:r>
      <w:r>
        <w:rPr>
          <w:spacing w:val="-64"/>
        </w:rPr>
        <w:t> </w:t>
      </w:r>
      <w:r>
        <w:rPr>
          <w:spacing w:val="-64"/>
        </w:rPr>
      </w:r>
      <w:r>
        <w:rPr>
          <w:spacing w:val="-2"/>
        </w:rPr>
        <w:t>渐趋明朗，为行业内厂商的差异化定位提供了更大的发展空间，市场将逐渐向较具实力的信息安全企业集中。行业中具有一</w:t>
      </w:r>
      <w:r>
        <w:rPr>
          <w:spacing w:val="-66"/>
        </w:rPr>
        <w:t> </w:t>
      </w:r>
      <w:r>
        <w:rPr>
          <w:spacing w:val="-66"/>
        </w:rPr>
      </w:r>
      <w:r>
        <w:rPr>
          <w:spacing w:val="-2"/>
        </w:rPr>
        <w:t>定规模和技术积累的公司，正在努力开拓技术门槛及毛利率均较高的新产品或新市场，以期获得市场竞争优势，而解决技术</w:t>
      </w:r>
      <w:r>
        <w:rPr>
          <w:spacing w:val="-66"/>
        </w:rPr>
        <w:t> </w:t>
      </w:r>
      <w:r>
        <w:rPr>
          <w:spacing w:val="-66"/>
        </w:rPr>
      </w:r>
      <w:r>
        <w:rPr>
          <w:spacing w:val="-2"/>
        </w:rPr>
        <w:t>跨越，会出现复合型人才、关键技术、基础设施支撑等核心资源的紧张，存在研发投入是否准确和有效的风险。若公司不能</w:t>
      </w:r>
      <w:r>
        <w:rPr>
          <w:spacing w:val="-66"/>
        </w:rPr>
        <w:t> </w:t>
      </w:r>
      <w:r>
        <w:rPr>
          <w:spacing w:val="-66"/>
        </w:rPr>
      </w:r>
      <w:r>
        <w:rPr>
          <w:spacing w:val="-2"/>
        </w:rPr>
        <w:t>紧跟行业发展趋势、满足客户需求的变化增强产品研发、技术创新和客户服务等方面的实力，或在新的大数据时代不能通过</w:t>
      </w:r>
      <w:r>
        <w:rPr>
          <w:spacing w:val="-66"/>
        </w:rPr>
        <w:t> </w:t>
      </w:r>
      <w:r>
        <w:rPr>
          <w:spacing w:val="-66"/>
        </w:rPr>
      </w:r>
      <w:r>
        <w:rPr/>
        <w:t>自身的规模和技术、市场优势，去开拓技术门槛和毛利较高的新产品和新市场，则未来将面临市场竞争加剧的风险。</w:t>
      </w:r>
    </w:p>
    <w:p>
      <w:pPr>
        <w:pStyle w:val="BodyText"/>
        <w:spacing w:line="319" w:lineRule="auto" w:before="55"/>
        <w:ind w:right="967" w:firstLine="480"/>
        <w:jc w:val="left"/>
      </w:pPr>
      <w:r>
        <w:rPr>
          <w:spacing w:val="-3"/>
        </w:rPr>
        <w:t>应对措施：公司将继续顺应市场需求，以自主可控、安全可靠作为核心发展理念，加强自身技术创新与销售渠道建设，</w:t>
      </w:r>
      <w:r>
        <w:rPr/>
        <w:t> </w:t>
      </w:r>
      <w:r>
        <w:rPr>
          <w:spacing w:val="-2"/>
        </w:rPr>
        <w:t>加大品牌宣传力度，加强营销体系建设。同时，通过差异化定位，以互补性合作、参股、并购等整合方式获得竞争优势，壮</w:t>
      </w:r>
      <w:r>
        <w:rPr>
          <w:spacing w:val="-71"/>
        </w:rPr>
        <w:t> </w:t>
      </w:r>
      <w:r>
        <w:rPr>
          <w:spacing w:val="-71"/>
        </w:rPr>
      </w:r>
      <w:r>
        <w:rPr/>
        <w:t>大公司主营业务，以应对市场竞争风险。</w:t>
      </w:r>
    </w:p>
    <w:p>
      <w:pPr>
        <w:pStyle w:val="BodyText"/>
        <w:spacing w:line="309" w:lineRule="auto" w:before="56"/>
        <w:ind w:right="1032" w:firstLine="480"/>
        <w:jc w:val="left"/>
      </w:pPr>
      <w:r>
        <w:rPr>
          <w:rFonts w:ascii="Times New Roman" w:hAnsi="Times New Roman" w:cs="Times New Roman" w:eastAsia="Times New Roman" w:hint="default"/>
        </w:rPr>
        <w:t>2</w:t>
      </w:r>
      <w:r>
        <w:rPr/>
        <w:t>、核心技术人员流失风险。软件行业属于智力密集型行业，面临人员流动大、知识结构更新快等人力资源管理方面 的问题。公司作为软件企业，产品研发和技术创新依赖于优秀的研发人员，如果出现核心人员流失、人才结构失衡的情况， 这将使公司的持续创新能力和市场竞争力受到影响，公司的经营将会受到较大的不利影响。</w:t>
      </w:r>
    </w:p>
    <w:p>
      <w:pPr>
        <w:pStyle w:val="BodyText"/>
        <w:spacing w:line="319" w:lineRule="auto" w:before="62"/>
        <w:ind w:right="967" w:firstLine="480"/>
        <w:jc w:val="left"/>
      </w:pPr>
      <w:r>
        <w:rPr>
          <w:spacing w:val="-1"/>
        </w:rPr>
        <w:t>应对措施：公司将通过建立完善有效的绩效考核机制，采用多种方式，包括不限于基本薪酬、绩效奖励、股权激励等</w:t>
      </w:r>
      <w:r>
        <w:rPr/>
        <w:t> 手段，并加强企业文化建设，以吸引和留住人才。</w:t>
      </w:r>
    </w:p>
    <w:p>
      <w:pPr>
        <w:pStyle w:val="BodyText"/>
        <w:spacing w:line="314" w:lineRule="auto" w:before="55"/>
        <w:ind w:right="967" w:firstLine="480"/>
        <w:jc w:val="left"/>
      </w:pPr>
      <w:r>
        <w:rPr>
          <w:rFonts w:ascii="Times New Roman" w:hAnsi="Times New Roman" w:cs="Times New Roman" w:eastAsia="Times New Roman" w:hint="default"/>
          <w:spacing w:val="-1"/>
        </w:rPr>
        <w:t>3</w:t>
      </w:r>
      <w:r>
        <w:rPr>
          <w:spacing w:val="-1"/>
        </w:rPr>
        <w:t>、技术研发风险。基于软件技术的研发规律，新技术、新产品的研发在创新成果和开发周期上存在较大的不确定性。</w:t>
      </w:r>
      <w:r>
        <w:rPr/>
        <w:t> </w:t>
      </w:r>
      <w:r>
        <w:rPr>
          <w:spacing w:val="-2"/>
        </w:rPr>
        <w:t>一方面，新技术、新产品的技术研发难度较大，研发周期较长，开发环节中的个别难题有可能影响最终产品的研发进度，使</w:t>
      </w:r>
      <w:r>
        <w:rPr>
          <w:spacing w:val="-66"/>
        </w:rPr>
        <w:t> </w:t>
      </w:r>
      <w:r>
        <w:rPr>
          <w:spacing w:val="-66"/>
        </w:rPr>
      </w:r>
      <w:r>
        <w:rPr>
          <w:spacing w:val="-2"/>
        </w:rPr>
        <w:t>新产品的推出时间出现滞后；另一方面，即使新技术、新产品顺利开发完成并推向市场，也有得不到市场和客户足够认可的</w:t>
      </w:r>
      <w:r>
        <w:rPr>
          <w:spacing w:val="-66"/>
        </w:rPr>
        <w:t> </w:t>
      </w:r>
      <w:r>
        <w:rPr>
          <w:spacing w:val="-66"/>
        </w:rPr>
      </w:r>
      <w:r>
        <w:rPr>
          <w:spacing w:val="-2"/>
        </w:rPr>
        <w:t>风险，导致新技术、新产品推出后的经济效益与预期收益存在较大差距。如果公司在技术开发方向决策上出现失误，未能及</w:t>
      </w:r>
      <w:r>
        <w:rPr>
          <w:spacing w:val="-66"/>
        </w:rPr>
        <w:t> </w:t>
      </w:r>
      <w:r>
        <w:rPr>
          <w:spacing w:val="-66"/>
        </w:rPr>
      </w:r>
      <w:r>
        <w:rPr>
          <w:spacing w:val="-2"/>
        </w:rPr>
        <w:t>时跟上行业技术更新换代的速度，未能正确把握市场动向并顺应市场需求变化，或未能及时将最新技术运用于新产品的升级</w:t>
      </w:r>
      <w:r>
        <w:rPr>
          <w:spacing w:val="-64"/>
        </w:rPr>
        <w:t> </w:t>
      </w:r>
      <w:r>
        <w:rPr>
          <w:spacing w:val="-64"/>
        </w:rPr>
      </w:r>
      <w:r>
        <w:rPr/>
        <w:t>和开发等，可能导致公司丧失技术和市场的现有地位。</w:t>
      </w:r>
    </w:p>
    <w:p>
      <w:pPr>
        <w:pStyle w:val="BodyText"/>
        <w:spacing w:line="319" w:lineRule="auto" w:before="60"/>
        <w:ind w:right="1133" w:firstLine="480"/>
        <w:jc w:val="both"/>
      </w:pPr>
      <w:r>
        <w:rPr>
          <w:spacing w:val="-1"/>
        </w:rPr>
        <w:t>应对措施：公司以国家政策和行业客户需求为导向，深入解读国家规划布局的发展方向，切合实际的结合行业客户的</w:t>
      </w:r>
      <w:r>
        <w:rPr/>
        <w:t> </w:t>
      </w:r>
      <w:r>
        <w:rPr>
          <w:spacing w:val="-2"/>
        </w:rPr>
        <w:t>需求，提供最优解决方案和产品，走在市场的前端，同时完善市场调研、研发项目立项、核心技术研究、产品发布、市场推</w:t>
      </w:r>
      <w:r>
        <w:rPr>
          <w:spacing w:val="-72"/>
        </w:rPr>
        <w:t> </w:t>
      </w:r>
      <w:r>
        <w:rPr>
          <w:spacing w:val="-72"/>
        </w:rPr>
      </w:r>
      <w:r>
        <w:rPr/>
        <w:t>广、客户营销、售后服务等环节的闭环管理，以降低技术研发风险。</w:t>
      </w:r>
    </w:p>
    <w:p>
      <w:pPr>
        <w:pStyle w:val="BodyText"/>
        <w:spacing w:line="312" w:lineRule="auto" w:before="55"/>
        <w:ind w:right="1032" w:firstLine="480"/>
        <w:jc w:val="left"/>
      </w:pPr>
      <w:r>
        <w:rPr>
          <w:rFonts w:ascii="Times New Roman" w:hAnsi="Times New Roman" w:cs="Times New Roman" w:eastAsia="Times New Roman" w:hint="default"/>
        </w:rPr>
        <w:t>4</w:t>
      </w:r>
      <w:r>
        <w:rPr/>
        <w:t>、重组整合风险。公司和重组、并购的子公司处于软件和信息技术服务业内不同的细分行业，业务模式存在一定程 度的差异。重组、并购完成后公司间需要在业务体系、组织机构、管理制度、企业文化等方面进行整合，而在研发、采购、 </w:t>
      </w:r>
      <w:r>
        <w:rPr>
          <w:spacing w:val="-2"/>
        </w:rPr>
        <w:t>销售和管理等方面的整合到位需要一定时间，因此，东方通与重组并购企业之间能否顺利实现整合具有不确定性，整合过程</w:t>
      </w:r>
      <w:r>
        <w:rPr>
          <w:spacing w:val="-66"/>
        </w:rPr>
        <w:t> </w:t>
      </w:r>
      <w:r>
        <w:rPr>
          <w:spacing w:val="-66"/>
        </w:rPr>
      </w:r>
      <w:r>
        <w:rPr/>
        <w:t>中可能会对各公司的正常业务发展造成一定影响。另外，也存在并购后的子公司业绩达不到预期的风险。</w:t>
      </w:r>
    </w:p>
    <w:p>
      <w:pPr>
        <w:pStyle w:val="BodyText"/>
        <w:spacing w:line="240" w:lineRule="auto" w:before="61"/>
        <w:ind w:left="634" w:right="967"/>
        <w:jc w:val="left"/>
      </w:pPr>
      <w:r>
        <w:rPr/>
        <w:t>应对措施：公司将在</w:t>
      </w:r>
      <w:r>
        <w:rPr>
          <w:rFonts w:ascii="Times New Roman" w:hAnsi="Times New Roman" w:cs="Times New Roman" w:eastAsia="Times New Roman" w:hint="default"/>
        </w:rPr>
        <w:t>2018</w:t>
      </w:r>
      <w:r>
        <w:rPr/>
        <w:t>年基础上进一步进行集团内的协同整合，将各子公司的财务管理和综合运营管理纳入到上市</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2" w:lineRule="auto" w:before="44"/>
        <w:ind w:right="1131"/>
        <w:jc w:val="both"/>
      </w:pPr>
      <w:r>
        <w:rPr>
          <w:spacing w:val="-2"/>
        </w:rPr>
        <w:t>公司统一的管理系统中，并加强审计和监督，保证对各子公司重大事项的决策权，提高公司整体抗风险能力。公司进一步梳</w:t>
      </w:r>
      <w:r>
        <w:rPr>
          <w:spacing w:val="-66"/>
        </w:rPr>
        <w:t> </w:t>
      </w:r>
      <w:r>
        <w:rPr>
          <w:spacing w:val="-66"/>
        </w:rPr>
      </w:r>
      <w:r>
        <w:rPr>
          <w:spacing w:val="-2"/>
        </w:rPr>
        <w:t>理了主航道业务，定位于作</w:t>
      </w:r>
      <w:r>
        <w:rPr>
          <w:rFonts w:ascii="Times New Roman" w:hAnsi="Times New Roman" w:cs="Times New Roman" w:eastAsia="Times New Roman" w:hint="default"/>
          <w:spacing w:val="-2"/>
        </w:rPr>
        <w:t>“</w:t>
      </w:r>
      <w:r>
        <w:rPr>
          <w:spacing w:val="-2"/>
        </w:rPr>
        <w:t>大安全</w:t>
      </w:r>
      <w:r>
        <w:rPr>
          <w:rFonts w:ascii="Times New Roman" w:hAnsi="Times New Roman" w:cs="Times New Roman" w:eastAsia="Times New Roman" w:hint="default"/>
          <w:spacing w:val="-2"/>
        </w:rPr>
        <w:t>”</w:t>
      </w:r>
      <w:r>
        <w:rPr>
          <w:spacing w:val="-2"/>
        </w:rPr>
        <w:t>领域的核心企业，将公司业务分为基础安全和行业安全两大板块，通过收购兼并、吸收</w:t>
      </w:r>
      <w:r>
        <w:rPr>
          <w:spacing w:val="-44"/>
        </w:rPr>
        <w:t> </w:t>
      </w:r>
      <w:r>
        <w:rPr>
          <w:spacing w:val="-44"/>
        </w:rPr>
      </w:r>
      <w:r>
        <w:rPr>
          <w:spacing w:val="-2"/>
        </w:rPr>
        <w:t>合并、剥离改制等方式持续增强主航道业务的竞争能力。整合营销服务体系，形成两大板块的营销平台，通过发挥内部协同</w:t>
      </w:r>
      <w:r>
        <w:rPr>
          <w:spacing w:val="-66"/>
        </w:rPr>
        <w:t> </w:t>
      </w:r>
      <w:r>
        <w:rPr>
          <w:spacing w:val="-66"/>
        </w:rPr>
      </w:r>
      <w:r>
        <w:rPr/>
        <w:t>效应，实现业务结构的优势互补和管理模式的优化升级。</w:t>
      </w:r>
    </w:p>
    <w:p>
      <w:pPr>
        <w:pStyle w:val="BodyText"/>
        <w:spacing w:line="307" w:lineRule="auto" w:before="61"/>
        <w:ind w:right="967" w:firstLine="480"/>
        <w:jc w:val="left"/>
      </w:pPr>
      <w:r>
        <w:rPr>
          <w:rFonts w:ascii="Times New Roman" w:hAnsi="Times New Roman" w:cs="Times New Roman" w:eastAsia="Times New Roman" w:hint="default"/>
          <w:spacing w:val="-1"/>
        </w:rPr>
        <w:t>5</w:t>
      </w:r>
      <w:r>
        <w:rPr>
          <w:spacing w:val="-1"/>
        </w:rPr>
        <w:t>、业务规模迅速扩大导致的管理风险。随着公司的资产、业务、机构和人员等进一步扩张，公司目前拥有微智信业、</w:t>
      </w:r>
      <w:r>
        <w:rPr/>
        <w:t> 泰策科技、东方通宇、东方通泰等七家全资子公司，业务涉及基础软件、大数据信息安全、应急安全、</w:t>
      </w:r>
      <w:r>
        <w:rPr>
          <w:rFonts w:ascii="Times New Roman" w:hAnsi="Times New Roman" w:cs="Times New Roman" w:eastAsia="Times New Roman" w:hint="default"/>
        </w:rPr>
        <w:t>5G</w:t>
      </w:r>
      <w:r>
        <w:rPr/>
        <w:t>行业应用、军工 </w:t>
      </w:r>
      <w:r>
        <w:rPr>
          <w:spacing w:val="-2"/>
        </w:rPr>
        <w:t>信息化业务，集团化发展趋势已经显现。公司将在制度建设、组织设置、运营管理、资金管理和内部控制等方面面临更大的</w:t>
      </w:r>
      <w:r>
        <w:rPr>
          <w:spacing w:val="-66"/>
        </w:rPr>
        <w:t> </w:t>
      </w:r>
      <w:r>
        <w:rPr>
          <w:spacing w:val="-66"/>
        </w:rPr>
      </w:r>
      <w:r>
        <w:rPr/>
        <w:t>挑战。</w:t>
      </w:r>
    </w:p>
    <w:p>
      <w:pPr>
        <w:pStyle w:val="BodyText"/>
        <w:spacing w:line="319" w:lineRule="auto" w:before="65"/>
        <w:ind w:right="1131" w:firstLine="480"/>
        <w:jc w:val="both"/>
      </w:pPr>
      <w:r>
        <w:rPr>
          <w:spacing w:val="-1"/>
        </w:rPr>
        <w:t>应对措施：根据公司整体战略规划，通过收购兼并、吸收合并、剥离改制等方式持续增强主航道业务的竞争能力。合</w:t>
      </w:r>
      <w:r>
        <w:rPr/>
        <w:t> </w:t>
      </w:r>
      <w:r>
        <w:rPr>
          <w:spacing w:val="-2"/>
        </w:rPr>
        <w:t>并同类业务领域，建立共享营销业务平台、共享研发平台、共享运营管理平台，以最大化利用当前公司已有的经营基础，整</w:t>
      </w:r>
      <w:r>
        <w:rPr>
          <w:spacing w:val="-66"/>
        </w:rPr>
        <w:t> </w:t>
      </w:r>
      <w:r>
        <w:rPr>
          <w:spacing w:val="-66"/>
        </w:rPr>
      </w:r>
      <w:r>
        <w:rPr>
          <w:spacing w:val="-2"/>
        </w:rPr>
        <w:t>合已有人才资源，并积极引进先进人才。同时通过加强各环节制度管理、企业信息化建设等措施完善内部控制，降低内控风</w:t>
      </w:r>
      <w:r>
        <w:rPr>
          <w:spacing w:val="-66"/>
        </w:rPr>
        <w:t> </w:t>
      </w:r>
      <w:r>
        <w:rPr>
          <w:spacing w:val="-66"/>
        </w:rPr>
      </w:r>
      <w:r>
        <w:rPr/>
        <w:t>险。以增强集中及共享管理模式，加快实行集团化统一管理。</w:t>
      </w:r>
    </w:p>
    <w:p>
      <w:pPr>
        <w:pStyle w:val="BodyText"/>
        <w:spacing w:line="312" w:lineRule="auto" w:before="55"/>
        <w:ind w:right="1032" w:firstLine="480"/>
        <w:jc w:val="left"/>
      </w:pPr>
      <w:r>
        <w:rPr>
          <w:rFonts w:ascii="Times New Roman" w:hAnsi="Times New Roman" w:cs="Times New Roman" w:eastAsia="Times New Roman" w:hint="default"/>
        </w:rPr>
        <w:t>6</w:t>
      </w:r>
      <w:r>
        <w:rPr/>
        <w:t>、业务转型升级导致的经营风险。国内信息安全领域目前处于快速发展的阶段中，预期微智信业和泰策科技的安全 业务将保持持续发展势头。母公司除了始终专注于基础安全产品的研发与销售，也在积极拓展在特定行业解决方案的能力， </w:t>
      </w:r>
      <w:r>
        <w:rPr>
          <w:spacing w:val="-2"/>
        </w:rPr>
        <w:t>通过多年的产品技术积累，向软件集成方向做有益的尝试。但业务转型是个渐进的过程，若未把握住发展机会，可能导致出</w:t>
      </w:r>
      <w:r>
        <w:rPr>
          <w:spacing w:val="-66"/>
        </w:rPr>
        <w:t> </w:t>
      </w:r>
      <w:r>
        <w:rPr>
          <w:spacing w:val="-66"/>
        </w:rPr>
      </w:r>
      <w:r>
        <w:rPr/>
        <w:t>现一定的经营风险。</w:t>
      </w:r>
    </w:p>
    <w:p>
      <w:pPr>
        <w:pStyle w:val="BodyText"/>
        <w:spacing w:line="319" w:lineRule="auto" w:before="61"/>
        <w:ind w:right="1130" w:firstLine="480"/>
        <w:jc w:val="both"/>
      </w:pPr>
      <w:r>
        <w:rPr>
          <w:spacing w:val="-1"/>
        </w:rPr>
        <w:t>应对措施：公司管理层将紧跟国家政策导向以及行业客户实际需求，不断修订和完善公司未来战略发展规划，对应落</w:t>
      </w:r>
      <w:r>
        <w:rPr/>
        <w:t> </w:t>
      </w:r>
      <w:r>
        <w:rPr>
          <w:spacing w:val="-2"/>
        </w:rPr>
        <w:t>实到主航道业务板块。同时，加强各级关键岗位人员能力的提升、加大基础人才的培养、加快项目管理及实施交付人才的引</w:t>
      </w:r>
      <w:r>
        <w:rPr>
          <w:spacing w:val="-66"/>
        </w:rPr>
        <w:t> </w:t>
      </w:r>
      <w:r>
        <w:rPr>
          <w:spacing w:val="-66"/>
        </w:rPr>
      </w:r>
      <w:r>
        <w:rPr/>
        <w:t>进和储备，并积极进行内部协同整合，充分挖掘内部潜力。</w:t>
      </w:r>
    </w:p>
    <w:p>
      <w:pPr>
        <w:pStyle w:val="BodyText"/>
        <w:spacing w:line="314" w:lineRule="auto" w:before="56"/>
        <w:ind w:right="967" w:firstLine="480"/>
        <w:jc w:val="left"/>
      </w:pPr>
      <w:r>
        <w:rPr>
          <w:rFonts w:ascii="Times New Roman" w:hAnsi="Times New Roman" w:cs="Times New Roman" w:eastAsia="Times New Roman" w:hint="default"/>
        </w:rPr>
        <w:t>7</w:t>
      </w:r>
      <w:r>
        <w:rPr/>
        <w:t>、业绩季节性波动风险。公司及子公司客户群体以政府、电信运营商、金融等领域客户为主，受其采用的预算管理 </w:t>
      </w:r>
      <w:r>
        <w:rPr>
          <w:spacing w:val="-2"/>
        </w:rPr>
        <w:t>制度和集中采购制度等影响，通常在一季度制定本年度全年的信息技术采购计划和指标；在第二季度及第三季度上半段进行</w:t>
      </w:r>
      <w:r>
        <w:rPr>
          <w:spacing w:val="-64"/>
        </w:rPr>
        <w:t> </w:t>
      </w:r>
      <w:r>
        <w:rPr>
          <w:spacing w:val="-64"/>
        </w:rPr>
      </w:r>
      <w:r>
        <w:rPr>
          <w:spacing w:val="-2"/>
        </w:rPr>
        <w:t>相关产品现场调研、邀请相关厂商进行产品测试以及对入围厂商进行招标、投标、评标和定标；第三季度下半段及第四季度</w:t>
      </w:r>
      <w:r>
        <w:rPr>
          <w:spacing w:val="-66"/>
        </w:rPr>
        <w:t> </w:t>
      </w:r>
      <w:r>
        <w:rPr>
          <w:spacing w:val="-66"/>
        </w:rPr>
      </w:r>
      <w:r>
        <w:rPr>
          <w:spacing w:val="-2"/>
        </w:rPr>
        <w:t>才正式确定所需采购产品并与中标厂商签订采购合同。因此，公司存在明显的季节性销售特征。近年公司销售和业绩的季节</w:t>
      </w:r>
      <w:r>
        <w:rPr>
          <w:spacing w:val="-66"/>
        </w:rPr>
        <w:t> </w:t>
      </w:r>
      <w:r>
        <w:rPr>
          <w:spacing w:val="-66"/>
        </w:rPr>
      </w:r>
      <w:r>
        <w:rPr/>
        <w:t>性特征有所改善，但总体趋势仍不会有大的变化。</w:t>
      </w:r>
    </w:p>
    <w:p>
      <w:pPr>
        <w:pStyle w:val="BodyText"/>
        <w:spacing w:line="319" w:lineRule="auto" w:before="59"/>
        <w:ind w:right="967" w:firstLine="480"/>
        <w:jc w:val="left"/>
      </w:pPr>
      <w:r>
        <w:rPr>
          <w:spacing w:val="-1"/>
        </w:rPr>
        <w:t>应对措施：公司将不断加强营销管理、项目过程管控、财务管理，强化公司整体预算的科学化、精细化，严格督导实</w:t>
      </w:r>
      <w:r>
        <w:rPr/>
        <w:t> 际经营情况，尽可能改善业绩季节性波动风险。</w:t>
      </w:r>
    </w:p>
    <w:p>
      <w:pPr>
        <w:pStyle w:val="BodyText"/>
        <w:spacing w:line="314" w:lineRule="auto" w:before="55"/>
        <w:ind w:right="967" w:firstLine="480"/>
        <w:jc w:val="left"/>
      </w:pPr>
      <w:r>
        <w:rPr>
          <w:rFonts w:ascii="Times New Roman" w:hAnsi="Times New Roman" w:cs="Times New Roman" w:eastAsia="Times New Roman" w:hint="default"/>
        </w:rPr>
        <w:t>8</w:t>
      </w:r>
      <w:r>
        <w:rPr/>
        <w:t>、商誉减值风险。公司在进行资产收购的过程中，根据《企业会计准则》要求，非同一控制下的企业合并，合并成 </w:t>
      </w:r>
      <w:r>
        <w:rPr>
          <w:spacing w:val="-2"/>
        </w:rPr>
        <w:t>本大于合并中取得的被购买方可辨认净资产公允价值份额的差额，确认为商誉，商誉不做摊销处理，但需在未来年度每年年</w:t>
      </w:r>
      <w:r>
        <w:rPr>
          <w:spacing w:val="-66"/>
        </w:rPr>
        <w:t> </w:t>
      </w:r>
      <w:r>
        <w:rPr>
          <w:spacing w:val="-66"/>
        </w:rPr>
      </w:r>
      <w:r>
        <w:rPr>
          <w:spacing w:val="-4"/>
        </w:rPr>
        <w:t>终进行减值测试。如果未来被收购资产所处行业不景气、自身业务下降或者其他因素导致未来经营状况和盈利能力未达预期，</w:t>
      </w:r>
      <w:r>
        <w:rPr>
          <w:spacing w:val="-44"/>
        </w:rPr>
        <w:t> </w:t>
      </w:r>
      <w:r>
        <w:rPr>
          <w:spacing w:val="-44"/>
        </w:rPr>
      </w:r>
      <w:r>
        <w:rPr>
          <w:spacing w:val="-2"/>
        </w:rPr>
        <w:t>则上市公司存在商誉减值的风险，从而对上市公司当期损益造成不利影响，若一旦集中计提大额的商誉减值，将对上市公司</w:t>
      </w:r>
      <w:r>
        <w:rPr>
          <w:spacing w:val="-66"/>
        </w:rPr>
        <w:t> </w:t>
      </w:r>
      <w:r>
        <w:rPr>
          <w:spacing w:val="-66"/>
        </w:rPr>
      </w:r>
      <w:r>
        <w:rPr/>
        <w:t>盈利水平产生较大的不利影响，提请投资者注意相应风险。</w:t>
      </w:r>
    </w:p>
    <w:p>
      <w:pPr>
        <w:pStyle w:val="BodyText"/>
        <w:spacing w:line="319" w:lineRule="auto" w:before="60"/>
        <w:ind w:right="967" w:firstLine="480"/>
        <w:jc w:val="left"/>
      </w:pPr>
      <w:r>
        <w:rPr/>
        <w:t>应对措施：公司通过建立相应的内控管理制度，每年对商誉进行减值测试，同时加强和被收购资产在市场、人员、技 </w:t>
      </w:r>
      <w:r>
        <w:rPr>
          <w:spacing w:val="-4"/>
        </w:rPr>
        <w:t>术、管理等方面的整合，保持被收购资产的持续竞争力，将因企业合并形成的商誉对上市公司未来业绩的影响降到最低程度。</w:t>
      </w:r>
    </w:p>
    <w:p>
      <w:pPr>
        <w:spacing w:line="240" w:lineRule="auto" w:before="6"/>
        <w:rPr>
          <w:rFonts w:ascii="宋体" w:hAnsi="宋体" w:cs="宋体" w:eastAsia="宋体" w:hint="default"/>
          <w:sz w:val="20"/>
          <w:szCs w:val="20"/>
        </w:rPr>
      </w:pPr>
    </w:p>
    <w:p>
      <w:pPr>
        <w:pStyle w:val="Heading2"/>
        <w:spacing w:line="240" w:lineRule="auto"/>
        <w:ind w:right="0"/>
        <w:jc w:val="both"/>
        <w:rPr>
          <w:b w:val="0"/>
          <w:bCs w:val="0"/>
        </w:rPr>
      </w:pPr>
      <w:bookmarkStart w:name="十、接待调研、沟通、采访等活动登记表" w:id="56"/>
      <w:bookmarkEnd w:id="56"/>
      <w:r>
        <w:rPr>
          <w:b w:val="0"/>
          <w:bCs w:val="0"/>
        </w:rPr>
      </w: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报告期内接待调研、沟通、采访等活动登记表" w:id="57"/>
      <w:bookmarkEnd w:id="57"/>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38"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r>
        <w:rPr/>
        <w:pict>
          <v:group style="position:absolute;margin-left:242.839996pt;margin-top:377.799988pt;width:290.95pt;height:20.75pt;mso-position-horizontal-relative:page;mso-position-vertical-relative:page;z-index:-1135624" coordorigin="4857,7556" coordsize="5819,415">
            <v:group style="position:absolute;left:4868;top:7568;width:2;height:392" coordorigin="4868,7568" coordsize="2,392">
              <v:shape style="position:absolute;left:4868;top:7568;width:2;height:392" coordorigin="4868,7568" coordsize="0,392" path="m4868,7568l4868,7959e" filled="false" stroked="true" strokeweight="1.160pt" strokecolor="#ffffff">
                <v:path arrowok="t"/>
              </v:shape>
            </v:group>
            <v:group style="position:absolute;left:4880;top:7568;width:5796;height:392" coordorigin="4880,7568" coordsize="5796,392">
              <v:shape style="position:absolute;left:4880;top:7568;width:5796;height:392" coordorigin="4880,7568" coordsize="5796,392" path="m4880,7959l10675,7959,10675,7568,4880,7568,4880,7959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470"/>
        <w:jc w:val="center"/>
        <w:rPr>
          <w:b w:val="0"/>
          <w:bCs w:val="0"/>
        </w:rPr>
      </w:pPr>
      <w:bookmarkStart w:name="_TOC_250007" w:id="58"/>
      <w:bookmarkStart w:name="第五节 重要事项" w:id="59"/>
      <w:r>
        <w:rPr>
          <w:b w:val="0"/>
          <w:bCs w:val="0"/>
        </w:rPr>
      </w:r>
      <w:r>
        <w:rPr/>
        <w:t>第五节</w:t>
      </w:r>
      <w:r>
        <w:rPr>
          <w:spacing w:val="-5"/>
        </w:rPr>
        <w:t> </w:t>
      </w:r>
      <w:r>
        <w:rPr/>
        <w:t>重要事项</w:t>
      </w:r>
      <w:bookmarkEnd w:id="58"/>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967"/>
        <w:jc w:val="left"/>
        <w:rPr>
          <w:b w:val="0"/>
          <w:bCs w:val="0"/>
        </w:rPr>
      </w:pPr>
      <w:bookmarkStart w:name="一、公司普通股利润分配及资本公积金转增股本情况" w:id="60"/>
      <w:bookmarkEnd w:id="60"/>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67"/>
        <w:jc w:val="left"/>
      </w:pPr>
      <w:r>
        <w:rPr/>
        <w:t>报告期内普通股利润分配政策，特别是现金分红政策的制定、执行或调整情况</w:t>
      </w:r>
    </w:p>
    <w:p>
      <w:pPr>
        <w:pStyle w:val="BodyText"/>
        <w:spacing w:line="338" w:lineRule="auto" w:before="117"/>
        <w:ind w:right="30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公司报告期利润分配预案及资本公积金转增股本预案与公司章程和分红管理办法等的相关规定一致</w:t>
      </w:r>
    </w:p>
    <w:p>
      <w:pPr>
        <w:pStyle w:val="BodyText"/>
        <w:spacing w:line="348" w:lineRule="auto" w:before="42"/>
        <w:ind w:right="42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本年度利润分配及资本公积金转增股本情况</w:t>
      </w:r>
    </w:p>
    <w:tbl>
      <w:tblPr>
        <w:tblW w:w="0" w:type="auto"/>
        <w:jc w:val="left"/>
        <w:tblInd w:w="160" w:type="dxa"/>
        <w:tblLayout w:type="fixed"/>
        <w:tblCellMar>
          <w:top w:w="0" w:type="dxa"/>
          <w:left w:w="0" w:type="dxa"/>
          <w:bottom w:w="0" w:type="dxa"/>
          <w:right w:w="0" w:type="dxa"/>
        </w:tblCellMar>
        <w:tblLook w:val="01E0"/>
      </w:tblPr>
      <w:tblGrid>
        <w:gridCol w:w="3695"/>
        <w:gridCol w:w="5863"/>
      </w:tblGrid>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266,694,892</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tabs>
                <w:tab w:pos="5503" w:val="left" w:leader="none"/>
              </w:tabs>
              <w:spacing w:line="240" w:lineRule="auto" w:before="52"/>
              <w:ind w:left="-124"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-41,178,664.14</w:t>
            </w:r>
          </w:p>
        </w:tc>
      </w:tr>
      <w:tr>
        <w:trPr>
          <w:trHeight w:val="714"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1"/>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年度利润分配方案为：不派发现金红利，不送红股，不以公积金转增股本。</w:t>
            </w:r>
          </w:p>
        </w:tc>
      </w:tr>
    </w:tbl>
    <w:p>
      <w:pPr>
        <w:pStyle w:val="BodyText"/>
        <w:spacing w:line="240" w:lineRule="auto" w:before="74"/>
        <w:ind w:right="967"/>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1"/>
        <w:ind w:left="514" w:right="967"/>
        <w:jc w:val="left"/>
      </w:pPr>
      <w:r>
        <w:rPr>
          <w:rFonts w:ascii="Times New Roman" w:hAnsi="Times New Roman" w:cs="Times New Roman" w:eastAsia="Times New Roman" w:hint="default"/>
        </w:rPr>
        <w:t>1</w:t>
      </w:r>
      <w:r>
        <w:rPr/>
        <w:t>、经</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日召开的</w:t>
      </w:r>
      <w:r>
        <w:rPr>
          <w:rFonts w:ascii="Times New Roman" w:hAnsi="Times New Roman" w:cs="Times New Roman" w:eastAsia="Times New Roman" w:hint="default"/>
        </w:rPr>
        <w:t>2016</w:t>
      </w:r>
      <w:r>
        <w:rPr/>
        <w:t>年度股东大会审议通过的</w:t>
      </w:r>
      <w:r>
        <w:rPr>
          <w:rFonts w:ascii="Times New Roman" w:hAnsi="Times New Roman" w:cs="Times New Roman" w:eastAsia="Times New Roman" w:hint="default"/>
        </w:rPr>
        <w:t>2016</w:t>
      </w:r>
      <w:r>
        <w:rPr/>
        <w:t>年度权益分配方案：以公司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日收盘的总股本</w:t>
      </w:r>
    </w:p>
    <w:p>
      <w:pPr>
        <w:pStyle w:val="BodyText"/>
        <w:spacing w:line="300" w:lineRule="auto" w:before="63"/>
        <w:ind w:right="967"/>
        <w:jc w:val="left"/>
      </w:pPr>
      <w:r>
        <w:rPr>
          <w:rFonts w:ascii="Times New Roman" w:hAnsi="Times New Roman" w:cs="Times New Roman" w:eastAsia="Times New Roman" w:hint="default"/>
          <w:spacing w:val="-2"/>
        </w:rPr>
        <w:t>138,515,854</w:t>
      </w:r>
      <w:r>
        <w:rPr>
          <w:spacing w:val="-2"/>
        </w:rPr>
        <w:t>股为基数，向全体股东每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2.00</w:t>
      </w:r>
      <w:r>
        <w:rPr>
          <w:spacing w:val="-2"/>
        </w:rPr>
        <w:t>元（含税），共计派发现金股利</w:t>
      </w:r>
      <w:r>
        <w:rPr>
          <w:rFonts w:ascii="Times New Roman" w:hAnsi="Times New Roman" w:cs="Times New Roman" w:eastAsia="Times New Roman" w:hint="default"/>
          <w:spacing w:val="-2"/>
        </w:rPr>
        <w:t>27,703,170.80</w:t>
      </w:r>
      <w:r>
        <w:rPr>
          <w:spacing w:val="-2"/>
        </w:rPr>
        <w:t>元（含税）。</w:t>
      </w:r>
      <w:r>
        <w:rPr>
          <w:spacing w:val="-41"/>
        </w:rPr>
        <w:t> </w:t>
      </w:r>
      <w:r>
        <w:rPr>
          <w:spacing w:val="-41"/>
        </w:rPr>
      </w:r>
      <w:r>
        <w:rPr/>
        <w:t>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股，合计转增</w:t>
      </w:r>
      <w:r>
        <w:rPr>
          <w:rFonts w:ascii="Times New Roman" w:hAnsi="Times New Roman" w:cs="Times New Roman" w:eastAsia="Times New Roman" w:hint="default"/>
        </w:rPr>
        <w:t>138,515,854</w:t>
      </w:r>
      <w:r>
        <w:rPr/>
        <w:t>股，转增后公司总股本为</w:t>
      </w:r>
      <w:r>
        <w:rPr>
          <w:rFonts w:ascii="Times New Roman" w:hAnsi="Times New Roman" w:cs="Times New Roman" w:eastAsia="Times New Roman" w:hint="default"/>
        </w:rPr>
        <w:t>277,031,708</w:t>
      </w:r>
      <w:r>
        <w:rPr/>
        <w:t>股。</w:t>
      </w:r>
    </w:p>
    <w:p>
      <w:pPr>
        <w:pStyle w:val="BodyText"/>
        <w:spacing w:line="300" w:lineRule="auto" w:before="13"/>
        <w:ind w:right="967" w:firstLine="360"/>
        <w:jc w:val="left"/>
      </w:pPr>
      <w:r>
        <w:rPr>
          <w:rFonts w:ascii="Times New Roman" w:hAnsi="Times New Roman" w:cs="Times New Roman" w:eastAsia="Times New Roman" w:hint="default"/>
          <w:spacing w:val="-2"/>
        </w:rPr>
        <w:t>2</w:t>
      </w:r>
      <w:r>
        <w:rPr>
          <w:spacing w:val="-2"/>
        </w:rPr>
        <w:t>、经</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11</w:t>
      </w:r>
      <w:r>
        <w:rPr>
          <w:spacing w:val="-2"/>
        </w:rPr>
        <w:t>日召开的第三届董事会第十三次会议审议通过《关于公司</w:t>
      </w:r>
      <w:r>
        <w:rPr>
          <w:rFonts w:ascii="Times New Roman" w:hAnsi="Times New Roman" w:cs="Times New Roman" w:eastAsia="Times New Roman" w:hint="default"/>
          <w:spacing w:val="-2"/>
        </w:rPr>
        <w:t>2017</w:t>
      </w:r>
      <w:r>
        <w:rPr>
          <w:spacing w:val="-2"/>
        </w:rPr>
        <w:t>年度利润分配方案的议案》，公司计划</w:t>
      </w:r>
      <w:r>
        <w:rPr/>
        <w:t> 不派发现金红利，不送红股，不以公积金转增股本。</w:t>
      </w:r>
    </w:p>
    <w:p>
      <w:pPr>
        <w:pStyle w:val="BodyText"/>
        <w:spacing w:line="240" w:lineRule="auto" w:before="31"/>
        <w:ind w:left="514" w:right="967"/>
        <w:jc w:val="left"/>
        <w:rPr>
          <w:rFonts w:ascii="Times New Roman" w:hAnsi="Times New Roman" w:cs="Times New Roman" w:eastAsia="Times New Roman" w:hint="default"/>
        </w:rPr>
      </w:pPr>
      <w:r>
        <w:rPr>
          <w:rFonts w:ascii="Times New Roman" w:hAnsi="Times New Roman" w:cs="Times New Roman" w:eastAsia="Times New Roman" w:hint="default"/>
          <w:spacing w:val="-5"/>
        </w:rPr>
        <w:t>3</w:t>
      </w:r>
      <w:r>
        <w:rPr>
          <w:spacing w:val="-5"/>
        </w:rPr>
        <w:t>、经</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25</w:t>
      </w:r>
      <w:r>
        <w:rPr>
          <w:spacing w:val="-5"/>
        </w:rPr>
        <w:t>日召开的第三届董事会第二十六次会议审议通过《关于公司</w:t>
      </w:r>
      <w:r>
        <w:rPr>
          <w:rFonts w:ascii="Times New Roman" w:hAnsi="Times New Roman" w:cs="Times New Roman" w:eastAsia="Times New Roman" w:hint="default"/>
          <w:spacing w:val="-5"/>
        </w:rPr>
        <w:t>2018</w:t>
      </w:r>
      <w:r>
        <w:rPr>
          <w:spacing w:val="-5"/>
        </w:rPr>
        <w:t>年度利润分配预案的议案》，公司</w:t>
      </w:r>
      <w:r>
        <w:rPr>
          <w:rFonts w:ascii="Times New Roman" w:hAnsi="Times New Roman" w:cs="Times New Roman" w:eastAsia="Times New Roman" w:hint="default"/>
          <w:spacing w:val="-5"/>
        </w:rPr>
        <w:t>2018</w:t>
      </w:r>
    </w:p>
    <w:p>
      <w:pPr>
        <w:pStyle w:val="BodyText"/>
        <w:spacing w:line="240" w:lineRule="auto" w:before="63"/>
        <w:ind w:right="967"/>
        <w:jc w:val="left"/>
      </w:pPr>
      <w:r>
        <w:rPr>
          <w:spacing w:val="-4"/>
        </w:rPr>
        <w:t>年度公司虽然实现扭亏，但可供分配利润仍然为负，故</w:t>
      </w:r>
      <w:r>
        <w:rPr>
          <w:rFonts w:ascii="Times New Roman" w:hAnsi="Times New Roman" w:cs="Times New Roman" w:eastAsia="Times New Roman" w:hint="default"/>
          <w:spacing w:val="-4"/>
        </w:rPr>
        <w:t>2018</w:t>
      </w:r>
      <w:r>
        <w:rPr>
          <w:spacing w:val="-4"/>
        </w:rPr>
        <w:t>年度公司计划不派发现金红利，不送红股，不以公积金转增股本。</w:t>
      </w:r>
    </w:p>
    <w:p>
      <w:pPr>
        <w:spacing w:line="240" w:lineRule="auto" w:before="5"/>
        <w:rPr>
          <w:rFonts w:ascii="宋体" w:hAnsi="宋体" w:cs="宋体" w:eastAsia="宋体" w:hint="default"/>
          <w:sz w:val="28"/>
          <w:szCs w:val="28"/>
        </w:rPr>
      </w:pPr>
    </w:p>
    <w:p>
      <w:pPr>
        <w:pStyle w:val="BodyText"/>
        <w:spacing w:line="240" w:lineRule="auto" w:before="44"/>
        <w:ind w:right="967"/>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6"/>
        <w:gridCol w:w="1195"/>
        <w:gridCol w:w="1196"/>
        <w:gridCol w:w="1196"/>
        <w:gridCol w:w="1196"/>
        <w:gridCol w:w="1196"/>
        <w:gridCol w:w="1196"/>
        <w:gridCol w:w="1184"/>
      </w:tblGrid>
      <w:tr>
        <w:trPr>
          <w:trHeight w:val="382"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2" w:right="0"/>
              <w:jc w:val="left"/>
              <w:rPr>
                <w:rFonts w:ascii="宋体" w:hAnsi="宋体" w:cs="宋体" w:eastAsia="宋体" w:hint="default"/>
                <w:sz w:val="18"/>
                <w:szCs w:val="18"/>
              </w:rPr>
            </w:pPr>
            <w:r>
              <w:rPr>
                <w:rFonts w:ascii="宋体" w:hAnsi="宋体" w:cs="宋体" w:eastAsia="宋体" w:hint="default"/>
                <w:sz w:val="18"/>
                <w:szCs w:val="18"/>
              </w:rPr>
              <w:t>现金分红金额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3" w:right="0"/>
              <w:jc w:val="left"/>
              <w:rPr>
                <w:rFonts w:ascii="宋体" w:hAnsi="宋体" w:cs="宋体" w:eastAsia="宋体" w:hint="default"/>
                <w:sz w:val="18"/>
                <w:szCs w:val="18"/>
              </w:rPr>
            </w:pPr>
            <w:r>
              <w:rPr>
                <w:rFonts w:ascii="宋体" w:hAnsi="宋体" w:cs="宋体" w:eastAsia="宋体" w:hint="default"/>
                <w:sz w:val="18"/>
                <w:szCs w:val="18"/>
              </w:rPr>
              <w:t>分红年度合并</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2" w:right="0"/>
              <w:jc w:val="left"/>
              <w:rPr>
                <w:rFonts w:ascii="宋体" w:hAnsi="宋体" w:cs="宋体" w:eastAsia="宋体" w:hint="default"/>
                <w:sz w:val="18"/>
                <w:szCs w:val="18"/>
              </w:rPr>
            </w:pPr>
            <w:r>
              <w:rPr>
                <w:rFonts w:ascii="宋体" w:hAnsi="宋体" w:cs="宋体" w:eastAsia="宋体" w:hint="default"/>
                <w:sz w:val="18"/>
                <w:szCs w:val="18"/>
              </w:rPr>
              <w:t>现金分红金额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43" w:right="0"/>
              <w:jc w:val="left"/>
              <w:rPr>
                <w:rFonts w:ascii="宋体" w:hAnsi="宋体" w:cs="宋体" w:eastAsia="宋体" w:hint="default"/>
                <w:sz w:val="18"/>
                <w:szCs w:val="18"/>
              </w:rPr>
            </w:pPr>
            <w:r>
              <w:rPr>
                <w:rFonts w:ascii="宋体" w:hAnsi="宋体" w:cs="宋体" w:eastAsia="宋体" w:hint="default"/>
                <w:sz w:val="18"/>
                <w:szCs w:val="18"/>
              </w:rPr>
              <w:t>以其他方式</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3" w:right="0"/>
              <w:jc w:val="left"/>
              <w:rPr>
                <w:rFonts w:ascii="宋体" w:hAnsi="宋体" w:cs="宋体" w:eastAsia="宋体" w:hint="default"/>
                <w:sz w:val="18"/>
                <w:szCs w:val="18"/>
              </w:rPr>
            </w:pPr>
            <w:r>
              <w:rPr>
                <w:rFonts w:ascii="宋体" w:hAnsi="宋体" w:cs="宋体" w:eastAsia="宋体" w:hint="default"/>
                <w:sz w:val="18"/>
                <w:szCs w:val="18"/>
              </w:rPr>
              <w:t>以其他方式现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3" w:right="0"/>
              <w:jc w:val="left"/>
              <w:rPr>
                <w:rFonts w:ascii="宋体" w:hAnsi="宋体" w:cs="宋体" w:eastAsia="宋体" w:hint="default"/>
                <w:sz w:val="18"/>
                <w:szCs w:val="18"/>
              </w:rPr>
            </w:pPr>
            <w:r>
              <w:rPr>
                <w:rFonts w:ascii="宋体" w:hAnsi="宋体" w:cs="宋体" w:eastAsia="宋体" w:hint="default"/>
                <w:sz w:val="18"/>
                <w:szCs w:val="18"/>
              </w:rPr>
              <w:t>现金分红总额</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358"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31" w:right="0"/>
              <w:jc w:val="left"/>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53" w:right="50"/>
              <w:jc w:val="center"/>
              <w:rPr>
                <w:rFonts w:ascii="宋体" w:hAnsi="宋体" w:cs="宋体" w:eastAsia="宋体" w:hint="default"/>
                <w:sz w:val="18"/>
                <w:szCs w:val="18"/>
              </w:rPr>
            </w:pPr>
            <w:r>
              <w:rPr>
                <w:rFonts w:ascii="宋体" w:hAnsi="宋体" w:cs="宋体" w:eastAsia="宋体" w:hint="default"/>
                <w:sz w:val="18"/>
                <w:szCs w:val="18"/>
              </w:rPr>
              <w:t>报表中归属于 上市公司普通 股股东的净利 润</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52" w:right="52"/>
              <w:jc w:val="center"/>
              <w:rPr>
                <w:rFonts w:ascii="宋体" w:hAnsi="宋体" w:cs="宋体" w:eastAsia="宋体" w:hint="default"/>
                <w:sz w:val="18"/>
                <w:szCs w:val="18"/>
              </w:rPr>
            </w:pPr>
            <w:r>
              <w:rPr>
                <w:rFonts w:ascii="宋体" w:hAnsi="宋体" w:cs="宋体" w:eastAsia="宋体" w:hint="default"/>
                <w:sz w:val="18"/>
                <w:szCs w:val="18"/>
              </w:rPr>
              <w:t>占合并报表中 归属于上市公 司普通股股东 的净利润的比 率</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52" w:right="50"/>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53" w:right="51"/>
              <w:jc w:val="both"/>
              <w:rPr>
                <w:rFonts w:ascii="宋体" w:hAnsi="宋体" w:cs="宋体" w:eastAsia="宋体" w:hint="default"/>
                <w:sz w:val="18"/>
                <w:szCs w:val="18"/>
              </w:rPr>
            </w:pPr>
            <w:r>
              <w:rPr>
                <w:rFonts w:ascii="宋体" w:hAnsi="宋体" w:cs="宋体" w:eastAsia="宋体" w:hint="default"/>
                <w:sz w:val="18"/>
                <w:szCs w:val="18"/>
              </w:rPr>
              <w:t>金分红金额占 合并报表中归 属于上市公司 普通股股东的 净利润的比例</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412" w:right="143"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52" w:right="50"/>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312" w:hRule="exact"/>
        </w:trPr>
        <w:tc>
          <w:tcPr>
            <w:tcW w:w="1198"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312"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312"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312"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317"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122,168,567.11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-307,286,709.0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9" w:right="0"/>
              <w:jc w:val="left"/>
              <w:rPr>
                <w:rFonts w:ascii="Times New Roman" w:hAnsi="Times New Roman" w:cs="Times New Roman" w:eastAsia="Times New Roman" w:hint="default"/>
                <w:sz w:val="18"/>
                <w:szCs w:val="18"/>
              </w:rPr>
            </w:pPr>
            <w:r>
              <w:rPr>
                <w:rFonts w:ascii="Times New Roman"/>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1" w:hRule="exact"/>
        </w:trPr>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4"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27,703,170.80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111,363,644.76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967"/>
        <w:jc w:val="left"/>
      </w:pPr>
      <w:r>
        <w:rPr/>
        <w:t>公司报告期内盈利且母公司可供普通股股东分配利润为正但未提出普通股现金红利分配预案</w:t>
      </w:r>
    </w:p>
    <w:p>
      <w:pPr>
        <w:pStyle w:val="BodyText"/>
        <w:spacing w:line="240" w:lineRule="auto" w:before="117"/>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67"/>
        <w:jc w:val="left"/>
        <w:rPr>
          <w:b w:val="0"/>
          <w:bCs w:val="0"/>
        </w:rPr>
      </w:pPr>
      <w:bookmarkStart w:name="二、承诺事项履行情况" w:id="61"/>
      <w:bookmarkEnd w:id="61"/>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967"/>
        <w:jc w:val="left"/>
        <w:rPr>
          <w:b w:val="0"/>
          <w:bCs w:val="0"/>
        </w:rPr>
      </w:pPr>
      <w:bookmarkStart w:name="1、公司实际控制人、股东、关联方、收购人以及公司等承诺相关方在报告期内履行完毕及" w:id="62"/>
      <w:bookmarkEnd w:id="62"/>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950"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2" w:lineRule="auto"/>
              <w:ind w:left="17" w:right="21"/>
              <w:jc w:val="left"/>
              <w:rPr>
                <w:rFonts w:ascii="宋体" w:hAnsi="宋体" w:cs="宋体" w:eastAsia="宋体" w:hint="default"/>
                <w:sz w:val="18"/>
                <w:szCs w:val="18"/>
              </w:rPr>
            </w:pPr>
            <w:r>
              <w:rPr>
                <w:rFonts w:ascii="宋体" w:hAnsi="宋体" w:cs="宋体" w:eastAsia="宋体" w:hint="default"/>
                <w:sz w:val="18"/>
                <w:szCs w:val="18"/>
              </w:rPr>
              <w:t>陈忠国</w:t>
            </w:r>
            <w:r>
              <w:rPr>
                <w:rFonts w:ascii="Times New Roman" w:hAnsi="Times New Roman" w:cs="Times New Roman" w:eastAsia="Times New Roman" w:hint="default"/>
                <w:sz w:val="18"/>
                <w:szCs w:val="18"/>
              </w:rPr>
              <w:t>;</w:t>
            </w:r>
            <w:r>
              <w:rPr>
                <w:rFonts w:ascii="宋体" w:hAnsi="宋体" w:cs="宋体" w:eastAsia="宋体" w:hint="default"/>
                <w:sz w:val="18"/>
                <w:szCs w:val="18"/>
              </w:rPr>
              <w:t>福州 闽清华创企 业管理服务 合伙企业（有 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李 忱</w:t>
            </w:r>
            <w:r>
              <w:rPr>
                <w:rFonts w:ascii="Times New Roman" w:hAnsi="Times New Roman" w:cs="Times New Roman" w:eastAsia="Times New Roman" w:hint="default"/>
                <w:sz w:val="18"/>
                <w:szCs w:val="18"/>
              </w:rPr>
              <w:t>;</w:t>
            </w:r>
            <w:r>
              <w:rPr>
                <w:rFonts w:ascii="宋体" w:hAnsi="宋体" w:cs="宋体" w:eastAsia="宋体" w:hint="default"/>
                <w:sz w:val="18"/>
                <w:szCs w:val="18"/>
              </w:rPr>
              <w:t>李宁</w:t>
            </w:r>
            <w:r>
              <w:rPr>
                <w:rFonts w:ascii="Times New Roman" w:hAnsi="Times New Roman" w:cs="Times New Roman" w:eastAsia="Times New Roman" w:hint="default"/>
                <w:sz w:val="18"/>
                <w:szCs w:val="18"/>
              </w:rPr>
              <w:t>;</w:t>
            </w:r>
            <w:r>
              <w:rPr>
                <w:rFonts w:ascii="宋体" w:hAnsi="宋体" w:cs="宋体" w:eastAsia="宋体" w:hint="default"/>
                <w:sz w:val="18"/>
                <w:szCs w:val="18"/>
              </w:rPr>
              <w:t>三明 市沙县嘉特 思企业管理 服务合伙企 业（有限合 伙）</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02"/>
              <w:jc w:val="left"/>
              <w:rPr>
                <w:rFonts w:ascii="宋体" w:hAnsi="宋体" w:cs="宋体" w:eastAsia="宋体" w:hint="default"/>
                <w:sz w:val="18"/>
                <w:szCs w:val="18"/>
              </w:rPr>
            </w:pPr>
            <w:r>
              <w:rPr>
                <w:rFonts w:ascii="宋体" w:hAnsi="宋体" w:cs="宋体" w:eastAsia="宋体" w:hint="default"/>
                <w:sz w:val="18"/>
                <w:szCs w:val="18"/>
              </w:rPr>
              <w:t>福州闽清华 创企业管理 服务合伙企 业（有限合 </w:t>
            </w:r>
            <w:r>
              <w:rPr>
                <w:rFonts w:ascii="宋体" w:hAnsi="宋体" w:cs="宋体" w:eastAsia="宋体" w:hint="default"/>
                <w:spacing w:val="-15"/>
                <w:sz w:val="18"/>
                <w:szCs w:val="18"/>
              </w:rPr>
              <w:t>伙）、三明市</w:t>
            </w:r>
            <w:r>
              <w:rPr>
                <w:rFonts w:ascii="宋体" w:hAnsi="宋体" w:cs="宋体" w:eastAsia="宋体" w:hint="default"/>
                <w:sz w:val="18"/>
                <w:szCs w:val="18"/>
              </w:rPr>
              <w:t> 沙县嘉特思 企业管理服 务合伙企业</w:t>
            </w:r>
          </w:p>
          <w:p>
            <w:pPr>
              <w:pStyle w:val="TableParagraph"/>
              <w:spacing w:line="316"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15"/>
                <w:sz w:val="18"/>
                <w:szCs w:val="18"/>
              </w:rPr>
              <w:t>伙）、宁波市</w:t>
            </w:r>
            <w:r>
              <w:rPr>
                <w:rFonts w:ascii="宋体" w:hAnsi="宋体" w:cs="宋体" w:eastAsia="宋体" w:hint="default"/>
                <w:sz w:val="18"/>
                <w:szCs w:val="18"/>
              </w:rPr>
              <w:t> 星通投资管 理有限公司 </w:t>
            </w:r>
            <w:r>
              <w:rPr>
                <w:rFonts w:ascii="宋体" w:hAnsi="宋体" w:cs="宋体" w:eastAsia="宋体" w:hint="default"/>
                <w:spacing w:val="-2"/>
                <w:sz w:val="18"/>
                <w:szCs w:val="18"/>
              </w:rPr>
              <w:t>共同承诺，在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考核年度即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309" w:lineRule="auto" w:before="63"/>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年度四 个会计年度 </w:t>
            </w:r>
            <w:r>
              <w:rPr>
                <w:rFonts w:ascii="宋体" w:hAnsi="宋体" w:cs="宋体" w:eastAsia="宋体" w:hint="default"/>
                <w:spacing w:val="-2"/>
                <w:sz w:val="18"/>
                <w:szCs w:val="18"/>
              </w:rPr>
              <w:t>内，北京泰策</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2021-12-31</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项已履行完 毕。</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2949"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r>
        <w:rPr/>
        <w:pict>
          <v:shape style="position:absolute;margin-left:334.483002pt;margin-top:215.419983pt;width:89pt;height:256.4pt;mso-position-horizontal-relative:page;mso-position-vertical-relative:page;z-index:-11355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4"/>
                      <w:szCs w:val="14"/>
                    </w:rPr>
                  </w:pPr>
                </w:p>
                <w:p>
                  <w:pPr>
                    <w:pStyle w:val="BodyText"/>
                    <w:spacing w:line="240" w:lineRule="auto"/>
                    <w:ind w:left="0" w:right="0"/>
                    <w:jc w:val="left"/>
                  </w:pPr>
                  <w:r>
                    <w:rPr/>
                    <w:t>及李宁、</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285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科技有限公 司净利润应 分别不低于 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pacing w:val="-2"/>
                <w:sz w:val="18"/>
                <w:szCs w:val="18"/>
              </w:rPr>
              <w:t>万元、人民币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5,200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9" w:lineRule="auto" w:before="1"/>
              <w:ind w:left="22" w:right="21"/>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6,760 </w:t>
            </w:r>
            <w:r>
              <w:rPr>
                <w:rFonts w:ascii="宋体" w:hAnsi="宋体" w:cs="宋体" w:eastAsia="宋体" w:hint="default"/>
                <w:spacing w:val="-2"/>
                <w:sz w:val="18"/>
                <w:szCs w:val="18"/>
              </w:rPr>
              <w:t>万元、人民币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6,760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097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12" w:lineRule="auto"/>
              <w:ind w:left="23" w:right="21"/>
              <w:jc w:val="left"/>
              <w:rPr>
                <w:rFonts w:ascii="宋体" w:hAnsi="宋体" w:cs="宋体" w:eastAsia="宋体" w:hint="default"/>
                <w:sz w:val="18"/>
                <w:szCs w:val="18"/>
              </w:rPr>
            </w:pPr>
            <w:r>
              <w:rPr>
                <w:rFonts w:ascii="宋体" w:hAnsi="宋体" w:cs="宋体" w:eastAsia="宋体" w:hint="default"/>
                <w:sz w:val="18"/>
                <w:szCs w:val="18"/>
              </w:rPr>
              <w:t>陈忠国</w:t>
            </w:r>
            <w:r>
              <w:rPr>
                <w:rFonts w:ascii="Times New Roman" w:hAnsi="Times New Roman" w:cs="Times New Roman" w:eastAsia="Times New Roman" w:hint="default"/>
                <w:sz w:val="18"/>
                <w:szCs w:val="18"/>
              </w:rPr>
              <w:t>;</w:t>
            </w:r>
            <w:r>
              <w:rPr>
                <w:rFonts w:ascii="宋体" w:hAnsi="宋体" w:cs="宋体" w:eastAsia="宋体" w:hint="default"/>
                <w:sz w:val="18"/>
                <w:szCs w:val="18"/>
              </w:rPr>
              <w:t>福州 闽清华创企 业管理服务 </w:t>
            </w:r>
            <w:r>
              <w:rPr>
                <w:rFonts w:ascii="宋体" w:hAnsi="宋体" w:cs="宋体" w:eastAsia="宋体" w:hint="default"/>
                <w:spacing w:val="-2"/>
                <w:sz w:val="18"/>
                <w:szCs w:val="18"/>
              </w:rPr>
              <w:t>合伙企业（有</w:t>
            </w:r>
            <w:r>
              <w:rPr>
                <w:rFonts w:ascii="宋体" w:hAnsi="宋体" w:cs="宋体" w:eastAsia="宋体" w:hint="default"/>
                <w:sz w:val="18"/>
                <w:szCs w:val="18"/>
              </w:rPr>
              <w:t> 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李 忱</w:t>
            </w:r>
            <w:r>
              <w:rPr>
                <w:rFonts w:ascii="Times New Roman" w:hAnsi="Times New Roman" w:cs="Times New Roman" w:eastAsia="Times New Roman" w:hint="default"/>
                <w:sz w:val="18"/>
                <w:szCs w:val="18"/>
              </w:rPr>
              <w:t>;</w:t>
            </w:r>
            <w:r>
              <w:rPr>
                <w:rFonts w:ascii="宋体" w:hAnsi="宋体" w:cs="宋体" w:eastAsia="宋体" w:hint="default"/>
                <w:sz w:val="18"/>
                <w:szCs w:val="18"/>
              </w:rPr>
              <w:t>李宁</w:t>
            </w:r>
            <w:r>
              <w:rPr>
                <w:rFonts w:ascii="Times New Roman" w:hAnsi="Times New Roman" w:cs="Times New Roman" w:eastAsia="Times New Roman" w:hint="default"/>
                <w:sz w:val="18"/>
                <w:szCs w:val="18"/>
              </w:rPr>
              <w:t>;</w:t>
            </w:r>
            <w:r>
              <w:rPr>
                <w:rFonts w:ascii="宋体" w:hAnsi="宋体" w:cs="宋体" w:eastAsia="宋体" w:hint="default"/>
                <w:sz w:val="18"/>
                <w:szCs w:val="18"/>
              </w:rPr>
              <w:t>三明 市沙县嘉特 思企业管理 服务合伙企 业（有限合 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福州闽清华 创企业管理 服务合伙企 业（有限合 </w:t>
            </w:r>
            <w:r>
              <w:rPr>
                <w:rFonts w:ascii="宋体" w:hAnsi="宋体" w:cs="宋体" w:eastAsia="宋体" w:hint="default"/>
                <w:spacing w:val="-15"/>
                <w:sz w:val="18"/>
                <w:szCs w:val="18"/>
              </w:rPr>
              <w:t>伙）、三明市</w:t>
            </w:r>
            <w:r>
              <w:rPr>
                <w:rFonts w:ascii="宋体" w:hAnsi="宋体" w:cs="宋体" w:eastAsia="宋体" w:hint="default"/>
                <w:sz w:val="18"/>
                <w:szCs w:val="18"/>
              </w:rPr>
              <w:t> 沙县嘉特思 企业管理服 务合伙企业</w:t>
            </w:r>
          </w:p>
          <w:p>
            <w:pPr>
              <w:pStyle w:val="TableParagraph"/>
              <w:spacing w:line="316" w:lineRule="auto" w:before="20"/>
              <w:ind w:left="22" w:right="21"/>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30"/>
                <w:sz w:val="18"/>
                <w:szCs w:val="18"/>
              </w:rPr>
              <w:t>伙）、</w:t>
            </w:r>
            <w:r>
              <w:rPr>
                <w:rFonts w:ascii="宋体" w:hAnsi="宋体" w:cs="宋体" w:eastAsia="宋体" w:hint="default"/>
                <w:sz w:val="18"/>
                <w:szCs w:val="18"/>
              </w:rPr>
              <w:t> </w:t>
            </w:r>
            <w:r>
              <w:rPr>
                <w:rFonts w:ascii="宋体" w:hAnsi="宋体" w:cs="宋体" w:eastAsia="宋体" w:hint="default"/>
                <w:spacing w:val="-2"/>
                <w:sz w:val="18"/>
                <w:szCs w:val="18"/>
              </w:rPr>
              <w:t>李忱、陈忠国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共同承诺，自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本协议签署 之日起至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6"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日期间，合</w:t>
            </w:r>
            <w:r>
              <w:rPr>
                <w:rFonts w:ascii="宋体" w:hAnsi="宋体" w:cs="宋体" w:eastAsia="宋体" w:hint="default"/>
                <w:sz w:val="18"/>
                <w:szCs w:val="18"/>
              </w:rPr>
              <w:t> 计以不低于 人民币壹亿 </w:t>
            </w:r>
            <w:r>
              <w:rPr>
                <w:rFonts w:ascii="宋体" w:hAnsi="宋体" w:cs="宋体" w:eastAsia="宋体" w:hint="default"/>
                <w:spacing w:val="-2"/>
                <w:sz w:val="18"/>
                <w:szCs w:val="18"/>
              </w:rPr>
              <w:t>元（注：指购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买东方通股 </w:t>
            </w:r>
            <w:r>
              <w:rPr>
                <w:rFonts w:ascii="宋体" w:hAnsi="宋体" w:cs="宋体" w:eastAsia="宋体" w:hint="default"/>
                <w:spacing w:val="-2"/>
                <w:sz w:val="18"/>
                <w:szCs w:val="18"/>
              </w:rPr>
              <w:t>票的对价，不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含中介费、手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续等费用）通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过集中竞价 </w:t>
            </w:r>
            <w:r>
              <w:rPr>
                <w:rFonts w:ascii="宋体" w:hAnsi="宋体" w:cs="宋体" w:eastAsia="宋体" w:hint="default"/>
                <w:spacing w:val="-2"/>
                <w:sz w:val="18"/>
                <w:szCs w:val="18"/>
              </w:rPr>
              <w:t>交易、大宗交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易或协议转 让等符合相 关法律法规 规定的方式 购买东方通 </w:t>
            </w:r>
            <w:r>
              <w:rPr>
                <w:rFonts w:ascii="宋体" w:hAnsi="宋体" w:cs="宋体" w:eastAsia="宋体" w:hint="default"/>
                <w:spacing w:val="-2"/>
                <w:sz w:val="18"/>
                <w:szCs w:val="18"/>
              </w:rPr>
              <w:t>股票（股票代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码： </w:t>
            </w:r>
            <w:r>
              <w:rPr>
                <w:rFonts w:ascii="Times New Roman" w:hAnsi="Times New Roman" w:cs="Times New Roman" w:eastAsia="Times New Roman" w:hint="default"/>
                <w:spacing w:val="-17"/>
                <w:w w:val="99"/>
                <w:sz w:val="18"/>
                <w:szCs w:val="18"/>
              </w:rPr>
              <w:t>SZ.300379</w:t>
            </w:r>
            <w:r>
              <w:rPr>
                <w:rFonts w:ascii="宋体" w:hAnsi="宋体" w:cs="宋体" w:eastAsia="宋体" w:hint="default"/>
                <w:spacing w:val="-17"/>
                <w:w w:val="99"/>
                <w:sz w:val="18"/>
                <w:szCs w:val="18"/>
              </w:rPr>
              <w:t>）。</w:t>
            </w:r>
            <w:r>
              <w:rPr>
                <w:rFonts w:ascii="宋体" w:hAnsi="宋体" w:cs="宋体" w:eastAsia="宋体" w:hint="default"/>
                <w:w w:val="99"/>
                <w:sz w:val="18"/>
                <w:szCs w:val="18"/>
              </w:rPr>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）截至</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512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2"/>
                <w:sz w:val="20"/>
                <w:szCs w:val="20"/>
              </w:rPr>
              <w:pict>
                <v:group style="width:55.85pt;height:256.4pt;mso-position-horizontal-relative:char;mso-position-vertical-relative:line" coordorigin="0,0" coordsize="1117,5128">
                  <v:group style="position:absolute;left:0;top:0;width:1117;height:5128" coordorigin="0,0" coordsize="1117,5128">
                    <v:shape style="position:absolute;left:0;top:0;width:1117;height:5128" coordorigin="0,0" coordsize="1117,5128" path="m0,5128l1116,5128,1116,0,0,0,0,5128xe" filled="true" fillcolor="#ffffff" stroked="false">
                      <v:path arrowok="t"/>
                      <v:fill type="solid"/>
                    </v:shape>
                  </v:group>
                </v:group>
              </w:pict>
            </w:r>
            <w:r>
              <w:rPr>
                <w:rFonts w:ascii="Times New Roman" w:hAnsi="Times New Roman" w:cs="Times New Roman" w:eastAsia="Times New Roman" w:hint="default"/>
                <w:position w:val="-102"/>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2022-12-31</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项已履行完 毕。</w:t>
            </w:r>
          </w:p>
        </w:tc>
      </w:tr>
    </w:tbl>
    <w:p>
      <w:pPr>
        <w:spacing w:after="0" w:line="319"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12"/>
                <w:sz w:val="18"/>
                <w:szCs w:val="18"/>
              </w:rPr>
              <w:t>日，合计购</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买东方通股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票的对价应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不低于人民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元。如合计购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买东方通股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票的出资未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能达到前述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约定，则东方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通有权根据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本协议第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条第（</w:t>
            </w:r>
            <w:r>
              <w:rPr>
                <w:rFonts w:ascii="Times New Roman" w:hAnsi="Times New Roman" w:cs="Times New Roman" w:eastAsia="Times New Roman" w:hint="default"/>
                <w:sz w:val="18"/>
                <w:szCs w:val="18"/>
              </w:rPr>
              <w:t>3</w:t>
            </w:r>
            <w:r>
              <w:rPr>
                <w:rFonts w:ascii="宋体" w:hAnsi="宋体" w:cs="宋体" w:eastAsia="宋体" w:hint="default"/>
                <w:sz w:val="18"/>
                <w:szCs w:val="18"/>
              </w:rPr>
              <w:t>）款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约定向闽清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华创支付的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中暂时扣除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前述差额部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分（差额部分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购买东方通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股票的累计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对价</w:t>
            </w:r>
            <w:r>
              <w:rPr>
                <w:rFonts w:ascii="宋体" w:hAnsi="宋体" w:cs="宋体" w:eastAsia="宋体" w:hint="default"/>
                <w:spacing w:val="-90"/>
                <w:sz w:val="18"/>
                <w:szCs w:val="18"/>
              </w:rPr>
              <w:t>）</w:t>
            </w:r>
            <w:r>
              <w:rPr>
                <w:rFonts w:ascii="宋体" w:hAnsi="宋体" w:cs="宋体" w:eastAsia="宋体" w:hint="default"/>
                <w:sz w:val="18"/>
                <w:szCs w:val="18"/>
              </w:rPr>
              <w:t>。若截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计购买东方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通股票达到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或超过差额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部分，则东方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通应于收到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书面通知并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确认后十日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内将暂时扣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除的差额部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分股权转让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款支付给闽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清华创；若截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计购买东方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通股票仍存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在差额（即累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计出资低于</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则该差额部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分东方通不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再支付；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）截至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12"/>
                <w:sz w:val="18"/>
                <w:szCs w:val="18"/>
              </w:rPr>
              <w:t>日，合计购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买东方通股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票的出资应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不低于人民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元。如合计购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买东方通股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票的出资未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能达到前述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约定，则东方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通有权根据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本协议第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条第（</w:t>
            </w:r>
            <w:r>
              <w:rPr>
                <w:rFonts w:ascii="Times New Roman" w:hAnsi="Times New Roman" w:cs="Times New Roman" w:eastAsia="Times New Roman" w:hint="default"/>
                <w:sz w:val="18"/>
                <w:szCs w:val="18"/>
              </w:rPr>
              <w:t>4</w:t>
            </w:r>
            <w:r>
              <w:rPr>
                <w:rFonts w:ascii="宋体" w:hAnsi="宋体" w:cs="宋体" w:eastAsia="宋体" w:hint="default"/>
                <w:sz w:val="18"/>
                <w:szCs w:val="18"/>
              </w:rPr>
              <w:t>）款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约定向闽清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华创支付的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中暂时扣除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前述差额部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分（差额部分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4,000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购买东方通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股票的累计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对价</w:t>
            </w:r>
            <w:r>
              <w:rPr>
                <w:rFonts w:ascii="宋体" w:hAnsi="宋体" w:cs="宋体" w:eastAsia="宋体" w:hint="default"/>
                <w:spacing w:val="-90"/>
                <w:sz w:val="18"/>
                <w:szCs w:val="18"/>
              </w:rPr>
              <w:t>）</w:t>
            </w:r>
            <w:r>
              <w:rPr>
                <w:rFonts w:ascii="宋体" w:hAnsi="宋体" w:cs="宋体" w:eastAsia="宋体" w:hint="default"/>
                <w:sz w:val="18"/>
                <w:szCs w:val="18"/>
              </w:rPr>
              <w:t>。若截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计购买东方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通股票达到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或超过差额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部分，则东方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通应于收到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书面通知并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确认后十日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内将暂时扣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除的差额部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分股权转让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款支付给闽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清华创；若截</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r>
        <w:rPr/>
        <w:pict>
          <v:shape style="position:absolute;margin-left:352.420013pt;margin-top:72.47998pt;width:71.1pt;height:686.5pt;mso-position-horizontal-relative:page;mso-position-vertical-relative:page;z-index:-11355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4"/>
                      <w:szCs w:val="14"/>
                    </w:rPr>
                  </w:pPr>
                </w:p>
                <w:p>
                  <w:pPr>
                    <w:pStyle w:val="BodyText"/>
                    <w:spacing w:line="240" w:lineRule="auto"/>
                    <w:ind w:left="0" w:right="0"/>
                    <w:jc w:val="left"/>
                  </w:pPr>
                  <w:r>
                    <w:rPr/>
                    <w:t>日，</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计购买东方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通股票仍存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在差额（即累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计出资低于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则该差额部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分东方通不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再支付；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）截至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12"/>
                <w:sz w:val="18"/>
                <w:szCs w:val="18"/>
              </w:rPr>
              <w:t>日，合计购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买东方通股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票的出资应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不低于人民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元。如合计购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买东方通股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票的出资未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能达到前述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约定，则东方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通有权根据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本协议第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条第（</w:t>
            </w:r>
            <w:r>
              <w:rPr>
                <w:rFonts w:ascii="Times New Roman" w:hAnsi="Times New Roman" w:cs="Times New Roman" w:eastAsia="Times New Roman" w:hint="default"/>
                <w:sz w:val="18"/>
                <w:szCs w:val="18"/>
              </w:rPr>
              <w:t>5</w:t>
            </w:r>
            <w:r>
              <w:rPr>
                <w:rFonts w:ascii="宋体" w:hAnsi="宋体" w:cs="宋体" w:eastAsia="宋体" w:hint="default"/>
                <w:sz w:val="18"/>
                <w:szCs w:val="18"/>
              </w:rPr>
              <w:t>）款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约定向闽清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华创支付的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中暂时扣除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前述差额部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分（差额部分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人民币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实际购买东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方通股票的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累计对价</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若截止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合计购买东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方通股票达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到或超过差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额部分，则东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方通应于收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到书面通知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并确认后十</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日内将暂时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扣除的差额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部分股权转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让款支付给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闽清华创；若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计购买东方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通股票仍存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在差额（即累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计出资低于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万元）</w:t>
            </w:r>
            <w:r>
              <w:rPr>
                <w:rFonts w:ascii="Times New Roman" w:hAnsi="Times New Roman" w:cs="Times New Roman" w:eastAsia="Times New Roman" w:hint="default"/>
                <w:spacing w:val="-14"/>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则该差额部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分东方通不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再支付。在自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本协议签署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日期间购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买的东方通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股票承诺进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行锁定，锁定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期如下：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）自本协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议签署之日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9"/>
                <w:sz w:val="18"/>
                <w:szCs w:val="18"/>
              </w:rPr>
              <w:t> </w:t>
            </w:r>
            <w:r>
              <w:rPr>
                <w:rFonts w:ascii="宋体" w:hAnsi="宋体" w:cs="宋体" w:eastAsia="宋体" w:hint="default"/>
                <w:spacing w:val="-90"/>
                <w:sz w:val="18"/>
                <w:szCs w:val="18"/>
              </w:rPr>
              <w:t>日</w:t>
            </w:r>
            <w:r>
              <w:rPr>
                <w:rFonts w:ascii="宋体" w:hAnsi="宋体" w:cs="宋体" w:eastAsia="宋体" w:hint="default"/>
                <w:sz w:val="18"/>
                <w:szCs w:val="18"/>
              </w:rPr>
              <w:t>（含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12"/>
                <w:sz w:val="18"/>
                <w:szCs w:val="18"/>
              </w:rPr>
              <w:t>日）期间购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买的东方通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股票，自购买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锁定期至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18"/>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28"/>
                <w:sz w:val="18"/>
                <w:szCs w:val="18"/>
              </w:rPr>
              <w:t>）自</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9"/>
                <w:sz w:val="18"/>
                <w:szCs w:val="18"/>
              </w:rPr>
              <w:t> </w:t>
            </w:r>
            <w:r>
              <w:rPr>
                <w:rFonts w:ascii="宋体" w:hAnsi="宋体" w:cs="宋体" w:eastAsia="宋体" w:hint="default"/>
                <w:spacing w:val="-90"/>
                <w:sz w:val="18"/>
                <w:szCs w:val="18"/>
              </w:rPr>
              <w:t>日</w:t>
            </w:r>
            <w:r>
              <w:rPr>
                <w:rFonts w:ascii="宋体" w:hAnsi="宋体" w:cs="宋体" w:eastAsia="宋体" w:hint="default"/>
                <w:sz w:val="18"/>
                <w:szCs w:val="18"/>
              </w:rPr>
              <w:t>（含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12"/>
                <w:sz w:val="18"/>
                <w:szCs w:val="18"/>
              </w:rPr>
              <w:t>日）期间购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买的东方通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566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both"/>
              <w:rPr>
                <w:rFonts w:ascii="宋体" w:hAnsi="宋体" w:cs="宋体" w:eastAsia="宋体" w:hint="default"/>
                <w:sz w:val="18"/>
                <w:szCs w:val="18"/>
              </w:rPr>
            </w:pPr>
            <w:r>
              <w:rPr>
                <w:rFonts w:ascii="宋体" w:hAnsi="宋体" w:cs="宋体" w:eastAsia="宋体" w:hint="default"/>
                <w:sz w:val="18"/>
                <w:szCs w:val="18"/>
              </w:rPr>
              <w:t>股票，自购买 之日起锁定， 锁定期至</w:t>
            </w:r>
          </w:p>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18"/>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28"/>
                <w:sz w:val="18"/>
                <w:szCs w:val="18"/>
              </w:rPr>
              <w:t>）自</w:t>
            </w:r>
            <w:r>
              <w:rPr>
                <w:rFonts w:ascii="宋体" w:hAnsi="宋体" w:cs="宋体" w:eastAsia="宋体"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9"/>
                <w:sz w:val="18"/>
                <w:szCs w:val="18"/>
              </w:rPr>
              <w:t> </w:t>
            </w:r>
            <w:r>
              <w:rPr>
                <w:rFonts w:ascii="宋体" w:hAnsi="宋体" w:cs="宋体" w:eastAsia="宋体" w:hint="default"/>
                <w:spacing w:val="-90"/>
                <w:sz w:val="18"/>
                <w:szCs w:val="18"/>
              </w:rPr>
              <w:t>日</w:t>
            </w:r>
            <w:r>
              <w:rPr>
                <w:rFonts w:ascii="宋体" w:hAnsi="宋体" w:cs="宋体" w:eastAsia="宋体" w:hint="default"/>
                <w:sz w:val="18"/>
                <w:szCs w:val="18"/>
              </w:rPr>
              <w:t>（含</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4" w:lineRule="auto" w:before="63"/>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日）期间购</w:t>
            </w:r>
            <w:r>
              <w:rPr>
                <w:rFonts w:ascii="宋体" w:hAnsi="宋体" w:cs="宋体" w:eastAsia="宋体" w:hint="default"/>
                <w:sz w:val="18"/>
                <w:szCs w:val="18"/>
              </w:rPr>
              <w:t> 买的东方通 股票，自购买 之日起锁定， 锁定期至</w:t>
            </w:r>
          </w:p>
          <w:p>
            <w:pPr>
              <w:pStyle w:val="TableParagraph"/>
              <w:spacing w:line="240" w:lineRule="auto" w:before="2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816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23" w:right="21"/>
              <w:jc w:val="both"/>
              <w:rPr>
                <w:rFonts w:ascii="宋体" w:hAnsi="宋体" w:cs="宋体" w:eastAsia="宋体" w:hint="default"/>
                <w:sz w:val="18"/>
                <w:szCs w:val="18"/>
              </w:rPr>
            </w:pPr>
            <w:r>
              <w:rPr>
                <w:rFonts w:ascii="宋体" w:hAnsi="宋体" w:cs="宋体" w:eastAsia="宋体" w:hint="default"/>
                <w:spacing w:val="-2"/>
                <w:sz w:val="18"/>
                <w:szCs w:val="18"/>
              </w:rPr>
              <w:t>张齐春、朱海</w:t>
            </w:r>
            <w:r>
              <w:rPr>
                <w:rFonts w:ascii="宋体" w:hAnsi="宋体" w:cs="宋体" w:eastAsia="宋体" w:hint="default"/>
                <w:sz w:val="18"/>
                <w:szCs w:val="18"/>
              </w:rPr>
              <w:t> </w:t>
            </w:r>
            <w:r>
              <w:rPr>
                <w:rFonts w:ascii="宋体" w:hAnsi="宋体" w:cs="宋体" w:eastAsia="宋体" w:hint="default"/>
                <w:spacing w:val="-2"/>
                <w:sz w:val="18"/>
                <w:szCs w:val="18"/>
              </w:rPr>
              <w:t>东、朱曼、朱</w:t>
            </w:r>
            <w:r>
              <w:rPr>
                <w:rFonts w:ascii="宋体" w:hAnsi="宋体" w:cs="宋体" w:eastAsia="宋体" w:hint="default"/>
                <w:sz w:val="18"/>
                <w:szCs w:val="18"/>
              </w:rPr>
              <w:t> </w:t>
            </w:r>
            <w:r>
              <w:rPr>
                <w:rFonts w:ascii="宋体" w:hAnsi="宋体" w:cs="宋体" w:eastAsia="宋体" w:hint="default"/>
                <w:spacing w:val="-2"/>
                <w:sz w:val="18"/>
                <w:szCs w:val="18"/>
              </w:rPr>
              <w:t>律玮、孙亚明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自东方通 股票上市之 日起的三十 六个月内，不 转让或委托 他人管理本 人所直接或 间接持有的 东方通股份， 也不由东方 通回购本人 所直接或间 接持有的东 方通股份；前 述锁定期满 后，在担任东 方通董事（或 监事</w:t>
            </w:r>
            <w:r>
              <w:rPr>
                <w:rFonts w:ascii="Times New Roman" w:hAnsi="Times New Roman" w:cs="Times New Roman" w:eastAsia="Times New Roman" w:hint="default"/>
                <w:sz w:val="18"/>
                <w:szCs w:val="18"/>
              </w:rPr>
              <w:t>/</w:t>
            </w:r>
            <w:r>
              <w:rPr>
                <w:rFonts w:ascii="宋体" w:hAnsi="宋体" w:cs="宋体" w:eastAsia="宋体" w:hint="default"/>
                <w:sz w:val="18"/>
                <w:szCs w:val="18"/>
              </w:rPr>
              <w:t>高级管 理人员）期 间，每年转让 的股份不超 过本人所持 有的东方通 股份总数的 百分之二十 五；在申报离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2019-01-28</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项已履行完 毕。</w:t>
            </w:r>
          </w:p>
        </w:tc>
      </w:tr>
    </w:tbl>
    <w:p>
      <w:pPr>
        <w:spacing w:after="0" w:line="319"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职后半年内</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不转让本人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所持有的东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方通股份；所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持东方通股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票在锁定期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满后两年内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减持的，减持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价格不低于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发行价；东方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通上市后六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个月内如东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方通股票连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续二十个交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易日的收盘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价均低于发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行价，或者上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市后六个月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期末收盘价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持有东方通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股票的锁定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期限自动延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长六个月。如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遇除权除息，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上述减持价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格及收盘价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均作相应调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整。上述承诺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不因职务变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更或离职等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原因而失效。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如未履行上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述承诺，转让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相关股份所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取得的收益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归东方通所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w:t>
            </w:r>
            <w:r>
              <w:rPr>
                <w:rFonts w:ascii="Times New Roman" w:hAnsi="Times New Roman" w:cs="Times New Roman" w:eastAsia="Times New Roman" w:hint="default"/>
                <w:sz w:val="18"/>
                <w:szCs w:val="18"/>
              </w:rPr>
              <w:t>2.</w:t>
            </w:r>
            <w:r>
              <w:rPr>
                <w:rFonts w:ascii="宋体" w:hAnsi="宋体" w:cs="宋体" w:eastAsia="宋体" w:hint="default"/>
                <w:sz w:val="18"/>
                <w:szCs w:val="18"/>
              </w:rPr>
              <w:t>所持东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方通股份在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锁定期满后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年内减持的，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每年减持的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股份合计不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超过其所持</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35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有的东方通 股份数的百 分之二十五， 减持价格不 低于发行价</w:t>
            </w:r>
          </w:p>
          <w:p>
            <w:pPr>
              <w:pStyle w:val="TableParagraph"/>
              <w:spacing w:line="316" w:lineRule="auto" w:before="17"/>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（如遇除权 除息，减持价 格进行相应 </w:t>
            </w:r>
            <w:r>
              <w:rPr>
                <w:rFonts w:ascii="宋体" w:hAnsi="宋体" w:cs="宋体" w:eastAsia="宋体" w:hint="default"/>
                <w:spacing w:val="-15"/>
                <w:sz w:val="18"/>
                <w:szCs w:val="18"/>
              </w:rPr>
              <w:t>调整），且将</w:t>
            </w:r>
            <w:r>
              <w:rPr>
                <w:rFonts w:ascii="宋体" w:hAnsi="宋体" w:cs="宋体" w:eastAsia="宋体" w:hint="default"/>
                <w:sz w:val="18"/>
                <w:szCs w:val="18"/>
              </w:rPr>
              <w:t> 提前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个交易 日予以公告。 如未履行上 述承诺，转让 相关股份所 取得的收益 归东方通所 有。</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47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00" w:lineRule="auto"/>
              <w:ind w:left="23" w:right="89"/>
              <w:jc w:val="both"/>
              <w:rPr>
                <w:rFonts w:ascii="宋体" w:hAnsi="宋体" w:cs="宋体" w:eastAsia="宋体" w:hint="default"/>
                <w:sz w:val="18"/>
                <w:szCs w:val="18"/>
              </w:rPr>
            </w:pPr>
            <w:r>
              <w:rPr>
                <w:rFonts w:ascii="宋体" w:hAnsi="宋体" w:cs="宋体" w:eastAsia="宋体" w:hint="default"/>
                <w:sz w:val="18"/>
                <w:szCs w:val="18"/>
              </w:rPr>
              <w:t>陈世英</w:t>
            </w:r>
            <w:r>
              <w:rPr>
                <w:rFonts w:ascii="Times New Roman" w:hAnsi="Times New Roman" w:cs="Times New Roman" w:eastAsia="Times New Roman" w:hint="default"/>
                <w:sz w:val="18"/>
                <w:szCs w:val="18"/>
              </w:rPr>
              <w:t>;</w:t>
            </w:r>
            <w:r>
              <w:rPr>
                <w:rFonts w:ascii="宋体" w:hAnsi="宋体" w:cs="宋体" w:eastAsia="宋体" w:hint="default"/>
                <w:sz w:val="18"/>
                <w:szCs w:val="18"/>
              </w:rPr>
              <w:t>陈旭</w:t>
            </w:r>
            <w:r>
              <w:rPr>
                <w:rFonts w:ascii="Times New Roman" w:hAnsi="Times New Roman" w:cs="Times New Roman" w:eastAsia="Times New Roman" w:hint="default"/>
                <w:sz w:val="18"/>
                <w:szCs w:val="18"/>
              </w:rPr>
              <w:t>; </w:t>
            </w:r>
            <w:r>
              <w:rPr>
                <w:rFonts w:ascii="宋体" w:hAnsi="宋体" w:cs="宋体" w:eastAsia="宋体" w:hint="default"/>
                <w:sz w:val="18"/>
                <w:szCs w:val="18"/>
              </w:rPr>
              <w:t>李春青</w:t>
            </w:r>
            <w:r>
              <w:rPr>
                <w:rFonts w:ascii="Times New Roman" w:hAnsi="Times New Roman" w:cs="Times New Roman" w:eastAsia="Times New Roman" w:hint="default"/>
                <w:sz w:val="18"/>
                <w:szCs w:val="18"/>
              </w:rPr>
              <w:t>;</w:t>
            </w:r>
            <w:r>
              <w:rPr>
                <w:rFonts w:ascii="宋体" w:hAnsi="宋体" w:cs="宋体" w:eastAsia="宋体" w:hint="default"/>
                <w:sz w:val="18"/>
                <w:szCs w:val="18"/>
              </w:rPr>
              <w:t>刘川</w:t>
            </w:r>
            <w:r>
              <w:rPr>
                <w:rFonts w:ascii="Times New Roman" w:hAnsi="Times New Roman" w:cs="Times New Roman" w:eastAsia="Times New Roman" w:hint="default"/>
                <w:sz w:val="18"/>
                <w:szCs w:val="18"/>
              </w:rPr>
              <w:t>; </w:t>
            </w:r>
            <w:r>
              <w:rPr>
                <w:rFonts w:ascii="宋体" w:hAnsi="宋体" w:cs="宋体" w:eastAsia="宋体" w:hint="default"/>
                <w:sz w:val="18"/>
                <w:szCs w:val="18"/>
              </w:rPr>
              <w:t>牛合庆</w:t>
            </w:r>
            <w:r>
              <w:rPr>
                <w:rFonts w:ascii="Times New Roman" w:hAnsi="Times New Roman" w:cs="Times New Roman" w:eastAsia="Times New Roman" w:hint="default"/>
                <w:sz w:val="18"/>
                <w:szCs w:val="18"/>
              </w:rPr>
              <w:t>;</w:t>
            </w:r>
            <w:r>
              <w:rPr>
                <w:rFonts w:ascii="宋体" w:hAnsi="宋体" w:cs="宋体" w:eastAsia="宋体" w:hint="default"/>
                <w:sz w:val="18"/>
                <w:szCs w:val="18"/>
              </w:rPr>
              <w:t>孙亚 明</w:t>
            </w:r>
            <w:r>
              <w:rPr>
                <w:rFonts w:ascii="Times New Roman" w:hAnsi="Times New Roman" w:cs="Times New Roman" w:eastAsia="Times New Roman" w:hint="default"/>
                <w:sz w:val="18"/>
                <w:szCs w:val="18"/>
              </w:rPr>
              <w:t>;</w:t>
            </w:r>
            <w:r>
              <w:rPr>
                <w:rFonts w:ascii="宋体" w:hAnsi="宋体" w:cs="宋体" w:eastAsia="宋体" w:hint="default"/>
                <w:sz w:val="18"/>
                <w:szCs w:val="18"/>
              </w:rPr>
              <w:t>徐少璞</w:t>
            </w:r>
            <w:r>
              <w:rPr>
                <w:rFonts w:ascii="Times New Roman" w:hAnsi="Times New Roman" w:cs="Times New Roman" w:eastAsia="Times New Roman" w:hint="default"/>
                <w:sz w:val="18"/>
                <w:szCs w:val="18"/>
              </w:rPr>
              <w:t>;</w:t>
            </w:r>
            <w:r>
              <w:rPr>
                <w:rFonts w:ascii="宋体" w:hAnsi="宋体" w:cs="宋体" w:eastAsia="宋体" w:hint="default"/>
                <w:sz w:val="18"/>
                <w:szCs w:val="18"/>
              </w:rPr>
              <w:t>徐 志东</w:t>
            </w:r>
            <w:r>
              <w:rPr>
                <w:rFonts w:ascii="Times New Roman" w:hAnsi="Times New Roman" w:cs="Times New Roman" w:eastAsia="Times New Roman" w:hint="default"/>
                <w:sz w:val="18"/>
                <w:szCs w:val="18"/>
              </w:rPr>
              <w:t>;</w:t>
            </w:r>
            <w:r>
              <w:rPr>
                <w:rFonts w:ascii="宋体" w:hAnsi="宋体" w:cs="宋体" w:eastAsia="宋体" w:hint="default"/>
                <w:sz w:val="18"/>
                <w:szCs w:val="18"/>
              </w:rPr>
              <w:t>张齐春</w:t>
            </w:r>
            <w:r>
              <w:rPr>
                <w:rFonts w:ascii="Times New Roman" w:hAnsi="Times New Roman" w:cs="Times New Roman" w:eastAsia="Times New Roman" w:hint="default"/>
                <w:sz w:val="18"/>
                <w:szCs w:val="18"/>
              </w:rPr>
              <w:t>; </w:t>
            </w:r>
            <w:r>
              <w:rPr>
                <w:rFonts w:ascii="宋体" w:hAnsi="宋体" w:cs="宋体" w:eastAsia="宋体" w:hint="default"/>
                <w:sz w:val="18"/>
                <w:szCs w:val="18"/>
              </w:rPr>
              <w:t>朱海东</w:t>
            </w:r>
            <w:r>
              <w:rPr>
                <w:rFonts w:ascii="Times New Roman" w:hAnsi="Times New Roman" w:cs="Times New Roman" w:eastAsia="Times New Roman" w:hint="default"/>
                <w:sz w:val="18"/>
                <w:szCs w:val="18"/>
              </w:rPr>
              <w:t>;</w:t>
            </w:r>
            <w:r>
              <w:rPr>
                <w:rFonts w:ascii="宋体" w:hAnsi="宋体" w:cs="宋体" w:eastAsia="宋体" w:hint="default"/>
                <w:sz w:val="18"/>
                <w:szCs w:val="18"/>
              </w:rPr>
              <w:t>朱律 玮</w:t>
            </w:r>
            <w:r>
              <w:rPr>
                <w:rFonts w:ascii="Times New Roman" w:hAnsi="Times New Roman" w:cs="Times New Roman" w:eastAsia="Times New Roman" w:hint="default"/>
                <w:sz w:val="18"/>
                <w:szCs w:val="18"/>
              </w:rPr>
              <w:t>;</w:t>
            </w:r>
            <w:r>
              <w:rPr>
                <w:rFonts w:ascii="宋体" w:hAnsi="宋体" w:cs="宋体" w:eastAsia="宋体" w:hint="default"/>
                <w:sz w:val="18"/>
                <w:szCs w:val="18"/>
              </w:rPr>
              <w:t>朱曼</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）在本承 诺函签署之 </w:t>
            </w:r>
            <w:r>
              <w:rPr>
                <w:rFonts w:ascii="宋体" w:hAnsi="宋体" w:cs="宋体" w:eastAsia="宋体" w:hint="default"/>
                <w:spacing w:val="-9"/>
                <w:sz w:val="18"/>
                <w:szCs w:val="18"/>
              </w:rPr>
              <w:t>日，本人</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本公</w:t>
            </w:r>
            <w:r>
              <w:rPr>
                <w:rFonts w:ascii="宋体" w:hAnsi="宋体" w:cs="宋体" w:eastAsia="宋体" w:hint="default"/>
                <w:spacing w:val="-88"/>
                <w:sz w:val="18"/>
                <w:szCs w:val="18"/>
              </w:rPr>
              <w:t> </w:t>
            </w:r>
            <w:r>
              <w:rPr>
                <w:rFonts w:ascii="宋体" w:hAnsi="宋体" w:cs="宋体" w:eastAsia="宋体" w:hint="default"/>
                <w:sz w:val="18"/>
                <w:szCs w:val="18"/>
              </w:rPr>
              <w:t>司不存在且 不从事与东 方通及其子 公司主营业 务相同或构 成竞争的业 务，也未直接</w:t>
            </w:r>
            <w:r>
              <w:rPr>
                <w:rFonts w:ascii="宋体" w:hAnsi="宋体" w:cs="宋体" w:eastAsia="宋体" w:hint="default"/>
                <w:sz w:val="18"/>
                <w:szCs w:val="18"/>
              </w:rPr>
              <w:t> 或间接经营 任何与东方 通及其子公 司的主营业 务相同、相似 或构成竞争 </w:t>
            </w:r>
            <w:r>
              <w:rPr>
                <w:rFonts w:ascii="宋体" w:hAnsi="宋体" w:cs="宋体" w:eastAsia="宋体" w:hint="default"/>
                <w:spacing w:val="-13"/>
                <w:sz w:val="18"/>
                <w:szCs w:val="18"/>
              </w:rPr>
              <w:t>的业务。（</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w:t>
            </w:r>
            <w:r>
              <w:rPr>
                <w:rFonts w:ascii="宋体" w:hAnsi="宋体" w:cs="宋体" w:eastAsia="宋体" w:hint="default"/>
                <w:sz w:val="18"/>
                <w:szCs w:val="18"/>
              </w:rPr>
              <w:t> 自本承诺函 签署之日起，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 将不以任何 方式从事，包 括与他人合 作直接或间 接从事与东 方通及其子 公司相同、相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项已履行完 毕。</w:t>
            </w:r>
          </w:p>
        </w:tc>
      </w:tr>
    </w:tbl>
    <w:p>
      <w:pPr>
        <w:spacing w:after="0" w:line="319"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似或在任何</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方面构成竞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）自本承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诺函签署之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日起，本人</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本公司将尽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一切可能之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努力使本人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其他关联企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业不从事与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东方通及其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子公司相同、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类似或在任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何方面构成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）自本承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诺函签署之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日起，本人</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本公司不投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资控股于业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务与东方通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相同、相似或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在任何方面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公司、企业或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其他机构、组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织</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5"/>
                <w:sz w:val="18"/>
                <w:szCs w:val="18"/>
              </w:rPr>
              <w:t>）</w:t>
            </w:r>
            <w:r>
              <w:rPr>
                <w:rFonts w:ascii="宋体" w:hAnsi="宋体" w:cs="宋体" w:eastAsia="宋体" w:hint="default"/>
                <w:sz w:val="18"/>
                <w:szCs w:val="18"/>
              </w:rPr>
              <w:t>自本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承诺函签署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本公司不向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其他业务与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东方通及其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子公司相同、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相似或在任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何方面构成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企业或其他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机构、组织或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个人提供专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有技术或提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供销售渠道、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客户信息等</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972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商业秘密；</w:t>
            </w:r>
          </w:p>
          <w:p>
            <w:pPr>
              <w:pStyle w:val="TableParagraph"/>
              <w:spacing w:line="314" w:lineRule="auto" w:before="76"/>
              <w:ind w:left="22"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）自本承 诺函签署之 日起，如果未 来本人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司拟从事的 业务可能与 东方通及其 子公司存在 同业竞争，将 本着东方通 及其子公司 优先的原则 与东方通协 </w:t>
            </w:r>
            <w:r>
              <w:rPr>
                <w:rFonts w:ascii="宋体" w:hAnsi="宋体" w:cs="宋体" w:eastAsia="宋体" w:hint="default"/>
                <w:spacing w:val="-13"/>
                <w:sz w:val="18"/>
                <w:szCs w:val="18"/>
              </w:rPr>
              <w:t>商解决。（</w:t>
            </w:r>
            <w:r>
              <w:rPr>
                <w:rFonts w:ascii="Times New Roman" w:hAnsi="Times New Roman" w:cs="Times New Roman" w:eastAsia="Times New Roman" w:hint="default"/>
                <w:spacing w:val="-13"/>
                <w:sz w:val="18"/>
                <w:szCs w:val="18"/>
              </w:rPr>
              <w:t>7</w:t>
            </w:r>
            <w:r>
              <w:rPr>
                <w:rFonts w:ascii="宋体" w:hAnsi="宋体" w:cs="宋体" w:eastAsia="宋体" w:hint="default"/>
                <w:spacing w:val="-13"/>
                <w:sz w:val="18"/>
                <w:szCs w:val="18"/>
              </w:rPr>
              <w:t>）</w:t>
            </w:r>
            <w:r>
              <w:rPr>
                <w:rFonts w:ascii="宋体" w:hAnsi="宋体" w:cs="宋体" w:eastAsia="宋体" w:hint="default"/>
                <w:sz w:val="18"/>
                <w:szCs w:val="18"/>
              </w:rPr>
              <w:t> 在本人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司作为东方 通实际控制 人或关联方 期间，本承诺 函为有效之 承诺。如上述 承诺被证明 是不真实或 未被遵守，本 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本公司将 向东方通赔 偿一切直接 和间接损失， 并承担相应 的法律责任。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10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39"/>
              <w:ind w:left="23" w:right="89"/>
              <w:jc w:val="both"/>
              <w:rPr>
                <w:rFonts w:ascii="宋体" w:hAnsi="宋体" w:cs="宋体" w:eastAsia="宋体" w:hint="default"/>
                <w:sz w:val="18"/>
                <w:szCs w:val="18"/>
              </w:rPr>
            </w:pPr>
            <w:r>
              <w:rPr>
                <w:rFonts w:ascii="宋体" w:hAnsi="宋体" w:cs="宋体" w:eastAsia="宋体" w:hint="default"/>
                <w:sz w:val="18"/>
                <w:szCs w:val="18"/>
              </w:rPr>
              <w:t>陈世英</w:t>
            </w:r>
            <w:r>
              <w:rPr>
                <w:rFonts w:ascii="Times New Roman" w:hAnsi="Times New Roman" w:cs="Times New Roman" w:eastAsia="Times New Roman" w:hint="default"/>
                <w:sz w:val="18"/>
                <w:szCs w:val="18"/>
              </w:rPr>
              <w:t>;</w:t>
            </w:r>
            <w:r>
              <w:rPr>
                <w:rFonts w:ascii="宋体" w:hAnsi="宋体" w:cs="宋体" w:eastAsia="宋体" w:hint="default"/>
                <w:sz w:val="18"/>
                <w:szCs w:val="18"/>
              </w:rPr>
              <w:t>陈旭</w:t>
            </w:r>
            <w:r>
              <w:rPr>
                <w:rFonts w:ascii="Times New Roman" w:hAnsi="Times New Roman" w:cs="Times New Roman" w:eastAsia="Times New Roman" w:hint="default"/>
                <w:sz w:val="18"/>
                <w:szCs w:val="18"/>
              </w:rPr>
              <w:t>; </w:t>
            </w:r>
            <w:r>
              <w:rPr>
                <w:rFonts w:ascii="宋体" w:hAnsi="宋体" w:cs="宋体" w:eastAsia="宋体" w:hint="default"/>
                <w:sz w:val="18"/>
                <w:szCs w:val="18"/>
              </w:rPr>
              <w:t>李春青</w:t>
            </w:r>
            <w:r>
              <w:rPr>
                <w:rFonts w:ascii="Times New Roman" w:hAnsi="Times New Roman" w:cs="Times New Roman" w:eastAsia="Times New Roman" w:hint="default"/>
                <w:sz w:val="18"/>
                <w:szCs w:val="18"/>
              </w:rPr>
              <w:t>;</w:t>
            </w:r>
            <w:r>
              <w:rPr>
                <w:rFonts w:ascii="宋体" w:hAnsi="宋体" w:cs="宋体" w:eastAsia="宋体" w:hint="default"/>
                <w:sz w:val="18"/>
                <w:szCs w:val="18"/>
              </w:rPr>
              <w:t>刘川</w:t>
            </w:r>
            <w:r>
              <w:rPr>
                <w:rFonts w:ascii="Times New Roman" w:hAnsi="Times New Roman" w:cs="Times New Roman" w:eastAsia="Times New Roman" w:hint="default"/>
                <w:sz w:val="18"/>
                <w:szCs w:val="18"/>
              </w:rPr>
              <w:t>; </w:t>
            </w:r>
            <w:r>
              <w:rPr>
                <w:rFonts w:ascii="宋体" w:hAnsi="宋体" w:cs="宋体" w:eastAsia="宋体" w:hint="default"/>
                <w:sz w:val="18"/>
                <w:szCs w:val="18"/>
              </w:rPr>
              <w:t>牛合庆</w:t>
            </w:r>
            <w:r>
              <w:rPr>
                <w:rFonts w:ascii="Times New Roman" w:hAnsi="Times New Roman" w:cs="Times New Roman" w:eastAsia="Times New Roman" w:hint="default"/>
                <w:sz w:val="18"/>
                <w:szCs w:val="18"/>
              </w:rPr>
              <w:t>;</w:t>
            </w:r>
            <w:r>
              <w:rPr>
                <w:rFonts w:ascii="宋体" w:hAnsi="宋体" w:cs="宋体" w:eastAsia="宋体" w:hint="default"/>
                <w:sz w:val="18"/>
                <w:szCs w:val="18"/>
              </w:rPr>
              <w:t>孙亚 明</w:t>
            </w:r>
            <w:r>
              <w:rPr>
                <w:rFonts w:ascii="Times New Roman" w:hAnsi="Times New Roman" w:cs="Times New Roman" w:eastAsia="Times New Roman" w:hint="default"/>
                <w:sz w:val="18"/>
                <w:szCs w:val="18"/>
              </w:rPr>
              <w:t>;</w:t>
            </w:r>
            <w:r>
              <w:rPr>
                <w:rFonts w:ascii="宋体" w:hAnsi="宋体" w:cs="宋体" w:eastAsia="宋体" w:hint="default"/>
                <w:sz w:val="18"/>
                <w:szCs w:val="18"/>
              </w:rPr>
              <w:t>徐少璞</w:t>
            </w:r>
            <w:r>
              <w:rPr>
                <w:rFonts w:ascii="Times New Roman" w:hAnsi="Times New Roman" w:cs="Times New Roman" w:eastAsia="Times New Roman" w:hint="default"/>
                <w:sz w:val="18"/>
                <w:szCs w:val="18"/>
              </w:rPr>
              <w:t>;</w:t>
            </w:r>
            <w:r>
              <w:rPr>
                <w:rFonts w:ascii="宋体" w:hAnsi="宋体" w:cs="宋体" w:eastAsia="宋体" w:hint="default"/>
                <w:sz w:val="18"/>
                <w:szCs w:val="18"/>
              </w:rPr>
              <w:t>徐 志东</w:t>
            </w:r>
            <w:r>
              <w:rPr>
                <w:rFonts w:ascii="Times New Roman" w:hAnsi="Times New Roman" w:cs="Times New Roman" w:eastAsia="Times New Roman" w:hint="default"/>
                <w:sz w:val="18"/>
                <w:szCs w:val="18"/>
              </w:rPr>
              <w:t>;</w:t>
            </w:r>
            <w:r>
              <w:rPr>
                <w:rFonts w:ascii="宋体" w:hAnsi="宋体" w:cs="宋体" w:eastAsia="宋体" w:hint="default"/>
                <w:sz w:val="18"/>
                <w:szCs w:val="18"/>
              </w:rPr>
              <w:t>张齐春</w:t>
            </w:r>
            <w:r>
              <w:rPr>
                <w:rFonts w:ascii="Times New Roman" w:hAnsi="Times New Roman" w:cs="Times New Roman" w:eastAsia="Times New Roman" w:hint="default"/>
                <w:sz w:val="18"/>
                <w:szCs w:val="18"/>
              </w:rPr>
              <w:t>; </w:t>
            </w:r>
            <w:r>
              <w:rPr>
                <w:rFonts w:ascii="宋体" w:hAnsi="宋体" w:cs="宋体" w:eastAsia="宋体" w:hint="default"/>
                <w:sz w:val="18"/>
                <w:szCs w:val="18"/>
              </w:rPr>
              <w:t>朱海东</w:t>
            </w:r>
            <w:r>
              <w:rPr>
                <w:rFonts w:ascii="Times New Roman" w:hAnsi="Times New Roman" w:cs="Times New Roman" w:eastAsia="Times New Roman" w:hint="default"/>
                <w:sz w:val="18"/>
                <w:szCs w:val="18"/>
              </w:rPr>
              <w:t>;</w:t>
            </w:r>
            <w:r>
              <w:rPr>
                <w:rFonts w:ascii="宋体" w:hAnsi="宋体" w:cs="宋体" w:eastAsia="宋体" w:hint="default"/>
                <w:sz w:val="18"/>
                <w:szCs w:val="18"/>
              </w:rPr>
              <w:t>朱律 玮</w:t>
            </w:r>
            <w:r>
              <w:rPr>
                <w:rFonts w:ascii="Times New Roman" w:hAnsi="Times New Roman" w:cs="Times New Roman" w:eastAsia="Times New Roman" w:hint="default"/>
                <w:sz w:val="18"/>
                <w:szCs w:val="18"/>
              </w:rPr>
              <w:t>;</w:t>
            </w:r>
            <w:r>
              <w:rPr>
                <w:rFonts w:ascii="宋体" w:hAnsi="宋体" w:cs="宋体" w:eastAsia="宋体" w:hint="default"/>
                <w:sz w:val="18"/>
                <w:szCs w:val="18"/>
              </w:rPr>
              <w:t>朱曼</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 诺函出具之 日，除已经披 露的情形外， 本人（包括本 人所控制的 公司）与东方 通之间不存 在其他关联 交易。本人不 利用实际控 制人的地位 影响东方通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项已履行完 毕。</w:t>
            </w:r>
          </w:p>
        </w:tc>
      </w:tr>
    </w:tbl>
    <w:p>
      <w:pPr>
        <w:spacing w:after="0" w:line="319"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的独立性、故</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意促使东方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通对与本人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（包括本人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所控制的公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司）的任何关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联交易采取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任何行动、故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意促使东方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通的股东大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会或董事会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作出侵犯其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他股东合法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权益的决议。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如果东方通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必须与本人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（包括本人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所控制的公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司）发生任何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本人承诺将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促使上述交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易按照公平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合理和正常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商业交易的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条件进行。本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人（包括本人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所控制的公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司）将不会要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求或接受东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方通给予比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在任何一项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市场公平交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易中第三者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更优惠的条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w:t>
            </w:r>
            <w:r>
              <w:rPr>
                <w:rFonts w:ascii="Times New Roman" w:hAnsi="Times New Roman" w:cs="Times New Roman" w:eastAsia="Times New Roman" w:hint="default"/>
                <w:sz w:val="18"/>
                <w:szCs w:val="18"/>
              </w:rPr>
              <w:t>2</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（包括本人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所控制的公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司）将严格和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善意地履行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与东方通签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订的各种关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联交易协议。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本人（包括本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878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人所控制的 公司）承诺将 不会向东方 通谋求任何 超出上述协 议规定以外 的利益或收 益。</w:t>
            </w:r>
            <w:r>
              <w:rPr>
                <w:rFonts w:ascii="Times New Roman" w:hAnsi="Times New Roman" w:cs="Times New Roman" w:eastAsia="Times New Roman" w:hint="default"/>
                <w:sz w:val="18"/>
                <w:szCs w:val="18"/>
              </w:rPr>
              <w:t>3</w:t>
            </w:r>
            <w:r>
              <w:rPr>
                <w:rFonts w:ascii="宋体" w:hAnsi="宋体" w:cs="宋体" w:eastAsia="宋体" w:hint="default"/>
                <w:sz w:val="18"/>
                <w:szCs w:val="18"/>
              </w:rPr>
              <w:t>、本人 对上述承诺 的真实性及 合法性负全 部法律责任， 如果本人（包 括本人所控 制的公司）违 反上述声明、 保证与承诺， 并造成东方 通的经济损 失，本人同意 赔偿相应的 损失。</w:t>
            </w:r>
            <w:r>
              <w:rPr>
                <w:rFonts w:ascii="Times New Roman" w:hAnsi="Times New Roman" w:cs="Times New Roman" w:eastAsia="Times New Roman" w:hint="default"/>
                <w:sz w:val="18"/>
                <w:szCs w:val="18"/>
              </w:rPr>
              <w:t>4</w:t>
            </w:r>
            <w:r>
              <w:rPr>
                <w:rFonts w:ascii="宋体" w:hAnsi="宋体" w:cs="宋体" w:eastAsia="宋体" w:hint="default"/>
                <w:sz w:val="18"/>
                <w:szCs w:val="18"/>
              </w:rPr>
              <w:t>、本 承诺将持续 有效，直至本 人不再作为 东方通的实 际控制人</w:t>
            </w:r>
            <w:r>
              <w:rPr>
                <w:rFonts w:ascii="Times New Roman" w:hAnsi="Times New Roman" w:cs="Times New Roman" w:eastAsia="Times New Roman" w:hint="default"/>
                <w:sz w:val="18"/>
                <w:szCs w:val="18"/>
              </w:rPr>
              <w:t>/</w:t>
            </w:r>
            <w:r>
              <w:rPr>
                <w:rFonts w:ascii="宋体" w:hAnsi="宋体" w:cs="宋体" w:eastAsia="宋体" w:hint="default"/>
                <w:sz w:val="18"/>
                <w:szCs w:val="18"/>
              </w:rPr>
              <w:t>股 东。</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04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北京东方通 科技股份有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本次公开募 集及上市文 件中如有虚 </w:t>
            </w:r>
            <w:r>
              <w:rPr>
                <w:rFonts w:ascii="宋体" w:hAnsi="宋体" w:cs="宋体" w:eastAsia="宋体" w:hint="default"/>
                <w:spacing w:val="-2"/>
                <w:sz w:val="18"/>
                <w:szCs w:val="18"/>
              </w:rPr>
              <w:t>假记载、误导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性陈述或者 </w:t>
            </w:r>
            <w:r>
              <w:rPr>
                <w:rFonts w:ascii="宋体" w:hAnsi="宋体" w:cs="宋体" w:eastAsia="宋体" w:hint="default"/>
                <w:spacing w:val="-2"/>
                <w:sz w:val="18"/>
                <w:szCs w:val="18"/>
              </w:rPr>
              <w:t>重大遗漏，对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判断公司是 否符合法律 规定的发行 条件构成重 </w:t>
            </w:r>
            <w:r>
              <w:rPr>
                <w:rFonts w:ascii="宋体" w:hAnsi="宋体" w:cs="宋体" w:eastAsia="宋体" w:hint="default"/>
                <w:spacing w:val="-2"/>
                <w:sz w:val="18"/>
                <w:szCs w:val="18"/>
              </w:rPr>
              <w:t>大、实质影响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的，将依法以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公司股票二 级市场价格 回购首次公 开发行的全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项已履行完 毕。</w:t>
            </w:r>
          </w:p>
        </w:tc>
      </w:tr>
    </w:tbl>
    <w:p>
      <w:pPr>
        <w:spacing w:after="0" w:line="319"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7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部新股。公司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公开募集及 上市文件中 如存在虚假 </w:t>
            </w:r>
            <w:r>
              <w:rPr>
                <w:rFonts w:ascii="宋体" w:hAnsi="宋体" w:cs="宋体" w:eastAsia="宋体" w:hint="default"/>
                <w:spacing w:val="-2"/>
                <w:sz w:val="18"/>
                <w:szCs w:val="18"/>
              </w:rPr>
              <w:t>记载、误导性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陈述或者重 </w:t>
            </w:r>
            <w:r>
              <w:rPr>
                <w:rFonts w:ascii="宋体" w:hAnsi="宋体" w:cs="宋体" w:eastAsia="宋体" w:hint="default"/>
                <w:spacing w:val="-2"/>
                <w:sz w:val="18"/>
                <w:szCs w:val="18"/>
              </w:rPr>
              <w:t>大遗漏，致使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投资者在证 券交易中遭 </w:t>
            </w:r>
            <w:r>
              <w:rPr>
                <w:rFonts w:ascii="宋体" w:hAnsi="宋体" w:cs="宋体" w:eastAsia="宋体" w:hint="default"/>
                <w:spacing w:val="-2"/>
                <w:sz w:val="18"/>
                <w:szCs w:val="18"/>
              </w:rPr>
              <w:t>受损失的，将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依法赔偿投 资者损失。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9451"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00" w:lineRule="auto"/>
              <w:ind w:left="23" w:right="141"/>
              <w:jc w:val="left"/>
              <w:rPr>
                <w:rFonts w:ascii="宋体" w:hAnsi="宋体" w:cs="宋体" w:eastAsia="宋体" w:hint="default"/>
                <w:sz w:val="18"/>
                <w:szCs w:val="18"/>
              </w:rPr>
            </w:pPr>
            <w:r>
              <w:rPr>
                <w:rFonts w:ascii="宋体" w:hAnsi="宋体" w:cs="宋体" w:eastAsia="宋体" w:hint="default"/>
                <w:sz w:val="18"/>
                <w:szCs w:val="18"/>
              </w:rPr>
              <w:t>张齐春</w:t>
            </w:r>
            <w:r>
              <w:rPr>
                <w:rFonts w:ascii="Times New Roman" w:hAnsi="Times New Roman" w:cs="Times New Roman" w:eastAsia="Times New Roman" w:hint="default"/>
                <w:sz w:val="18"/>
                <w:szCs w:val="18"/>
              </w:rPr>
              <w:t>;</w:t>
            </w:r>
            <w:r>
              <w:rPr>
                <w:rFonts w:ascii="宋体" w:hAnsi="宋体" w:cs="宋体" w:eastAsia="宋体" w:hint="default"/>
                <w:sz w:val="18"/>
                <w:szCs w:val="18"/>
              </w:rPr>
              <w:t>朱海 东</w:t>
            </w:r>
            <w:r>
              <w:rPr>
                <w:rFonts w:ascii="Times New Roman" w:hAnsi="Times New Roman" w:cs="Times New Roman" w:eastAsia="Times New Roman" w:hint="default"/>
                <w:sz w:val="18"/>
                <w:szCs w:val="18"/>
              </w:rPr>
              <w:t>;</w:t>
            </w:r>
            <w:r>
              <w:rPr>
                <w:rFonts w:ascii="宋体" w:hAnsi="宋体" w:cs="宋体" w:eastAsia="宋体" w:hint="default"/>
                <w:sz w:val="18"/>
                <w:szCs w:val="18"/>
              </w:rPr>
              <w:t>朱曼</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公司公开募 集及上市文 件中如有虚 假记载、误导 性陈述或者 重大遗漏，对 判断公司是 否符合法律 规定的发行 条件构成重 大、实质影响 的，将依法以 公司股票二 级市场价格 购回已转让 的原限售股 份。公司公开 募集及上市 文件中如存 在虚假记载、 误导性陈述 或者重大遗 漏，致使投资 者在证券交 易中遭受损 失的，公司控 股股东、实际 控制人将依 法赔偿投资 者损失。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项已履行完 毕。</w:t>
            </w:r>
          </w:p>
        </w:tc>
      </w:tr>
      <w:tr>
        <w:trPr>
          <w:trHeight w:val="67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陈世英</w:t>
            </w:r>
            <w:r>
              <w:rPr>
                <w:rFonts w:ascii="Times New Roman" w:hAnsi="Times New Roman" w:cs="Times New Roman" w:eastAsia="Times New Roman" w:hint="default"/>
                <w:sz w:val="18"/>
                <w:szCs w:val="18"/>
              </w:rPr>
              <w:t>;</w:t>
            </w:r>
            <w:r>
              <w:rPr>
                <w:rFonts w:ascii="宋体" w:hAnsi="宋体" w:cs="宋体" w:eastAsia="宋体" w:hint="default"/>
                <w:sz w:val="18"/>
                <w:szCs w:val="18"/>
              </w:rPr>
              <w:t>陈旭</w:t>
            </w:r>
            <w:r>
              <w:rPr>
                <w:rFonts w:ascii="Times New Roman" w:hAnsi="Times New Roman" w:cs="Times New Roman" w:eastAsia="Times New Roman" w:hint="default"/>
                <w:sz w:val="18"/>
                <w:szCs w:val="18"/>
              </w:rPr>
              <w:t>; </w:t>
            </w:r>
            <w:r>
              <w:rPr>
                <w:rFonts w:ascii="宋体" w:hAnsi="宋体" w:cs="宋体" w:eastAsia="宋体" w:hint="default"/>
                <w:sz w:val="18"/>
                <w:szCs w:val="18"/>
              </w:rPr>
              <w:t>郭峰</w:t>
            </w:r>
            <w:r>
              <w:rPr>
                <w:rFonts w:ascii="Times New Roman" w:hAnsi="Times New Roman" w:cs="Times New Roman" w:eastAsia="Times New Roman" w:hint="default"/>
                <w:sz w:val="18"/>
                <w:szCs w:val="18"/>
              </w:rPr>
              <w:t>;</w:t>
            </w:r>
            <w:r>
              <w:rPr>
                <w:rFonts w:ascii="宋体" w:hAnsi="宋体" w:cs="宋体" w:eastAsia="宋体" w:hint="default"/>
                <w:sz w:val="18"/>
                <w:szCs w:val="18"/>
              </w:rPr>
              <w:t>李春青</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公司公开募 集及上市文</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w:t>
            </w:r>
          </w:p>
        </w:tc>
      </w:tr>
    </w:tbl>
    <w:p>
      <w:pPr>
        <w:spacing w:after="0" w:line="316"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7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89"/>
              <w:jc w:val="both"/>
              <w:rPr>
                <w:rFonts w:ascii="宋体" w:hAnsi="宋体" w:cs="宋体" w:eastAsia="宋体" w:hint="default"/>
                <w:sz w:val="18"/>
                <w:szCs w:val="18"/>
              </w:rPr>
            </w:pPr>
            <w:r>
              <w:rPr>
                <w:rFonts w:ascii="宋体" w:hAnsi="宋体" w:cs="宋体" w:eastAsia="宋体" w:hint="default"/>
                <w:sz w:val="18"/>
                <w:szCs w:val="18"/>
              </w:rPr>
              <w:t>李琪</w:t>
            </w:r>
            <w:r>
              <w:rPr>
                <w:rFonts w:ascii="Times New Roman" w:hAnsi="Times New Roman" w:cs="Times New Roman" w:eastAsia="Times New Roman" w:hint="default"/>
                <w:sz w:val="18"/>
                <w:szCs w:val="18"/>
              </w:rPr>
              <w:t>;</w:t>
            </w:r>
            <w:r>
              <w:rPr>
                <w:rFonts w:ascii="宋体" w:hAnsi="宋体" w:cs="宋体" w:eastAsia="宋体" w:hint="default"/>
                <w:sz w:val="18"/>
                <w:szCs w:val="18"/>
              </w:rPr>
              <w:t>刘川</w:t>
            </w:r>
            <w:r>
              <w:rPr>
                <w:rFonts w:ascii="Times New Roman" w:hAnsi="Times New Roman" w:cs="Times New Roman" w:eastAsia="Times New Roman" w:hint="default"/>
                <w:sz w:val="18"/>
                <w:szCs w:val="18"/>
              </w:rPr>
              <w:t>;</w:t>
            </w:r>
            <w:r>
              <w:rPr>
                <w:rFonts w:ascii="宋体" w:hAnsi="宋体" w:cs="宋体" w:eastAsia="宋体" w:hint="default"/>
                <w:sz w:val="18"/>
                <w:szCs w:val="18"/>
              </w:rPr>
              <w:t>刘 峥</w:t>
            </w:r>
            <w:r>
              <w:rPr>
                <w:rFonts w:ascii="Times New Roman" w:hAnsi="Times New Roman" w:cs="Times New Roman" w:eastAsia="Times New Roman" w:hint="default"/>
                <w:sz w:val="18"/>
                <w:szCs w:val="18"/>
              </w:rPr>
              <w:t>;</w:t>
            </w:r>
            <w:r>
              <w:rPr>
                <w:rFonts w:ascii="宋体" w:hAnsi="宋体" w:cs="宋体" w:eastAsia="宋体" w:hint="default"/>
                <w:sz w:val="18"/>
                <w:szCs w:val="18"/>
              </w:rPr>
              <w:t>孙亚明</w:t>
            </w:r>
            <w:r>
              <w:rPr>
                <w:rFonts w:ascii="Times New Roman" w:hAnsi="Times New Roman" w:cs="Times New Roman" w:eastAsia="Times New Roman" w:hint="default"/>
                <w:sz w:val="18"/>
                <w:szCs w:val="18"/>
              </w:rPr>
              <w:t>;</w:t>
            </w:r>
            <w:r>
              <w:rPr>
                <w:rFonts w:ascii="宋体" w:hAnsi="宋体" w:cs="宋体" w:eastAsia="宋体" w:hint="default"/>
                <w:sz w:val="18"/>
                <w:szCs w:val="18"/>
              </w:rPr>
              <w:t>徐 少璞</w:t>
            </w:r>
            <w:r>
              <w:rPr>
                <w:rFonts w:ascii="Times New Roman" w:hAnsi="Times New Roman" w:cs="Times New Roman" w:eastAsia="Times New Roman" w:hint="default"/>
                <w:sz w:val="18"/>
                <w:szCs w:val="18"/>
              </w:rPr>
              <w:t>;</w:t>
            </w:r>
            <w:r>
              <w:rPr>
                <w:rFonts w:ascii="宋体" w:hAnsi="宋体" w:cs="宋体" w:eastAsia="宋体" w:hint="default"/>
                <w:sz w:val="18"/>
                <w:szCs w:val="18"/>
              </w:rPr>
              <w:t>徐志东</w:t>
            </w:r>
            <w:r>
              <w:rPr>
                <w:rFonts w:ascii="Times New Roman" w:hAnsi="Times New Roman" w:cs="Times New Roman" w:eastAsia="Times New Roman" w:hint="default"/>
                <w:sz w:val="18"/>
                <w:szCs w:val="18"/>
              </w:rPr>
              <w:t>; </w:t>
            </w:r>
            <w:r>
              <w:rPr>
                <w:rFonts w:ascii="宋体" w:hAnsi="宋体" w:cs="宋体" w:eastAsia="宋体" w:hint="default"/>
                <w:sz w:val="18"/>
                <w:szCs w:val="18"/>
              </w:rPr>
              <w:t>杨桦</w:t>
            </w:r>
            <w:r>
              <w:rPr>
                <w:rFonts w:ascii="Times New Roman" w:hAnsi="Times New Roman" w:cs="Times New Roman" w:eastAsia="Times New Roman" w:hint="default"/>
                <w:sz w:val="18"/>
                <w:szCs w:val="18"/>
              </w:rPr>
              <w:t>;</w:t>
            </w:r>
            <w:r>
              <w:rPr>
                <w:rFonts w:ascii="宋体" w:hAnsi="宋体" w:cs="宋体" w:eastAsia="宋体" w:hint="default"/>
                <w:sz w:val="18"/>
                <w:szCs w:val="18"/>
              </w:rPr>
              <w:t>叶路</w:t>
            </w:r>
            <w:r>
              <w:rPr>
                <w:rFonts w:ascii="Times New Roman" w:hAnsi="Times New Roman" w:cs="Times New Roman" w:eastAsia="Times New Roman" w:hint="default"/>
                <w:sz w:val="18"/>
                <w:szCs w:val="18"/>
              </w:rPr>
              <w:t>;</w:t>
            </w:r>
            <w:r>
              <w:rPr>
                <w:rFonts w:ascii="宋体" w:hAnsi="宋体" w:cs="宋体" w:eastAsia="宋体" w:hint="default"/>
                <w:sz w:val="18"/>
                <w:szCs w:val="18"/>
              </w:rPr>
              <w:t>张 志勇</w:t>
            </w:r>
            <w:r>
              <w:rPr>
                <w:rFonts w:ascii="Times New Roman" w:hAnsi="Times New Roman" w:cs="Times New Roman" w:eastAsia="Times New Roman" w:hint="default"/>
                <w:sz w:val="18"/>
                <w:szCs w:val="18"/>
              </w:rPr>
              <w:t>;</w:t>
            </w:r>
            <w:r>
              <w:rPr>
                <w:rFonts w:ascii="宋体" w:hAnsi="宋体" w:cs="宋体" w:eastAsia="宋体" w:hint="default"/>
                <w:sz w:val="18"/>
                <w:szCs w:val="18"/>
              </w:rPr>
              <w:t>赵小凡</w:t>
            </w:r>
            <w:r>
              <w:rPr>
                <w:rFonts w:ascii="Times New Roman" w:hAnsi="Times New Roman" w:cs="Times New Roman" w:eastAsia="Times New Roman" w:hint="default"/>
                <w:sz w:val="18"/>
                <w:szCs w:val="18"/>
              </w:rPr>
              <w:t>; </w:t>
            </w:r>
            <w:r>
              <w:rPr>
                <w:rFonts w:ascii="宋体" w:hAnsi="宋体" w:cs="宋体" w:eastAsia="宋体" w:hint="default"/>
                <w:sz w:val="18"/>
                <w:szCs w:val="18"/>
              </w:rPr>
              <w:t>周宁</w:t>
            </w:r>
            <w:r>
              <w:rPr>
                <w:rFonts w:ascii="Times New Roman" w:hAnsi="Times New Roman" w:cs="Times New Roman" w:eastAsia="Times New Roman" w:hint="default"/>
                <w:sz w:val="18"/>
                <w:szCs w:val="18"/>
              </w:rPr>
              <w:t>;</w:t>
            </w:r>
            <w:r>
              <w:rPr>
                <w:rFonts w:ascii="宋体" w:hAnsi="宋体" w:cs="宋体" w:eastAsia="宋体" w:hint="default"/>
                <w:sz w:val="18"/>
                <w:szCs w:val="18"/>
              </w:rPr>
              <w:t>朱律玮</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件中如存在 虚假记载、误 导性陈述或 者重大遗漏， 致使投资者 在证券交易 中遭受损失 的，公司董 事、监事和高 级管理人员 将依法赔偿 投资者损失。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项已履行完 毕。</w:t>
            </w:r>
          </w:p>
        </w:tc>
      </w:tr>
      <w:tr>
        <w:trPr>
          <w:trHeight w:val="414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3" w:right="190"/>
              <w:jc w:val="left"/>
              <w:rPr>
                <w:rFonts w:ascii="宋体" w:hAnsi="宋体" w:cs="宋体" w:eastAsia="宋体" w:hint="default"/>
                <w:sz w:val="18"/>
                <w:szCs w:val="18"/>
              </w:rPr>
            </w:pPr>
            <w:r>
              <w:rPr>
                <w:rFonts w:ascii="宋体" w:hAnsi="宋体" w:cs="宋体" w:eastAsia="宋体" w:hint="default"/>
                <w:sz w:val="18"/>
                <w:szCs w:val="18"/>
              </w:rPr>
              <w:t>国信证券股 分有限公司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因其为东方 通首次公开 发行制作、出 具的文件有 虚假记载、误 导性陈述或 者重大遗漏， 给投资者造 成损失的，将 依法赔偿投 资者损失，如 能证明无过 错的除外。</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项已履行完 毕。</w:t>
            </w:r>
          </w:p>
        </w:tc>
      </w:tr>
      <w:tr>
        <w:trPr>
          <w:trHeight w:val="414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3" w:right="190"/>
              <w:jc w:val="left"/>
              <w:rPr>
                <w:rFonts w:ascii="宋体" w:hAnsi="宋体" w:cs="宋体" w:eastAsia="宋体" w:hint="default"/>
                <w:sz w:val="18"/>
                <w:szCs w:val="18"/>
              </w:rPr>
            </w:pPr>
            <w:r>
              <w:rPr>
                <w:rFonts w:ascii="宋体" w:hAnsi="宋体" w:cs="宋体" w:eastAsia="宋体" w:hint="default"/>
                <w:sz w:val="18"/>
                <w:szCs w:val="18"/>
              </w:rPr>
              <w:t>北京市中银 律师事务所</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因本所为东 方通首次公 开发行制作、 出具的文件 有虚假记载、 误导性陈述 或者重大遗 漏，给投资者 造成损失的， 将依法赔偿 投资者损失， 如能证明无 过错的除外。</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项已履行完 毕。</w:t>
            </w:r>
          </w:p>
        </w:tc>
      </w:tr>
      <w:tr>
        <w:trPr>
          <w:trHeight w:val="161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3" w:right="21"/>
              <w:jc w:val="left"/>
              <w:rPr>
                <w:rFonts w:ascii="宋体" w:hAnsi="宋体" w:cs="宋体" w:eastAsia="宋体" w:hint="default"/>
                <w:sz w:val="18"/>
                <w:szCs w:val="18"/>
              </w:rPr>
            </w:pPr>
            <w:r>
              <w:rPr>
                <w:rFonts w:ascii="宋体" w:hAnsi="宋体" w:cs="宋体" w:eastAsia="宋体" w:hint="default"/>
                <w:sz w:val="18"/>
                <w:szCs w:val="18"/>
              </w:rPr>
              <w:t>大华会计师 </w:t>
            </w:r>
            <w:r>
              <w:rPr>
                <w:rFonts w:ascii="宋体" w:hAnsi="宋体" w:cs="宋体" w:eastAsia="宋体" w:hint="default"/>
                <w:spacing w:val="-2"/>
                <w:sz w:val="18"/>
                <w:szCs w:val="18"/>
              </w:rPr>
              <w:t>事务所（特殊</w:t>
            </w:r>
            <w:r>
              <w:rPr>
                <w:rFonts w:ascii="宋体" w:hAnsi="宋体" w:cs="宋体" w:eastAsia="宋体" w:hint="default"/>
                <w:sz w:val="18"/>
                <w:szCs w:val="18"/>
              </w:rPr>
              <w:t> 普通合伙）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因本事务所 为东方通首 次公开发行 </w:t>
            </w:r>
            <w:r>
              <w:rPr>
                <w:rFonts w:ascii="宋体" w:hAnsi="宋体" w:cs="宋体" w:eastAsia="宋体" w:hint="default"/>
                <w:spacing w:val="-2"/>
                <w:sz w:val="18"/>
                <w:szCs w:val="18"/>
              </w:rPr>
              <w:t>制作、出具的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文件有虚假</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项已履行完</w:t>
            </w:r>
          </w:p>
        </w:tc>
      </w:tr>
    </w:tbl>
    <w:p>
      <w:pPr>
        <w:spacing w:after="0" w:line="316"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285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记载、误导性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陈述或者重 </w:t>
            </w:r>
            <w:r>
              <w:rPr>
                <w:rFonts w:ascii="宋体" w:hAnsi="宋体" w:cs="宋体" w:eastAsia="宋体" w:hint="default"/>
                <w:spacing w:val="-2"/>
                <w:sz w:val="18"/>
                <w:szCs w:val="18"/>
              </w:rPr>
              <w:t>大遗漏，给投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资者造成损 </w:t>
            </w:r>
            <w:r>
              <w:rPr>
                <w:rFonts w:ascii="宋体" w:hAnsi="宋体" w:cs="宋体" w:eastAsia="宋体" w:hint="default"/>
                <w:spacing w:val="-2"/>
                <w:sz w:val="18"/>
                <w:szCs w:val="18"/>
              </w:rPr>
              <w:t>失的，将依法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赔偿投资者 </w:t>
            </w:r>
            <w:r>
              <w:rPr>
                <w:rFonts w:ascii="宋体" w:hAnsi="宋体" w:cs="宋体" w:eastAsia="宋体" w:hint="default"/>
                <w:spacing w:val="-2"/>
                <w:sz w:val="18"/>
                <w:szCs w:val="18"/>
              </w:rPr>
              <w:t>损失，如能证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明无过错的 除外。</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毕。</w:t>
            </w:r>
          </w:p>
        </w:tc>
      </w:tr>
      <w:tr>
        <w:trPr>
          <w:trHeight w:val="1097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2" w:lineRule="auto"/>
              <w:ind w:left="23" w:right="141"/>
              <w:jc w:val="left"/>
              <w:rPr>
                <w:rFonts w:ascii="宋体" w:hAnsi="宋体" w:cs="宋体" w:eastAsia="宋体" w:hint="default"/>
                <w:sz w:val="18"/>
                <w:szCs w:val="18"/>
              </w:rPr>
            </w:pPr>
            <w:r>
              <w:rPr>
                <w:rFonts w:ascii="宋体" w:hAnsi="宋体" w:cs="宋体" w:eastAsia="宋体" w:hint="default"/>
                <w:sz w:val="18"/>
                <w:szCs w:val="18"/>
              </w:rPr>
              <w:t>张齐春</w:t>
            </w:r>
            <w:r>
              <w:rPr>
                <w:rFonts w:ascii="Times New Roman" w:hAnsi="Times New Roman" w:cs="Times New Roman" w:eastAsia="Times New Roman" w:hint="default"/>
                <w:sz w:val="18"/>
                <w:szCs w:val="18"/>
              </w:rPr>
              <w:t>;</w:t>
            </w:r>
            <w:r>
              <w:rPr>
                <w:rFonts w:ascii="宋体" w:hAnsi="宋体" w:cs="宋体" w:eastAsia="宋体" w:hint="default"/>
                <w:sz w:val="18"/>
                <w:szCs w:val="18"/>
              </w:rPr>
              <w:t>朱海 东</w:t>
            </w:r>
            <w:r>
              <w:rPr>
                <w:rFonts w:ascii="Times New Roman" w:hAnsi="Times New Roman" w:cs="Times New Roman" w:eastAsia="Times New Roman" w:hint="default"/>
                <w:sz w:val="18"/>
                <w:szCs w:val="18"/>
              </w:rPr>
              <w:t>;</w:t>
            </w:r>
            <w:r>
              <w:rPr>
                <w:rFonts w:ascii="宋体" w:hAnsi="宋体" w:cs="宋体" w:eastAsia="宋体" w:hint="default"/>
                <w:sz w:val="18"/>
                <w:szCs w:val="18"/>
              </w:rPr>
              <w:t>朱曼</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针对本公司 社会保险金 和住房公积 金存在补缴 的风险作出 承诺：若公司 被追溯到任 何社会保障 法律法规和 住房公积金 执行情况，经 有关主管部 门认定需为 员工补缴社 会保险金或 住房公积金、 以及受到主 管部门处罚、 或任何利益 相关方以任 何方式提出 权利要求且 该等要求获 主管部门支 持，本人将无 条件全额承 担相关补缴、 处罚款项和 对利益相关 方的赔偿或 补偿款项，以 及公司因此 所支付的相 关费用。如本 人未能履行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项已履行完 毕。</w:t>
            </w:r>
          </w:p>
        </w:tc>
      </w:tr>
    </w:tbl>
    <w:p>
      <w:pPr>
        <w:spacing w:after="0" w:line="319"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r>
        <w:rPr/>
        <w:pict>
          <v:shape style="position:absolute;margin-left:352.420013pt;margin-top:215.419983pt;width:71.1pt;height:256.4pt;mso-position-horizontal-relative:page;mso-position-vertical-relative:page;z-index:-11354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4"/>
                      <w:szCs w:val="24"/>
                    </w:rPr>
                  </w:pPr>
                </w:p>
                <w:p>
                  <w:pPr>
                    <w:pStyle w:val="BodyText"/>
                    <w:spacing w:line="240" w:lineRule="auto"/>
                    <w:ind w:left="0" w:right="0"/>
                    <w:jc w:val="left"/>
                  </w:pPr>
                  <w:r>
                    <w:rPr/>
                    <w:t>日，</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285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已作出的《公 积金补缴承 </w:t>
            </w:r>
            <w:r>
              <w:rPr>
                <w:rFonts w:ascii="宋体" w:hAnsi="宋体" w:cs="宋体" w:eastAsia="宋体" w:hint="default"/>
                <w:spacing w:val="-15"/>
                <w:sz w:val="18"/>
                <w:szCs w:val="18"/>
              </w:rPr>
              <w:t>诺》，本人所</w:t>
            </w:r>
            <w:r>
              <w:rPr>
                <w:rFonts w:ascii="宋体" w:hAnsi="宋体" w:cs="宋体" w:eastAsia="宋体" w:hint="default"/>
                <w:sz w:val="18"/>
                <w:szCs w:val="18"/>
              </w:rPr>
              <w:t> 享有的当年 上市公司分 红收益将由 公司直接用 于补缴承诺 所涉公积金。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97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2" w:lineRule="auto"/>
              <w:ind w:left="23" w:right="141"/>
              <w:jc w:val="left"/>
              <w:rPr>
                <w:rFonts w:ascii="宋体" w:hAnsi="宋体" w:cs="宋体" w:eastAsia="宋体" w:hint="default"/>
                <w:sz w:val="18"/>
                <w:szCs w:val="18"/>
              </w:rPr>
            </w:pPr>
            <w:r>
              <w:rPr>
                <w:rFonts w:ascii="宋体" w:hAnsi="宋体" w:cs="宋体" w:eastAsia="宋体" w:hint="default"/>
                <w:sz w:val="18"/>
                <w:szCs w:val="18"/>
              </w:rPr>
              <w:t>张齐春</w:t>
            </w:r>
            <w:r>
              <w:rPr>
                <w:rFonts w:ascii="Times New Roman" w:hAnsi="Times New Roman" w:cs="Times New Roman" w:eastAsia="Times New Roman" w:hint="default"/>
                <w:sz w:val="18"/>
                <w:szCs w:val="18"/>
              </w:rPr>
              <w:t>;</w:t>
            </w:r>
            <w:r>
              <w:rPr>
                <w:rFonts w:ascii="宋体" w:hAnsi="宋体" w:cs="宋体" w:eastAsia="宋体" w:hint="default"/>
                <w:sz w:val="18"/>
                <w:szCs w:val="18"/>
              </w:rPr>
              <w:t>朱海 东</w:t>
            </w:r>
            <w:r>
              <w:rPr>
                <w:rFonts w:ascii="Times New Roman" w:hAnsi="Times New Roman" w:cs="Times New Roman" w:eastAsia="Times New Roman" w:hint="default"/>
                <w:sz w:val="18"/>
                <w:szCs w:val="18"/>
              </w:rPr>
              <w:t>;</w:t>
            </w:r>
            <w:r>
              <w:rPr>
                <w:rFonts w:ascii="宋体" w:hAnsi="宋体" w:cs="宋体" w:eastAsia="宋体" w:hint="default"/>
                <w:sz w:val="18"/>
                <w:szCs w:val="18"/>
              </w:rPr>
              <w:t>朱曼</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就深圳市东 方通科技有 限公司相关 </w:t>
            </w:r>
            <w:r>
              <w:rPr>
                <w:rFonts w:ascii="宋体" w:hAnsi="宋体" w:cs="宋体" w:eastAsia="宋体" w:hint="default"/>
                <w:spacing w:val="-13"/>
                <w:w w:val="100"/>
                <w:sz w:val="18"/>
                <w:szCs w:val="18"/>
              </w:rPr>
              <w:t>事宜承诺：</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深</w:t>
            </w:r>
            <w:r>
              <w:rPr>
                <w:rFonts w:ascii="宋体" w:hAnsi="宋体" w:cs="宋体" w:eastAsia="宋体" w:hint="default"/>
                <w:sz w:val="18"/>
                <w:szCs w:val="18"/>
              </w:rPr>
              <w:t> 圳东方通自 </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日起，不再</w:t>
            </w:r>
            <w:r>
              <w:rPr>
                <w:rFonts w:ascii="宋体" w:hAnsi="宋体" w:cs="宋体" w:eastAsia="宋体" w:hint="default"/>
                <w:sz w:val="18"/>
                <w:szCs w:val="18"/>
              </w:rPr>
              <w:t> 以深圳市东 方通科技有 </w:t>
            </w:r>
            <w:r>
              <w:rPr>
                <w:rFonts w:ascii="宋体" w:hAnsi="宋体" w:cs="宋体" w:eastAsia="宋体" w:hint="default"/>
                <w:spacing w:val="-2"/>
                <w:sz w:val="18"/>
                <w:szCs w:val="18"/>
              </w:rPr>
              <w:t>限公司（以下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深圳东 </w:t>
            </w:r>
            <w:r>
              <w:rPr>
                <w:rFonts w:ascii="宋体" w:hAnsi="宋体" w:cs="宋体" w:eastAsia="宋体" w:hint="default"/>
                <w:spacing w:val="-13"/>
                <w:w w:val="100"/>
                <w:sz w:val="18"/>
                <w:szCs w:val="18"/>
              </w:rPr>
              <w:t>方通</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）的名义</w:t>
            </w:r>
            <w:r>
              <w:rPr>
                <w:rFonts w:ascii="宋体" w:hAnsi="宋体" w:cs="宋体" w:eastAsia="宋体" w:hint="default"/>
                <w:sz w:val="18"/>
                <w:szCs w:val="18"/>
              </w:rPr>
              <w:t> 开展任何经 </w:t>
            </w:r>
            <w:r>
              <w:rPr>
                <w:rFonts w:ascii="宋体" w:hAnsi="宋体" w:cs="宋体" w:eastAsia="宋体" w:hint="default"/>
                <w:spacing w:val="-2"/>
                <w:sz w:val="18"/>
                <w:szCs w:val="18"/>
              </w:rPr>
              <w:t>营活动；</w:t>
            </w:r>
            <w:r>
              <w:rPr>
                <w:rFonts w:ascii="Times New Roman" w:hAnsi="Times New Roman" w:cs="Times New Roman" w:eastAsia="Times New Roman" w:hint="default"/>
                <w:spacing w:val="-2"/>
                <w:sz w:val="18"/>
                <w:szCs w:val="18"/>
              </w:rPr>
              <w:t>2001</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深圳东方通 的整体资产</w:t>
            </w:r>
          </w:p>
          <w:p>
            <w:pPr>
              <w:pStyle w:val="TableParagraph"/>
              <w:spacing w:line="316" w:lineRule="auto" w:before="24"/>
              <w:ind w:left="22" w:right="12"/>
              <w:jc w:val="left"/>
              <w:rPr>
                <w:rFonts w:ascii="宋体" w:hAnsi="宋体" w:cs="宋体" w:eastAsia="宋体" w:hint="default"/>
                <w:sz w:val="18"/>
                <w:szCs w:val="18"/>
              </w:rPr>
            </w:pPr>
            <w:r>
              <w:rPr>
                <w:rFonts w:ascii="宋体" w:hAnsi="宋体" w:cs="宋体" w:eastAsia="宋体" w:hint="default"/>
                <w:sz w:val="18"/>
                <w:szCs w:val="18"/>
              </w:rPr>
              <w:t>（包括债权、 债务）均已进 入北京东方 通科技发展 有限责任公 司，目前不存 在纠纷。深圳 东方通如有 任何在注销 前之尚未清 偿债务或者 潜在的、或有 的债务纠纷， 将由我们全 部承担。如深 圳东方通被 税务部门要 求补缴已免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512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2"/>
                <w:sz w:val="20"/>
                <w:szCs w:val="20"/>
              </w:rPr>
              <w:pict>
                <v:group style="width:55.85pt;height:256.4pt;mso-position-horizontal-relative:char;mso-position-vertical-relative:line" coordorigin="0,0" coordsize="1117,5128">
                  <v:group style="position:absolute;left:0;top:0;width:1117;height:5128" coordorigin="0,0" coordsize="1117,5128">
                    <v:shape style="position:absolute;left:0;top:0;width:1117;height:5128" coordorigin="0,0" coordsize="1117,5128" path="m0,5128l1116,5128,1116,0,0,0,0,5128xe" filled="true" fillcolor="#ffffff" stroked="false">
                      <v:path arrowok="t"/>
                      <v:fill type="solid"/>
                    </v:shape>
                  </v:group>
                </v:group>
              </w:pict>
            </w:r>
            <w:r>
              <w:rPr>
                <w:rFonts w:ascii="Times New Roman" w:hAnsi="Times New Roman" w:cs="Times New Roman" w:eastAsia="Times New Roman" w:hint="default"/>
                <w:position w:val="-102"/>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项已履行完 毕。</w:t>
            </w:r>
          </w:p>
        </w:tc>
      </w:tr>
    </w:tbl>
    <w:p>
      <w:pPr>
        <w:spacing w:after="0" w:line="319"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7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征、减征的企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业所得税税 </w:t>
            </w:r>
            <w:r>
              <w:rPr>
                <w:rFonts w:ascii="宋体" w:hAnsi="宋体" w:cs="宋体" w:eastAsia="宋体" w:hint="default"/>
                <w:spacing w:val="-2"/>
                <w:sz w:val="18"/>
                <w:szCs w:val="18"/>
              </w:rPr>
              <w:t>款，将由我三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w w:val="100"/>
                <w:sz w:val="18"/>
                <w:szCs w:val="18"/>
              </w:rPr>
              <w:t>人全部承担。</w:t>
            </w:r>
            <w:r>
              <w:rPr>
                <w:rFonts w:ascii="Times New Roman" w:hAnsi="Times New Roman" w:cs="Times New Roman" w:eastAsia="Times New Roman" w:hint="default"/>
                <w:spacing w:val="-13"/>
                <w:w w:val="100"/>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因未履行前 述承诺所获 收益和本人 所享有的上 市公司当年 现金分红收 益归公司所 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9139"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24"/>
              <w:ind w:left="23" w:right="141"/>
              <w:jc w:val="left"/>
              <w:rPr>
                <w:rFonts w:ascii="宋体" w:hAnsi="宋体" w:cs="宋体" w:eastAsia="宋体" w:hint="default"/>
                <w:sz w:val="18"/>
                <w:szCs w:val="18"/>
              </w:rPr>
            </w:pPr>
            <w:r>
              <w:rPr>
                <w:rFonts w:ascii="宋体" w:hAnsi="宋体" w:cs="宋体" w:eastAsia="宋体" w:hint="default"/>
                <w:sz w:val="18"/>
                <w:szCs w:val="18"/>
              </w:rPr>
              <w:t>张齐春</w:t>
            </w:r>
            <w:r>
              <w:rPr>
                <w:rFonts w:ascii="Times New Roman" w:hAnsi="Times New Roman" w:cs="Times New Roman" w:eastAsia="Times New Roman" w:hint="default"/>
                <w:sz w:val="18"/>
                <w:szCs w:val="18"/>
              </w:rPr>
              <w:t>;</w:t>
            </w:r>
            <w:r>
              <w:rPr>
                <w:rFonts w:ascii="宋体" w:hAnsi="宋体" w:cs="宋体" w:eastAsia="宋体" w:hint="default"/>
                <w:sz w:val="18"/>
                <w:szCs w:val="18"/>
              </w:rPr>
              <w:t>朱德 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为保证发行 人控制权的 </w:t>
            </w:r>
            <w:r>
              <w:rPr>
                <w:rFonts w:ascii="宋体" w:hAnsi="宋体" w:cs="宋体" w:eastAsia="宋体" w:hint="default"/>
                <w:spacing w:val="-2"/>
                <w:sz w:val="18"/>
                <w:szCs w:val="18"/>
              </w:rPr>
              <w:t>稳定性，张齐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春与朱德生 夫妇于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2011</w:t>
            </w: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共同作出承 </w:t>
            </w:r>
            <w:r>
              <w:rPr>
                <w:rFonts w:ascii="宋体" w:hAnsi="宋体" w:cs="宋体" w:eastAsia="宋体" w:hint="default"/>
                <w:spacing w:val="-2"/>
                <w:sz w:val="18"/>
                <w:szCs w:val="18"/>
              </w:rPr>
              <w:t>诺：张齐春女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士如因个人 健康原因或 任何意外之 情形导致其 </w:t>
            </w:r>
            <w:r>
              <w:rPr>
                <w:rFonts w:ascii="宋体" w:hAnsi="宋体" w:cs="宋体" w:eastAsia="宋体" w:hint="default"/>
                <w:spacing w:val="-2"/>
                <w:sz w:val="18"/>
                <w:szCs w:val="18"/>
              </w:rPr>
              <w:t>不再具备《中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华人民共和 </w:t>
            </w:r>
            <w:r>
              <w:rPr>
                <w:rFonts w:ascii="宋体" w:hAnsi="宋体" w:cs="宋体" w:eastAsia="宋体" w:hint="default"/>
                <w:spacing w:val="-2"/>
                <w:sz w:val="18"/>
                <w:szCs w:val="18"/>
              </w:rPr>
              <w:t>国公司法》规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定的公司股 </w:t>
            </w:r>
            <w:r>
              <w:rPr>
                <w:rFonts w:ascii="宋体" w:hAnsi="宋体" w:cs="宋体" w:eastAsia="宋体" w:hint="default"/>
                <w:spacing w:val="-2"/>
                <w:sz w:val="18"/>
                <w:szCs w:val="18"/>
              </w:rPr>
              <w:t>东资格，则张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齐春女士在 东方通的股 东资格由张 齐春女士和 朱德生先生 之子朱海东 </w:t>
            </w:r>
            <w:r>
              <w:rPr>
                <w:rFonts w:ascii="宋体" w:hAnsi="宋体" w:cs="宋体" w:eastAsia="宋体" w:hint="default"/>
                <w:spacing w:val="-2"/>
                <w:sz w:val="18"/>
                <w:szCs w:val="18"/>
              </w:rPr>
              <w:t>先生继承，张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齐春女士在 东方通的全 部股份由朱 海东先生持 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Times New Roman" w:hAnsi="Times New Roman" w:cs="Times New Roman" w:eastAsia="Times New Roman" w:hint="default"/>
                <w:sz w:val="18"/>
                <w:szCs w:val="18"/>
              </w:rPr>
            </w:pPr>
            <w:r>
              <w:rPr>
                <w:rFonts w:ascii="Times New Roman"/>
                <w:sz w:val="18"/>
              </w:rPr>
              <w:t>9999-12-31</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项已履行完 毕。</w:t>
            </w:r>
          </w:p>
        </w:tc>
      </w:tr>
      <w:tr>
        <w:trPr>
          <w:trHeight w:val="98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89"/>
              <w:jc w:val="both"/>
              <w:rPr>
                <w:rFonts w:ascii="宋体" w:hAnsi="宋体" w:cs="宋体" w:eastAsia="宋体" w:hint="default"/>
                <w:sz w:val="18"/>
                <w:szCs w:val="18"/>
              </w:rPr>
            </w:pPr>
            <w:r>
              <w:rPr>
                <w:rFonts w:ascii="宋体" w:hAnsi="宋体" w:cs="宋体" w:eastAsia="宋体" w:hint="default"/>
                <w:sz w:val="18"/>
                <w:szCs w:val="18"/>
              </w:rPr>
              <w:t>李春青</w:t>
            </w:r>
            <w:r>
              <w:rPr>
                <w:rFonts w:ascii="Times New Roman" w:hAnsi="Times New Roman" w:cs="Times New Roman" w:eastAsia="Times New Roman" w:hint="default"/>
                <w:sz w:val="18"/>
                <w:szCs w:val="18"/>
              </w:rPr>
              <w:t>;</w:t>
            </w:r>
            <w:r>
              <w:rPr>
                <w:rFonts w:ascii="宋体" w:hAnsi="宋体" w:cs="宋体" w:eastAsia="宋体" w:hint="default"/>
                <w:sz w:val="18"/>
                <w:szCs w:val="18"/>
              </w:rPr>
              <w:t>李明</w:t>
            </w:r>
            <w:r>
              <w:rPr>
                <w:rFonts w:ascii="Times New Roman" w:hAnsi="Times New Roman" w:cs="Times New Roman" w:eastAsia="Times New Roman" w:hint="default"/>
                <w:sz w:val="18"/>
                <w:szCs w:val="18"/>
              </w:rPr>
              <w:t>; </w:t>
            </w:r>
            <w:r>
              <w:rPr>
                <w:rFonts w:ascii="宋体" w:hAnsi="宋体" w:cs="宋体" w:eastAsia="宋体" w:hint="default"/>
                <w:sz w:val="18"/>
                <w:szCs w:val="18"/>
              </w:rPr>
              <w:t>李彦清</w:t>
            </w:r>
            <w:r>
              <w:rPr>
                <w:rFonts w:ascii="Times New Roman" w:hAnsi="Times New Roman" w:cs="Times New Roman" w:eastAsia="Times New Roman" w:hint="default"/>
                <w:sz w:val="18"/>
                <w:szCs w:val="18"/>
              </w:rPr>
              <w:t>;</w:t>
            </w:r>
            <w:r>
              <w:rPr>
                <w:rFonts w:ascii="宋体" w:hAnsi="宋体" w:cs="宋体" w:eastAsia="宋体" w:hint="default"/>
                <w:sz w:val="18"/>
                <w:szCs w:val="18"/>
              </w:rPr>
              <w:t>刘川</w:t>
            </w:r>
            <w:r>
              <w:rPr>
                <w:rFonts w:ascii="Times New Roman" w:hAnsi="Times New Roman" w:cs="Times New Roman" w:eastAsia="Times New Roman" w:hint="default"/>
                <w:sz w:val="18"/>
                <w:szCs w:val="18"/>
              </w:rPr>
              <w:t>; </w:t>
            </w:r>
            <w:r>
              <w:rPr>
                <w:rFonts w:ascii="宋体" w:hAnsi="宋体" w:cs="宋体" w:eastAsia="宋体" w:hint="default"/>
                <w:sz w:val="18"/>
                <w:szCs w:val="18"/>
              </w:rPr>
              <w:t>任宇</w:t>
            </w:r>
            <w:r>
              <w:rPr>
                <w:rFonts w:ascii="Times New Roman" w:hAnsi="Times New Roman" w:cs="Times New Roman" w:eastAsia="Times New Roman" w:hint="default"/>
                <w:sz w:val="18"/>
                <w:szCs w:val="18"/>
              </w:rPr>
              <w:t>;</w:t>
            </w:r>
            <w:r>
              <w:rPr>
                <w:rFonts w:ascii="宋体" w:hAnsi="宋体" w:cs="宋体" w:eastAsia="宋体" w:hint="default"/>
                <w:sz w:val="18"/>
                <w:szCs w:val="18"/>
              </w:rPr>
              <w:t>严洁</w:t>
            </w:r>
            <w:r>
              <w:rPr>
                <w:rFonts w:ascii="Times New Roman" w:hAnsi="Times New Roman" w:cs="Times New Roman" w:eastAsia="Times New Roman" w:hint="default"/>
                <w:sz w:val="18"/>
                <w:szCs w:val="18"/>
              </w:rPr>
              <w:t>;</w:t>
            </w:r>
            <w:r>
              <w:rPr>
                <w:rFonts w:ascii="宋体" w:hAnsi="宋体" w:cs="宋体" w:eastAsia="宋体" w:hint="default"/>
                <w:sz w:val="18"/>
                <w:szCs w:val="18"/>
              </w:rPr>
              <w:t>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东方通及其 子公司现有 </w:t>
            </w:r>
            <w:r>
              <w:rPr>
                <w:rFonts w:ascii="宋体" w:hAnsi="宋体" w:cs="宋体" w:eastAsia="宋体" w:hint="default"/>
                <w:spacing w:val="-2"/>
                <w:sz w:val="18"/>
                <w:szCs w:val="18"/>
              </w:rPr>
              <w:t>各项专利、软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w:t>
            </w:r>
          </w:p>
        </w:tc>
      </w:tr>
    </w:tbl>
    <w:p>
      <w:pPr>
        <w:spacing w:after="0" w:line="316"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816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律玮</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件著作权、核 心技术，不存 在潜在纠纷 或风险隐患； 本人与曾任 职其他单位 不存在竞业 禁止协议或 保密协议；本 人对东方通 及其子公司 作为现有各 项专利、软件 著作权的申 请人</w:t>
            </w:r>
            <w:r>
              <w:rPr>
                <w:rFonts w:ascii="Times New Roman" w:hAnsi="Times New Roman" w:cs="Times New Roman" w:eastAsia="Times New Roman" w:hint="default"/>
                <w:sz w:val="18"/>
                <w:szCs w:val="18"/>
              </w:rPr>
              <w:t>/</w:t>
            </w:r>
            <w:r>
              <w:rPr>
                <w:rFonts w:ascii="宋体" w:hAnsi="宋体" w:cs="宋体" w:eastAsia="宋体" w:hint="default"/>
                <w:sz w:val="18"/>
                <w:szCs w:val="18"/>
              </w:rPr>
              <w:t>所有人 无任何异议。 如本人未能 履行已作出 的承诺，因未 履行承诺所 获收益和本 人所享有的 上市公司当 年现金分红 收益归公司 所有。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4"/>
              <w:jc w:val="left"/>
              <w:rPr>
                <w:rFonts w:ascii="宋体" w:hAnsi="宋体" w:cs="宋体" w:eastAsia="宋体" w:hint="default"/>
                <w:sz w:val="18"/>
                <w:szCs w:val="18"/>
              </w:rPr>
            </w:pPr>
            <w:r>
              <w:rPr>
                <w:rFonts w:ascii="宋体" w:hAnsi="宋体" w:cs="宋体" w:eastAsia="宋体" w:hint="default"/>
                <w:spacing w:val="-5"/>
                <w:sz w:val="18"/>
                <w:szCs w:val="18"/>
              </w:rPr>
              <w:t>况，该承诺事</w:t>
            </w:r>
            <w:r>
              <w:rPr>
                <w:rFonts w:ascii="宋体" w:hAnsi="宋体" w:cs="宋体" w:eastAsia="宋体" w:hint="default"/>
                <w:sz w:val="18"/>
                <w:szCs w:val="18"/>
              </w:rPr>
              <w:t> 项已履行完 毕。</w:t>
            </w:r>
          </w:p>
        </w:tc>
      </w:tr>
      <w:tr>
        <w:trPr>
          <w:trHeight w:val="566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02" w:lineRule="auto"/>
              <w:ind w:left="23" w:right="141"/>
              <w:jc w:val="left"/>
              <w:rPr>
                <w:rFonts w:ascii="宋体" w:hAnsi="宋体" w:cs="宋体" w:eastAsia="宋体" w:hint="default"/>
                <w:sz w:val="18"/>
                <w:szCs w:val="18"/>
              </w:rPr>
            </w:pPr>
            <w:r>
              <w:rPr>
                <w:rFonts w:ascii="宋体" w:hAnsi="宋体" w:cs="宋体" w:eastAsia="宋体" w:hint="default"/>
                <w:sz w:val="18"/>
                <w:szCs w:val="18"/>
              </w:rPr>
              <w:t>张齐春</w:t>
            </w:r>
            <w:r>
              <w:rPr>
                <w:rFonts w:ascii="Times New Roman" w:hAnsi="Times New Roman" w:cs="Times New Roman" w:eastAsia="Times New Roman" w:hint="default"/>
                <w:sz w:val="18"/>
                <w:szCs w:val="18"/>
              </w:rPr>
              <w:t>;</w:t>
            </w:r>
            <w:r>
              <w:rPr>
                <w:rFonts w:ascii="宋体" w:hAnsi="宋体" w:cs="宋体" w:eastAsia="宋体" w:hint="default"/>
                <w:sz w:val="18"/>
                <w:szCs w:val="18"/>
              </w:rPr>
              <w:t>朱海 东</w:t>
            </w:r>
            <w:r>
              <w:rPr>
                <w:rFonts w:ascii="Times New Roman" w:hAnsi="Times New Roman" w:cs="Times New Roman" w:eastAsia="Times New Roman" w:hint="default"/>
                <w:sz w:val="18"/>
                <w:szCs w:val="18"/>
              </w:rPr>
              <w:t>;</w:t>
            </w:r>
            <w:r>
              <w:rPr>
                <w:rFonts w:ascii="宋体" w:hAnsi="宋体" w:cs="宋体" w:eastAsia="宋体" w:hint="default"/>
                <w:sz w:val="18"/>
                <w:szCs w:val="18"/>
              </w:rPr>
              <w:t>朱曼</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如本人未能 履行已作出 </w:t>
            </w:r>
            <w:r>
              <w:rPr>
                <w:rFonts w:ascii="宋体" w:hAnsi="宋体" w:cs="宋体" w:eastAsia="宋体" w:hint="default"/>
                <w:spacing w:val="-2"/>
                <w:sz w:val="18"/>
                <w:szCs w:val="18"/>
              </w:rPr>
              <w:t>的《关于避免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同业竞争的 </w:t>
            </w:r>
            <w:r>
              <w:rPr>
                <w:rFonts w:ascii="宋体" w:hAnsi="宋体" w:cs="宋体" w:eastAsia="宋体" w:hint="default"/>
                <w:spacing w:val="-28"/>
                <w:sz w:val="18"/>
                <w:szCs w:val="18"/>
              </w:rPr>
              <w:t>承诺》、《关于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规范和减少 关联交易的 </w:t>
            </w:r>
            <w:r>
              <w:rPr>
                <w:rFonts w:ascii="宋体" w:hAnsi="宋体" w:cs="宋体" w:eastAsia="宋体" w:hint="default"/>
                <w:spacing w:val="-28"/>
                <w:sz w:val="18"/>
                <w:szCs w:val="18"/>
              </w:rPr>
              <w:t>承诺》、《关于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深圳市东方 通科技有限 公司相关事 </w:t>
            </w:r>
            <w:r>
              <w:rPr>
                <w:rFonts w:ascii="宋体" w:hAnsi="宋体" w:cs="宋体" w:eastAsia="宋体" w:hint="default"/>
                <w:spacing w:val="-15"/>
                <w:sz w:val="18"/>
                <w:szCs w:val="18"/>
              </w:rPr>
              <w:t>宜的承诺》、</w:t>
            </w:r>
          </w:p>
          <w:p>
            <w:pPr>
              <w:pStyle w:val="TableParagraph"/>
              <w:spacing w:line="316" w:lineRule="auto" w:before="19"/>
              <w:ind w:left="22" w:right="102"/>
              <w:jc w:val="left"/>
              <w:rPr>
                <w:rFonts w:ascii="宋体" w:hAnsi="宋体" w:cs="宋体" w:eastAsia="宋体" w:hint="default"/>
                <w:sz w:val="18"/>
                <w:szCs w:val="18"/>
              </w:rPr>
            </w:pPr>
            <w:r>
              <w:rPr>
                <w:rFonts w:ascii="宋体" w:hAnsi="宋体" w:cs="宋体" w:eastAsia="宋体" w:hint="default"/>
                <w:sz w:val="18"/>
                <w:szCs w:val="18"/>
              </w:rPr>
              <w:t>《关于张齐 春所持股份 继承的承 </w:t>
            </w:r>
            <w:r>
              <w:rPr>
                <w:rFonts w:ascii="宋体" w:hAnsi="宋体" w:cs="宋体" w:eastAsia="宋体" w:hint="default"/>
                <w:spacing w:val="-15"/>
                <w:sz w:val="18"/>
                <w:szCs w:val="18"/>
              </w:rPr>
              <w:t>诺》，因未履</w:t>
            </w:r>
            <w:r>
              <w:rPr>
                <w:rFonts w:ascii="宋体" w:hAnsi="宋体" w:cs="宋体" w:eastAsia="宋体" w:hint="default"/>
                <w:sz w:val="18"/>
                <w:szCs w:val="18"/>
              </w:rPr>
              <w:t> 行前述承诺 所获收益和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项已履行完 毕。</w:t>
            </w:r>
          </w:p>
        </w:tc>
      </w:tr>
    </w:tbl>
    <w:p>
      <w:pPr>
        <w:spacing w:after="0" w:line="319"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473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本人所享有 的上市公司 当年现金分 红收益归公 </w:t>
            </w:r>
            <w:r>
              <w:rPr>
                <w:rFonts w:ascii="宋体" w:hAnsi="宋体" w:cs="宋体" w:eastAsia="宋体" w:hint="default"/>
                <w:spacing w:val="-2"/>
                <w:sz w:val="18"/>
                <w:szCs w:val="18"/>
              </w:rPr>
              <w:t>司所有；如本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人未能履行 </w:t>
            </w:r>
            <w:r>
              <w:rPr>
                <w:rFonts w:ascii="宋体" w:hAnsi="宋体" w:cs="宋体" w:eastAsia="宋体" w:hint="default"/>
                <w:spacing w:val="-2"/>
                <w:sz w:val="18"/>
                <w:szCs w:val="18"/>
              </w:rPr>
              <w:t>已作出的《公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积金补缴承 </w:t>
            </w:r>
            <w:r>
              <w:rPr>
                <w:rFonts w:ascii="宋体" w:hAnsi="宋体" w:cs="宋体" w:eastAsia="宋体" w:hint="default"/>
                <w:spacing w:val="-15"/>
                <w:sz w:val="18"/>
                <w:szCs w:val="18"/>
              </w:rPr>
              <w:t>诺》，本人所</w:t>
            </w:r>
            <w:r>
              <w:rPr>
                <w:rFonts w:ascii="宋体" w:hAnsi="宋体" w:cs="宋体" w:eastAsia="宋体" w:hint="default"/>
                <w:sz w:val="18"/>
                <w:szCs w:val="18"/>
              </w:rPr>
              <w:t> 享有的当年 公司分红收 益将由公司 直接用于补 缴承诺所涉 公积金。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7" w:lineRule="auto"/>
              <w:ind w:left="23" w:right="22"/>
              <w:jc w:val="left"/>
              <w:rPr>
                <w:rFonts w:ascii="宋体" w:hAnsi="宋体" w:cs="宋体" w:eastAsia="宋体" w:hint="default"/>
                <w:sz w:val="18"/>
                <w:szCs w:val="18"/>
              </w:rPr>
            </w:pPr>
            <w:r>
              <w:rPr>
                <w:rFonts w:ascii="宋体" w:hAnsi="宋体" w:cs="宋体" w:eastAsia="宋体" w:hint="default"/>
                <w:sz w:val="18"/>
                <w:szCs w:val="18"/>
              </w:rPr>
              <w:t>陈世英</w:t>
            </w:r>
            <w:r>
              <w:rPr>
                <w:rFonts w:ascii="Times New Roman" w:hAnsi="Times New Roman" w:cs="Times New Roman" w:eastAsia="Times New Roman" w:hint="default"/>
                <w:sz w:val="18"/>
                <w:szCs w:val="18"/>
              </w:rPr>
              <w:t>;</w:t>
            </w:r>
            <w:r>
              <w:rPr>
                <w:rFonts w:ascii="宋体" w:hAnsi="宋体" w:cs="宋体" w:eastAsia="宋体" w:hint="default"/>
                <w:sz w:val="18"/>
                <w:szCs w:val="18"/>
              </w:rPr>
              <w:t>陈旭</w:t>
            </w:r>
            <w:r>
              <w:rPr>
                <w:rFonts w:ascii="Times New Roman" w:hAnsi="Times New Roman" w:cs="Times New Roman" w:eastAsia="Times New Roman" w:hint="default"/>
                <w:sz w:val="18"/>
                <w:szCs w:val="18"/>
              </w:rPr>
              <w:t>; </w:t>
            </w:r>
            <w:r>
              <w:rPr>
                <w:rFonts w:ascii="宋体" w:hAnsi="宋体" w:cs="宋体" w:eastAsia="宋体" w:hint="default"/>
                <w:sz w:val="18"/>
                <w:szCs w:val="18"/>
              </w:rPr>
              <w:t>东华软件股 份公司</w:t>
            </w:r>
            <w:r>
              <w:rPr>
                <w:rFonts w:ascii="Times New Roman" w:hAnsi="Times New Roman" w:cs="Times New Roman" w:eastAsia="Times New Roman" w:hint="default"/>
                <w:sz w:val="18"/>
                <w:szCs w:val="18"/>
              </w:rPr>
              <w:t>;</w:t>
            </w:r>
            <w:r>
              <w:rPr>
                <w:rFonts w:ascii="宋体" w:hAnsi="宋体" w:cs="宋体" w:eastAsia="宋体" w:hint="default"/>
                <w:sz w:val="18"/>
                <w:szCs w:val="18"/>
              </w:rPr>
              <w:t>李春 青</w:t>
            </w:r>
            <w:r>
              <w:rPr>
                <w:rFonts w:ascii="Times New Roman" w:hAnsi="Times New Roman" w:cs="Times New Roman" w:eastAsia="Times New Roman" w:hint="default"/>
                <w:sz w:val="18"/>
                <w:szCs w:val="18"/>
              </w:rPr>
              <w:t>;</w:t>
            </w:r>
            <w:r>
              <w:rPr>
                <w:rFonts w:ascii="宋体" w:hAnsi="宋体" w:cs="宋体" w:eastAsia="宋体" w:hint="default"/>
                <w:sz w:val="18"/>
                <w:szCs w:val="18"/>
              </w:rPr>
              <w:t>刘川</w:t>
            </w:r>
            <w:r>
              <w:rPr>
                <w:rFonts w:ascii="Times New Roman" w:hAnsi="Times New Roman" w:cs="Times New Roman" w:eastAsia="Times New Roman" w:hint="default"/>
                <w:sz w:val="18"/>
                <w:szCs w:val="18"/>
              </w:rPr>
              <w:t>;</w:t>
            </w:r>
            <w:r>
              <w:rPr>
                <w:rFonts w:ascii="宋体" w:hAnsi="宋体" w:cs="宋体" w:eastAsia="宋体" w:hint="default"/>
                <w:sz w:val="18"/>
                <w:szCs w:val="18"/>
              </w:rPr>
              <w:t>牛合 庆</w:t>
            </w:r>
            <w:r>
              <w:rPr>
                <w:rFonts w:ascii="Times New Roman" w:hAnsi="Times New Roman" w:cs="Times New Roman" w:eastAsia="Times New Roman" w:hint="default"/>
                <w:sz w:val="18"/>
                <w:szCs w:val="18"/>
              </w:rPr>
              <w:t>;</w:t>
            </w:r>
            <w:r>
              <w:rPr>
                <w:rFonts w:ascii="宋体" w:hAnsi="宋体" w:cs="宋体" w:eastAsia="宋体" w:hint="default"/>
                <w:sz w:val="18"/>
                <w:szCs w:val="18"/>
              </w:rPr>
              <w:t>孙亚明</w:t>
            </w:r>
            <w:r>
              <w:rPr>
                <w:rFonts w:ascii="Times New Roman" w:hAnsi="Times New Roman" w:cs="Times New Roman" w:eastAsia="Times New Roman" w:hint="default"/>
                <w:sz w:val="18"/>
                <w:szCs w:val="18"/>
              </w:rPr>
              <w:t>;</w:t>
            </w:r>
            <w:r>
              <w:rPr>
                <w:rFonts w:ascii="宋体" w:hAnsi="宋体" w:cs="宋体" w:eastAsia="宋体" w:hint="default"/>
                <w:sz w:val="18"/>
                <w:szCs w:val="18"/>
              </w:rPr>
              <w:t>徐 少璞</w:t>
            </w:r>
            <w:r>
              <w:rPr>
                <w:rFonts w:ascii="Times New Roman" w:hAnsi="Times New Roman" w:cs="Times New Roman" w:eastAsia="Times New Roman" w:hint="default"/>
                <w:sz w:val="18"/>
                <w:szCs w:val="18"/>
              </w:rPr>
              <w:t>;</w:t>
            </w:r>
            <w:r>
              <w:rPr>
                <w:rFonts w:ascii="宋体" w:hAnsi="宋体" w:cs="宋体" w:eastAsia="宋体" w:hint="default"/>
                <w:sz w:val="18"/>
                <w:szCs w:val="18"/>
              </w:rPr>
              <w:t>徐志东</w:t>
            </w:r>
            <w:r>
              <w:rPr>
                <w:rFonts w:ascii="Times New Roman" w:hAnsi="Times New Roman" w:cs="Times New Roman" w:eastAsia="Times New Roman" w:hint="default"/>
                <w:sz w:val="18"/>
                <w:szCs w:val="18"/>
              </w:rPr>
              <w:t>; </w:t>
            </w:r>
            <w:r>
              <w:rPr>
                <w:rFonts w:ascii="宋体" w:hAnsi="宋体" w:cs="宋体" w:eastAsia="宋体" w:hint="default"/>
                <w:sz w:val="18"/>
                <w:szCs w:val="18"/>
              </w:rPr>
              <w:t>盈富泰克创 业投资有限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涌金实 </w:t>
            </w:r>
            <w:r>
              <w:rPr>
                <w:rFonts w:ascii="宋体" w:hAnsi="宋体" w:cs="宋体" w:eastAsia="宋体" w:hint="default"/>
                <w:spacing w:val="-2"/>
                <w:sz w:val="18"/>
                <w:szCs w:val="18"/>
              </w:rPr>
              <w:t>业（集团）有</w:t>
            </w:r>
            <w:r>
              <w:rPr>
                <w:rFonts w:ascii="宋体" w:hAnsi="宋体" w:cs="宋体" w:eastAsia="宋体" w:hint="default"/>
                <w:sz w:val="18"/>
                <w:szCs w:val="18"/>
              </w:rPr>
              <w:t>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朱律 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如本人未能 履行已作出</w:t>
            </w:r>
          </w:p>
          <w:p>
            <w:pPr>
              <w:pStyle w:val="TableParagraph"/>
              <w:spacing w:line="319"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《关于避免 同业竞争的 </w:t>
            </w:r>
            <w:r>
              <w:rPr>
                <w:rFonts w:ascii="宋体" w:hAnsi="宋体" w:cs="宋体" w:eastAsia="宋体" w:hint="default"/>
                <w:spacing w:val="-28"/>
                <w:sz w:val="18"/>
                <w:szCs w:val="18"/>
              </w:rPr>
              <w:t>承诺》、《关于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规范和减少 关联交易的 </w:t>
            </w:r>
            <w:r>
              <w:rPr>
                <w:rFonts w:ascii="宋体" w:hAnsi="宋体" w:cs="宋体" w:eastAsia="宋体" w:hint="default"/>
                <w:spacing w:val="-28"/>
                <w:sz w:val="18"/>
                <w:szCs w:val="18"/>
              </w:rPr>
              <w:t>承诺》、《股份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锁定承诺》等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承诺，因未履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行承诺所获 收益和本人 所享有公司 当年现金分 红收益归公 司所有。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项已履行完 毕。</w:t>
            </w:r>
          </w:p>
        </w:tc>
      </w:tr>
      <w:tr>
        <w:trPr>
          <w:trHeight w:val="410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3" w:right="190"/>
              <w:jc w:val="both"/>
              <w:rPr>
                <w:rFonts w:ascii="宋体" w:hAnsi="宋体" w:cs="宋体" w:eastAsia="宋体" w:hint="default"/>
                <w:sz w:val="18"/>
                <w:szCs w:val="18"/>
              </w:rPr>
            </w:pPr>
            <w:r>
              <w:rPr>
                <w:rFonts w:ascii="宋体" w:hAnsi="宋体" w:cs="宋体" w:eastAsia="宋体" w:hint="default"/>
                <w:sz w:val="18"/>
                <w:szCs w:val="18"/>
              </w:rPr>
              <w:t>北京微智信 业科技有限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根据盈利承 诺补偿协议， 微智信业股 东黄永军、曲 涛、吴志辉、 江敏承诺微 智信业</w:t>
            </w:r>
          </w:p>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2" w:right="192"/>
              <w:jc w:val="both"/>
              <w:rPr>
                <w:rFonts w:ascii="宋体" w:hAnsi="宋体" w:cs="宋体" w:eastAsia="宋体" w:hint="default"/>
                <w:sz w:val="18"/>
                <w:szCs w:val="18"/>
              </w:rPr>
            </w:pPr>
            <w:r>
              <w:rPr>
                <w:rFonts w:ascii="宋体" w:hAnsi="宋体" w:cs="宋体" w:eastAsia="宋体" w:hint="default"/>
                <w:sz w:val="18"/>
                <w:szCs w:val="18"/>
              </w:rPr>
              <w:t>实现的扣除 非经常性损 益后归属于 母公司股东 的净利润分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项已履行完 毕。</w:t>
            </w:r>
          </w:p>
        </w:tc>
      </w:tr>
    </w:tbl>
    <w:p>
      <w:pPr>
        <w:spacing w:after="0" w:line="319"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61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别不低于</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570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长安基金－ 工商银行－ 大业信托－ </w:t>
            </w:r>
            <w:r>
              <w:rPr>
                <w:rFonts w:ascii="宋体" w:hAnsi="宋体" w:cs="宋体" w:eastAsia="宋体" w:hint="default"/>
                <w:spacing w:val="-2"/>
                <w:sz w:val="18"/>
                <w:szCs w:val="18"/>
              </w:rPr>
              <w:t>大业信托·平</w:t>
            </w:r>
            <w:r>
              <w:rPr>
                <w:rFonts w:ascii="宋体" w:hAnsi="宋体" w:cs="宋体" w:eastAsia="宋体" w:hint="default"/>
                <w:sz w:val="18"/>
                <w:szCs w:val="18"/>
              </w:rPr>
              <w:t> 安富贵东方 通单一资金 信托</w:t>
            </w:r>
            <w:r>
              <w:rPr>
                <w:rFonts w:ascii="Times New Roman" w:hAnsi="Times New Roman" w:cs="Times New Roman" w:eastAsia="Times New Roman" w:hint="default"/>
                <w:sz w:val="18"/>
                <w:szCs w:val="18"/>
              </w:rPr>
              <w:t>;</w:t>
            </w:r>
            <w:r>
              <w:rPr>
                <w:rFonts w:ascii="宋体" w:hAnsi="宋体" w:cs="宋体" w:eastAsia="宋体" w:hint="default"/>
                <w:sz w:val="18"/>
                <w:szCs w:val="18"/>
              </w:rPr>
              <w:t>黄永军</w:t>
            </w:r>
            <w:r>
              <w:rPr>
                <w:rFonts w:ascii="Times New Roman" w:hAnsi="Times New Roman" w:cs="Times New Roman" w:eastAsia="Times New Roman" w:hint="default"/>
                <w:sz w:val="18"/>
                <w:szCs w:val="18"/>
              </w:rPr>
              <w:t>; </w:t>
            </w:r>
            <w:r>
              <w:rPr>
                <w:rFonts w:ascii="宋体" w:hAnsi="宋体" w:cs="宋体" w:eastAsia="宋体" w:hint="default"/>
                <w:sz w:val="18"/>
                <w:szCs w:val="18"/>
              </w:rPr>
              <w:t>深圳平安大 华汇通财富</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－平安银行</w:t>
            </w:r>
          </w:p>
          <w:p>
            <w:pPr>
              <w:pStyle w:val="TableParagraph"/>
              <w:spacing w:line="309" w:lineRule="auto" w:before="76"/>
              <w:ind w:left="23" w:right="21"/>
              <w:jc w:val="left"/>
              <w:rPr>
                <w:rFonts w:ascii="宋体" w:hAnsi="宋体" w:cs="宋体" w:eastAsia="宋体" w:hint="default"/>
                <w:sz w:val="18"/>
                <w:szCs w:val="18"/>
              </w:rPr>
            </w:pPr>
            <w:r>
              <w:rPr>
                <w:rFonts w:ascii="宋体" w:hAnsi="宋体" w:cs="宋体" w:eastAsia="宋体" w:hint="default"/>
                <w:sz w:val="18"/>
                <w:szCs w:val="18"/>
              </w:rPr>
              <w:t>－平安汇通 星通资本定 向投资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号资 产管理计划</w:t>
            </w:r>
            <w:r>
              <w:rPr>
                <w:rFonts w:ascii="Times New Roman" w:hAnsi="Times New Roman" w:cs="Times New Roman" w:eastAsia="Times New Roman" w:hint="default"/>
                <w:sz w:val="18"/>
                <w:szCs w:val="18"/>
              </w:rPr>
              <w:t>; </w:t>
            </w:r>
            <w:r>
              <w:rPr>
                <w:rFonts w:ascii="宋体" w:hAnsi="宋体" w:cs="宋体" w:eastAsia="宋体" w:hint="default"/>
                <w:sz w:val="18"/>
                <w:szCs w:val="18"/>
              </w:rPr>
              <w:t>兴业全球基 金－招商银 行－沈惠中</w:t>
            </w:r>
            <w:r>
              <w:rPr>
                <w:rFonts w:ascii="Times New Roman" w:hAnsi="Times New Roman" w:cs="Times New Roman" w:eastAsia="Times New Roman" w:hint="default"/>
                <w:sz w:val="18"/>
                <w:szCs w:val="18"/>
              </w:rPr>
              <w:t>; </w:t>
            </w:r>
            <w:r>
              <w:rPr>
                <w:rFonts w:ascii="宋体" w:hAnsi="宋体" w:cs="宋体" w:eastAsia="宋体" w:hint="default"/>
                <w:sz w:val="18"/>
                <w:szCs w:val="18"/>
              </w:rPr>
              <w:t>朱曼</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4" w:lineRule="auto"/>
              <w:ind w:left="22" w:right="21"/>
              <w:jc w:val="left"/>
              <w:rPr>
                <w:rFonts w:ascii="宋体" w:hAnsi="宋体" w:cs="宋体" w:eastAsia="宋体" w:hint="default"/>
                <w:sz w:val="18"/>
                <w:szCs w:val="18"/>
              </w:rPr>
            </w:pPr>
            <w:r>
              <w:rPr>
                <w:rFonts w:ascii="宋体" w:hAnsi="宋体" w:cs="宋体" w:eastAsia="宋体" w:hint="default"/>
                <w:sz w:val="18"/>
                <w:szCs w:val="18"/>
              </w:rPr>
              <w:t>本次非公开 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 </w:t>
            </w:r>
            <w:r>
              <w:rPr>
                <w:rFonts w:ascii="宋体" w:hAnsi="宋体" w:cs="宋体" w:eastAsia="宋体" w:hint="default"/>
                <w:spacing w:val="-2"/>
                <w:sz w:val="18"/>
                <w:szCs w:val="18"/>
              </w:rPr>
              <w:t>票完成后，所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有发行对象 认购的股份 均自本次发 行结束之日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不得转让。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2019-07-26</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项已履行完 毕。</w:t>
            </w:r>
          </w:p>
        </w:tc>
      </w:tr>
      <w:tr>
        <w:trPr>
          <w:trHeight w:val="1409"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7" w:right="190"/>
              <w:jc w:val="both"/>
              <w:rPr>
                <w:rFonts w:ascii="宋体" w:hAnsi="宋体" w:cs="宋体" w:eastAsia="宋体" w:hint="default"/>
                <w:sz w:val="18"/>
                <w:szCs w:val="18"/>
              </w:rPr>
            </w:pPr>
            <w:r>
              <w:rPr>
                <w:rFonts w:ascii="宋体" w:hAnsi="宋体" w:cs="宋体" w:eastAsia="宋体" w:hint="default"/>
                <w:sz w:val="18"/>
                <w:szCs w:val="18"/>
              </w:rPr>
              <w:t>北京东方通 科技股份有 限公司</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公司承诺不 为激励对象 依本激励计 划获取有关 权益提供贷 款以及其他 任何形式的 </w:t>
            </w:r>
            <w:r>
              <w:rPr>
                <w:rFonts w:ascii="宋体" w:hAnsi="宋体" w:cs="宋体" w:eastAsia="宋体" w:hint="default"/>
                <w:spacing w:val="-2"/>
                <w:sz w:val="18"/>
                <w:szCs w:val="18"/>
              </w:rPr>
              <w:t>财务资助，包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括为其贷款 提供担保。</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2019-09-07</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项已履行完 毕。</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1409"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3"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100" w:bottom="1160" w:left="980" w:right="0"/>
        </w:sectPr>
      </w:pPr>
    </w:p>
    <w:p>
      <w:pPr>
        <w:spacing w:line="240" w:lineRule="auto" w:before="7"/>
        <w:rPr>
          <w:rFonts w:ascii="Times New Roman" w:hAnsi="Times New Roman" w:cs="Times New Roman" w:eastAsia="Times New Roman" w:hint="default"/>
          <w:sz w:val="23"/>
          <w:szCs w:val="23"/>
        </w:rPr>
      </w:pPr>
    </w:p>
    <w:p>
      <w:pPr>
        <w:pStyle w:val="Heading3"/>
        <w:spacing w:line="259" w:lineRule="auto" w:before="35"/>
        <w:ind w:right="967"/>
        <w:jc w:val="left"/>
        <w:rPr>
          <w:b w:val="0"/>
          <w:bCs w:val="0"/>
        </w:rPr>
      </w:pPr>
      <w:bookmarkStart w:name="2、公司资产或项目存在盈利预测，且报告期仍处在盈利预测期间，公司就资产或项目达到" w:id="63"/>
      <w:bookmarkEnd w:id="63"/>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194"/>
        <w:gridCol w:w="1196"/>
        <w:gridCol w:w="1195"/>
        <w:gridCol w:w="1197"/>
        <w:gridCol w:w="1196"/>
        <w:gridCol w:w="1196"/>
        <w:gridCol w:w="1199"/>
        <w:gridCol w:w="1195"/>
      </w:tblGrid>
      <w:tr>
        <w:trPr>
          <w:trHeight w:val="714"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1"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5" w:right="5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2" w:right="50"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962"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81"/>
              <w:jc w:val="left"/>
              <w:rPr>
                <w:rFonts w:ascii="宋体" w:hAnsi="宋体" w:cs="宋体" w:eastAsia="宋体" w:hint="default"/>
                <w:sz w:val="18"/>
                <w:szCs w:val="18"/>
              </w:rPr>
            </w:pPr>
            <w:r>
              <w:rPr>
                <w:rFonts w:ascii="宋体" w:hAnsi="宋体" w:cs="宋体" w:eastAsia="宋体" w:hint="default"/>
                <w:sz w:val="18"/>
                <w:szCs w:val="18"/>
              </w:rPr>
              <w:t>北京微智信业 科技有限公司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7,215.45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5"/>
              <w:ind w:left="22"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 ninfo.com.cn/</w:t>
            </w:r>
            <w:r>
              <w:rPr>
                <w:rFonts w:ascii="宋体" w:hAnsi="宋体" w:cs="宋体" w:eastAsia="宋体" w:hint="default"/>
                <w:sz w:val="18"/>
                <w:szCs w:val="18"/>
              </w:rPr>
              <w:t>）</w:t>
            </w:r>
          </w:p>
          <w:p>
            <w:pPr>
              <w:pStyle w:val="TableParagraph"/>
              <w:spacing w:line="319" w:lineRule="auto" w:before="13"/>
              <w:ind w:left="22" w:right="80"/>
              <w:jc w:val="both"/>
              <w:rPr>
                <w:rFonts w:ascii="宋体" w:hAnsi="宋体" w:cs="宋体" w:eastAsia="宋体" w:hint="default"/>
                <w:sz w:val="18"/>
                <w:szCs w:val="18"/>
              </w:rPr>
            </w:pPr>
            <w:r>
              <w:rPr>
                <w:rFonts w:ascii="宋体" w:hAnsi="宋体" w:cs="宋体" w:eastAsia="宋体" w:hint="default"/>
                <w:sz w:val="18"/>
                <w:szCs w:val="18"/>
              </w:rPr>
              <w:t>《东方通：非 公开发行股票 预案》</w:t>
            </w:r>
          </w:p>
        </w:tc>
      </w:tr>
      <w:tr>
        <w:trPr>
          <w:trHeight w:val="2587"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81"/>
              <w:jc w:val="left"/>
              <w:rPr>
                <w:rFonts w:ascii="宋体" w:hAnsi="宋体" w:cs="宋体" w:eastAsia="宋体" w:hint="default"/>
                <w:sz w:val="18"/>
                <w:szCs w:val="18"/>
              </w:rPr>
            </w:pPr>
            <w:r>
              <w:rPr>
                <w:rFonts w:ascii="宋体" w:hAnsi="宋体" w:cs="宋体" w:eastAsia="宋体" w:hint="default"/>
                <w:sz w:val="18"/>
                <w:szCs w:val="18"/>
              </w:rPr>
              <w:t>北京泰策科技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4,119.06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5"/>
              <w:ind w:left="22"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 ninfo.com.cn/</w:t>
            </w:r>
            <w:r>
              <w:rPr>
                <w:rFonts w:ascii="宋体" w:hAnsi="宋体" w:cs="宋体" w:eastAsia="宋体" w:hint="default"/>
                <w:sz w:val="18"/>
                <w:szCs w:val="18"/>
              </w:rPr>
              <w:t>）</w:t>
            </w:r>
          </w:p>
          <w:p>
            <w:pPr>
              <w:pStyle w:val="TableParagraph"/>
              <w:spacing w:line="314" w:lineRule="auto" w:before="13"/>
              <w:ind w:left="22" w:right="80"/>
              <w:jc w:val="left"/>
              <w:rPr>
                <w:rFonts w:ascii="宋体" w:hAnsi="宋体" w:cs="宋体" w:eastAsia="宋体" w:hint="default"/>
                <w:sz w:val="18"/>
                <w:szCs w:val="18"/>
              </w:rPr>
            </w:pPr>
            <w:r>
              <w:rPr>
                <w:rFonts w:ascii="宋体" w:hAnsi="宋体" w:cs="宋体" w:eastAsia="宋体" w:hint="default"/>
                <w:sz w:val="18"/>
                <w:szCs w:val="18"/>
              </w:rPr>
              <w:t>《关于收购北 京泰策科技有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股权的补充公 告》</w:t>
            </w:r>
          </w:p>
        </w:tc>
      </w:tr>
    </w:tbl>
    <w:p>
      <w:pPr>
        <w:pStyle w:val="BodyText"/>
        <w:spacing w:line="240" w:lineRule="auto" w:before="51"/>
        <w:ind w:right="967"/>
        <w:jc w:val="left"/>
      </w:pPr>
      <w:r>
        <w:rPr/>
        <w:t>公司股东、交易对手方对公司或相关资产年度经营业绩作出的承诺情况</w:t>
      </w:r>
    </w:p>
    <w:p>
      <w:pPr>
        <w:pStyle w:val="BodyText"/>
        <w:spacing w:line="240" w:lineRule="auto" w:before="116"/>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131" w:firstLine="360"/>
        <w:jc w:val="both"/>
      </w:pPr>
      <w:r>
        <w:rPr>
          <w:rFonts w:ascii="Times New Roman" w:hAnsi="Times New Roman" w:cs="Times New Roman" w:eastAsia="Times New Roman" w:hint="default"/>
          <w:spacing w:val="-1"/>
        </w:rPr>
        <w:t>1.</w:t>
      </w:r>
      <w:r>
        <w:rPr>
          <w:spacing w:val="-1"/>
        </w:rPr>
        <w:t>根据公司与微智信业的原主要股东黄永军、曲涛、吴志辉、江敏签定的《盈利承诺补偿协议》及《盈利承诺补偿协议</w:t>
      </w:r>
      <w:r>
        <w:rPr/>
        <w:t> </w:t>
      </w:r>
      <w:r>
        <w:rPr>
          <w:spacing w:val="-1"/>
        </w:rPr>
        <w:t>之补充协议》，交易对方承诺微智信业</w:t>
      </w:r>
      <w:r>
        <w:rPr>
          <w:rFonts w:ascii="Times New Roman" w:hAnsi="Times New Roman" w:cs="Times New Roman" w:eastAsia="Times New Roman" w:hint="default"/>
          <w:spacing w:val="-1"/>
        </w:rPr>
        <w:t>2015-2018</w:t>
      </w:r>
      <w:r>
        <w:rPr>
          <w:spacing w:val="-1"/>
        </w:rPr>
        <w:t>年实现的扣除非经常性损益后归属于母公司股东的净利润分别不低于</w:t>
      </w:r>
      <w:r>
        <w:rPr>
          <w:rFonts w:ascii="Times New Roman" w:hAnsi="Times New Roman" w:cs="Times New Roman" w:eastAsia="Times New Roman" w:hint="default"/>
          <w:spacing w:val="-1"/>
        </w:rPr>
        <w:t>4,150</w:t>
      </w:r>
      <w:r>
        <w:rPr>
          <w:rFonts w:ascii="Times New Roman" w:hAnsi="Times New Roman" w:cs="Times New Roman" w:eastAsia="Times New Roman" w:hint="default"/>
          <w:spacing w:val="8"/>
        </w:rPr>
        <w:t> </w:t>
      </w:r>
      <w:r>
        <w:rPr/>
        <w:t>万元、</w:t>
      </w:r>
      <w:r>
        <w:rPr>
          <w:rFonts w:ascii="Times New Roman" w:hAnsi="Times New Roman" w:cs="Times New Roman" w:eastAsia="Times New Roman" w:hint="default"/>
        </w:rPr>
        <w:t>5,400</w:t>
      </w:r>
      <w:r>
        <w:rPr/>
        <w:t>万元、</w:t>
      </w:r>
      <w:r>
        <w:rPr>
          <w:rFonts w:ascii="Times New Roman" w:hAnsi="Times New Roman" w:cs="Times New Roman" w:eastAsia="Times New Roman" w:hint="default"/>
        </w:rPr>
        <w:t>7,000</w:t>
      </w:r>
      <w:r>
        <w:rPr/>
        <w:t>万元和</w:t>
      </w:r>
      <w:r>
        <w:rPr>
          <w:rFonts w:ascii="Times New Roman" w:hAnsi="Times New Roman" w:cs="Times New Roman" w:eastAsia="Times New Roman" w:hint="default"/>
        </w:rPr>
        <w:t>7,000</w:t>
      </w:r>
      <w:r>
        <w:rPr/>
        <w:t>万元。</w:t>
      </w:r>
    </w:p>
    <w:p>
      <w:pPr>
        <w:pStyle w:val="BodyText"/>
        <w:spacing w:line="300" w:lineRule="auto" w:before="13"/>
        <w:ind w:right="1187" w:firstLine="360"/>
        <w:jc w:val="left"/>
      </w:pPr>
      <w:r>
        <w:rPr>
          <w:rFonts w:ascii="Times New Roman" w:hAnsi="Times New Roman" w:cs="Times New Roman" w:eastAsia="Times New Roman" w:hint="default"/>
        </w:rPr>
        <w:t>2018</w:t>
      </w:r>
      <w:r>
        <w:rPr/>
        <w:t>年度微智信业经审计的扣除非经常性损益后实现的归属于母公司股东的净利润为</w:t>
      </w:r>
      <w:r>
        <w:rPr>
          <w:spacing w:val="-20"/>
        </w:rPr>
        <w:t> </w:t>
      </w:r>
      <w:r>
        <w:rPr>
          <w:rFonts w:ascii="Times New Roman" w:hAnsi="Times New Roman" w:cs="Times New Roman" w:eastAsia="Times New Roman" w:hint="default"/>
        </w:rPr>
        <w:t>71,321,680.36</w:t>
      </w:r>
      <w:r>
        <w:rPr/>
        <w:t>元，承诺的归属母 公司所有者的净利润为</w:t>
      </w:r>
      <w:r>
        <w:rPr>
          <w:rFonts w:ascii="Times New Roman" w:hAnsi="Times New Roman" w:cs="Times New Roman" w:eastAsia="Times New Roman" w:hint="default"/>
        </w:rPr>
        <w:t>70,000,000.00</w:t>
      </w:r>
      <w:r>
        <w:rPr/>
        <w:t>元，实现数高于承诺数</w:t>
      </w:r>
      <w:r>
        <w:rPr>
          <w:rFonts w:ascii="Times New Roman" w:hAnsi="Times New Roman" w:cs="Times New Roman" w:eastAsia="Times New Roman" w:hint="default"/>
        </w:rPr>
        <w:t>1,321,680.36</w:t>
      </w:r>
      <w:r>
        <w:rPr/>
        <w:t>元，实现率为</w:t>
      </w:r>
      <w:r>
        <w:rPr>
          <w:rFonts w:ascii="Times New Roman" w:hAnsi="Times New Roman" w:cs="Times New Roman" w:eastAsia="Times New Roman" w:hint="default"/>
        </w:rPr>
        <w:t>101.89%</w:t>
      </w:r>
      <w:r>
        <w:rPr/>
        <w:t>。</w:t>
      </w:r>
    </w:p>
    <w:p>
      <w:pPr>
        <w:spacing w:line="240" w:lineRule="auto" w:before="11"/>
        <w:rPr>
          <w:rFonts w:ascii="宋体" w:hAnsi="宋体" w:cs="宋体" w:eastAsia="宋体" w:hint="default"/>
          <w:sz w:val="24"/>
          <w:szCs w:val="24"/>
        </w:rPr>
      </w:pPr>
    </w:p>
    <w:p>
      <w:pPr>
        <w:pStyle w:val="BodyText"/>
        <w:spacing w:line="300" w:lineRule="auto"/>
        <w:ind w:right="967" w:firstLine="360"/>
        <w:jc w:val="left"/>
      </w:pPr>
      <w:r>
        <w:rPr>
          <w:rFonts w:ascii="Times New Roman" w:hAnsi="Times New Roman" w:cs="Times New Roman" w:eastAsia="Times New Roman" w:hint="default"/>
          <w:spacing w:val="-6"/>
        </w:rPr>
        <w:t>2.</w:t>
      </w:r>
      <w:r>
        <w:rPr>
          <w:spacing w:val="-6"/>
        </w:rPr>
        <w:t>根据公司与福州闽清华创企业管理服务合伙企业（有限合伙）、三明市沙县嘉特思企业管理服务合伙企业（有限合伙）、</w:t>
      </w:r>
      <w:r>
        <w:rPr/>
        <w:t> </w:t>
      </w:r>
      <w:r>
        <w:rPr>
          <w:spacing w:val="-3"/>
        </w:rPr>
        <w:t>李宁、李忱、陈忠国签订的交易协议，交易对方承诺泰策科技</w:t>
      </w:r>
      <w:r>
        <w:rPr>
          <w:rFonts w:ascii="Times New Roman" w:hAnsi="Times New Roman" w:cs="Times New Roman" w:eastAsia="Times New Roman" w:hint="default"/>
          <w:spacing w:val="-3"/>
        </w:rPr>
        <w:t>2018~2021</w:t>
      </w:r>
      <w:r>
        <w:rPr>
          <w:spacing w:val="-3"/>
        </w:rPr>
        <w:t>年，净利润分别不低于</w:t>
      </w:r>
      <w:r>
        <w:rPr>
          <w:rFonts w:ascii="Times New Roman" w:hAnsi="Times New Roman" w:cs="Times New Roman" w:eastAsia="Times New Roman" w:hint="default"/>
          <w:spacing w:val="-3"/>
        </w:rPr>
        <w:t>4,000</w:t>
      </w:r>
      <w:r>
        <w:rPr>
          <w:spacing w:val="-3"/>
        </w:rPr>
        <w:t>万元、</w:t>
      </w:r>
      <w:r>
        <w:rPr>
          <w:rFonts w:ascii="Times New Roman" w:hAnsi="Times New Roman" w:cs="Times New Roman" w:eastAsia="Times New Roman" w:hint="default"/>
          <w:spacing w:val="-3"/>
        </w:rPr>
        <w:t>5,200</w:t>
      </w:r>
      <w:r>
        <w:rPr>
          <w:spacing w:val="-3"/>
        </w:rPr>
        <w:t>万元、</w:t>
      </w:r>
      <w:r>
        <w:rPr>
          <w:rFonts w:ascii="Times New Roman" w:hAnsi="Times New Roman" w:cs="Times New Roman" w:eastAsia="Times New Roman" w:hint="default"/>
          <w:spacing w:val="-3"/>
        </w:rPr>
        <w:t>6,760</w:t>
      </w:r>
      <w:r>
        <w:rPr>
          <w:rFonts w:ascii="Times New Roman" w:hAnsi="Times New Roman" w:cs="Times New Roman" w:eastAsia="Times New Roman" w:hint="default"/>
          <w:spacing w:val="18"/>
        </w:rPr>
        <w:t> </w:t>
      </w:r>
      <w:r>
        <w:rPr/>
        <w:t>万元、</w:t>
      </w:r>
      <w:r>
        <w:rPr>
          <w:rFonts w:ascii="Times New Roman" w:hAnsi="Times New Roman" w:cs="Times New Roman" w:eastAsia="Times New Roman" w:hint="default"/>
        </w:rPr>
        <w:t>6,760</w:t>
      </w:r>
      <w:r>
        <w:rPr/>
        <w:t>万元。</w:t>
      </w:r>
    </w:p>
    <w:p>
      <w:pPr>
        <w:pStyle w:val="BodyText"/>
        <w:spacing w:line="300" w:lineRule="auto" w:before="13"/>
        <w:ind w:right="967" w:firstLine="360"/>
        <w:jc w:val="left"/>
      </w:pPr>
      <w:r>
        <w:rPr>
          <w:rFonts w:ascii="Times New Roman" w:hAnsi="Times New Roman" w:cs="Times New Roman" w:eastAsia="Times New Roman" w:hint="default"/>
          <w:spacing w:val="-1"/>
        </w:rPr>
        <w:t>2018</w:t>
      </w:r>
      <w:r>
        <w:rPr>
          <w:spacing w:val="-1"/>
        </w:rPr>
        <w:t>年度泰策科技经审计的扣除非经常性损益后实现的归属于母公司股东的净利润为</w:t>
      </w:r>
      <w:r>
        <w:rPr>
          <w:rFonts w:ascii="Times New Roman" w:hAnsi="Times New Roman" w:cs="Times New Roman" w:eastAsia="Times New Roman" w:hint="default"/>
          <w:spacing w:val="-1"/>
        </w:rPr>
        <w:t>41,161,714.70</w:t>
      </w:r>
      <w:r>
        <w:rPr>
          <w:spacing w:val="-1"/>
        </w:rPr>
        <w:t>元，承诺实现净利润</w:t>
      </w:r>
      <w:r>
        <w:rPr/>
        <w:t> 为</w:t>
      </w:r>
      <w:r>
        <w:rPr>
          <w:rFonts w:ascii="Times New Roman" w:hAnsi="Times New Roman" w:cs="Times New Roman" w:eastAsia="Times New Roman" w:hint="default"/>
        </w:rPr>
        <w:t>40,000,000.00</w:t>
      </w:r>
      <w:r>
        <w:rPr/>
        <w:t>元，实现数高于承诺数</w:t>
      </w:r>
      <w:r>
        <w:rPr>
          <w:rFonts w:ascii="Times New Roman" w:hAnsi="Times New Roman" w:cs="Times New Roman" w:eastAsia="Times New Roman" w:hint="default"/>
        </w:rPr>
        <w:t>1,161,714.70</w:t>
      </w:r>
      <w:r>
        <w:rPr/>
        <w:t>元，实现率为</w:t>
      </w:r>
      <w:r>
        <w:rPr>
          <w:rFonts w:ascii="Times New Roman" w:hAnsi="Times New Roman" w:cs="Times New Roman" w:eastAsia="Times New Roman" w:hint="default"/>
        </w:rPr>
        <w:t>102.90%</w:t>
      </w:r>
      <w:r>
        <w:rPr/>
        <w:t>。</w:t>
      </w:r>
    </w:p>
    <w:p>
      <w:pPr>
        <w:spacing w:line="240" w:lineRule="auto" w:before="11"/>
        <w:rPr>
          <w:rFonts w:ascii="宋体" w:hAnsi="宋体" w:cs="宋体" w:eastAsia="宋体" w:hint="default"/>
          <w:sz w:val="24"/>
          <w:szCs w:val="24"/>
        </w:rPr>
      </w:pPr>
    </w:p>
    <w:p>
      <w:pPr>
        <w:pStyle w:val="BodyText"/>
        <w:spacing w:line="240" w:lineRule="auto"/>
        <w:ind w:right="967"/>
        <w:jc w:val="left"/>
      </w:pPr>
      <w:r>
        <w:rPr/>
        <w:t>业绩承诺的完成情况及其对商誉减值测试的影响</w:t>
      </w:r>
    </w:p>
    <w:p>
      <w:pPr>
        <w:pStyle w:val="BodyText"/>
        <w:spacing w:line="240" w:lineRule="auto" w:before="76"/>
        <w:ind w:left="514" w:right="967"/>
        <w:jc w:val="left"/>
      </w:pPr>
      <w:r>
        <w:rPr>
          <w:rFonts w:ascii="Times New Roman" w:hAnsi="Times New Roman" w:cs="Times New Roman" w:eastAsia="Times New Roman" w:hint="default"/>
        </w:rPr>
        <w:t>1.</w:t>
      </w:r>
      <w:r>
        <w:rPr/>
        <w:t>北京微智信业科技有限公司</w:t>
      </w:r>
    </w:p>
    <w:p>
      <w:pPr>
        <w:pStyle w:val="BodyText"/>
        <w:spacing w:line="300" w:lineRule="auto" w:before="63"/>
        <w:ind w:right="967" w:firstLine="360"/>
        <w:jc w:val="left"/>
      </w:pPr>
      <w:r>
        <w:rPr>
          <w:rFonts w:ascii="Times New Roman" w:hAnsi="Times New Roman" w:cs="Times New Roman" w:eastAsia="Times New Roman" w:hint="default"/>
          <w:spacing w:val="-1"/>
        </w:rPr>
        <w:t>2018</w:t>
      </w:r>
      <w:r>
        <w:rPr>
          <w:spacing w:val="-1"/>
        </w:rPr>
        <w:t>年度微智信业经审计的扣除非经常性损益后实现的归属于母公司股东的净利润为</w:t>
      </w:r>
      <w:r>
        <w:rPr>
          <w:rFonts w:ascii="Times New Roman" w:hAnsi="Times New Roman" w:cs="Times New Roman" w:eastAsia="Times New Roman" w:hint="default"/>
          <w:spacing w:val="-1"/>
        </w:rPr>
        <w:t>71,321,680.36</w:t>
      </w:r>
      <w:r>
        <w:rPr>
          <w:spacing w:val="-1"/>
        </w:rPr>
        <w:t>元，承诺的归属母公</w:t>
      </w:r>
      <w:r>
        <w:rPr/>
        <w:t> 司所有者的净利润为</w:t>
      </w:r>
      <w:r>
        <w:rPr>
          <w:rFonts w:ascii="Times New Roman" w:hAnsi="Times New Roman" w:cs="Times New Roman" w:eastAsia="Times New Roman" w:hint="default"/>
        </w:rPr>
        <w:t>70,000,000.00</w:t>
      </w:r>
      <w:r>
        <w:rPr/>
        <w:t>元，实现数高于承诺数</w:t>
      </w:r>
      <w:r>
        <w:rPr>
          <w:rFonts w:ascii="Times New Roman" w:hAnsi="Times New Roman" w:cs="Times New Roman" w:eastAsia="Times New Roman" w:hint="default"/>
        </w:rPr>
        <w:t>1,321,680.36</w:t>
      </w:r>
      <w:r>
        <w:rPr/>
        <w:t>元，实现率为</w:t>
      </w:r>
      <w:r>
        <w:rPr>
          <w:rFonts w:ascii="Times New Roman" w:hAnsi="Times New Roman" w:cs="Times New Roman" w:eastAsia="Times New Roman" w:hint="default"/>
        </w:rPr>
        <w:t>101.89%</w:t>
      </w:r>
      <w:r>
        <w:rPr/>
        <w:t>。</w:t>
      </w:r>
    </w:p>
    <w:p>
      <w:pPr>
        <w:pStyle w:val="BodyText"/>
        <w:spacing w:line="240" w:lineRule="auto" w:before="13"/>
        <w:ind w:left="514" w:right="967"/>
        <w:jc w:val="left"/>
      </w:pPr>
      <w:r>
        <w:rPr>
          <w:rFonts w:ascii="Times New Roman" w:hAnsi="Times New Roman" w:cs="Times New Roman" w:eastAsia="Times New Roman" w:hint="default"/>
        </w:rPr>
        <w:t>2.</w:t>
      </w:r>
      <w:r>
        <w:rPr/>
        <w:t>北京泰策科技有限公司</w:t>
      </w:r>
    </w:p>
    <w:p>
      <w:pPr>
        <w:pStyle w:val="BodyText"/>
        <w:spacing w:line="300" w:lineRule="auto" w:before="63"/>
        <w:ind w:right="967" w:firstLine="360"/>
        <w:jc w:val="left"/>
      </w:pPr>
      <w:r>
        <w:rPr>
          <w:rFonts w:ascii="Times New Roman" w:hAnsi="Times New Roman" w:cs="Times New Roman" w:eastAsia="Times New Roman" w:hint="default"/>
          <w:spacing w:val="-1"/>
        </w:rPr>
        <w:t>2018</w:t>
      </w:r>
      <w:r>
        <w:rPr>
          <w:spacing w:val="-1"/>
        </w:rPr>
        <w:t>年度泰策科技经审计的扣除非经常性损益后实现的归属于母公司股东的净利润为</w:t>
      </w:r>
      <w:r>
        <w:rPr>
          <w:rFonts w:ascii="Times New Roman" w:hAnsi="Times New Roman" w:cs="Times New Roman" w:eastAsia="Times New Roman" w:hint="default"/>
          <w:spacing w:val="-1"/>
        </w:rPr>
        <w:t>41,161,714.70</w:t>
      </w:r>
      <w:r>
        <w:rPr>
          <w:spacing w:val="-1"/>
        </w:rPr>
        <w:t>元，承诺实现净利润</w:t>
      </w:r>
      <w:r>
        <w:rPr/>
        <w:t> 为</w:t>
      </w:r>
      <w:r>
        <w:rPr>
          <w:rFonts w:ascii="Times New Roman" w:hAnsi="Times New Roman" w:cs="Times New Roman" w:eastAsia="Times New Roman" w:hint="default"/>
        </w:rPr>
        <w:t>40,000,000.00</w:t>
      </w:r>
      <w:r>
        <w:rPr/>
        <w:t>元，实现数高于承诺数</w:t>
      </w:r>
      <w:r>
        <w:rPr>
          <w:rFonts w:ascii="Times New Roman" w:hAnsi="Times New Roman" w:cs="Times New Roman" w:eastAsia="Times New Roman" w:hint="default"/>
        </w:rPr>
        <w:t>1,161,714.70</w:t>
      </w:r>
      <w:r>
        <w:rPr/>
        <w:t>元，实现率为</w:t>
      </w:r>
      <w:r>
        <w:rPr>
          <w:rFonts w:ascii="Times New Roman" w:hAnsi="Times New Roman" w:cs="Times New Roman" w:eastAsia="Times New Roman" w:hint="default"/>
        </w:rPr>
        <w:t>102.90%</w:t>
      </w:r>
      <w:r>
        <w:rPr/>
        <w:t>。</w:t>
      </w:r>
    </w:p>
    <w:p>
      <w:pPr>
        <w:spacing w:line="240" w:lineRule="auto" w:before="11"/>
        <w:rPr>
          <w:rFonts w:ascii="宋体" w:hAnsi="宋体" w:cs="宋体" w:eastAsia="宋体" w:hint="default"/>
          <w:sz w:val="24"/>
          <w:szCs w:val="24"/>
        </w:rPr>
      </w:pPr>
    </w:p>
    <w:p>
      <w:pPr>
        <w:pStyle w:val="BodyText"/>
        <w:spacing w:line="240" w:lineRule="auto"/>
        <w:ind w:left="514" w:right="967"/>
        <w:jc w:val="left"/>
      </w:pPr>
      <w:r>
        <w:rPr/>
        <w:t>公司管理层于</w:t>
      </w:r>
      <w:r>
        <w:rPr>
          <w:rFonts w:ascii="Times New Roman" w:hAnsi="Times New Roman" w:cs="Times New Roman" w:eastAsia="Times New Roman" w:hint="default"/>
        </w:rPr>
        <w:t>2018</w:t>
      </w:r>
      <w:r>
        <w:rPr/>
        <w:t>年编制了未来的现金流量预测，并对收购时形成的商誉进行减值测试。预计未来现金流量预测分别根</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967"/>
        <w:jc w:val="left"/>
      </w:pPr>
      <w:r>
        <w:rPr>
          <w:spacing w:val="-2"/>
        </w:rPr>
        <w:t>据管理层批准的五年期和五年加一期的财务预算为基础来确定。经测试评估，上述并购公司资产组未发现减值迹象，本期商</w:t>
      </w:r>
      <w:r>
        <w:rPr>
          <w:spacing w:val="-66"/>
        </w:rPr>
        <w:t> </w:t>
      </w:r>
      <w:r>
        <w:rPr>
          <w:spacing w:val="-66"/>
        </w:rPr>
      </w:r>
      <w:r>
        <w:rPr/>
        <w:t>誉无需计提减值准备。</w:t>
      </w:r>
    </w:p>
    <w:p>
      <w:pPr>
        <w:spacing w:line="240" w:lineRule="auto" w:before="10"/>
        <w:rPr>
          <w:rFonts w:ascii="宋体" w:hAnsi="宋体" w:cs="宋体" w:eastAsia="宋体" w:hint="default"/>
          <w:sz w:val="20"/>
          <w:szCs w:val="20"/>
        </w:rPr>
      </w:pPr>
    </w:p>
    <w:p>
      <w:pPr>
        <w:pStyle w:val="Heading2"/>
        <w:spacing w:line="240" w:lineRule="auto"/>
        <w:ind w:right="967"/>
        <w:jc w:val="left"/>
        <w:rPr>
          <w:b w:val="0"/>
          <w:bCs w:val="0"/>
        </w:rPr>
      </w:pPr>
      <w:bookmarkStart w:name="三、控股股东及其关联方对上市公司的非经营性占用资金情况" w:id="64"/>
      <w:bookmarkEnd w:id="64"/>
      <w:r>
        <w:rPr>
          <w:b w:val="0"/>
          <w:bCs w:val="0"/>
        </w:rPr>
      </w:r>
      <w:r>
        <w:rPr/>
        <w:t>三、控股股东及其关联方对上市公司的非经营性占用资金情况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967"/>
        <w:jc w:val="left"/>
        <w:rPr>
          <w:b w:val="0"/>
          <w:bCs w:val="0"/>
        </w:rPr>
      </w:pPr>
      <w:bookmarkStart w:name="四、董事会对最近一期“非标准审计报告”相关情况的说明" w:id="65"/>
      <w:bookmarkEnd w:id="65"/>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67"/>
        <w:jc w:val="left"/>
        <w:rPr>
          <w:b w:val="0"/>
          <w:bCs w:val="0"/>
        </w:rPr>
      </w:pPr>
      <w:bookmarkStart w:name="五、董事会、监事会、独立董事（如有）对会计师事务所本报告期“非标准审计报告”的说" w:id="66"/>
      <w:bookmarkEnd w:id="66"/>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67"/>
        <w:jc w:val="left"/>
        <w:rPr>
          <w:b w:val="0"/>
          <w:bCs w:val="0"/>
        </w:rPr>
      </w:pPr>
      <w:bookmarkStart w:name="六、董事会关于报告期会计政策、会计估计变更或重大会计差错更正的说明" w:id="67"/>
      <w:bookmarkEnd w:id="67"/>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118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财政部于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日颁布了《关于修订印发</w:t>
      </w:r>
      <w:r>
        <w:rPr>
          <w:rFonts w:ascii="Times New Roman" w:hAnsi="Times New Roman" w:cs="Times New Roman" w:eastAsia="Times New Roman" w:hint="default"/>
        </w:rPr>
        <w:t>2018</w:t>
      </w:r>
      <w:r>
        <w:rPr/>
        <w:t>年度一般企业财务报表格式的通知》（财会</w:t>
      </w:r>
      <w:r>
        <w:rPr>
          <w:rFonts w:ascii="Times New Roman" w:hAnsi="Times New Roman" w:cs="Times New Roman" w:eastAsia="Times New Roman" w:hint="default"/>
        </w:rPr>
        <w:t>[2018]15</w:t>
      </w:r>
      <w:r>
        <w:rPr/>
        <w:t>号）（以下简</w:t>
      </w:r>
    </w:p>
    <w:p>
      <w:pPr>
        <w:pStyle w:val="BodyText"/>
        <w:spacing w:line="230" w:lineRule="exact"/>
        <w:ind w:right="967"/>
        <w:jc w:val="left"/>
      </w:pPr>
      <w:r>
        <w:rPr/>
        <w:t>称</w:t>
      </w:r>
      <w:r>
        <w:rPr>
          <w:rFonts w:ascii="Times New Roman" w:hAnsi="Times New Roman" w:cs="Times New Roman" w:eastAsia="Times New Roman" w:hint="default"/>
        </w:rPr>
        <w:t>“</w:t>
      </w:r>
      <w:r>
        <w:rPr/>
        <w:t>《修订通知》</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日发布的《关于修订印发一般企业财务报表格式的通知》（财会〔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w:t>
      </w:r>
      <w:r>
        <w:rPr/>
        <w:t>号）同时</w:t>
      </w:r>
    </w:p>
    <w:p>
      <w:pPr>
        <w:pStyle w:val="BodyText"/>
        <w:spacing w:line="240" w:lineRule="auto" w:before="63"/>
        <w:ind w:right="967"/>
        <w:jc w:val="left"/>
      </w:pPr>
      <w:r>
        <w:rPr/>
        <w:t>废止。</w:t>
      </w:r>
    </w:p>
    <w:p>
      <w:pPr>
        <w:pStyle w:val="BodyText"/>
        <w:spacing w:line="300" w:lineRule="auto" w:before="77"/>
        <w:ind w:right="1131" w:firstLine="360"/>
        <w:jc w:val="both"/>
      </w:pPr>
      <w:r>
        <w:rPr>
          <w:spacing w:val="-2"/>
        </w:rPr>
        <w:t>本次会计政策变更前，公司执行财政部发布的《企业会计准则</w:t>
      </w:r>
      <w:r>
        <w:rPr>
          <w:rFonts w:ascii="Times New Roman" w:hAnsi="Times New Roman" w:cs="Times New Roman" w:eastAsia="Times New Roman" w:hint="default"/>
          <w:spacing w:val="-2"/>
        </w:rPr>
        <w:t>——</w:t>
      </w:r>
      <w:r>
        <w:rPr>
          <w:spacing w:val="-2"/>
        </w:rPr>
        <w:t>基本准则》和各项具体会计准则、企业会计准则应用</w:t>
      </w:r>
      <w:r>
        <w:rPr/>
        <w:t> 指南、企业会计准则解释公告以及其他相关规定。</w:t>
      </w:r>
    </w:p>
    <w:p>
      <w:pPr>
        <w:pStyle w:val="BodyText"/>
        <w:spacing w:line="300" w:lineRule="auto" w:before="31"/>
        <w:ind w:right="1131" w:firstLine="360"/>
        <w:jc w:val="both"/>
      </w:pPr>
      <w:r>
        <w:rPr>
          <w:spacing w:val="-1"/>
        </w:rPr>
        <w:t>本次变更后，公司执行的会计政策按财会</w:t>
      </w:r>
      <w:r>
        <w:rPr>
          <w:rFonts w:ascii="Times New Roman" w:hAnsi="Times New Roman" w:cs="Times New Roman" w:eastAsia="Times New Roman" w:hint="default"/>
          <w:spacing w:val="-1"/>
        </w:rPr>
        <w:t>[2018]15</w:t>
      </w:r>
      <w:r>
        <w:rPr>
          <w:spacing w:val="-1"/>
        </w:rPr>
        <w:t>号文件规定执行。除上述会计政策变更外，其他未变更部分，仍按照</w:t>
      </w:r>
      <w:r>
        <w:rPr/>
        <w:t> </w:t>
      </w:r>
      <w:r>
        <w:rPr>
          <w:spacing w:val="-2"/>
        </w:rPr>
        <w:t>财政部前期颁布的《企业会计准则</w:t>
      </w:r>
      <w:r>
        <w:rPr>
          <w:rFonts w:ascii="Times New Roman" w:hAnsi="Times New Roman" w:cs="Times New Roman" w:eastAsia="Times New Roman" w:hint="default"/>
          <w:spacing w:val="-2"/>
        </w:rPr>
        <w:t>——</w:t>
      </w:r>
      <w:r>
        <w:rPr>
          <w:spacing w:val="-2"/>
        </w:rPr>
        <w:t>基本准则》和各项具体会计准则、企业会计准则应用指南、企业会计准则解释公告以</w:t>
      </w:r>
      <w:r>
        <w:rPr>
          <w:spacing w:val="-66"/>
        </w:rPr>
        <w:t> </w:t>
      </w:r>
      <w:r>
        <w:rPr>
          <w:spacing w:val="-66"/>
        </w:rPr>
      </w:r>
      <w:r>
        <w:rPr/>
        <w:t>及其他相关规定执行。</w:t>
      </w:r>
    </w:p>
    <w:p>
      <w:pPr>
        <w:pStyle w:val="BodyText"/>
        <w:spacing w:line="240" w:lineRule="auto" w:before="31"/>
        <w:ind w:left="514" w:right="967"/>
        <w:jc w:val="left"/>
      </w:pPr>
      <w:r>
        <w:rPr/>
        <w:t>公司自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日召开第三届董事会第二十次会议审议通过《关于会计政策变更的议案》之日起执行。公司将按照</w:t>
      </w:r>
    </w:p>
    <w:p>
      <w:pPr>
        <w:pStyle w:val="BodyText"/>
        <w:spacing w:line="316" w:lineRule="auto" w:before="63"/>
        <w:ind w:left="587" w:right="5893" w:hanging="434"/>
        <w:jc w:val="left"/>
      </w:pPr>
      <w:r>
        <w:rPr/>
        <w:t>《修订通知》的规定和要求，对财务报表格式进行相应变更。 本公司执行上述规定的主要影响如下：</w:t>
      </w:r>
    </w:p>
    <w:p>
      <w:pPr>
        <w:spacing w:line="240" w:lineRule="auto" w:before="6"/>
        <w:rPr>
          <w:rFonts w:ascii="宋体" w:hAnsi="宋体" w:cs="宋体" w:eastAsia="宋体" w:hint="default"/>
          <w:sz w:val="24"/>
          <w:szCs w:val="24"/>
        </w:rPr>
      </w:pPr>
    </w:p>
    <w:tbl>
      <w:tblPr>
        <w:tblW w:w="0" w:type="auto"/>
        <w:jc w:val="left"/>
        <w:tblInd w:w="139" w:type="dxa"/>
        <w:tblLayout w:type="fixed"/>
        <w:tblCellMar>
          <w:top w:w="0" w:type="dxa"/>
          <w:left w:w="0" w:type="dxa"/>
          <w:bottom w:w="0" w:type="dxa"/>
          <w:right w:w="0" w:type="dxa"/>
        </w:tblCellMar>
        <w:tblLook w:val="01E0"/>
      </w:tblPr>
      <w:tblGrid>
        <w:gridCol w:w="5114"/>
        <w:gridCol w:w="1152"/>
        <w:gridCol w:w="3393"/>
      </w:tblGrid>
      <w:tr>
        <w:trPr>
          <w:trHeight w:val="342" w:hRule="exact"/>
        </w:trPr>
        <w:tc>
          <w:tcPr>
            <w:tcW w:w="5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7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11"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3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22"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2294" w:hRule="exact"/>
        </w:trPr>
        <w:tc>
          <w:tcPr>
            <w:tcW w:w="51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2"/>
              <w:jc w:val="both"/>
              <w:rPr>
                <w:rFonts w:ascii="宋体" w:hAnsi="宋体" w:cs="宋体" w:eastAsia="宋体" w:hint="default"/>
                <w:sz w:val="18"/>
                <w:szCs w:val="18"/>
              </w:rPr>
            </w:pPr>
            <w:r>
              <w:rPr>
                <w:rFonts w:ascii="宋体" w:hAnsi="宋体" w:cs="宋体" w:eastAsia="宋体" w:hint="default"/>
                <w:spacing w:val="-3"/>
                <w:w w:val="100"/>
                <w:sz w:val="18"/>
                <w:szCs w:val="18"/>
              </w:rPr>
              <w:t>（</w:t>
            </w:r>
            <w:r>
              <w:rPr>
                <w:rFonts w:ascii="Times New Roman" w:hAnsi="Times New Roman" w:cs="Times New Roman" w:eastAsia="Times New Roman" w:hint="default"/>
                <w:spacing w:val="-3"/>
                <w:w w:val="100"/>
                <w:sz w:val="18"/>
                <w:szCs w:val="18"/>
              </w:rPr>
              <w:t>1</w:t>
            </w:r>
            <w:r>
              <w:rPr>
                <w:rFonts w:ascii="宋体" w:hAnsi="宋体" w:cs="宋体" w:eastAsia="宋体" w:hint="default"/>
                <w:spacing w:val="-3"/>
                <w:w w:val="100"/>
                <w:sz w:val="18"/>
                <w:szCs w:val="18"/>
              </w:rPr>
              <w:t>）资产负债表中</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应收票据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和</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应收账款</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合并列示为</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应收票据</w:t>
            </w:r>
            <w:r>
              <w:rPr>
                <w:rFonts w:ascii="宋体" w:hAnsi="宋体" w:cs="宋体" w:eastAsia="宋体" w:hint="default"/>
                <w:spacing w:val="-73"/>
                <w:w w:val="100"/>
                <w:sz w:val="18"/>
                <w:szCs w:val="18"/>
              </w:rPr>
              <w:t> </w:t>
            </w:r>
            <w:r>
              <w:rPr>
                <w:rFonts w:ascii="宋体" w:hAnsi="宋体" w:cs="宋体" w:eastAsia="宋体" w:hint="default"/>
                <w:spacing w:val="-73"/>
                <w:w w:val="100"/>
                <w:sz w:val="18"/>
                <w:szCs w:val="18"/>
              </w:rPr>
            </w:r>
            <w:r>
              <w:rPr>
                <w:rFonts w:ascii="宋体" w:hAnsi="宋体" w:cs="宋体" w:eastAsia="宋体" w:hint="default"/>
                <w:spacing w:val="-3"/>
                <w:sz w:val="18"/>
                <w:szCs w:val="18"/>
              </w:rPr>
              <w:t>及应收账款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合并列示为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应付票据及应</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付账款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应收利息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应收股利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并入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其他应收款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列示；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w:t>
            </w:r>
            <w:r>
              <w:rPr>
                <w:rFonts w:ascii="宋体" w:hAnsi="宋体" w:cs="宋体" w:eastAsia="宋体" w:hint="default"/>
                <w:spacing w:val="-74"/>
                <w:sz w:val="18"/>
                <w:szCs w:val="18"/>
              </w:rPr>
              <w:t> </w:t>
            </w:r>
            <w:r>
              <w:rPr>
                <w:rFonts w:ascii="宋体" w:hAnsi="宋体" w:cs="宋体" w:eastAsia="宋体" w:hint="default"/>
                <w:sz w:val="18"/>
                <w:szCs w:val="18"/>
              </w:rPr>
              <w:t>利息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w:t>
            </w:r>
            <w:r>
              <w:rPr>
                <w:rFonts w:ascii="宋体" w:hAnsi="宋体" w:cs="宋体" w:eastAsia="宋体" w:hint="default"/>
                <w:sz w:val="18"/>
                <w:szCs w:val="18"/>
              </w:rPr>
              <w:t>并入 </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固定资产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列示；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工程物资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并入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在建工程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列示；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专项应付款</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列示。比较数据相应调整。</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3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6" w:right="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 </w:t>
            </w:r>
            <w:r>
              <w:rPr>
                <w:rFonts w:ascii="宋体" w:hAnsi="宋体" w:cs="宋体" w:eastAsia="宋体" w:hint="default"/>
                <w:spacing w:val="-3"/>
                <w:sz w:val="18"/>
                <w:szCs w:val="18"/>
              </w:rPr>
              <w:t>票据及应收账款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，本期金额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351,242,758.59</w:t>
            </w:r>
          </w:p>
          <w:p>
            <w:pPr>
              <w:pStyle w:val="TableParagraph"/>
              <w:spacing w:line="300" w:lineRule="auto" w:before="13"/>
              <w:ind w:left="6" w:right="3"/>
              <w:jc w:val="left"/>
              <w:rPr>
                <w:rFonts w:ascii="宋体" w:hAnsi="宋体" w:cs="宋体" w:eastAsia="宋体" w:hint="default"/>
                <w:sz w:val="18"/>
                <w:szCs w:val="18"/>
              </w:rPr>
            </w:pPr>
            <w:r>
              <w:rPr>
                <w:rFonts w:ascii="宋体" w:hAnsi="宋体" w:cs="宋体" w:eastAsia="宋体" w:hint="default"/>
                <w:spacing w:val="-14"/>
                <w:sz w:val="18"/>
                <w:szCs w:val="18"/>
              </w:rPr>
              <w:t>元，上期金额</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304,341,678.49</w:t>
            </w:r>
            <w:r>
              <w:rPr>
                <w:rFonts w:ascii="Times New Roman" w:hAnsi="Times New Roman" w:cs="Times New Roman" w:eastAsia="Times New Roman" w:hint="default"/>
                <w:spacing w:val="8"/>
                <w:sz w:val="18"/>
                <w:szCs w:val="18"/>
              </w:rPr>
              <w:t> </w:t>
            </w:r>
            <w:r>
              <w:rPr>
                <w:rFonts w:ascii="宋体" w:hAnsi="宋体" w:cs="宋体" w:eastAsia="宋体" w:hint="default"/>
                <w:spacing w:val="-11"/>
                <w:w w:val="100"/>
                <w:sz w:val="18"/>
                <w:szCs w:val="18"/>
              </w:rPr>
              <w:t>元；</w:t>
            </w:r>
            <w:r>
              <w:rPr>
                <w:rFonts w:ascii="Times New Roman" w:hAnsi="Times New Roman" w:cs="Times New Roman" w:eastAsia="Times New Roman" w:hint="default"/>
                <w:spacing w:val="-11"/>
                <w:w w:val="100"/>
                <w:sz w:val="18"/>
                <w:szCs w:val="18"/>
              </w:rPr>
              <w:t>“</w:t>
            </w:r>
            <w:r>
              <w:rPr>
                <w:rFonts w:ascii="宋体" w:hAnsi="宋体" w:cs="宋体" w:eastAsia="宋体" w:hint="default"/>
                <w:spacing w:val="-11"/>
                <w:w w:val="100"/>
                <w:sz w:val="18"/>
                <w:szCs w:val="18"/>
              </w:rPr>
              <w:t>应付票据</w:t>
            </w:r>
            <w:r>
              <w:rPr>
                <w:rFonts w:ascii="Times New Roman" w:hAnsi="Times New Roman" w:cs="Times New Roman" w:eastAsia="Times New Roman" w:hint="default"/>
                <w:spacing w:val="-11"/>
                <w:w w:val="100"/>
                <w:sz w:val="18"/>
                <w:szCs w:val="18"/>
              </w:rPr>
              <w:t>”</w:t>
            </w:r>
            <w:r>
              <w:rPr>
                <w:rFonts w:ascii="Times New Roman" w:hAnsi="Times New Roman" w:cs="Times New Roman" w:eastAsia="Times New Roman" w:hint="default"/>
                <w:spacing w:val="-42"/>
                <w:w w:val="100"/>
                <w:sz w:val="18"/>
                <w:szCs w:val="18"/>
              </w:rPr>
              <w:t> </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 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55,496,692.40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元，上期金</w:t>
            </w:r>
          </w:p>
          <w:p>
            <w:pPr>
              <w:pStyle w:val="TableParagraph"/>
              <w:spacing w:line="240" w:lineRule="auto" w:before="13"/>
              <w:ind w:left="6"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73,581,640.</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2 </w:t>
            </w:r>
            <w:r>
              <w:rPr>
                <w:rFonts w:ascii="宋体" w:hAnsi="宋体" w:cs="宋体" w:eastAsia="宋体" w:hint="default"/>
                <w:sz w:val="18"/>
                <w:szCs w:val="18"/>
              </w:rPr>
              <w:t>元</w:t>
            </w:r>
            <w:r>
              <w:rPr>
                <w:rFonts w:ascii="宋体" w:hAnsi="宋体" w:cs="宋体" w:eastAsia="宋体" w:hint="default"/>
                <w:spacing w:val="-74"/>
                <w:sz w:val="18"/>
                <w:szCs w:val="18"/>
              </w:rPr>
              <w:t>；</w:t>
            </w:r>
            <w:r>
              <w:rPr>
                <w:rFonts w:ascii="宋体" w:hAnsi="宋体" w:cs="宋体" w:eastAsia="宋体" w:hint="default"/>
                <w:sz w:val="18"/>
                <w:szCs w:val="18"/>
              </w:rPr>
              <w:t>调增</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其</w:t>
            </w:r>
            <w:r>
              <w:rPr>
                <w:rFonts w:ascii="宋体" w:hAnsi="宋体" w:cs="宋体" w:eastAsia="宋体" w:hint="default"/>
                <w:spacing w:val="1"/>
                <w:sz w:val="18"/>
                <w:szCs w:val="18"/>
              </w:rPr>
              <w:t>他</w:t>
            </w:r>
            <w:r>
              <w:rPr>
                <w:rFonts w:ascii="宋体" w:hAnsi="宋体" w:cs="宋体" w:eastAsia="宋体" w:hint="default"/>
                <w:sz w:val="18"/>
                <w:szCs w:val="18"/>
              </w:rPr>
              <w:t>应收款</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本期</w:t>
            </w:r>
          </w:p>
          <w:p>
            <w:pPr>
              <w:pStyle w:val="TableParagraph"/>
              <w:spacing w:line="240" w:lineRule="auto" w:before="64"/>
              <w:ind w:left="6"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2,208,839.45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966" w:hRule="exact"/>
        </w:trPr>
        <w:tc>
          <w:tcPr>
            <w:tcW w:w="51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项目，将原</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中的研发 费用重分类至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单独列示；在利润表中财务费用项下新 增</w:t>
            </w:r>
            <w:r>
              <w:rPr>
                <w:rFonts w:ascii="Times New Roman" w:hAnsi="Times New Roman" w:cs="Times New Roman" w:eastAsia="Times New Roman" w:hint="default"/>
                <w:sz w:val="18"/>
                <w:szCs w:val="18"/>
              </w:rPr>
              <w:t>“</w:t>
            </w:r>
            <w:r>
              <w:rPr>
                <w:rFonts w:ascii="宋体" w:hAnsi="宋体" w:cs="宋体" w:eastAsia="宋体" w:hint="default"/>
                <w:sz w:val="18"/>
                <w:szCs w:val="18"/>
              </w:rPr>
              <w:t>其中：利息费用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3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6" w:right="5"/>
              <w:jc w:val="both"/>
              <w:rPr>
                <w:rFonts w:ascii="宋体" w:hAnsi="宋体" w:cs="宋体" w:eastAsia="宋体" w:hint="default"/>
                <w:sz w:val="18"/>
                <w:szCs w:val="18"/>
              </w:rPr>
            </w:pP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Times New Roman" w:hAnsi="Times New Roman" w:cs="Times New Roman" w:eastAsia="Times New Roman" w:hint="default"/>
                <w:sz w:val="18"/>
                <w:szCs w:val="18"/>
              </w:rPr>
              <w:t>70,369,152.84</w:t>
            </w:r>
            <w:r>
              <w:rPr>
                <w:rFonts w:ascii="宋体" w:hAnsi="宋体" w:cs="宋体" w:eastAsia="宋体" w:hint="default"/>
                <w:sz w:val="18"/>
                <w:szCs w:val="18"/>
              </w:rPr>
              <w:t>元， </w:t>
            </w:r>
            <w:r>
              <w:rPr>
                <w:rFonts w:ascii="宋体" w:hAnsi="宋体" w:cs="宋体" w:eastAsia="宋体" w:hint="default"/>
                <w:spacing w:val="-4"/>
                <w:w w:val="100"/>
                <w:sz w:val="18"/>
                <w:szCs w:val="18"/>
              </w:rPr>
              <w:t>上期金额</w:t>
            </w:r>
            <w:r>
              <w:rPr>
                <w:rFonts w:ascii="Times New Roman" w:hAnsi="Times New Roman" w:cs="Times New Roman" w:eastAsia="Times New Roman" w:hint="default"/>
                <w:spacing w:val="-4"/>
                <w:w w:val="100"/>
                <w:sz w:val="18"/>
                <w:szCs w:val="18"/>
              </w:rPr>
              <w:t>62,092,582.36</w:t>
            </w:r>
            <w:r>
              <w:rPr>
                <w:rFonts w:ascii="宋体" w:hAnsi="宋体" w:cs="宋体" w:eastAsia="宋体" w:hint="default"/>
                <w:spacing w:val="-4"/>
                <w:w w:val="100"/>
                <w:sz w:val="18"/>
                <w:szCs w:val="18"/>
              </w:rPr>
              <w:t>元，重分类至</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研发费</w:t>
            </w:r>
            <w:r>
              <w:rPr>
                <w:rFonts w:ascii="宋体" w:hAnsi="宋体" w:cs="宋体" w:eastAsia="宋体" w:hint="default"/>
                <w:spacing w:val="-70"/>
                <w:w w:val="100"/>
                <w:sz w:val="18"/>
                <w:szCs w:val="18"/>
              </w:rPr>
              <w:t> </w:t>
            </w:r>
            <w:r>
              <w:rPr>
                <w:rFonts w:ascii="宋体" w:hAnsi="宋体" w:cs="宋体" w:eastAsia="宋体" w:hint="default"/>
                <w:sz w:val="18"/>
                <w:szCs w:val="18"/>
              </w:rPr>
              <w:t>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300" w:lineRule="auto"/>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967"/>
        <w:jc w:val="left"/>
        <w:rPr>
          <w:b w:val="0"/>
          <w:bCs w:val="0"/>
        </w:rPr>
      </w:pPr>
      <w:bookmarkStart w:name="七、与上年度财务报告相比，合并报表范围发生变化的情况说明" w:id="68"/>
      <w:bookmarkEnd w:id="68"/>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33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本报告期通过现金收购新增全资子公司北京泰策科技有限公司，纳入本报告期合并报表范围。</w:t>
      </w:r>
    </w:p>
    <w:p>
      <w:pPr>
        <w:spacing w:line="240" w:lineRule="auto" w:before="7"/>
        <w:rPr>
          <w:rFonts w:ascii="宋体" w:hAnsi="宋体" w:cs="宋体" w:eastAsia="宋体" w:hint="default"/>
          <w:sz w:val="19"/>
          <w:szCs w:val="19"/>
        </w:rPr>
      </w:pPr>
    </w:p>
    <w:p>
      <w:pPr>
        <w:pStyle w:val="Heading2"/>
        <w:spacing w:line="240" w:lineRule="auto"/>
        <w:ind w:right="967"/>
        <w:jc w:val="left"/>
        <w:rPr>
          <w:b w:val="0"/>
          <w:bCs w:val="0"/>
        </w:rPr>
      </w:pPr>
      <w:bookmarkStart w:name="八、聘任、解聘会计师事务所情况" w:id="69"/>
      <w:bookmarkEnd w:id="69"/>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67"/>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刘文豪  徐文博</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51"/>
        <w:ind w:right="967"/>
        <w:jc w:val="left"/>
      </w:pPr>
      <w:r>
        <w:rPr/>
        <w:t>是否改聘会计师事务所</w:t>
      </w:r>
    </w:p>
    <w:p>
      <w:pPr>
        <w:pStyle w:val="BodyText"/>
        <w:spacing w:line="338" w:lineRule="auto" w:before="117"/>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2"/>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67"/>
        <w:jc w:val="left"/>
        <w:rPr>
          <w:b w:val="0"/>
          <w:bCs w:val="0"/>
        </w:rPr>
      </w:pPr>
      <w:bookmarkStart w:name="九、年度报告披露后面临暂停上市和终止上市情况" w:id="70"/>
      <w:bookmarkEnd w:id="70"/>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67"/>
        <w:jc w:val="left"/>
        <w:rPr>
          <w:b w:val="0"/>
          <w:bCs w:val="0"/>
        </w:rPr>
      </w:pPr>
      <w:bookmarkStart w:name="十、破产重整相关事项" w:id="71"/>
      <w:bookmarkEnd w:id="71"/>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967"/>
        <w:jc w:val="left"/>
        <w:rPr>
          <w:b w:val="0"/>
          <w:bCs w:val="0"/>
        </w:rPr>
      </w:pPr>
      <w:bookmarkStart w:name="十一、重大诉讼、仲裁事项" w:id="72"/>
      <w:bookmarkEnd w:id="72"/>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6"/>
        <w:rPr>
          <w:rFonts w:ascii="宋体" w:hAnsi="宋体" w:cs="宋体" w:eastAsia="宋体" w:hint="default"/>
          <w:sz w:val="19"/>
          <w:szCs w:val="19"/>
        </w:rPr>
      </w:pPr>
    </w:p>
    <w:p>
      <w:pPr>
        <w:pStyle w:val="Heading2"/>
        <w:spacing w:line="240" w:lineRule="auto"/>
        <w:ind w:right="967"/>
        <w:jc w:val="left"/>
        <w:rPr>
          <w:b w:val="0"/>
          <w:bCs w:val="0"/>
        </w:rPr>
      </w:pPr>
      <w:bookmarkStart w:name="十二、处罚及整改情况" w:id="73"/>
      <w:bookmarkEnd w:id="73"/>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967"/>
        <w:jc w:val="left"/>
        <w:rPr>
          <w:b w:val="0"/>
          <w:bCs w:val="0"/>
        </w:rPr>
      </w:pPr>
      <w:bookmarkStart w:name="十三、公司及其控股股东、实际控制人的诚信状况" w:id="74"/>
      <w:bookmarkEnd w:id="74"/>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967"/>
        <w:jc w:val="left"/>
        <w:rPr>
          <w:b w:val="0"/>
          <w:bCs w:val="0"/>
        </w:rPr>
      </w:pPr>
      <w:bookmarkStart w:name="十四、公司股权激励计划、员工持股计划或其他员工激励措施的实施情况" w:id="75"/>
      <w:bookmarkEnd w:id="75"/>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5"/>
        <w:spacing w:line="240" w:lineRule="auto" w:before="102"/>
        <w:ind w:left="576" w:right="967"/>
        <w:jc w:val="left"/>
        <w:rPr>
          <w:b w:val="0"/>
          <w:bCs w:val="0"/>
        </w:rPr>
      </w:pPr>
      <w:r>
        <w:rPr/>
        <w:t>（一）第一期股票期权激励计划：</w:t>
      </w:r>
      <w:r>
        <w:rPr>
          <w:b w:val="0"/>
          <w:bCs w:val="0"/>
        </w:rPr>
      </w:r>
    </w:p>
    <w:p>
      <w:pPr>
        <w:pStyle w:val="BodyText"/>
        <w:spacing w:line="302" w:lineRule="auto" w:before="116"/>
        <w:ind w:right="1127" w:firstLine="422"/>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日第二届董事会第二十次会议审议通过了《关于公司</w:t>
      </w:r>
      <w:r>
        <w:rPr>
          <w:rFonts w:ascii="Times New Roman" w:hAnsi="Times New Roman" w:cs="Times New Roman" w:eastAsia="Times New Roman" w:hint="default"/>
        </w:rPr>
        <w:t>&lt;</w:t>
      </w:r>
      <w:r>
        <w:rPr/>
        <w:t>第一期股票期权激励计划（草案）及其摘要</w:t>
      </w:r>
      <w:r>
        <w:rPr>
          <w:rFonts w:ascii="Times New Roman" w:hAnsi="Times New Roman" w:cs="Times New Roman" w:eastAsia="Times New Roman" w:hint="default"/>
        </w:rPr>
        <w:t>&gt;</w:t>
      </w:r>
      <w:r>
        <w:rPr/>
        <w:t>的 议案》，并经公司</w:t>
      </w:r>
      <w:r>
        <w:rPr>
          <w:rFonts w:ascii="Times New Roman" w:hAnsi="Times New Roman" w:cs="Times New Roman" w:eastAsia="Times New Roman" w:hint="default"/>
        </w:rPr>
        <w:t>2015</w:t>
      </w:r>
      <w:r>
        <w:rPr/>
        <w:t>年第二次临时股东大会审议通过。</w:t>
      </w:r>
    </w:p>
    <w:p>
      <w:pPr>
        <w:pStyle w:val="BodyText"/>
        <w:spacing w:line="300" w:lineRule="auto" w:before="49"/>
        <w:ind w:right="1131" w:firstLine="422"/>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8</w:t>
      </w:r>
      <w:r>
        <w:rPr>
          <w:spacing w:val="-2"/>
        </w:rPr>
        <w:t>日，公司第二届董事会第二十一次会议审议通过了《关于公司</w:t>
      </w:r>
      <w:r>
        <w:rPr>
          <w:rFonts w:ascii="Times New Roman" w:hAnsi="Times New Roman" w:cs="Times New Roman" w:eastAsia="Times New Roman" w:hint="default"/>
          <w:spacing w:val="-2"/>
        </w:rPr>
        <w:t>&lt;</w:t>
      </w:r>
      <w:r>
        <w:rPr>
          <w:spacing w:val="-2"/>
        </w:rPr>
        <w:t>第一期股票期权激励计划</w:t>
      </w:r>
      <w:r>
        <w:rPr>
          <w:rFonts w:ascii="Times New Roman" w:hAnsi="Times New Roman" w:cs="Times New Roman" w:eastAsia="Times New Roman" w:hint="default"/>
          <w:spacing w:val="-2"/>
        </w:rPr>
        <w:t>&gt;</w:t>
      </w:r>
      <w:r>
        <w:rPr>
          <w:spacing w:val="-2"/>
        </w:rPr>
        <w:t>首次授予期权</w:t>
      </w:r>
      <w:r>
        <w:rPr/>
        <w:t> 相关事项的议案》，同意授予</w:t>
      </w:r>
      <w:r>
        <w:rPr>
          <w:rFonts w:ascii="Times New Roman" w:hAnsi="Times New Roman" w:cs="Times New Roman" w:eastAsia="Times New Roman" w:hint="default"/>
        </w:rPr>
        <w:t>261</w:t>
      </w:r>
      <w:r>
        <w:rPr/>
        <w:t>名激励对象</w:t>
      </w:r>
      <w:r>
        <w:rPr>
          <w:spacing w:val="-37"/>
        </w:rPr>
        <w:t> </w:t>
      </w:r>
      <w:r>
        <w:rPr>
          <w:rFonts w:ascii="Times New Roman" w:hAnsi="Times New Roman" w:cs="Times New Roman" w:eastAsia="Times New Roman" w:hint="default"/>
        </w:rPr>
        <w:t>433.25</w:t>
      </w:r>
      <w:r>
        <w:rPr/>
        <w:t>万份股票期权，并根据股东大会的授权，董事会确定第一期股票期权激 励计划首次授予期权的授予日为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日。本次授予的股票期权行权价格为</w:t>
      </w:r>
      <w:r>
        <w:rPr>
          <w:rFonts w:ascii="Times New Roman" w:hAnsi="Times New Roman" w:cs="Times New Roman" w:eastAsia="Times New Roman" w:hint="default"/>
        </w:rPr>
        <w:t>63.69</w:t>
      </w:r>
      <w:r>
        <w:rPr/>
        <w:t>元。</w:t>
      </w:r>
    </w:p>
    <w:p>
      <w:pPr>
        <w:pStyle w:val="BodyText"/>
        <w:spacing w:line="300" w:lineRule="auto" w:before="51"/>
        <w:ind w:right="1026" w:firstLine="422"/>
        <w:jc w:val="left"/>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29</w:t>
      </w:r>
      <w:r>
        <w:rPr>
          <w:spacing w:val="-1"/>
        </w:rPr>
        <w:t>日，公司第二届董事会第二十七次会议审议通过了《关于调整公司第一期股票期权激励计划激励对象、</w:t>
      </w:r>
      <w:r>
        <w:rPr/>
        <w:t> 期权数量及行权价格的议案》，公司第一期股票期权激励计划激励对象由</w:t>
      </w:r>
      <w:r>
        <w:rPr>
          <w:rFonts w:ascii="Times New Roman" w:hAnsi="Times New Roman" w:cs="Times New Roman" w:eastAsia="Times New Roman" w:hint="default"/>
        </w:rPr>
        <w:t>261</w:t>
      </w:r>
      <w:r>
        <w:rPr/>
        <w:t>名调整为</w:t>
      </w:r>
      <w:r>
        <w:rPr>
          <w:rFonts w:ascii="Times New Roman" w:hAnsi="Times New Roman" w:cs="Times New Roman" w:eastAsia="Times New Roman" w:hint="default"/>
        </w:rPr>
        <w:t>215</w:t>
      </w:r>
      <w:r>
        <w:rPr/>
        <w:t>名，首次授予的股票期权数量由 </w:t>
      </w:r>
      <w:r>
        <w:rPr>
          <w:rFonts w:ascii="Times New Roman" w:hAnsi="Times New Roman" w:cs="Times New Roman" w:eastAsia="Times New Roman" w:hint="default"/>
        </w:rPr>
        <w:t>433.25</w:t>
      </w:r>
      <w:r>
        <w:rPr/>
        <w:t>万份调整为</w:t>
      </w:r>
      <w:r>
        <w:rPr>
          <w:rFonts w:ascii="Times New Roman" w:hAnsi="Times New Roman" w:cs="Times New Roman" w:eastAsia="Times New Roman" w:hint="default"/>
        </w:rPr>
        <w:t>400.8</w:t>
      </w:r>
      <w:r>
        <w:rPr/>
        <w:t>万份。因实施</w:t>
      </w:r>
      <w:r>
        <w:rPr>
          <w:rFonts w:ascii="Times New Roman" w:hAnsi="Times New Roman" w:cs="Times New Roman" w:eastAsia="Times New Roman" w:hint="default"/>
        </w:rPr>
        <w:t>2015</w:t>
      </w:r>
      <w:r>
        <w:rPr/>
        <w:t>年度权益分派，行权价格由</w:t>
      </w:r>
      <w:r>
        <w:rPr>
          <w:rFonts w:ascii="Times New Roman" w:hAnsi="Times New Roman" w:cs="Times New Roman" w:eastAsia="Times New Roman" w:hint="default"/>
        </w:rPr>
        <w:t>63.69</w:t>
      </w:r>
      <w:r>
        <w:rPr/>
        <w:t>元调整为</w:t>
      </w:r>
      <w:r>
        <w:rPr>
          <w:rFonts w:ascii="Times New Roman" w:hAnsi="Times New Roman" w:cs="Times New Roman" w:eastAsia="Times New Roman" w:hint="default"/>
        </w:rPr>
        <w:t>63.57</w:t>
      </w:r>
      <w:r>
        <w:rPr/>
        <w:t>元。目前处于第一期股票期权激励 计划的第一个可行权期。</w:t>
      </w:r>
    </w:p>
    <w:p>
      <w:pPr>
        <w:pStyle w:val="BodyText"/>
        <w:spacing w:line="307" w:lineRule="auto" w:before="71"/>
        <w:ind w:right="1133" w:firstLine="422"/>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日，公司第二届董事会第二十八次会议审议通过了《关于公司</w:t>
      </w:r>
      <w:r>
        <w:rPr>
          <w:rFonts w:ascii="Times New Roman" w:hAnsi="Times New Roman" w:cs="Times New Roman" w:eastAsia="Times New Roman" w:hint="default"/>
        </w:rPr>
        <w:t>&lt;</w:t>
      </w:r>
      <w:r>
        <w:rPr/>
        <w:t>第一期股票期权激励计划</w:t>
      </w:r>
      <w:r>
        <w:rPr>
          <w:rFonts w:ascii="Times New Roman" w:hAnsi="Times New Roman" w:cs="Times New Roman" w:eastAsia="Times New Roman" w:hint="default"/>
        </w:rPr>
        <w:t>&gt;</w:t>
      </w:r>
      <w:r>
        <w:rPr/>
        <w:t>首次授予期 权第一个行权期可行权的议案》，首次授予期权的</w:t>
      </w:r>
      <w:r>
        <w:rPr>
          <w:rFonts w:ascii="Times New Roman" w:hAnsi="Times New Roman" w:cs="Times New Roman" w:eastAsia="Times New Roman" w:hint="default"/>
        </w:rPr>
        <w:t>215</w:t>
      </w:r>
      <w:r>
        <w:rPr/>
        <w:t>名激励对象在第一个行权期可行权数量为</w:t>
      </w:r>
      <w:r>
        <w:rPr>
          <w:rFonts w:ascii="Times New Roman" w:hAnsi="Times New Roman" w:cs="Times New Roman" w:eastAsia="Times New Roman" w:hint="default"/>
        </w:rPr>
        <w:t>120.24</w:t>
      </w:r>
      <w:r>
        <w:rPr/>
        <w:t>万份，董事会认为已 </w:t>
      </w:r>
      <w:r>
        <w:rPr>
          <w:spacing w:val="-2"/>
        </w:rPr>
        <w:t>满足第一期股票期权激励计划首次授予期权设定的第一个行权期行权条件。董事会薪酬与考核委员会、独立董事、监事会均</w:t>
      </w:r>
      <w:r>
        <w:rPr>
          <w:spacing w:val="-66"/>
        </w:rPr>
        <w:t> </w:t>
      </w:r>
      <w:r>
        <w:rPr>
          <w:spacing w:val="-66"/>
        </w:rPr>
      </w:r>
      <w:r>
        <w:rPr/>
        <w:t>发表了同意的意见。实际行权期为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w:t>
      </w:r>
    </w:p>
    <w:p>
      <w:pPr>
        <w:pStyle w:val="BodyText"/>
        <w:spacing w:line="307" w:lineRule="auto" w:before="45"/>
        <w:ind w:right="1133" w:firstLine="422"/>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日，第二届董事会第二十八次会议审议通过了《关于公司</w:t>
      </w:r>
      <w:r>
        <w:rPr>
          <w:rFonts w:ascii="Times New Roman" w:hAnsi="Times New Roman" w:cs="Times New Roman" w:eastAsia="Times New Roman" w:hint="default"/>
        </w:rPr>
        <w:t>&lt;</w:t>
      </w:r>
      <w:r>
        <w:rPr/>
        <w:t>第一期股票期权激励计划</w:t>
      </w:r>
      <w:r>
        <w:rPr>
          <w:rFonts w:ascii="Times New Roman" w:hAnsi="Times New Roman" w:cs="Times New Roman" w:eastAsia="Times New Roman" w:hint="default"/>
        </w:rPr>
        <w:t>&gt;</w:t>
      </w:r>
      <w:r>
        <w:rPr/>
        <w:t>预留股票期权授 予相关事项的议案》，董事会同意向</w:t>
      </w:r>
      <w:r>
        <w:rPr>
          <w:rFonts w:ascii="Times New Roman" w:hAnsi="Times New Roman" w:cs="Times New Roman" w:eastAsia="Times New Roman" w:hint="default"/>
        </w:rPr>
        <w:t>1</w:t>
      </w:r>
      <w:r>
        <w:rPr/>
        <w:t>名激励对象授予</w:t>
      </w:r>
      <w:r>
        <w:rPr>
          <w:rFonts w:ascii="Times New Roman" w:hAnsi="Times New Roman" w:cs="Times New Roman" w:eastAsia="Times New Roman" w:hint="default"/>
        </w:rPr>
        <w:t>26.75</w:t>
      </w:r>
      <w:r>
        <w:rPr/>
        <w:t>万份预留股票期权。授予日为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日，行权价格为</w:t>
      </w:r>
      <w:r>
        <w:rPr>
          <w:rFonts w:ascii="Times New Roman" w:hAnsi="Times New Roman" w:cs="Times New Roman" w:eastAsia="Times New Roman" w:hint="default"/>
        </w:rPr>
        <w:t>69.72 </w:t>
      </w:r>
      <w:r>
        <w:rPr>
          <w:spacing w:val="-2"/>
        </w:rPr>
        <w:t>元。独立董事、监事会均发表了同意的意见。经深圳证券交易所、中国证券登记结算有限公司深圳分公司审核确认，本次预</w:t>
      </w:r>
      <w:r>
        <w:rPr>
          <w:spacing w:val="-66"/>
        </w:rPr>
        <w:t> </w:t>
      </w:r>
      <w:r>
        <w:rPr>
          <w:spacing w:val="-66"/>
        </w:rPr>
      </w:r>
      <w:r>
        <w:rPr/>
        <w:t>留部分期权已于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日完成了授予登记工作。</w:t>
      </w:r>
    </w:p>
    <w:p>
      <w:pPr>
        <w:pStyle w:val="BodyText"/>
        <w:spacing w:line="300" w:lineRule="auto" w:before="46"/>
        <w:ind w:right="1026" w:firstLine="422"/>
        <w:jc w:val="left"/>
      </w:pPr>
      <w:r>
        <w:rPr>
          <w:rFonts w:ascii="Times New Roman" w:hAnsi="Times New Roman" w:cs="Times New Roman" w:eastAsia="Times New Roman" w:hint="default"/>
          <w:spacing w:val="-1"/>
        </w:rPr>
        <w:t>6</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22</w:t>
      </w:r>
      <w:r>
        <w:rPr>
          <w:spacing w:val="-1"/>
        </w:rPr>
        <w:t>日，第三届董事会第六次会议审议通过了《关于调整股票期权激励计划期权数量和行权价格的议案》，</w:t>
      </w:r>
      <w:r>
        <w:rPr/>
        <w:t> 因公司实施</w:t>
      </w:r>
      <w:r>
        <w:rPr>
          <w:rFonts w:ascii="Times New Roman" w:hAnsi="Times New Roman" w:cs="Times New Roman" w:eastAsia="Times New Roman" w:hint="default"/>
        </w:rPr>
        <w:t>2016</w:t>
      </w:r>
      <w:r>
        <w:rPr/>
        <w:t>年度利润分配及资本公积转增股本方案，公司对第一期股票期权激励计划期权数量和行权价格作出相应调 </w:t>
      </w:r>
      <w:r>
        <w:rPr>
          <w:spacing w:val="-2"/>
        </w:rPr>
        <w:t>整，首次授予股票期权授予数量由</w:t>
      </w:r>
      <w:r>
        <w:rPr>
          <w:rFonts w:ascii="Times New Roman" w:hAnsi="Times New Roman" w:cs="Times New Roman" w:eastAsia="Times New Roman" w:hint="default"/>
          <w:spacing w:val="-2"/>
        </w:rPr>
        <w:t>400.8</w:t>
      </w:r>
      <w:r>
        <w:rPr>
          <w:spacing w:val="-2"/>
        </w:rPr>
        <w:t>万份调整为</w:t>
      </w:r>
      <w:r>
        <w:rPr>
          <w:rFonts w:ascii="Times New Roman" w:hAnsi="Times New Roman" w:cs="Times New Roman" w:eastAsia="Times New Roman" w:hint="default"/>
          <w:spacing w:val="-2"/>
        </w:rPr>
        <w:t>801.6</w:t>
      </w:r>
      <w:r>
        <w:rPr>
          <w:spacing w:val="-2"/>
        </w:rPr>
        <w:t>万份，行权价格由</w:t>
      </w:r>
      <w:r>
        <w:rPr>
          <w:rFonts w:ascii="Times New Roman" w:hAnsi="Times New Roman" w:cs="Times New Roman" w:eastAsia="Times New Roman" w:hint="default"/>
          <w:spacing w:val="-2"/>
        </w:rPr>
        <w:t>63.57</w:t>
      </w:r>
      <w:r>
        <w:rPr>
          <w:spacing w:val="-2"/>
        </w:rPr>
        <w:t>元调整为</w:t>
      </w:r>
      <w:r>
        <w:rPr>
          <w:rFonts w:ascii="Times New Roman" w:hAnsi="Times New Roman" w:cs="Times New Roman" w:eastAsia="Times New Roman" w:hint="default"/>
          <w:spacing w:val="-2"/>
        </w:rPr>
        <w:t>31.69</w:t>
      </w:r>
      <w:r>
        <w:rPr>
          <w:spacing w:val="-2"/>
        </w:rPr>
        <w:t>元。预留部分（已授予）股票</w:t>
      </w:r>
      <w:r>
        <w:rPr>
          <w:spacing w:val="-49"/>
        </w:rPr>
        <w:t> </w:t>
      </w:r>
      <w:r>
        <w:rPr>
          <w:spacing w:val="-49"/>
        </w:rPr>
      </w:r>
      <w:r>
        <w:rPr/>
        <w:t>期权授予数量由</w:t>
      </w:r>
      <w:r>
        <w:rPr>
          <w:rFonts w:ascii="Times New Roman" w:hAnsi="Times New Roman" w:cs="Times New Roman" w:eastAsia="Times New Roman" w:hint="default"/>
        </w:rPr>
        <w:t>26.75</w:t>
      </w:r>
      <w:r>
        <w:rPr/>
        <w:t>万份调整为</w:t>
      </w:r>
      <w:r>
        <w:rPr>
          <w:rFonts w:ascii="Times New Roman" w:hAnsi="Times New Roman" w:cs="Times New Roman" w:eastAsia="Times New Roman" w:hint="default"/>
        </w:rPr>
        <w:t>53.5</w:t>
      </w:r>
      <w:r>
        <w:rPr/>
        <w:t>万份，行权价格由</w:t>
      </w:r>
      <w:r>
        <w:rPr>
          <w:rFonts w:ascii="Times New Roman" w:hAnsi="Times New Roman" w:cs="Times New Roman" w:eastAsia="Times New Roman" w:hint="default"/>
        </w:rPr>
        <w:t>69.72</w:t>
      </w:r>
      <w:r>
        <w:rPr/>
        <w:t>元调整为</w:t>
      </w:r>
      <w:r>
        <w:rPr>
          <w:rFonts w:ascii="Times New Roman" w:hAnsi="Times New Roman" w:cs="Times New Roman" w:eastAsia="Times New Roman" w:hint="default"/>
        </w:rPr>
        <w:t>34.76</w:t>
      </w:r>
      <w:r>
        <w:rPr/>
        <w:t>元。独立董事对本次股票期权激励计划相关事项 发表了同意的独立意见，北京国枫律师事务所出具了相关法律意见书。</w:t>
      </w:r>
    </w:p>
    <w:p>
      <w:pPr>
        <w:pStyle w:val="BodyText"/>
        <w:spacing w:line="300" w:lineRule="auto" w:before="71"/>
        <w:ind w:right="1115" w:firstLine="422"/>
        <w:jc w:val="left"/>
      </w:pPr>
      <w:r>
        <w:rPr>
          <w:rFonts w:ascii="Times New Roman" w:hAnsi="Times New Roman" w:cs="Times New Roman" w:eastAsia="Times New Roman" w:hint="default"/>
          <w:spacing w:val="-1"/>
        </w:rPr>
        <w:t>7</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5</w:t>
      </w:r>
      <w:r>
        <w:rPr>
          <w:spacing w:val="-1"/>
        </w:rPr>
        <w:t>日，第三届董事会第八次会议和第三届监事会第七次会议审议通过了《关于调整公司第一期股票期权激</w:t>
      </w:r>
      <w:r>
        <w:rPr/>
        <w:t> 励计划激励对象和期权数量的议案》。公司第一期股票期权激励计划首次授予期权的第一个行权期为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日至</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日，因</w:t>
      </w:r>
      <w:r>
        <w:rPr>
          <w:rFonts w:ascii="Times New Roman" w:hAnsi="Times New Roman" w:cs="Times New Roman" w:eastAsia="Times New Roman" w:hint="default"/>
        </w:rPr>
        <w:t>101</w:t>
      </w:r>
      <w:r>
        <w:rPr/>
        <w:t>名激励对象放弃行权而失效的股票期权合计</w:t>
      </w:r>
      <w:r>
        <w:rPr>
          <w:rFonts w:ascii="Times New Roman" w:hAnsi="Times New Roman" w:cs="Times New Roman" w:eastAsia="Times New Roman" w:hint="default"/>
        </w:rPr>
        <w:t>1,247,800</w:t>
      </w:r>
      <w:r>
        <w:rPr/>
        <w:t>份，按规定应予以注销；因</w:t>
      </w:r>
      <w:r>
        <w:rPr>
          <w:rFonts w:ascii="Times New Roman" w:hAnsi="Times New Roman" w:cs="Times New Roman" w:eastAsia="Times New Roman" w:hint="default"/>
        </w:rPr>
        <w:t>73</w:t>
      </w:r>
      <w:r>
        <w:rPr/>
        <w:t>名激励对象离职，其获 </w:t>
      </w:r>
      <w:r>
        <w:rPr>
          <w:spacing w:val="-2"/>
        </w:rPr>
        <w:t>授但尚未行权的股票期权合计</w:t>
      </w:r>
      <w:r>
        <w:rPr>
          <w:rFonts w:ascii="Times New Roman" w:hAnsi="Times New Roman" w:cs="Times New Roman" w:eastAsia="Times New Roman" w:hint="default"/>
          <w:spacing w:val="-2"/>
        </w:rPr>
        <w:t>1,762,980</w:t>
      </w:r>
      <w:r>
        <w:rPr>
          <w:spacing w:val="-2"/>
        </w:rPr>
        <w:t>份，按规定应予以注销。应注销期权合计</w:t>
      </w:r>
      <w:r>
        <w:rPr>
          <w:rFonts w:ascii="Times New Roman" w:hAnsi="Times New Roman" w:cs="Times New Roman" w:eastAsia="Times New Roman" w:hint="default"/>
          <w:spacing w:val="-2"/>
        </w:rPr>
        <w:t>3,010,780</w:t>
      </w:r>
      <w:r>
        <w:rPr>
          <w:spacing w:val="-2"/>
        </w:rPr>
        <w:t>份。本次调整后，公司第一期股票</w:t>
      </w:r>
      <w:r>
        <w:rPr>
          <w:spacing w:val="-52"/>
        </w:rPr>
        <w:t> </w:t>
      </w:r>
      <w:r>
        <w:rPr>
          <w:spacing w:val="-52"/>
        </w:rPr>
      </w:r>
      <w:r>
        <w:rPr/>
        <w:t>期权激励计划首次授予期权激励对象由</w:t>
      </w:r>
      <w:r>
        <w:rPr>
          <w:rFonts w:ascii="Times New Roman" w:hAnsi="Times New Roman" w:cs="Times New Roman" w:eastAsia="Times New Roman" w:hint="default"/>
        </w:rPr>
        <w:t>215</w:t>
      </w:r>
      <w:r>
        <w:rPr/>
        <w:t>名调整为</w:t>
      </w:r>
      <w:r>
        <w:rPr>
          <w:rFonts w:ascii="Times New Roman" w:hAnsi="Times New Roman" w:cs="Times New Roman" w:eastAsia="Times New Roman" w:hint="default"/>
        </w:rPr>
        <w:t>142</w:t>
      </w:r>
      <w:r>
        <w:rPr/>
        <w:t>人，激励对象获授但尚未行权的期权数量调整为</w:t>
      </w:r>
      <w:r>
        <w:rPr>
          <w:rFonts w:ascii="Times New Roman" w:hAnsi="Times New Roman" w:cs="Times New Roman" w:eastAsia="Times New Roman" w:hint="default"/>
        </w:rPr>
        <w:t>4,118,800</w:t>
      </w:r>
      <w:r>
        <w:rPr/>
        <w:t>份。</w:t>
      </w:r>
    </w:p>
    <w:p>
      <w:pPr>
        <w:pStyle w:val="BodyText"/>
        <w:spacing w:line="309" w:lineRule="auto" w:before="51"/>
        <w:ind w:right="967" w:firstLine="422"/>
        <w:jc w:val="left"/>
      </w:pPr>
      <w:r>
        <w:rPr>
          <w:spacing w:val="-5"/>
        </w:rPr>
        <w:t>由于预留授予期权的激励对象于冬斌因个人原因离职，不再具备激励对象资格，根据公司《股票期权激励计划（草案）》</w:t>
      </w:r>
      <w:r>
        <w:rPr/>
        <w:t> 的相关规定，对其持有的</w:t>
      </w:r>
      <w:r>
        <w:rPr>
          <w:rFonts w:ascii="Times New Roman" w:hAnsi="Times New Roman" w:cs="Times New Roman" w:eastAsia="Times New Roman" w:hint="default"/>
        </w:rPr>
        <w:t>535,000</w:t>
      </w:r>
      <w:r>
        <w:rPr/>
        <w:t>份预留股票期权予以取消并办理注销手续。本次调整后，公司第一期股票期权激励计划预 留股票期权存量数为</w:t>
      </w:r>
      <w:r>
        <w:rPr>
          <w:rFonts w:ascii="Times New Roman" w:hAnsi="Times New Roman" w:cs="Times New Roman" w:eastAsia="Times New Roman" w:hint="default"/>
        </w:rPr>
        <w:t>0</w:t>
      </w:r>
      <w:r>
        <w:rPr/>
        <w:t>，自行终止。</w:t>
      </w:r>
    </w:p>
    <w:p>
      <w:pPr>
        <w:pStyle w:val="BodyText"/>
        <w:spacing w:line="357" w:lineRule="auto" w:before="44"/>
        <w:ind w:left="576" w:right="1120"/>
        <w:jc w:val="left"/>
      </w:pPr>
      <w:r>
        <w:rPr/>
        <w:t>独立董事发表了同意的独立意见，北京国枫律师事务所出具了相关法律意见书。 </w:t>
      </w:r>
      <w:r>
        <w:rPr>
          <w:spacing w:val="-1"/>
        </w:rPr>
        <w:t>经中国证券登记结算有限责任公司深圳分公司审核确认，上述</w:t>
      </w:r>
      <w:r>
        <w:rPr>
          <w:rFonts w:ascii="Times New Roman" w:hAnsi="Times New Roman" w:cs="Times New Roman" w:eastAsia="Times New Roman" w:hint="default"/>
          <w:spacing w:val="-1"/>
        </w:rPr>
        <w:t>3,545,780</w:t>
      </w:r>
      <w:r>
        <w:rPr>
          <w:spacing w:val="-1"/>
        </w:rPr>
        <w:t>份股票期权注销事宜已于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12</w:t>
      </w:r>
      <w:r>
        <w:rPr>
          <w:spacing w:val="-1"/>
        </w:rPr>
        <w:t>日办理完</w:t>
      </w:r>
    </w:p>
    <w:p>
      <w:pPr>
        <w:pStyle w:val="BodyText"/>
        <w:spacing w:line="202" w:lineRule="exact"/>
        <w:ind w:right="967"/>
        <w:jc w:val="left"/>
      </w:pPr>
      <w:r>
        <w:rPr/>
        <w:t>毕。</w:t>
      </w:r>
    </w:p>
    <w:p>
      <w:pPr>
        <w:pStyle w:val="BodyText"/>
        <w:spacing w:line="240" w:lineRule="auto" w:before="115"/>
        <w:ind w:left="576" w:right="967"/>
        <w:jc w:val="left"/>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日，第三届董事会第八次会议审议通过了《关于公司第一期股票期权激励计划首次授予期权第二个行权</w:t>
      </w:r>
    </w:p>
    <w:p>
      <w:pPr>
        <w:pStyle w:val="BodyText"/>
        <w:spacing w:line="302" w:lineRule="auto" w:before="63"/>
        <w:ind w:right="1049"/>
        <w:jc w:val="both"/>
      </w:pPr>
      <w:r>
        <w:rPr/>
        <w:t>期可行权的议案》。公司第一期股票期权激励计划首次授予期权第二个行权期的行权条件已满足，同意</w:t>
      </w:r>
      <w:r>
        <w:rPr>
          <w:rFonts w:ascii="Times New Roman" w:hAnsi="Times New Roman" w:cs="Times New Roman" w:eastAsia="Times New Roman" w:hint="default"/>
        </w:rPr>
        <w:t>142</w:t>
      </w:r>
      <w:r>
        <w:rPr/>
        <w:t>名激励对象在第 </w:t>
      </w:r>
      <w:r>
        <w:rPr>
          <w:spacing w:val="-2"/>
        </w:rPr>
        <w:t>二个行权期内以自主行权方式进行行权，第二个行权期可行权股票期权合计</w:t>
      </w:r>
      <w:r>
        <w:rPr>
          <w:rFonts w:ascii="Times New Roman" w:hAnsi="Times New Roman" w:cs="Times New Roman" w:eastAsia="Times New Roman" w:hint="default"/>
          <w:spacing w:val="-2"/>
        </w:rPr>
        <w:t>1,765,200</w:t>
      </w:r>
      <w:r>
        <w:rPr>
          <w:spacing w:val="-2"/>
        </w:rPr>
        <w:t>份。董事会薪酬与考核委员会、独立董</w:t>
      </w:r>
      <w:r>
        <w:rPr>
          <w:spacing w:val="-58"/>
        </w:rPr>
        <w:t> </w:t>
      </w:r>
      <w:r>
        <w:rPr>
          <w:spacing w:val="-58"/>
        </w:rPr>
      </w:r>
      <w:r>
        <w:rPr/>
        <w:t>事、监事会均发表了同意的意见。北京国枫律师事务所出具了相关法律意见书。行权期限为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w:t>
      </w:r>
    </w:p>
    <w:p>
      <w:pPr>
        <w:pStyle w:val="BodyText"/>
        <w:spacing w:line="300" w:lineRule="auto" w:before="49"/>
        <w:ind w:right="1150" w:firstLine="422"/>
        <w:jc w:val="left"/>
      </w:pPr>
      <w:r>
        <w:rPr>
          <w:rFonts w:ascii="Times New Roman" w:hAnsi="Times New Roman" w:cs="Times New Roman" w:eastAsia="Times New Roman" w:hint="default"/>
        </w:rPr>
        <w:t>9</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日，第三届董事会第十八次会议和第三届监事会第十五次会议审议通过了《关于调整公司第一期股票 期权激励计划激励对象和期权数量的议案》、《关于注销公司</w:t>
      </w:r>
      <w:r>
        <w:rPr>
          <w:rFonts w:ascii="Times New Roman" w:hAnsi="Times New Roman" w:cs="Times New Roman" w:eastAsia="Times New Roman" w:hint="default"/>
        </w:rPr>
        <w:t>&lt;</w:t>
      </w:r>
      <w:r>
        <w:rPr/>
        <w:t>第一期股票期权激励计划</w:t>
      </w:r>
      <w:r>
        <w:rPr>
          <w:rFonts w:ascii="Times New Roman" w:hAnsi="Times New Roman" w:cs="Times New Roman" w:eastAsia="Times New Roman" w:hint="default"/>
        </w:rPr>
        <w:t>&gt;</w:t>
      </w:r>
      <w:r>
        <w:rPr/>
        <w:t>第三个行权期未达行权条件对应</w:t>
      </w:r>
    </w:p>
    <w:p>
      <w:pPr>
        <w:spacing w:after="0" w:line="30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right="1122"/>
        <w:jc w:val="left"/>
      </w:pPr>
      <w:r>
        <w:rPr/>
        <w:t>股票期权的议案》。因</w:t>
      </w:r>
      <w:r>
        <w:rPr>
          <w:rFonts w:ascii="Times New Roman" w:hAnsi="Times New Roman" w:cs="Times New Roman" w:eastAsia="Times New Roman" w:hint="default"/>
        </w:rPr>
        <w:t>119</w:t>
      </w:r>
      <w:r>
        <w:rPr/>
        <w:t>名激励对象放弃行权而失效的股票期权合计</w:t>
      </w:r>
      <w:r>
        <w:rPr>
          <w:rFonts w:ascii="Times New Roman" w:hAnsi="Times New Roman" w:cs="Times New Roman" w:eastAsia="Times New Roman" w:hint="default"/>
        </w:rPr>
        <w:t>1,445,100</w:t>
      </w:r>
      <w:r>
        <w:rPr/>
        <w:t>份，按规定应予以注销；因</w:t>
      </w:r>
      <w:r>
        <w:rPr>
          <w:rFonts w:ascii="Times New Roman" w:hAnsi="Times New Roman" w:cs="Times New Roman" w:eastAsia="Times New Roman" w:hint="default"/>
        </w:rPr>
        <w:t>23</w:t>
      </w:r>
      <w:r>
        <w:rPr/>
        <w:t>名激励对象离 职，其获授但尚未行权的股票期权合计</w:t>
      </w:r>
      <w:r>
        <w:rPr>
          <w:rFonts w:ascii="Times New Roman" w:hAnsi="Times New Roman" w:cs="Times New Roman" w:eastAsia="Times New Roman" w:hint="default"/>
        </w:rPr>
        <w:t>746,900</w:t>
      </w:r>
      <w:r>
        <w:rPr/>
        <w:t>份，按规定应予以注销。应注销期权合计</w:t>
      </w:r>
      <w:r>
        <w:rPr>
          <w:rFonts w:ascii="Times New Roman" w:hAnsi="Times New Roman" w:cs="Times New Roman" w:eastAsia="Times New Roman" w:hint="default"/>
        </w:rPr>
        <w:t>2,192,000</w:t>
      </w:r>
      <w:r>
        <w:rPr/>
        <w:t>份。本次调整后，公司第 一期股票期权激励计划首次授予期权激励对象由</w:t>
      </w:r>
      <w:r>
        <w:rPr>
          <w:rFonts w:ascii="Times New Roman" w:hAnsi="Times New Roman" w:cs="Times New Roman" w:eastAsia="Times New Roman" w:hint="default"/>
        </w:rPr>
        <w:t>142</w:t>
      </w:r>
      <w:r>
        <w:rPr/>
        <w:t>名调整为</w:t>
      </w:r>
      <w:r>
        <w:rPr>
          <w:rFonts w:ascii="Times New Roman" w:hAnsi="Times New Roman" w:cs="Times New Roman" w:eastAsia="Times New Roman" w:hint="default"/>
        </w:rPr>
        <w:t>119</w:t>
      </w:r>
      <w:r>
        <w:rPr/>
        <w:t>人，激励对象获授但尚未行权的期权数量调整为</w:t>
      </w:r>
      <w:r>
        <w:rPr>
          <w:rFonts w:ascii="Times New Roman" w:hAnsi="Times New Roman" w:cs="Times New Roman" w:eastAsia="Times New Roman" w:hint="default"/>
        </w:rPr>
        <w:t>1,926,800 </w:t>
      </w:r>
      <w:r>
        <w:rPr/>
        <w:t>份。鉴于公司第一期股票期权激励计划第三个行权期业绩考核未达到设定的行权条件，根据</w:t>
      </w:r>
      <w:r>
        <w:rPr>
          <w:spacing w:val="-18"/>
        </w:rPr>
        <w:t> </w:t>
      </w:r>
      <w:r>
        <w:rPr>
          <w:rFonts w:ascii="Times New Roman" w:hAnsi="Times New Roman" w:cs="Times New Roman" w:eastAsia="Times New Roman" w:hint="default"/>
        </w:rPr>
        <w:t>2015</w:t>
      </w:r>
      <w:r>
        <w:rPr/>
        <w:t>年第二次临时股东大会的 授权，董事会决定对第一期股票期权激励计划激励对象已获授的第三个行权期对应的</w:t>
      </w:r>
      <w:r>
        <w:rPr>
          <w:rFonts w:ascii="Times New Roman" w:hAnsi="Times New Roman" w:cs="Times New Roman" w:eastAsia="Times New Roman" w:hint="default"/>
        </w:rPr>
        <w:t>1,926,800</w:t>
      </w:r>
      <w:r>
        <w:rPr/>
        <w:t>份股票期权予以注销。</w:t>
      </w:r>
    </w:p>
    <w:p>
      <w:pPr>
        <w:pStyle w:val="BodyText"/>
        <w:spacing w:line="316" w:lineRule="auto" w:before="51"/>
        <w:ind w:right="967"/>
        <w:jc w:val="left"/>
      </w:pPr>
      <w:r>
        <w:rPr>
          <w:spacing w:val="-2"/>
        </w:rPr>
        <w:t>公司《第一期股票期权激励计划》分三个行权期行权，前述股票期权注销完成后，公司第一期股票期权激励计划股票期权存</w:t>
      </w:r>
      <w:r>
        <w:rPr>
          <w:spacing w:val="-66"/>
        </w:rPr>
        <w:t> </w:t>
      </w:r>
      <w:r>
        <w:rPr>
          <w:spacing w:val="-66"/>
        </w:rPr>
      </w:r>
      <w:r>
        <w:rPr/>
        <w:t>量数为</w:t>
      </w:r>
      <w:r>
        <w:rPr>
          <w:rFonts w:ascii="Times New Roman" w:hAnsi="Times New Roman" w:cs="Times New Roman" w:eastAsia="Times New Roman" w:hint="default"/>
        </w:rPr>
        <w:t>0</w:t>
      </w:r>
      <w:r>
        <w:rPr/>
        <w:t>，自行终止。</w:t>
      </w:r>
    </w:p>
    <w:p>
      <w:pPr>
        <w:pStyle w:val="BodyText"/>
        <w:spacing w:line="316" w:lineRule="auto"/>
        <w:ind w:right="1122"/>
        <w:jc w:val="left"/>
      </w:pPr>
      <w:r>
        <w:rPr/>
        <w:t>独立董事发表了同意的独立意见，北京国枫律师事务所出具了相关法律意见书。 经中国证券登记结算有限责任公司深圳分公司审核确认，上述</w:t>
      </w:r>
      <w:r>
        <w:rPr>
          <w:rFonts w:ascii="Times New Roman" w:hAnsi="Times New Roman" w:cs="Times New Roman" w:eastAsia="Times New Roman" w:hint="default"/>
        </w:rPr>
        <w:t>4,118,800</w:t>
      </w:r>
      <w:r>
        <w:rPr/>
        <w:t>份股票期权注销事宜已于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日办理完毕。</w:t>
      </w:r>
    </w:p>
    <w:p>
      <w:pPr>
        <w:spacing w:line="240" w:lineRule="auto" w:before="10"/>
        <w:rPr>
          <w:rFonts w:ascii="宋体" w:hAnsi="宋体" w:cs="宋体" w:eastAsia="宋体" w:hint="default"/>
          <w:sz w:val="23"/>
          <w:szCs w:val="23"/>
        </w:rPr>
      </w:pPr>
    </w:p>
    <w:p>
      <w:pPr>
        <w:pStyle w:val="Heading5"/>
        <w:spacing w:line="240" w:lineRule="auto"/>
        <w:ind w:right="967"/>
        <w:jc w:val="left"/>
        <w:rPr>
          <w:b w:val="0"/>
          <w:bCs w:val="0"/>
        </w:rPr>
      </w:pPr>
      <w:r>
        <w:rPr>
          <w:rFonts w:ascii="宋体" w:hAnsi="宋体" w:cs="宋体" w:eastAsia="宋体" w:hint="default"/>
          <w:b w:val="0"/>
          <w:bCs w:val="0"/>
        </w:rPr>
        <w:t>（二）</w:t>
      </w:r>
      <w:r>
        <w:rPr>
          <w:rFonts w:ascii="Times New Roman" w:hAnsi="Times New Roman" w:cs="Times New Roman" w:eastAsia="Times New Roman" w:hint="default"/>
        </w:rPr>
        <w:t>2018</w:t>
      </w:r>
      <w:r>
        <w:rPr/>
        <w:t>年股票期权激励计划</w:t>
      </w:r>
      <w:r>
        <w:rPr>
          <w:b w:val="0"/>
          <w:bCs w:val="0"/>
        </w:rPr>
      </w:r>
    </w:p>
    <w:p>
      <w:pPr>
        <w:spacing w:line="240" w:lineRule="auto" w:before="13"/>
        <w:rPr>
          <w:rFonts w:ascii="宋体" w:hAnsi="宋体" w:cs="宋体" w:eastAsia="宋体" w:hint="default"/>
          <w:b/>
          <w:bCs/>
          <w:sz w:val="13"/>
          <w:szCs w:val="13"/>
        </w:rPr>
      </w:pPr>
    </w:p>
    <w:p>
      <w:pPr>
        <w:pStyle w:val="BodyText"/>
        <w:spacing w:line="300" w:lineRule="auto"/>
        <w:ind w:right="967" w:firstLine="48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日，第三届董事会第十四次会议和第三届监事会第十一次会议，审议通过了《关于公司</w:t>
      </w:r>
      <w:r>
        <w:rPr>
          <w:rFonts w:ascii="Times New Roman" w:hAnsi="Times New Roman" w:cs="Times New Roman" w:eastAsia="Times New Roman" w:hint="default"/>
        </w:rPr>
        <w:t>&lt;2018</w:t>
      </w:r>
      <w:r>
        <w:rPr/>
        <w:t>年股票 </w:t>
      </w:r>
      <w:r>
        <w:rPr>
          <w:spacing w:val="-3"/>
        </w:rPr>
        <w:t>期权激励计划（草案）</w:t>
      </w:r>
      <w:r>
        <w:rPr>
          <w:rFonts w:ascii="Times New Roman" w:hAnsi="Times New Roman" w:cs="Times New Roman" w:eastAsia="Times New Roman" w:hint="default"/>
          <w:spacing w:val="-3"/>
        </w:rPr>
        <w:t>&gt;</w:t>
      </w:r>
      <w:r>
        <w:rPr>
          <w:spacing w:val="-3"/>
        </w:rPr>
        <w:t>及其摘要的议案》、《关于公司</w:t>
      </w:r>
      <w:r>
        <w:rPr>
          <w:rFonts w:ascii="Times New Roman" w:hAnsi="Times New Roman" w:cs="Times New Roman" w:eastAsia="Times New Roman" w:hint="default"/>
          <w:spacing w:val="-3"/>
        </w:rPr>
        <w:t>&lt;2018</w:t>
      </w:r>
      <w:r>
        <w:rPr>
          <w:spacing w:val="-3"/>
        </w:rPr>
        <w:t>年股票期权激励计划实施考核管理办法</w:t>
      </w:r>
      <w:r>
        <w:rPr>
          <w:rFonts w:ascii="Times New Roman" w:hAnsi="Times New Roman" w:cs="Times New Roman" w:eastAsia="Times New Roman" w:hint="default"/>
          <w:spacing w:val="-3"/>
        </w:rPr>
        <w:t>&gt;</w:t>
      </w:r>
      <w:r>
        <w:rPr>
          <w:spacing w:val="-3"/>
        </w:rPr>
        <w:t>的议案》等相关议案，</w:t>
      </w:r>
      <w:r>
        <w:rPr>
          <w:spacing w:val="-37"/>
        </w:rPr>
        <w:t> </w:t>
      </w:r>
      <w:r>
        <w:rPr>
          <w:spacing w:val="-37"/>
        </w:rPr>
      </w:r>
      <w:r>
        <w:rPr/>
        <w:t>经内部公示，并经公司</w:t>
      </w:r>
      <w:r>
        <w:rPr>
          <w:rFonts w:ascii="Times New Roman" w:hAnsi="Times New Roman" w:cs="Times New Roman" w:eastAsia="Times New Roman" w:hint="default"/>
        </w:rPr>
        <w:t>2018</w:t>
      </w:r>
      <w:r>
        <w:rPr/>
        <w:t>年第二次临时股东大会审议通过。</w:t>
      </w:r>
    </w:p>
    <w:p>
      <w:pPr>
        <w:pStyle w:val="BodyText"/>
        <w:spacing w:line="240" w:lineRule="auto" w:before="133"/>
        <w:ind w:left="634" w:right="967"/>
        <w:jc w:val="left"/>
      </w:pPr>
      <w:r>
        <w:rPr/>
        <w:t>独立董事发表了同意的独立意见，北京国枫律师事务所出具了相关法律意见书。</w:t>
      </w:r>
    </w:p>
    <w:p>
      <w:pPr>
        <w:spacing w:line="240" w:lineRule="auto" w:before="0"/>
        <w:rPr>
          <w:rFonts w:ascii="宋体" w:hAnsi="宋体" w:cs="宋体" w:eastAsia="宋体" w:hint="default"/>
          <w:sz w:val="15"/>
          <w:szCs w:val="15"/>
        </w:rPr>
      </w:pPr>
    </w:p>
    <w:p>
      <w:pPr>
        <w:pStyle w:val="BodyText"/>
        <w:spacing w:line="300" w:lineRule="auto"/>
        <w:ind w:right="1130" w:firstLine="480"/>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20</w:t>
      </w:r>
      <w:r>
        <w:rPr>
          <w:spacing w:val="-1"/>
        </w:rPr>
        <w:t>日，第三届董事会第十六次会议和第三届监事会第十三次会议审议通过了《关于调整公司</w:t>
      </w:r>
      <w:r>
        <w:rPr>
          <w:rFonts w:ascii="Times New Roman" w:hAnsi="Times New Roman" w:cs="Times New Roman" w:eastAsia="Times New Roman" w:hint="default"/>
          <w:spacing w:val="-1"/>
        </w:rPr>
        <w:t>2018</w:t>
      </w:r>
      <w:r>
        <w:rPr>
          <w:spacing w:val="-1"/>
        </w:rPr>
        <w:t>年股票</w:t>
      </w:r>
      <w:r>
        <w:rPr/>
        <w:t> </w:t>
      </w:r>
      <w:r>
        <w:rPr>
          <w:spacing w:val="-2"/>
        </w:rPr>
        <w:t>期权激励计划相关事项的议案》及《关于向</w:t>
      </w:r>
      <w:r>
        <w:rPr>
          <w:rFonts w:ascii="Times New Roman" w:hAnsi="Times New Roman" w:cs="Times New Roman" w:eastAsia="Times New Roman" w:hint="default"/>
          <w:spacing w:val="-2"/>
        </w:rPr>
        <w:t>2018</w:t>
      </w:r>
      <w:r>
        <w:rPr>
          <w:spacing w:val="-2"/>
        </w:rPr>
        <w:t>年股票期权激励计划受激励对象授予股票期权的议案》。公司本次股权激励</w:t>
      </w:r>
      <w:r>
        <w:rPr>
          <w:spacing w:val="-62"/>
        </w:rPr>
        <w:t> </w:t>
      </w:r>
      <w:r>
        <w:rPr>
          <w:spacing w:val="-62"/>
        </w:rPr>
      </w:r>
      <w:r>
        <w:rPr>
          <w:spacing w:val="-2"/>
        </w:rPr>
        <w:t>计划受激励对象人数由</w:t>
      </w:r>
      <w:r>
        <w:rPr>
          <w:rFonts w:ascii="Times New Roman" w:hAnsi="Times New Roman" w:cs="Times New Roman" w:eastAsia="Times New Roman" w:hint="default"/>
          <w:spacing w:val="-2"/>
        </w:rPr>
        <w:t>69</w:t>
      </w:r>
      <w:r>
        <w:rPr>
          <w:spacing w:val="-2"/>
        </w:rPr>
        <w:t>名变更为</w:t>
      </w:r>
      <w:r>
        <w:rPr>
          <w:rFonts w:ascii="Times New Roman" w:hAnsi="Times New Roman" w:cs="Times New Roman" w:eastAsia="Times New Roman" w:hint="default"/>
          <w:spacing w:val="-2"/>
        </w:rPr>
        <w:t>68</w:t>
      </w:r>
      <w:r>
        <w:rPr>
          <w:spacing w:val="-2"/>
        </w:rPr>
        <w:t>名；授予的股票期权数量由</w:t>
      </w:r>
      <w:r>
        <w:rPr>
          <w:rFonts w:ascii="Times New Roman" w:hAnsi="Times New Roman" w:cs="Times New Roman" w:eastAsia="Times New Roman" w:hint="default"/>
          <w:spacing w:val="-2"/>
        </w:rPr>
        <w:t>1,200</w:t>
      </w:r>
      <w:r>
        <w:rPr>
          <w:spacing w:val="-2"/>
        </w:rPr>
        <w:t>万份变更为</w:t>
      </w:r>
      <w:r>
        <w:rPr>
          <w:rFonts w:ascii="Times New Roman" w:hAnsi="Times New Roman" w:cs="Times New Roman" w:eastAsia="Times New Roman" w:hint="default"/>
          <w:spacing w:val="-2"/>
        </w:rPr>
        <w:t>1,198</w:t>
      </w:r>
      <w:r>
        <w:rPr>
          <w:spacing w:val="-2"/>
        </w:rPr>
        <w:t>万份。行权价格为</w:t>
      </w:r>
      <w:r>
        <w:rPr>
          <w:rFonts w:ascii="Times New Roman" w:hAnsi="Times New Roman" w:cs="Times New Roman" w:eastAsia="Times New Roman" w:hint="default"/>
          <w:spacing w:val="-2"/>
        </w:rPr>
        <w:t>15.06</w:t>
      </w:r>
      <w:r>
        <w:rPr>
          <w:spacing w:val="-2"/>
        </w:rPr>
        <w:t>元</w:t>
      </w:r>
      <w:r>
        <w:rPr>
          <w:rFonts w:ascii="Times New Roman" w:hAnsi="Times New Roman" w:cs="Times New Roman" w:eastAsia="Times New Roman" w:hint="default"/>
          <w:spacing w:val="-2"/>
        </w:rPr>
        <w:t>/</w:t>
      </w:r>
      <w:r>
        <w:rPr>
          <w:spacing w:val="-2"/>
        </w:rPr>
        <w:t>股，授予日</w:t>
      </w:r>
      <w:r>
        <w:rPr>
          <w:spacing w:val="-52"/>
        </w:rPr>
        <w:t> </w:t>
      </w:r>
      <w:r>
        <w:rPr>
          <w:spacing w:val="-52"/>
        </w:rPr>
      </w:r>
      <w:r>
        <w:rPr/>
        <w:t>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w:t>
      </w:r>
    </w:p>
    <w:p>
      <w:pPr>
        <w:pStyle w:val="BodyText"/>
        <w:spacing w:line="441" w:lineRule="auto" w:before="133"/>
        <w:ind w:left="576" w:right="1420" w:firstLine="57"/>
        <w:jc w:val="left"/>
      </w:pPr>
      <w:r>
        <w:rPr/>
        <w:t>独立董事发表了同意的独立意见，北京国枫律师事务所出具了相关法律意见书。 经深圳证券交易所、中国证券登记结算有限公司深圳分公司审核确认，已于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日完成了授予登记工作。</w:t>
      </w:r>
    </w:p>
    <w:p>
      <w:pPr>
        <w:spacing w:line="240" w:lineRule="auto" w:before="13"/>
        <w:rPr>
          <w:rFonts w:ascii="宋体" w:hAnsi="宋体" w:cs="宋体" w:eastAsia="宋体" w:hint="default"/>
          <w:sz w:val="21"/>
          <w:szCs w:val="21"/>
        </w:rPr>
      </w:pPr>
    </w:p>
    <w:p>
      <w:pPr>
        <w:pStyle w:val="BodyText"/>
        <w:spacing w:line="338" w:lineRule="auto"/>
        <w:ind w:left="514" w:right="967" w:hanging="360"/>
        <w:jc w:val="left"/>
        <w:rPr>
          <w:rFonts w:ascii="Times New Roman" w:hAnsi="Times New Roman" w:cs="Times New Roman" w:eastAsia="Times New Roman" w:hint="default"/>
        </w:rPr>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w:t>
      </w:r>
      <w:r>
        <w:rPr>
          <w:spacing w:val="-1"/>
        </w:rPr>
        <w:t>报告期内，公司股权激励计划产生的费用合计</w:t>
      </w:r>
      <w:r>
        <w:rPr>
          <w:rFonts w:ascii="Times New Roman" w:hAnsi="Times New Roman" w:cs="Times New Roman" w:eastAsia="Times New Roman" w:hint="default"/>
          <w:spacing w:val="-1"/>
        </w:rPr>
        <w:t>271.15</w:t>
      </w:r>
      <w:r>
        <w:rPr>
          <w:spacing w:val="-1"/>
        </w:rPr>
        <w:t>万元，剔除股权激励费用后归属于上市公司股东的净利润</w:t>
      </w:r>
      <w:r>
        <w:rPr>
          <w:rFonts w:ascii="Times New Roman" w:hAnsi="Times New Roman" w:cs="Times New Roman" w:eastAsia="Times New Roman" w:hint="default"/>
          <w:spacing w:val="-1"/>
        </w:rPr>
        <w:t>12,260.81</w:t>
      </w:r>
    </w:p>
    <w:p>
      <w:pPr>
        <w:pStyle w:val="BodyText"/>
        <w:spacing w:line="230" w:lineRule="exact"/>
        <w:ind w:right="967"/>
        <w:jc w:val="left"/>
        <w:rPr>
          <w:rFonts w:ascii="Times New Roman" w:hAnsi="Times New Roman" w:cs="Times New Roman" w:eastAsia="Times New Roman" w:hint="default"/>
        </w:rPr>
      </w:pPr>
      <w:r>
        <w:rPr/>
        <w:t>万元</w:t>
      </w:r>
      <w:r>
        <w:rPr>
          <w:spacing w:val="-77"/>
        </w:rPr>
        <w:t>，</w:t>
      </w:r>
      <w:r>
        <w:rPr/>
        <w:t>股权激励费用占剔除股权激励费用后归属于上市公司股东的净利润的</w:t>
      </w:r>
      <w:r>
        <w:rPr>
          <w:rFonts w:ascii="Times New Roman" w:hAnsi="Times New Roman" w:cs="Times New Roman" w:eastAsia="Times New Roman" w:hint="default"/>
        </w:rPr>
        <w:t>2.21%</w:t>
      </w:r>
      <w:r>
        <w:rPr>
          <w:spacing w:val="-77"/>
        </w:rPr>
        <w:t>。</w:t>
      </w:r>
      <w:r>
        <w:rPr>
          <w:spacing w:val="-2"/>
        </w:rPr>
        <w:t>其</w:t>
      </w:r>
      <w:r>
        <w:rPr/>
        <w:t>中</w:t>
      </w:r>
      <w:r>
        <w:rPr>
          <w:spacing w:val="-77"/>
        </w:rPr>
        <w:t>，</w:t>
      </w:r>
      <w:r>
        <w:rPr/>
        <w:t>核心技术人员股权激励费用为</w:t>
      </w:r>
      <w:r>
        <w:rPr>
          <w:rFonts w:ascii="Times New Roman" w:hAnsi="Times New Roman" w:cs="Times New Roman" w:eastAsia="Times New Roman" w:hint="default"/>
        </w:rPr>
        <w:t>206.4</w:t>
      </w:r>
    </w:p>
    <w:p>
      <w:pPr>
        <w:pStyle w:val="BodyText"/>
        <w:spacing w:line="240" w:lineRule="auto" w:before="63"/>
        <w:ind w:right="967"/>
        <w:jc w:val="left"/>
      </w:pPr>
      <w:r>
        <w:rPr/>
        <w:t>万元，占股权激励总费用的</w:t>
      </w:r>
      <w:r>
        <w:rPr>
          <w:rFonts w:ascii="Times New Roman" w:hAnsi="Times New Roman" w:cs="Times New Roman" w:eastAsia="Times New Roman" w:hint="default"/>
        </w:rPr>
        <w:t>76.12%</w:t>
      </w:r>
      <w:r>
        <w:rPr/>
        <w:t>。</w:t>
      </w:r>
    </w:p>
    <w:p>
      <w:pPr>
        <w:spacing w:line="240" w:lineRule="auto" w:before="1"/>
        <w:rPr>
          <w:rFonts w:ascii="宋体" w:hAnsi="宋体" w:cs="宋体" w:eastAsia="宋体" w:hint="default"/>
          <w:sz w:val="24"/>
          <w:szCs w:val="24"/>
        </w:rPr>
      </w:pPr>
    </w:p>
    <w:p>
      <w:pPr>
        <w:pStyle w:val="Heading2"/>
        <w:spacing w:line="240" w:lineRule="auto"/>
        <w:ind w:right="967"/>
        <w:jc w:val="left"/>
        <w:rPr>
          <w:b w:val="0"/>
          <w:bCs w:val="0"/>
        </w:rPr>
      </w:pPr>
      <w:bookmarkStart w:name="十五、重大关联交易" w:id="76"/>
      <w:bookmarkEnd w:id="76"/>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67"/>
        <w:jc w:val="left"/>
        <w:rPr>
          <w:b w:val="0"/>
          <w:bCs w:val="0"/>
        </w:rPr>
      </w:pPr>
      <w:bookmarkStart w:name="1、与日常经营相关的关联交易" w:id="77"/>
      <w:bookmarkEnd w:id="77"/>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4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2"/>
        <w:rPr>
          <w:rFonts w:ascii="宋体" w:hAnsi="宋体" w:cs="宋体" w:eastAsia="宋体" w:hint="default"/>
          <w:sz w:val="20"/>
          <w:szCs w:val="20"/>
        </w:rPr>
      </w:pPr>
    </w:p>
    <w:p>
      <w:pPr>
        <w:pStyle w:val="Heading3"/>
        <w:spacing w:line="240" w:lineRule="auto"/>
        <w:ind w:right="967"/>
        <w:jc w:val="left"/>
        <w:rPr>
          <w:b w:val="0"/>
          <w:bCs w:val="0"/>
        </w:rPr>
      </w:pPr>
      <w:bookmarkStart w:name="2、资产或股权收购、出售发生的关联交易" w:id="78"/>
      <w:bookmarkEnd w:id="78"/>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3"/>
        <w:spacing w:line="240" w:lineRule="auto"/>
        <w:ind w:right="967"/>
        <w:jc w:val="left"/>
        <w:rPr>
          <w:b w:val="0"/>
          <w:bCs w:val="0"/>
        </w:rPr>
      </w:pPr>
      <w:bookmarkStart w:name="3、共同对外投资的关联交易" w:id="79"/>
      <w:bookmarkEnd w:id="79"/>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967"/>
        <w:jc w:val="left"/>
      </w:pPr>
      <w:r>
        <w:rPr/>
        <w:t>公司报告期未发生共同对外投资的关联交易。</w:t>
      </w:r>
    </w:p>
    <w:p>
      <w:pPr>
        <w:spacing w:line="240" w:lineRule="auto" w:before="10"/>
        <w:rPr>
          <w:rFonts w:ascii="宋体" w:hAnsi="宋体" w:cs="宋体" w:eastAsia="宋体" w:hint="default"/>
          <w:sz w:val="26"/>
          <w:szCs w:val="26"/>
        </w:rPr>
      </w:pPr>
    </w:p>
    <w:p>
      <w:pPr>
        <w:pStyle w:val="Heading3"/>
        <w:spacing w:line="240" w:lineRule="auto"/>
        <w:ind w:right="967"/>
        <w:jc w:val="left"/>
        <w:rPr>
          <w:b w:val="0"/>
          <w:bCs w:val="0"/>
        </w:rPr>
      </w:pPr>
      <w:bookmarkStart w:name="4、关联债权债务往来" w:id="80"/>
      <w:bookmarkEnd w:id="80"/>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2"/>
        <w:rPr>
          <w:rFonts w:ascii="宋体" w:hAnsi="宋体" w:cs="宋体" w:eastAsia="宋体" w:hint="default"/>
          <w:sz w:val="21"/>
          <w:szCs w:val="21"/>
        </w:rPr>
      </w:pPr>
    </w:p>
    <w:p>
      <w:pPr>
        <w:pStyle w:val="Heading3"/>
        <w:spacing w:line="240" w:lineRule="auto"/>
        <w:ind w:right="967"/>
        <w:jc w:val="left"/>
        <w:rPr>
          <w:b w:val="0"/>
          <w:bCs w:val="0"/>
        </w:rPr>
      </w:pPr>
      <w:bookmarkStart w:name="5、其他重大关联交易" w:id="81"/>
      <w:bookmarkEnd w:id="81"/>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2" w:lineRule="auto" w:before="102"/>
        <w:ind w:right="967" w:firstLine="36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日，公司召开第三届董事会第二十三次会议、第三届监事会第十八次会议，审议通过《关于公司实际控制</w:t>
      </w:r>
      <w:r>
        <w:rPr/>
        <w:t> </w:t>
      </w:r>
      <w:r>
        <w:rPr>
          <w:spacing w:val="-2"/>
        </w:rPr>
        <w:t>人为公司向银行申请并购贷款授信向担保公司提供反担保连带责任保证暨关联交易的议案》，为配合公司收购北京泰策科技</w:t>
      </w:r>
      <w:r>
        <w:rPr>
          <w:spacing w:val="-64"/>
        </w:rPr>
        <w:t> </w:t>
      </w:r>
      <w:r>
        <w:rPr>
          <w:spacing w:val="-64"/>
        </w:rPr>
      </w:r>
      <w:r>
        <w:rPr/>
        <w:t>有限公司</w:t>
      </w:r>
      <w:r>
        <w:rPr>
          <w:rFonts w:ascii="Times New Roman" w:hAnsi="Times New Roman" w:cs="Times New Roman" w:eastAsia="Times New Roman" w:hint="default"/>
        </w:rPr>
        <w:t>100%</w:t>
      </w:r>
      <w:r>
        <w:rPr/>
        <w:t>股权事项，结合公司资金使用计划，公司向北京银行股份有限公司中关村海淀园支行申请贰亿元人民币的并 </w:t>
      </w:r>
      <w:r>
        <w:rPr>
          <w:spacing w:val="-2"/>
        </w:rPr>
        <w:t>购贷款授信，期限陆拾个月，由北京中关村科技融资担保有限公司提供保证担保。公司实际控制人黄永军先生就该笔贷款向</w:t>
      </w:r>
      <w:r>
        <w:rPr>
          <w:spacing w:val="-66"/>
        </w:rPr>
        <w:t> </w:t>
      </w:r>
      <w:r>
        <w:rPr>
          <w:spacing w:val="-66"/>
        </w:rPr>
      </w:r>
      <w:r>
        <w:rPr>
          <w:spacing w:val="-2"/>
        </w:rPr>
        <w:t>北京中关村科技融资担保有限公司提供反担保连带责任保证，并向北京市中信公证处申请办理强制执行公证。由于黄永军先</w:t>
      </w:r>
      <w:r>
        <w:rPr>
          <w:spacing w:val="-64"/>
        </w:rPr>
        <w:t> </w:t>
      </w:r>
      <w:r>
        <w:rPr>
          <w:spacing w:val="-64"/>
        </w:rPr>
      </w:r>
      <w:r>
        <w:rPr>
          <w:spacing w:val="-4"/>
        </w:rPr>
        <w:t>生为公司实际控制人、董事长、总经理，根据《深圳证券交易所创业板股票上市规则》的规定，黄永军先生为公司的关联方，</w:t>
      </w:r>
      <w:r>
        <w:rPr>
          <w:spacing w:val="-44"/>
        </w:rPr>
        <w:t> </w:t>
      </w:r>
      <w:r>
        <w:rPr>
          <w:spacing w:val="-44"/>
        </w:rPr>
      </w:r>
      <w:r>
        <w:rPr/>
        <w:t>因此本次反担保连带责任保证事宜构成关联交易。本次关联交易已经公司</w:t>
      </w:r>
      <w:r>
        <w:rPr>
          <w:rFonts w:ascii="Times New Roman" w:hAnsi="Times New Roman" w:cs="Times New Roman" w:eastAsia="Times New Roman" w:hint="default"/>
        </w:rPr>
        <w:t>2019</w:t>
      </w:r>
      <w:r>
        <w:rPr/>
        <w:t>年第一次临时股东大会审议通过。</w:t>
      </w:r>
    </w:p>
    <w:p>
      <w:pPr>
        <w:spacing w:line="240" w:lineRule="auto" w:before="0"/>
        <w:rPr>
          <w:rFonts w:ascii="宋体" w:hAnsi="宋体" w:cs="宋体" w:eastAsia="宋体" w:hint="default"/>
          <w:sz w:val="18"/>
          <w:szCs w:val="18"/>
        </w:rPr>
      </w:pPr>
    </w:p>
    <w:p>
      <w:pPr>
        <w:pStyle w:val="BodyText"/>
        <w:spacing w:line="240" w:lineRule="auto" w:before="160"/>
        <w:ind w:right="967"/>
        <w:jc w:val="left"/>
      </w:pPr>
      <w:r>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70"/>
        <w:gridCol w:w="2140"/>
        <w:gridCol w:w="3459"/>
      </w:tblGrid>
      <w:tr>
        <w:trPr>
          <w:trHeight w:val="402"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1026"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7"/>
              <w:jc w:val="both"/>
              <w:rPr>
                <w:rFonts w:ascii="宋体" w:hAnsi="宋体" w:cs="宋体" w:eastAsia="宋体" w:hint="default"/>
                <w:sz w:val="18"/>
                <w:szCs w:val="18"/>
              </w:rPr>
            </w:pPr>
            <w:r>
              <w:rPr>
                <w:rFonts w:ascii="宋体" w:hAnsi="宋体" w:cs="宋体" w:eastAsia="宋体" w:hint="default"/>
                <w:sz w:val="18"/>
                <w:szCs w:val="18"/>
              </w:rPr>
              <w:t>关于公司实际控制人为公司向银行申请并购贷款 授信向担保公司提供反担保连带责任保证暨关联 交易的公告</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967"/>
        <w:jc w:val="left"/>
        <w:rPr>
          <w:b w:val="0"/>
          <w:bCs w:val="0"/>
        </w:rPr>
      </w:pPr>
      <w:bookmarkStart w:name="十六、重大合同及其履行情况" w:id="82"/>
      <w:bookmarkEnd w:id="82"/>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67"/>
        <w:jc w:val="left"/>
        <w:rPr>
          <w:b w:val="0"/>
          <w:bCs w:val="0"/>
        </w:rPr>
      </w:pPr>
      <w:bookmarkStart w:name="1、托管、承包、租赁事项情况" w:id="83"/>
      <w:bookmarkEnd w:id="83"/>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67"/>
        <w:jc w:val="left"/>
        <w:rPr>
          <w:b w:val="0"/>
          <w:bCs w:val="0"/>
        </w:rPr>
      </w:pPr>
      <w:bookmarkStart w:name="（1）托管情况" w:id="84"/>
      <w:bookmarkEnd w:id="84"/>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967"/>
        <w:jc w:val="left"/>
        <w:rPr>
          <w:b w:val="0"/>
          <w:bCs w:val="0"/>
        </w:rPr>
      </w:pPr>
      <w:bookmarkStart w:name="（2）承包情况" w:id="85"/>
      <w:bookmarkEnd w:id="85"/>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967"/>
        <w:jc w:val="left"/>
        <w:rPr>
          <w:b w:val="0"/>
          <w:bCs w:val="0"/>
        </w:rPr>
      </w:pPr>
      <w:bookmarkStart w:name="（3）租赁情况" w:id="86"/>
      <w:bookmarkEnd w:id="86"/>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after="0" w:line="3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967"/>
        <w:jc w:val="left"/>
        <w:rPr>
          <w:b w:val="0"/>
          <w:bCs w:val="0"/>
        </w:rPr>
      </w:pPr>
      <w:bookmarkStart w:name="2、重大担保" w:id="87"/>
      <w:bookmarkEnd w:id="87"/>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967"/>
        <w:jc w:val="left"/>
        <w:rPr>
          <w:b w:val="0"/>
          <w:bCs w:val="0"/>
        </w:rPr>
      </w:pPr>
      <w:bookmarkStart w:name="（1）担保情况" w:id="88"/>
      <w:bookmarkEnd w:id="88"/>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0" w:right="1134"/>
        <w:jc w:val="right"/>
      </w:pPr>
      <w:r>
        <w:rPr/>
        <w:pict>
          <v:shape style="position:absolute;margin-left:56.459999pt;margin-top:-435.998291pt;width:479.5pt;height:576.3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13"/>
                    <w:gridCol w:w="917"/>
                    <w:gridCol w:w="924"/>
                    <w:gridCol w:w="1307"/>
                    <w:gridCol w:w="1052"/>
                    <w:gridCol w:w="1038"/>
                    <w:gridCol w:w="1058"/>
                    <w:gridCol w:w="783"/>
                    <w:gridCol w:w="783"/>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52"/>
                          <w:ind w:left="95"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1"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2"/>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6"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8"/>
                          <w:jc w:val="left"/>
                          <w:rPr>
                            <w:rFonts w:ascii="宋体" w:hAnsi="宋体" w:cs="宋体" w:eastAsia="宋体" w:hint="default"/>
                            <w:sz w:val="18"/>
                            <w:szCs w:val="18"/>
                          </w:rPr>
                        </w:pPr>
                        <w:r>
                          <w:rPr>
                            <w:rFonts w:ascii="宋体" w:hAnsi="宋体" w:cs="宋体" w:eastAsia="宋体" w:hint="default"/>
                            <w:sz w:val="18"/>
                            <w:szCs w:val="18"/>
                          </w:rPr>
                          <w:t>北京东方通科技股份 有限公司</w:t>
                        </w:r>
                      </w:p>
                    </w:tc>
                    <w:tc>
                      <w:tcPr>
                        <w:tcW w:w="91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20,000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30" w:right="0"/>
                          <w:jc w:val="left"/>
                          <w:rPr>
                            <w:rFonts w:ascii="Times New Roman" w:hAnsi="Times New Roman" w:cs="Times New Roman" w:eastAsia="Times New Roman" w:hint="default"/>
                            <w:sz w:val="18"/>
                            <w:szCs w:val="18"/>
                          </w:rPr>
                        </w:pPr>
                        <w:r>
                          <w:rPr>
                            <w:rFonts w:ascii="Times New Roman"/>
                            <w:sz w:val="18"/>
                          </w:rPr>
                          <w:t>20,000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31"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 w:right="80"/>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31"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 w:right="80"/>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1" w:hRule="exact"/>
                    </w:trPr>
                    <w:tc>
                      <w:tcPr>
                        <w:tcW w:w="1713" w:type="dxa"/>
                        <w:vMerge w:val="restart"/>
                        <w:tcBorders>
                          <w:top w:val="single" w:sz="4" w:space="0" w:color="000000"/>
                          <w:left w:val="single" w:sz="4" w:space="0" w:color="000000"/>
                          <w:right w:val="single" w:sz="4" w:space="0" w:color="000000"/>
                        </w:tcBorders>
                        <w:shd w:val="clear" w:color="auto" w:fill="D2D2D2"/>
                      </w:tcPr>
                      <w:p>
                        <w:pP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92"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vMerge w:val="restart"/>
                        <w:tcBorders>
                          <w:top w:val="single" w:sz="4" w:space="0" w:color="000000"/>
                          <w:left w:val="single" w:sz="4" w:space="0" w:color="000000"/>
                          <w:right w:val="single" w:sz="4" w:space="0" w:color="000000"/>
                        </w:tcBorders>
                        <w:shd w:val="clear" w:color="auto" w:fill="D2D2D2"/>
                      </w:tcPr>
                      <w:p>
                        <w:pPr/>
                      </w:p>
                    </w:tc>
                    <w:tc>
                      <w:tcPr>
                        <w:tcW w:w="1307"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
                    </w:tc>
                    <w:tc>
                      <w:tcPr>
                        <w:tcW w:w="1058" w:type="dxa"/>
                        <w:vMerge w:val="restart"/>
                        <w:tcBorders>
                          <w:top w:val="single" w:sz="4" w:space="0" w:color="000000"/>
                          <w:left w:val="single" w:sz="4" w:space="0" w:color="000000"/>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3" w:type="dxa"/>
                        <w:vMerge/>
                        <w:tcBorders>
                          <w:left w:val="single" w:sz="4" w:space="0" w:color="000000"/>
                          <w:bottom w:val="nil" w:sz="6" w:space="0" w:color="auto"/>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924" w:type="dxa"/>
                        <w:vMerge/>
                        <w:tcBorders>
                          <w:left w:val="single" w:sz="4" w:space="0" w:color="000000"/>
                          <w:bottom w:val="nil" w:sz="6" w:space="0" w:color="auto"/>
                          <w:right w:val="single" w:sz="4" w:space="0" w:color="000000"/>
                        </w:tcBorders>
                        <w:shd w:val="clear" w:color="auto" w:fill="D2D2D2"/>
                      </w:tcPr>
                      <w:p>
                        <w:pPr/>
                      </w:p>
                    </w:tc>
                    <w:tc>
                      <w:tcPr>
                        <w:tcW w:w="1307"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1"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000000"/>
                          <w:bottom w:val="nil" w:sz="6" w:space="0" w:color="auto"/>
                          <w:right w:val="single" w:sz="4" w:space="0" w:color="000000"/>
                        </w:tcBorders>
                        <w:shd w:val="clear" w:color="auto" w:fill="D2D2D2"/>
                      </w:tcPr>
                      <w:p>
                        <w:pPr/>
                      </w:p>
                    </w:tc>
                    <w:tc>
                      <w:tcPr>
                        <w:tcW w:w="1058" w:type="dxa"/>
                        <w:vMerge/>
                        <w:tcBorders>
                          <w:left w:val="single" w:sz="4" w:space="0" w:color="000000"/>
                          <w:bottom w:val="nil" w:sz="6" w:space="0" w:color="auto"/>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2"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2" w:type="dxa"/>
                        <w:vMerge/>
                        <w:tcBorders>
                          <w:left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3"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3" w:type="dxa"/>
                        <w:vMerge w:val="restart"/>
                        <w:tcBorders>
                          <w:top w:val="nil" w:sz="6" w:space="0" w:color="auto"/>
                          <w:left w:val="single" w:sz="4" w:space="0" w:color="000000"/>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924" w:type="dxa"/>
                        <w:vMerge w:val="restart"/>
                        <w:tcBorders>
                          <w:top w:val="nil" w:sz="6" w:space="0" w:color="auto"/>
                          <w:left w:val="single" w:sz="4" w:space="0" w:color="000000"/>
                          <w:right w:val="single" w:sz="4" w:space="0" w:color="000000"/>
                        </w:tcBorders>
                        <w:shd w:val="clear" w:color="auto" w:fill="D2D2D2"/>
                      </w:tcPr>
                      <w:p>
                        <w:pPr/>
                      </w:p>
                    </w:tc>
                    <w:tc>
                      <w:tcPr>
                        <w:tcW w:w="1307"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1038" w:type="dxa"/>
                        <w:vMerge w:val="restart"/>
                        <w:tcBorders>
                          <w:top w:val="nil" w:sz="6" w:space="0" w:color="auto"/>
                          <w:left w:val="single" w:sz="4" w:space="0" w:color="000000"/>
                          <w:right w:val="single" w:sz="4" w:space="0" w:color="000000"/>
                        </w:tcBorders>
                        <w:shd w:val="clear" w:color="auto" w:fill="D2D2D2"/>
                      </w:tcPr>
                      <w:p>
                        <w:pPr/>
                      </w:p>
                    </w:tc>
                    <w:tc>
                      <w:tcPr>
                        <w:tcW w:w="1058" w:type="dxa"/>
                        <w:vMerge w:val="restart"/>
                        <w:tcBorders>
                          <w:top w:val="nil" w:sz="6" w:space="0" w:color="auto"/>
                          <w:left w:val="single" w:sz="4" w:space="0" w:color="000000"/>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3"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1307"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058" w:type="dxa"/>
                        <w:vMerge/>
                        <w:tcBorders>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1" w:hRule="exact"/>
                    </w:trPr>
                    <w:tc>
                      <w:tcPr>
                        <w:tcW w:w="1713" w:type="dxa"/>
                        <w:vMerge w:val="restart"/>
                        <w:tcBorders>
                          <w:top w:val="single" w:sz="4" w:space="0" w:color="000000"/>
                          <w:left w:val="single" w:sz="4" w:space="0" w:color="000000"/>
                          <w:right w:val="single" w:sz="4" w:space="0" w:color="000000"/>
                        </w:tcBorders>
                        <w:shd w:val="clear" w:color="auto" w:fill="D2D2D2"/>
                      </w:tcPr>
                      <w:p>
                        <w:pP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88"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vMerge w:val="restart"/>
                        <w:tcBorders>
                          <w:top w:val="single" w:sz="4" w:space="0" w:color="000000"/>
                          <w:left w:val="single" w:sz="4" w:space="0" w:color="000000"/>
                          <w:right w:val="single" w:sz="4" w:space="0" w:color="000000"/>
                        </w:tcBorders>
                        <w:shd w:val="clear" w:color="auto" w:fill="D2D2D2"/>
                      </w:tcPr>
                      <w:p>
                        <w:pPr/>
                      </w:p>
                    </w:tc>
                    <w:tc>
                      <w:tcPr>
                        <w:tcW w:w="1307"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
                    </w:tc>
                    <w:tc>
                      <w:tcPr>
                        <w:tcW w:w="1058" w:type="dxa"/>
                        <w:vMerge w:val="restart"/>
                        <w:tcBorders>
                          <w:top w:val="single" w:sz="4" w:space="0" w:color="000000"/>
                          <w:left w:val="single" w:sz="4" w:space="0" w:color="000000"/>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3" w:type="dxa"/>
                        <w:vMerge/>
                        <w:tcBorders>
                          <w:left w:val="single" w:sz="4" w:space="0" w:color="000000"/>
                          <w:bottom w:val="nil" w:sz="6" w:space="0" w:color="auto"/>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924" w:type="dxa"/>
                        <w:vMerge/>
                        <w:tcBorders>
                          <w:left w:val="single" w:sz="4" w:space="0" w:color="000000"/>
                          <w:bottom w:val="nil" w:sz="6" w:space="0" w:color="auto"/>
                          <w:right w:val="single" w:sz="4" w:space="0" w:color="000000"/>
                        </w:tcBorders>
                        <w:shd w:val="clear" w:color="auto" w:fill="D2D2D2"/>
                      </w:tcPr>
                      <w:p>
                        <w:pPr/>
                      </w:p>
                    </w:tc>
                    <w:tc>
                      <w:tcPr>
                        <w:tcW w:w="1307"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1" w:right="78"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000000"/>
                          <w:bottom w:val="nil" w:sz="6" w:space="0" w:color="auto"/>
                          <w:right w:val="single" w:sz="4" w:space="0" w:color="000000"/>
                        </w:tcBorders>
                        <w:shd w:val="clear" w:color="auto" w:fill="D2D2D2"/>
                      </w:tcPr>
                      <w:p>
                        <w:pPr/>
                      </w:p>
                    </w:tc>
                    <w:tc>
                      <w:tcPr>
                        <w:tcW w:w="1058" w:type="dxa"/>
                        <w:vMerge/>
                        <w:tcBorders>
                          <w:left w:val="single" w:sz="4" w:space="0" w:color="000000"/>
                          <w:bottom w:val="nil" w:sz="6" w:space="0" w:color="auto"/>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97"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8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2" w:type="dxa"/>
                        <w:vMerge/>
                        <w:tcBorders>
                          <w:left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3"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3" w:type="dxa"/>
                        <w:vMerge w:val="restart"/>
                        <w:tcBorders>
                          <w:top w:val="nil" w:sz="6" w:space="0" w:color="auto"/>
                          <w:left w:val="single" w:sz="4" w:space="0" w:color="000000"/>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924" w:type="dxa"/>
                        <w:vMerge w:val="restart"/>
                        <w:tcBorders>
                          <w:top w:val="nil" w:sz="6" w:space="0" w:color="auto"/>
                          <w:left w:val="single" w:sz="4" w:space="0" w:color="000000"/>
                          <w:right w:val="single" w:sz="4" w:space="0" w:color="000000"/>
                        </w:tcBorders>
                        <w:shd w:val="clear" w:color="auto" w:fill="D2D2D2"/>
                      </w:tcPr>
                      <w:p>
                        <w:pPr/>
                      </w:p>
                    </w:tc>
                    <w:tc>
                      <w:tcPr>
                        <w:tcW w:w="1307"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1038" w:type="dxa"/>
                        <w:vMerge w:val="restart"/>
                        <w:tcBorders>
                          <w:top w:val="nil" w:sz="6" w:space="0" w:color="auto"/>
                          <w:left w:val="single" w:sz="4" w:space="0" w:color="000000"/>
                          <w:right w:val="single" w:sz="4" w:space="0" w:color="000000"/>
                        </w:tcBorders>
                        <w:shd w:val="clear" w:color="auto" w:fill="D2D2D2"/>
                      </w:tcPr>
                      <w:p>
                        <w:pPr/>
                      </w:p>
                    </w:tc>
                    <w:tc>
                      <w:tcPr>
                        <w:tcW w:w="1058" w:type="dxa"/>
                        <w:vMerge w:val="restart"/>
                        <w:tcBorders>
                          <w:top w:val="nil" w:sz="6" w:space="0" w:color="auto"/>
                          <w:left w:val="single" w:sz="4" w:space="0" w:color="000000"/>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3"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1307"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058" w:type="dxa"/>
                        <w:vMerge/>
                        <w:tcBorders>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1"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 w:right="80"/>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1"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 w:right="80"/>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1082" w:hRule="exact"/>
                    </w:trPr>
                    <w:tc>
                      <w:tcPr>
                        <w:tcW w:w="4861"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4714" w:type="dxa"/>
                        <w:gridSpan w:val="5"/>
                        <w:vMerge w:val="restart"/>
                        <w:tcBorders>
                          <w:top w:val="single" w:sz="4" w:space="0" w:color="000000"/>
                          <w:left w:val="single" w:sz="10" w:space="0" w:color="D2D2D2"/>
                          <w:right w:val="single" w:sz="4" w:space="0" w:color="000000"/>
                        </w:tcBorders>
                      </w:tcPr>
                      <w:p>
                        <w:pPr>
                          <w:pStyle w:val="TableParagraph"/>
                          <w:spacing w:line="314" w:lineRule="auto" w:before="57"/>
                          <w:ind w:left="11"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pacing w:val="-5"/>
                            <w:sz w:val="18"/>
                            <w:szCs w:val="18"/>
                          </w:rPr>
                          <w:t>日，公司召开第三届董事会第二十三次会议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第三届监事会第十八次会议，审议通过了《关于向北京中关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村科技融资担保有限公司提供反担保的议案》，鉴于公司向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北京银行股份有限公司中关村海淀园支行申请贰亿元人民 </w:t>
                        </w:r>
                        <w:r>
                          <w:rPr>
                            <w:rFonts w:ascii="宋体" w:hAnsi="宋体" w:cs="宋体" w:eastAsia="宋体" w:hint="default"/>
                            <w:spacing w:val="-1"/>
                            <w:sz w:val="18"/>
                            <w:szCs w:val="18"/>
                          </w:rPr>
                          <w:t>币的并购贷款授信，期限陆拾个月。委托北京中关村科技融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资担保有限公司对该笔融资进行保证担保，公司以持有的全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资子公司北京泰策科技有限公司的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股权向担保公司提 </w:t>
                        </w:r>
                        <w:r>
                          <w:rPr>
                            <w:rFonts w:ascii="宋体" w:hAnsi="宋体" w:cs="宋体" w:eastAsia="宋体" w:hint="default"/>
                            <w:spacing w:val="-1"/>
                            <w:sz w:val="18"/>
                            <w:szCs w:val="18"/>
                          </w:rPr>
                          <w:t>供反担保。全资子公司北京泰策科技有限公司向担保公司提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供反担保连带责任保证。本次上市公司向北京中关村科技融</w:t>
                        </w:r>
                      </w:p>
                    </w:tc>
                  </w:tr>
                  <w:tr>
                    <w:trPr>
                      <w:trHeight w:val="705" w:hRule="exact"/>
                    </w:trPr>
                    <w:tc>
                      <w:tcPr>
                        <w:tcW w:w="4861"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27"/>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4" w:type="dxa"/>
                        <w:gridSpan w:val="5"/>
                        <w:vMerge/>
                        <w:tcBorders>
                          <w:left w:val="single" w:sz="10" w:space="0" w:color="D2D2D2"/>
                          <w:right w:val="single" w:sz="4" w:space="0" w:color="000000"/>
                        </w:tcBorders>
                      </w:tcPr>
                      <w:p>
                        <w:pPr/>
                      </w:p>
                    </w:tc>
                  </w:tr>
                  <w:tr>
                    <w:trPr>
                      <w:trHeight w:val="1076" w:hRule="exact"/>
                    </w:trPr>
                    <w:tc>
                      <w:tcPr>
                        <w:tcW w:w="4861"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4714" w:type="dxa"/>
                        <w:gridSpan w:val="5"/>
                        <w:vMerge/>
                        <w:tcBorders>
                          <w:left w:val="single" w:sz="10" w:space="0" w:color="D2D2D2"/>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856"/>
        <w:gridCol w:w="4719"/>
      </w:tblGrid>
      <w:tr>
        <w:trPr>
          <w:trHeight w:val="674"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95"/>
              <w:jc w:val="left"/>
              <w:rPr>
                <w:rFonts w:ascii="宋体" w:hAnsi="宋体" w:cs="宋体" w:eastAsia="宋体" w:hint="default"/>
                <w:sz w:val="18"/>
                <w:szCs w:val="18"/>
              </w:rPr>
            </w:pPr>
            <w:r>
              <w:rPr>
                <w:rFonts w:ascii="宋体" w:hAnsi="宋体" w:cs="宋体" w:eastAsia="宋体" w:hint="default"/>
                <w:sz w:val="18"/>
                <w:szCs w:val="18"/>
              </w:rPr>
              <w:t>资担保有限公司提供反担保事项公司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年第一次临时股 东大会审议通过。</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60" w:lineRule="auto" w:before="51"/>
        <w:ind w:right="8052"/>
        <w:jc w:val="left"/>
      </w:pPr>
      <w:r>
        <w:rPr/>
        <w:t>采用复合方式担保的具体情况说明 不适用</w:t>
      </w:r>
    </w:p>
    <w:p>
      <w:pPr>
        <w:spacing w:line="240" w:lineRule="auto" w:before="11"/>
        <w:rPr>
          <w:rFonts w:ascii="宋体" w:hAnsi="宋体" w:cs="宋体" w:eastAsia="宋体" w:hint="default"/>
          <w:sz w:val="19"/>
          <w:szCs w:val="19"/>
        </w:rPr>
      </w:pPr>
    </w:p>
    <w:p>
      <w:pPr>
        <w:pStyle w:val="Heading3"/>
        <w:spacing w:line="240" w:lineRule="auto"/>
        <w:ind w:right="967"/>
        <w:jc w:val="left"/>
        <w:rPr>
          <w:b w:val="0"/>
          <w:bCs w:val="0"/>
        </w:rPr>
      </w:pPr>
      <w:bookmarkStart w:name="（2）违规对外担保情况" w:id="89"/>
      <w:bookmarkEnd w:id="89"/>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
        <w:rPr>
          <w:rFonts w:ascii="宋体" w:hAnsi="宋体" w:cs="宋体" w:eastAsia="宋体" w:hint="default"/>
          <w:sz w:val="21"/>
          <w:szCs w:val="21"/>
        </w:rPr>
      </w:pPr>
    </w:p>
    <w:p>
      <w:pPr>
        <w:pStyle w:val="Heading3"/>
        <w:spacing w:line="240" w:lineRule="auto"/>
        <w:ind w:right="967"/>
        <w:jc w:val="left"/>
        <w:rPr>
          <w:b w:val="0"/>
          <w:bCs w:val="0"/>
        </w:rPr>
      </w:pPr>
      <w:bookmarkStart w:name="3、委托他人进行现金资产管理情况" w:id="90"/>
      <w:bookmarkEnd w:id="9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67"/>
        <w:jc w:val="left"/>
        <w:rPr>
          <w:b w:val="0"/>
          <w:bCs w:val="0"/>
        </w:rPr>
      </w:pPr>
      <w:bookmarkStart w:name="（1）委托理财情况" w:id="91"/>
      <w:bookmarkEnd w:id="9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2"/>
        <w:rPr>
          <w:rFonts w:ascii="宋体" w:hAnsi="宋体" w:cs="宋体" w:eastAsia="宋体" w:hint="default"/>
          <w:sz w:val="20"/>
          <w:szCs w:val="20"/>
        </w:rPr>
      </w:pPr>
    </w:p>
    <w:p>
      <w:pPr>
        <w:pStyle w:val="Heading3"/>
        <w:spacing w:line="240" w:lineRule="auto"/>
        <w:ind w:right="967"/>
        <w:jc w:val="left"/>
        <w:rPr>
          <w:b w:val="0"/>
          <w:bCs w:val="0"/>
        </w:rPr>
      </w:pPr>
      <w:bookmarkStart w:name="（2）委托贷款情况" w:id="92"/>
      <w:bookmarkEnd w:id="9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right="967"/>
        <w:jc w:val="left"/>
        <w:rPr>
          <w:b w:val="0"/>
          <w:bCs w:val="0"/>
        </w:rPr>
      </w:pPr>
      <w:bookmarkStart w:name="4、其他重大合同" w:id="93"/>
      <w:bookmarkEnd w:id="9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967"/>
        <w:jc w:val="left"/>
        <w:rPr>
          <w:b w:val="0"/>
          <w:bCs w:val="0"/>
        </w:rPr>
      </w:pPr>
      <w:bookmarkStart w:name="十七、社会责任情况" w:id="94"/>
      <w:bookmarkEnd w:id="94"/>
      <w:r>
        <w:rPr>
          <w:b w:val="0"/>
          <w:bCs w:val="0"/>
        </w:rPr>
      </w:r>
      <w:r>
        <w:rPr/>
        <w:t>十七、社会责任情况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67"/>
        <w:jc w:val="left"/>
        <w:rPr>
          <w:b w:val="0"/>
          <w:bCs w:val="0"/>
        </w:rPr>
      </w:pPr>
      <w:bookmarkStart w:name="1、履行社会责任情况" w:id="95"/>
      <w:bookmarkEnd w:id="95"/>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130" w:firstLine="422"/>
        <w:jc w:val="both"/>
      </w:pPr>
      <w:r>
        <w:rPr>
          <w:spacing w:val="-1"/>
        </w:rPr>
        <w:t>公司一直以</w:t>
      </w:r>
      <w:r>
        <w:rPr>
          <w:rFonts w:ascii="Times New Roman" w:hAnsi="Times New Roman" w:cs="Times New Roman" w:eastAsia="Times New Roman" w:hint="default"/>
          <w:spacing w:val="-1"/>
        </w:rPr>
        <w:t>“</w:t>
      </w:r>
      <w:r>
        <w:rPr>
          <w:spacing w:val="-1"/>
        </w:rPr>
        <w:t>发展以中间件为核心的民族基础软件，为客户创造价值、为员工创造幸福、为股东创造利益、为社会做出</w:t>
      </w:r>
      <w:r>
        <w:rPr/>
        <w:t> 贡献</w:t>
      </w:r>
      <w:r>
        <w:rPr>
          <w:rFonts w:ascii="Times New Roman" w:hAnsi="Times New Roman" w:cs="Times New Roman" w:eastAsia="Times New Roman" w:hint="default"/>
        </w:rPr>
        <w:t>”</w:t>
      </w:r>
      <w:r>
        <w:rPr/>
        <w:t>为使命，秉持</w:t>
      </w:r>
      <w:r>
        <w:rPr>
          <w:rFonts w:ascii="Times New Roman" w:hAnsi="Times New Roman" w:cs="Times New Roman" w:eastAsia="Times New Roman" w:hint="default"/>
        </w:rPr>
        <w:t>“</w:t>
      </w:r>
      <w:r>
        <w:rPr/>
        <w:t>责任、信任、创新、共赢</w:t>
      </w:r>
      <w:r>
        <w:rPr>
          <w:rFonts w:ascii="Times New Roman" w:hAnsi="Times New Roman" w:cs="Times New Roman" w:eastAsia="Times New Roman" w:hint="default"/>
        </w:rPr>
        <w:t>”</w:t>
      </w:r>
      <w:r>
        <w:rPr/>
        <w:t>的核心价值观，不断创新、精益求精，追求企业、员工与社会的和谐发展。 积极履行企业应尽的义务，承担社会责任。</w:t>
      </w:r>
    </w:p>
    <w:p>
      <w:pPr>
        <w:pStyle w:val="BodyText"/>
        <w:spacing w:line="314" w:lineRule="auto" w:before="70"/>
        <w:ind w:right="1032" w:firstLine="422"/>
        <w:jc w:val="left"/>
      </w:pPr>
      <w:r>
        <w:rPr>
          <w:rFonts w:ascii="Times New Roman" w:hAnsi="Times New Roman" w:cs="Times New Roman" w:eastAsia="Times New Roman" w:hint="default"/>
        </w:rPr>
        <w:t>(1)</w:t>
      </w:r>
      <w:r>
        <w:rPr/>
        <w:t>公司严格按照坚持《公司法》、《证券法》、《股票上市规则》等法律法规、部门规章、规范性文件和公司章程的</w:t>
      </w:r>
      <w:r>
        <w:rPr>
          <w:w w:val="99"/>
        </w:rPr>
        <w:t> </w:t>
      </w:r>
      <w:r>
        <w:rPr>
          <w:spacing w:val="-2"/>
        </w:rPr>
        <w:t>规定，坚持规范运作，真实、准确、完整、及时公平地向所有股东进行信息披露；依法召开股东大会，积极主动的采取网络</w:t>
      </w:r>
      <w:r>
        <w:rPr>
          <w:spacing w:val="-72"/>
        </w:rPr>
        <w:t> </w:t>
      </w:r>
      <w:r>
        <w:rPr>
          <w:spacing w:val="-72"/>
        </w:rPr>
      </w:r>
      <w:r>
        <w:rPr/>
        <w:t>投票等方式扩大股东参与股东大会的比例，不断完善内控体系和法人治理结构，以维护全体股东，特别是中小股东的利益。</w:t>
      </w:r>
      <w:r>
        <w:rPr>
          <w:w w:val="99"/>
        </w:rPr>
        <w:t> </w:t>
      </w:r>
      <w:r>
        <w:rPr>
          <w:spacing w:val="-2"/>
        </w:rPr>
        <w:t>同时，通过网上业绩说明会、投资者电话专线、电子邮箱和投资者关系互动平台、接待投资者现场调研等多种方式与投资者</w:t>
      </w:r>
      <w:r>
        <w:rPr>
          <w:spacing w:val="-67"/>
        </w:rPr>
        <w:t> </w:t>
      </w:r>
      <w:r>
        <w:rPr>
          <w:spacing w:val="-67"/>
        </w:rPr>
      </w:r>
      <w:r>
        <w:rPr>
          <w:spacing w:val="-2"/>
        </w:rPr>
        <w:t>进行沟通交流，提高了公司的透明度和诚信度。通过回复日常投资者咨询、接受投资者来访与调研、召开业绩说明会等多种</w:t>
      </w:r>
      <w:r>
        <w:rPr>
          <w:spacing w:val="-66"/>
        </w:rPr>
        <w:t> </w:t>
      </w:r>
      <w:r>
        <w:rPr>
          <w:spacing w:val="-66"/>
        </w:rPr>
      </w:r>
      <w:r>
        <w:rPr>
          <w:spacing w:val="-4"/>
        </w:rPr>
        <w:t>形式，不断加深投资者对公司发展战略、运营情况、管理团队、未来发展等情况的了解，增强投资者对公司的认同度。同时，</w:t>
      </w:r>
      <w:r>
        <w:rPr>
          <w:spacing w:val="-45"/>
        </w:rPr>
        <w:t> </w:t>
      </w:r>
      <w:r>
        <w:rPr>
          <w:spacing w:val="-45"/>
        </w:rPr>
      </w:r>
      <w:r>
        <w:rPr/>
        <w:t>公司非常重视对投资者的合理回报，制定了相对稳定的利润分配政策和分红方案以回报股东。</w:t>
      </w:r>
    </w:p>
    <w:p>
      <w:pPr>
        <w:pStyle w:val="BodyText"/>
        <w:spacing w:line="240" w:lineRule="auto" w:before="59"/>
        <w:ind w:left="576" w:right="967"/>
        <w:jc w:val="left"/>
      </w:pPr>
      <w:r>
        <w:rPr>
          <w:rFonts w:ascii="Times New Roman" w:hAnsi="Times New Roman" w:cs="Times New Roman" w:eastAsia="Times New Roman" w:hint="default"/>
        </w:rPr>
        <w:t>(2)</w:t>
      </w:r>
      <w:r>
        <w:rPr/>
        <w:t>公司一直坚持以人为本的人才理念，实施企业人才战略，严格遵守《劳动法》、《劳动合同法》等相关法律法规，</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9" w:lineRule="auto" w:before="44"/>
        <w:ind w:right="1129"/>
        <w:jc w:val="both"/>
      </w:pPr>
      <w:r>
        <w:rPr>
          <w:spacing w:val="-2"/>
        </w:rPr>
        <w:t>与所有员工签订《劳动合同》，为员工办理医疗、养老、失业、工伤、生育等社会保险，依法为员工缴纳保险费用。公司严</w:t>
      </w:r>
      <w:r>
        <w:rPr>
          <w:spacing w:val="-69"/>
        </w:rPr>
        <w:t> </w:t>
      </w:r>
      <w:r>
        <w:rPr>
          <w:spacing w:val="-69"/>
        </w:rPr>
      </w:r>
      <w:r>
        <w:rPr>
          <w:spacing w:val="-2"/>
        </w:rPr>
        <w:t>格遵守《工会法》，按照有关规定建立工会组织，支持工会依法开展工作，保障员工依法行使民主管理的权利。通过多种途</w:t>
      </w:r>
      <w:r>
        <w:rPr>
          <w:spacing w:val="-68"/>
        </w:rPr>
        <w:t> </w:t>
      </w:r>
      <w:r>
        <w:rPr>
          <w:spacing w:val="-68"/>
        </w:rPr>
      </w:r>
      <w:r>
        <w:rPr/>
        <w:t>径和方式提高员工的生活质量，为员工创造、提供广阔的发展平台和施展个人才华的机会，促进员工与企业的共同进步。</w:t>
      </w:r>
    </w:p>
    <w:p>
      <w:pPr>
        <w:pStyle w:val="BodyText"/>
        <w:spacing w:line="302" w:lineRule="auto" w:before="55"/>
        <w:ind w:right="967" w:firstLine="422"/>
        <w:jc w:val="left"/>
      </w:pPr>
      <w:r>
        <w:rPr>
          <w:rFonts w:ascii="Times New Roman" w:hAnsi="Times New Roman" w:cs="Times New Roman" w:eastAsia="Times New Roman" w:hint="default"/>
          <w:spacing w:val="-2"/>
        </w:rPr>
        <w:t>(3)</w:t>
      </w:r>
      <w:r>
        <w:rPr>
          <w:spacing w:val="-2"/>
        </w:rPr>
        <w:t>公司始终将依法经营作为公司运行的基本原则，注重企业经济效益与社会效益的同步共赢。公司严格遵守国家法律、</w:t>
      </w:r>
      <w:r>
        <w:rPr>
          <w:w w:val="99"/>
        </w:rPr>
        <w:t> </w:t>
      </w:r>
      <w:r>
        <w:rPr/>
        <w:t>法规、政策的规定，及时缴纳各项税款，积极发展就业，促进当地经济的发展。</w:t>
      </w:r>
    </w:p>
    <w:p>
      <w:pPr>
        <w:spacing w:line="240" w:lineRule="auto" w:before="3"/>
        <w:rPr>
          <w:rFonts w:ascii="宋体" w:hAnsi="宋体" w:cs="宋体" w:eastAsia="宋体" w:hint="default"/>
          <w:sz w:val="23"/>
          <w:szCs w:val="23"/>
        </w:rPr>
      </w:pPr>
    </w:p>
    <w:p>
      <w:pPr>
        <w:pStyle w:val="Heading3"/>
        <w:spacing w:line="240" w:lineRule="auto"/>
        <w:ind w:right="967"/>
        <w:jc w:val="left"/>
        <w:rPr>
          <w:b w:val="0"/>
          <w:bCs w:val="0"/>
        </w:rPr>
      </w:pPr>
      <w:bookmarkStart w:name="2、履行精准扶贫社会责任情况" w:id="96"/>
      <w:bookmarkEnd w:id="96"/>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67"/>
        <w:jc w:val="left"/>
      </w:pP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3"/>
        <w:spacing w:line="240" w:lineRule="auto"/>
        <w:ind w:right="967"/>
        <w:jc w:val="left"/>
        <w:rPr>
          <w:b w:val="0"/>
          <w:bCs w:val="0"/>
        </w:rPr>
      </w:pPr>
      <w:bookmarkStart w:name="3、环境保护相关的情况" w:id="97"/>
      <w:bookmarkEnd w:id="97"/>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5712"/>
        <w:jc w:val="left"/>
      </w:pPr>
      <w:r>
        <w:rPr/>
        <w:t>上市公司及其子公司是否属于环境保护部门公布的重点排污单位 不适用</w:t>
      </w:r>
    </w:p>
    <w:p>
      <w:pPr>
        <w:pStyle w:val="BodyText"/>
        <w:spacing w:line="240" w:lineRule="auto" w:before="25"/>
        <w:ind w:right="967"/>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967"/>
        <w:jc w:val="left"/>
        <w:rPr>
          <w:b w:val="0"/>
          <w:bCs w:val="0"/>
        </w:rPr>
      </w:pPr>
      <w:bookmarkStart w:name="十八、其他重大事项的说明" w:id="98"/>
      <w:bookmarkEnd w:id="98"/>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4" w:right="112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17</w:t>
      </w:r>
      <w:r>
        <w:rPr/>
        <w:t>日召开第三届董事会第二十四次会议，审议通过了《关于全资子公司之间吸收合并的议案》。为更</w:t>
      </w:r>
    </w:p>
    <w:p>
      <w:pPr>
        <w:pStyle w:val="BodyText"/>
        <w:spacing w:line="319" w:lineRule="auto" w:before="2"/>
        <w:ind w:right="967"/>
        <w:jc w:val="left"/>
      </w:pPr>
      <w:r>
        <w:rPr>
          <w:spacing w:val="-2"/>
        </w:rPr>
        <w:t>好地进行内部整合和深度融合，提升管理效能，提升公司在</w:t>
      </w:r>
      <w:r>
        <w:rPr>
          <w:rFonts w:ascii="宋体" w:hAnsi="宋体" w:cs="宋体" w:eastAsia="宋体" w:hint="default"/>
          <w:spacing w:val="-2"/>
        </w:rPr>
        <w:t>5G</w:t>
      </w:r>
      <w:r>
        <w:rPr>
          <w:spacing w:val="-2"/>
        </w:rPr>
        <w:t>时代的网络优化、安全、运维等方面的综合能力，拟进行内部</w:t>
      </w:r>
      <w:r>
        <w:rPr>
          <w:spacing w:val="-64"/>
        </w:rPr>
        <w:t> </w:t>
      </w:r>
      <w:r>
        <w:rPr>
          <w:spacing w:val="-64"/>
        </w:rPr>
      </w:r>
      <w:r>
        <w:rPr>
          <w:spacing w:val="-4"/>
        </w:rPr>
        <w:t>企业合并。由全资子公司北京微智信业科技有限公司吸收合并全资子公司北京惠捷朗科技有限公司，惠捷朗全部业务、资产、</w:t>
      </w:r>
      <w:r>
        <w:rPr>
          <w:spacing w:val="-44"/>
        </w:rPr>
        <w:t> </w:t>
      </w:r>
      <w:r>
        <w:rPr>
          <w:spacing w:val="-44"/>
        </w:rPr>
      </w:r>
      <w:r>
        <w:rPr/>
        <w:t>债权、债务由微智信业依法承继，惠捷朗独立法人资格依法注销。合并基准日为</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31</w:t>
      </w:r>
      <w:r>
        <w:rPr/>
        <w:t>日。</w:t>
      </w:r>
    </w:p>
    <w:p>
      <w:pPr>
        <w:pStyle w:val="BodyText"/>
        <w:spacing w:line="240" w:lineRule="auto" w:before="17"/>
        <w:ind w:left="514" w:right="967"/>
        <w:jc w:val="left"/>
      </w:pPr>
      <w:r>
        <w:rPr/>
        <w:t>公司于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17</w:t>
      </w:r>
      <w:r>
        <w:rPr/>
        <w:t>日披露了《关于全资子公司之间吸收合并的公告》。</w:t>
      </w:r>
    </w:p>
    <w:p>
      <w:pPr>
        <w:spacing w:line="240" w:lineRule="auto" w:before="2"/>
        <w:rPr>
          <w:rFonts w:ascii="宋体" w:hAnsi="宋体" w:cs="宋体" w:eastAsia="宋体" w:hint="default"/>
          <w:sz w:val="25"/>
          <w:szCs w:val="25"/>
        </w:rPr>
      </w:pPr>
    </w:p>
    <w:p>
      <w:pPr>
        <w:pStyle w:val="Heading2"/>
        <w:spacing w:line="240" w:lineRule="auto"/>
        <w:ind w:right="967"/>
        <w:jc w:val="left"/>
        <w:rPr>
          <w:b w:val="0"/>
          <w:bCs w:val="0"/>
        </w:rPr>
      </w:pPr>
      <w:bookmarkStart w:name="十九、公司子公司重大事项" w:id="99"/>
      <w:bookmarkEnd w:id="99"/>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966" w:right="967"/>
        <w:jc w:val="left"/>
        <w:rPr>
          <w:b w:val="0"/>
          <w:bCs w:val="0"/>
        </w:rPr>
      </w:pPr>
      <w:bookmarkStart w:name="_TOC_250006" w:id="100"/>
      <w:bookmarkStart w:name="第六节 股份变动及股东情况" w:id="101"/>
      <w:r>
        <w:rPr>
          <w:b w:val="0"/>
          <w:bCs w:val="0"/>
        </w:rPr>
      </w:r>
      <w:r>
        <w:rPr/>
        <w:t>第六节</w:t>
      </w:r>
      <w:r>
        <w:rPr>
          <w:spacing w:val="-10"/>
        </w:rPr>
        <w:t> </w:t>
      </w:r>
      <w:r>
        <w:rPr/>
        <w:t>股份变动及股东情况</w:t>
      </w:r>
      <w:bookmarkEnd w:id="10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67"/>
        <w:jc w:val="left"/>
        <w:rPr>
          <w:b w:val="0"/>
          <w:bCs w:val="0"/>
        </w:rPr>
      </w:pPr>
      <w:bookmarkStart w:name="一、股份变动情况" w:id="102"/>
      <w:bookmarkEnd w:id="102"/>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67"/>
        <w:jc w:val="left"/>
        <w:rPr>
          <w:b w:val="0"/>
          <w:bCs w:val="0"/>
        </w:rPr>
      </w:pPr>
      <w:bookmarkStart w:name="1、股份变动情况" w:id="103"/>
      <w:bookmarkEnd w:id="10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89,827,40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32.42%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-12,294,1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-12,294,1</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77,533,25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27.99%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89,827,40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32.42%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-12,294,1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-12,294,1</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77,533,25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27.99%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25,470,65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9.19%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25,470,65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9.19%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64,356,75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23.23%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-12,294,1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-12,294,1</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52,062,59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18.79%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187,204,3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67.58%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12,294,15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12,294,15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199,498,4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72.01%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187,204,3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67.58%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12,294,15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12,294,15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199,498,4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72.01%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277,031,7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277,031,7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967"/>
        <w:jc w:val="left"/>
      </w:pPr>
      <w:r>
        <w:rPr/>
        <w:t>股份变动的原因</w:t>
      </w:r>
    </w:p>
    <w:p>
      <w:pPr>
        <w:pStyle w:val="BodyText"/>
        <w:spacing w:line="240" w:lineRule="auto" w:before="117"/>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029" w:firstLine="360"/>
        <w:jc w:val="left"/>
      </w:pPr>
      <w:r>
        <w:rPr>
          <w:rFonts w:ascii="Times New Roman" w:hAnsi="Times New Roman" w:cs="Times New Roman" w:eastAsia="Times New Roman" w:hint="default"/>
        </w:rPr>
        <w:t>1.</w:t>
      </w:r>
      <w:r>
        <w:rPr/>
        <w:t>经中国证券监督管理委员会《关于核准北京东方通科技股份有限公司向李健等发行股份购买资产并募集配套资金的批 </w:t>
      </w:r>
      <w:r>
        <w:rPr>
          <w:spacing w:val="-3"/>
        </w:rPr>
        <w:t>复》（证监许可〔</w:t>
      </w:r>
      <w:r>
        <w:rPr>
          <w:rFonts w:ascii="Times New Roman" w:hAnsi="Times New Roman" w:cs="Times New Roman" w:eastAsia="Times New Roman" w:hint="default"/>
          <w:spacing w:val="-3"/>
        </w:rPr>
        <w:t>2014</w:t>
      </w:r>
      <w:r>
        <w:rPr>
          <w:spacing w:val="-3"/>
        </w:rPr>
        <w:t>〕</w:t>
      </w:r>
      <w:r>
        <w:rPr>
          <w:rFonts w:ascii="Times New Roman" w:hAnsi="Times New Roman" w:cs="Times New Roman" w:eastAsia="Times New Roman" w:hint="default"/>
          <w:spacing w:val="-3"/>
        </w:rPr>
        <w:t>1354</w:t>
      </w:r>
      <w:r>
        <w:rPr>
          <w:spacing w:val="-3"/>
        </w:rPr>
        <w:t>号）核准，公司实施了发行股份及现金方式购买资产并募集配套资金暨重大资产重组，向李健、</w:t>
      </w:r>
      <w:r>
        <w:rPr/>
        <w:t> 王晋敏、王熙春、李飚共发行</w:t>
      </w:r>
      <w:r>
        <w:rPr>
          <w:rFonts w:ascii="Times New Roman" w:hAnsi="Times New Roman" w:cs="Times New Roman" w:eastAsia="Times New Roman" w:hint="default"/>
        </w:rPr>
        <w:t>4,480,000</w:t>
      </w:r>
      <w:r>
        <w:rPr/>
        <w:t>股股票。根据股份锁定承诺，</w:t>
      </w:r>
      <w:r>
        <w:rPr>
          <w:rFonts w:ascii="Times New Roman" w:hAnsi="Times New Roman" w:cs="Times New Roman" w:eastAsia="Times New Roman" w:hint="default"/>
        </w:rPr>
        <w:t>42%</w:t>
      </w:r>
      <w:r>
        <w:rPr/>
        <w:t>股份于对价股份发行结束满</w:t>
      </w:r>
      <w:r>
        <w:rPr>
          <w:rFonts w:ascii="Times New Roman" w:hAnsi="Times New Roman" w:cs="Times New Roman" w:eastAsia="Times New Roman" w:hint="default"/>
        </w:rPr>
        <w:t>36</w:t>
      </w:r>
      <w:r>
        <w:rPr/>
        <w:t>个月且盈利预测补偿 期第三年的《盈利预测实现情况审核报告》及《减值测试报告》披露后解除限售。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7,526,400</w:t>
      </w:r>
      <w:r>
        <w:rPr/>
        <w:t>股解除限售， 并上市流通。</w:t>
      </w:r>
    </w:p>
    <w:p>
      <w:pPr>
        <w:pStyle w:val="BodyText"/>
        <w:spacing w:line="302" w:lineRule="auto" w:before="70"/>
        <w:ind w:right="1127" w:firstLine="360"/>
        <w:jc w:val="left"/>
      </w:pPr>
      <w:r>
        <w:rPr>
          <w:rFonts w:ascii="Times New Roman" w:hAnsi="Times New Roman" w:cs="Times New Roman" w:eastAsia="Times New Roman" w:hint="default"/>
        </w:rPr>
        <w:t>2.</w:t>
      </w:r>
      <w:r>
        <w:rPr/>
        <w:t>根据公司董事、高级管理人员</w:t>
      </w:r>
      <w:r>
        <w:rPr>
          <w:rFonts w:ascii="Times New Roman" w:hAnsi="Times New Roman" w:cs="Times New Roman" w:eastAsia="Times New Roman" w:hint="default"/>
        </w:rPr>
        <w:t>“</w:t>
      </w:r>
      <w:r>
        <w:rPr/>
        <w:t>任职期间每年转让的股份不超过其持有公司股份总数的</w:t>
      </w:r>
      <w:r>
        <w:rPr>
          <w:rFonts w:ascii="Times New Roman" w:hAnsi="Times New Roman" w:cs="Times New Roman" w:eastAsia="Times New Roman" w:hint="default"/>
        </w:rPr>
        <w:t>25%”</w:t>
      </w:r>
      <w:r>
        <w:rPr/>
        <w:t>的规定，</w:t>
      </w:r>
      <w:r>
        <w:rPr>
          <w:rFonts w:ascii="Times New Roman" w:hAnsi="Times New Roman" w:cs="Times New Roman" w:eastAsia="Times New Roman" w:hint="default"/>
        </w:rPr>
        <w:t>2018</w:t>
      </w:r>
      <w:r>
        <w:rPr/>
        <w:t>年度高管锁 定股份解锁</w:t>
      </w:r>
      <w:r>
        <w:rPr>
          <w:rFonts w:ascii="Times New Roman" w:hAnsi="Times New Roman" w:cs="Times New Roman" w:eastAsia="Times New Roman" w:hint="default"/>
        </w:rPr>
        <w:t>4,767,753</w:t>
      </w:r>
      <w:r>
        <w:rPr/>
        <w:t>股。</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240" w:lineRule="auto"/>
        <w:ind w:right="967"/>
        <w:jc w:val="left"/>
      </w:pPr>
      <w:r>
        <w:rPr/>
        <w:t>股份变动的批准情况</w:t>
      </w:r>
    </w:p>
    <w:p>
      <w:pPr>
        <w:pStyle w:val="BodyText"/>
        <w:spacing w:line="240" w:lineRule="auto" w:before="116"/>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029" w:firstLine="360"/>
        <w:jc w:val="left"/>
      </w:pPr>
      <w:r>
        <w:rPr>
          <w:rFonts w:ascii="Times New Roman" w:hAnsi="Times New Roman" w:cs="Times New Roman" w:eastAsia="Times New Roman" w:hint="default"/>
        </w:rPr>
        <w:t>1.</w:t>
      </w:r>
      <w:r>
        <w:rPr/>
        <w:t>经中国证券监督管理委员会《关于核准北京东方通科技股份有限公司向李健等发行股份购买资产并募集配套资金的批 </w:t>
      </w:r>
      <w:r>
        <w:rPr>
          <w:spacing w:val="-3"/>
        </w:rPr>
        <w:t>复》（证监许可〔</w:t>
      </w:r>
      <w:r>
        <w:rPr>
          <w:rFonts w:ascii="Times New Roman" w:hAnsi="Times New Roman" w:cs="Times New Roman" w:eastAsia="Times New Roman" w:hint="default"/>
          <w:spacing w:val="-3"/>
        </w:rPr>
        <w:t>2014</w:t>
      </w:r>
      <w:r>
        <w:rPr>
          <w:spacing w:val="-3"/>
        </w:rPr>
        <w:t>〕</w:t>
      </w:r>
      <w:r>
        <w:rPr>
          <w:rFonts w:ascii="Times New Roman" w:hAnsi="Times New Roman" w:cs="Times New Roman" w:eastAsia="Times New Roman" w:hint="default"/>
          <w:spacing w:val="-3"/>
        </w:rPr>
        <w:t>1354</w:t>
      </w:r>
      <w:r>
        <w:rPr>
          <w:spacing w:val="-3"/>
        </w:rPr>
        <w:t>号）核准，公司实施了发行股份及现金方式购买资产并募集配套资金暨重大资产重组，向李健、</w:t>
      </w:r>
    </w:p>
    <w:p>
      <w:pPr>
        <w:spacing w:after="0" w:line="30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right="1132"/>
        <w:jc w:val="both"/>
      </w:pPr>
      <w:r>
        <w:rPr>
          <w:spacing w:val="-1"/>
        </w:rPr>
        <w:t>王晋敏、王熙春、李飚共发行</w:t>
      </w:r>
      <w:r>
        <w:rPr>
          <w:rFonts w:ascii="Times New Roman" w:hAnsi="Times New Roman" w:cs="Times New Roman" w:eastAsia="Times New Roman" w:hint="default"/>
          <w:spacing w:val="-1"/>
        </w:rPr>
        <w:t>4,480,000</w:t>
      </w:r>
      <w:r>
        <w:rPr>
          <w:spacing w:val="-1"/>
        </w:rPr>
        <w:t>股股票。根据股份锁定承诺，</w:t>
      </w:r>
      <w:r>
        <w:rPr>
          <w:rFonts w:ascii="Times New Roman" w:hAnsi="Times New Roman" w:cs="Times New Roman" w:eastAsia="Times New Roman" w:hint="default"/>
          <w:spacing w:val="-1"/>
        </w:rPr>
        <w:t>42%</w:t>
      </w:r>
      <w:r>
        <w:rPr>
          <w:spacing w:val="-1"/>
        </w:rPr>
        <w:t>股份于对价股份发行结束满</w:t>
      </w:r>
      <w:r>
        <w:rPr>
          <w:rFonts w:ascii="Times New Roman" w:hAnsi="Times New Roman" w:cs="Times New Roman" w:eastAsia="Times New Roman" w:hint="default"/>
          <w:spacing w:val="-1"/>
        </w:rPr>
        <w:t>36</w:t>
      </w:r>
      <w:r>
        <w:rPr>
          <w:spacing w:val="-1"/>
        </w:rPr>
        <w:t>个月且盈利预测补偿</w:t>
      </w:r>
      <w:r>
        <w:rPr>
          <w:spacing w:val="-86"/>
        </w:rPr>
        <w:t> </w:t>
      </w:r>
      <w:r>
        <w:rPr/>
        <w:t>期第三年的《盈利预测实现情况审核报告》及《减值测试报告》披露后解除限售。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7,526,400</w:t>
      </w:r>
      <w:r>
        <w:rPr/>
        <w:t>股解除限售， 并上市流通。</w:t>
      </w:r>
    </w:p>
    <w:p>
      <w:pPr>
        <w:pStyle w:val="BodyText"/>
        <w:spacing w:line="302" w:lineRule="auto" w:before="70"/>
        <w:ind w:right="1127" w:firstLine="360"/>
        <w:jc w:val="left"/>
      </w:pPr>
      <w:r>
        <w:rPr>
          <w:rFonts w:ascii="Times New Roman" w:hAnsi="Times New Roman" w:cs="Times New Roman" w:eastAsia="Times New Roman" w:hint="default"/>
        </w:rPr>
        <w:t>2.</w:t>
      </w:r>
      <w:r>
        <w:rPr/>
        <w:t>根据公司董事、高级管理人员</w:t>
      </w:r>
      <w:r>
        <w:rPr>
          <w:rFonts w:ascii="Times New Roman" w:hAnsi="Times New Roman" w:cs="Times New Roman" w:eastAsia="Times New Roman" w:hint="default"/>
        </w:rPr>
        <w:t>“</w:t>
      </w:r>
      <w:r>
        <w:rPr/>
        <w:t>任职期间每年转让的股份不超过其持有公司股份总数的</w:t>
      </w:r>
      <w:r>
        <w:rPr>
          <w:rFonts w:ascii="Times New Roman" w:hAnsi="Times New Roman" w:cs="Times New Roman" w:eastAsia="Times New Roman" w:hint="default"/>
        </w:rPr>
        <w:t>25%”</w:t>
      </w:r>
      <w:r>
        <w:rPr/>
        <w:t>的规定，</w:t>
      </w:r>
      <w:r>
        <w:rPr>
          <w:rFonts w:ascii="Times New Roman" w:hAnsi="Times New Roman" w:cs="Times New Roman" w:eastAsia="Times New Roman" w:hint="default"/>
        </w:rPr>
        <w:t>2018</w:t>
      </w:r>
      <w:r>
        <w:rPr/>
        <w:t>年度高管锁 定股份解锁</w:t>
      </w:r>
      <w:r>
        <w:rPr>
          <w:rFonts w:ascii="Times New Roman" w:hAnsi="Times New Roman" w:cs="Times New Roman" w:eastAsia="Times New Roman" w:hint="default"/>
        </w:rPr>
        <w:t>4,767,753</w:t>
      </w:r>
      <w:r>
        <w:rPr/>
        <w:t>股。</w:t>
      </w:r>
    </w:p>
    <w:p>
      <w:pPr>
        <w:pStyle w:val="BodyText"/>
        <w:spacing w:line="240" w:lineRule="auto" w:before="52"/>
        <w:ind w:right="0"/>
        <w:jc w:val="both"/>
      </w:pPr>
      <w:r>
        <w:rPr/>
        <w:t>股份变动的过户情况</w:t>
      </w:r>
    </w:p>
    <w:p>
      <w:pPr>
        <w:pStyle w:val="BodyText"/>
        <w:spacing w:line="240" w:lineRule="auto" w:before="116"/>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029" w:firstLine="360"/>
        <w:jc w:val="left"/>
      </w:pPr>
      <w:r>
        <w:rPr>
          <w:rFonts w:ascii="Times New Roman" w:hAnsi="Times New Roman" w:cs="Times New Roman" w:eastAsia="Times New Roman" w:hint="default"/>
        </w:rPr>
        <w:t>1.</w:t>
      </w:r>
      <w:r>
        <w:rPr/>
        <w:t>经中国证券监督管理委员会《关于核准北京东方通科技股份有限公司向李健等发行股份购买资产并募集配套资金的批 </w:t>
      </w:r>
      <w:r>
        <w:rPr>
          <w:spacing w:val="-3"/>
        </w:rPr>
        <w:t>复》（证监许可〔</w:t>
      </w:r>
      <w:r>
        <w:rPr>
          <w:rFonts w:ascii="Times New Roman" w:hAnsi="Times New Roman" w:cs="Times New Roman" w:eastAsia="Times New Roman" w:hint="default"/>
          <w:spacing w:val="-3"/>
        </w:rPr>
        <w:t>2014</w:t>
      </w:r>
      <w:r>
        <w:rPr>
          <w:spacing w:val="-3"/>
        </w:rPr>
        <w:t>〕</w:t>
      </w:r>
      <w:r>
        <w:rPr>
          <w:rFonts w:ascii="Times New Roman" w:hAnsi="Times New Roman" w:cs="Times New Roman" w:eastAsia="Times New Roman" w:hint="default"/>
          <w:spacing w:val="-3"/>
        </w:rPr>
        <w:t>1354</w:t>
      </w:r>
      <w:r>
        <w:rPr>
          <w:spacing w:val="-3"/>
        </w:rPr>
        <w:t>号）核准，公司实施了发行股份及现金方式购买资产并募集配套资金暨重大资产重组，向李健、</w:t>
      </w:r>
      <w:r>
        <w:rPr/>
        <w:t> 王晋敏、王熙春、李飚共发行</w:t>
      </w:r>
      <w:r>
        <w:rPr>
          <w:rFonts w:ascii="Times New Roman" w:hAnsi="Times New Roman" w:cs="Times New Roman" w:eastAsia="Times New Roman" w:hint="default"/>
        </w:rPr>
        <w:t>4,480,000</w:t>
      </w:r>
      <w:r>
        <w:rPr/>
        <w:t>股股票。根据股份锁定承诺，</w:t>
      </w:r>
      <w:r>
        <w:rPr>
          <w:rFonts w:ascii="Times New Roman" w:hAnsi="Times New Roman" w:cs="Times New Roman" w:eastAsia="Times New Roman" w:hint="default"/>
        </w:rPr>
        <w:t>42%</w:t>
      </w:r>
      <w:r>
        <w:rPr/>
        <w:t>股份于对价股份发行结束满</w:t>
      </w:r>
      <w:r>
        <w:rPr>
          <w:rFonts w:ascii="Times New Roman" w:hAnsi="Times New Roman" w:cs="Times New Roman" w:eastAsia="Times New Roman" w:hint="default"/>
        </w:rPr>
        <w:t>36</w:t>
      </w:r>
      <w:r>
        <w:rPr/>
        <w:t>个月且盈利预测补偿 期第三年的《盈利预测实现情况审核报告》及《减值测试报告》披露后解除限售。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7,526,400</w:t>
      </w:r>
      <w:r>
        <w:rPr/>
        <w:t>股解除限售， 并上市流通。</w:t>
      </w:r>
    </w:p>
    <w:p>
      <w:pPr>
        <w:pStyle w:val="BodyText"/>
        <w:spacing w:line="302" w:lineRule="auto" w:before="71"/>
        <w:ind w:right="1127" w:firstLine="360"/>
        <w:jc w:val="left"/>
      </w:pPr>
      <w:r>
        <w:rPr>
          <w:rFonts w:ascii="Times New Roman" w:hAnsi="Times New Roman" w:cs="Times New Roman" w:eastAsia="Times New Roman" w:hint="default"/>
        </w:rPr>
        <w:t>2.</w:t>
      </w:r>
      <w:r>
        <w:rPr/>
        <w:t>根据公司董事、高级管理人员</w:t>
      </w:r>
      <w:r>
        <w:rPr>
          <w:rFonts w:ascii="Times New Roman" w:hAnsi="Times New Roman" w:cs="Times New Roman" w:eastAsia="Times New Roman" w:hint="default"/>
        </w:rPr>
        <w:t>“</w:t>
      </w:r>
      <w:r>
        <w:rPr/>
        <w:t>任职期间每年转让的股份不超过其持有公司股份总数的</w:t>
      </w:r>
      <w:r>
        <w:rPr>
          <w:rFonts w:ascii="Times New Roman" w:hAnsi="Times New Roman" w:cs="Times New Roman" w:eastAsia="Times New Roman" w:hint="default"/>
        </w:rPr>
        <w:t>25%”</w:t>
      </w:r>
      <w:r>
        <w:rPr/>
        <w:t>的规定，</w:t>
      </w:r>
      <w:r>
        <w:rPr>
          <w:rFonts w:ascii="Times New Roman" w:hAnsi="Times New Roman" w:cs="Times New Roman" w:eastAsia="Times New Roman" w:hint="default"/>
        </w:rPr>
        <w:t>2018</w:t>
      </w:r>
      <w:r>
        <w:rPr/>
        <w:t>年度高管锁 定股份解锁</w:t>
      </w:r>
      <w:r>
        <w:rPr>
          <w:rFonts w:ascii="Times New Roman" w:hAnsi="Times New Roman" w:cs="Times New Roman" w:eastAsia="Times New Roman" w:hint="default"/>
        </w:rPr>
        <w:t>4,767,753</w:t>
      </w:r>
      <w:r>
        <w:rPr/>
        <w:t>股。</w:t>
      </w:r>
    </w:p>
    <w:p>
      <w:pPr>
        <w:pStyle w:val="BodyText"/>
        <w:spacing w:line="240" w:lineRule="auto" w:before="50"/>
        <w:ind w:right="0"/>
        <w:jc w:val="both"/>
      </w:pPr>
      <w:r>
        <w:rPr/>
        <w:t>股份回购的实施进展情况</w:t>
      </w:r>
    </w:p>
    <w:p>
      <w:pPr>
        <w:pStyle w:val="BodyText"/>
        <w:spacing w:line="338" w:lineRule="auto" w:before="116"/>
        <w:ind w:left="514" w:right="112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日召开了</w:t>
      </w:r>
      <w:r>
        <w:rPr>
          <w:rFonts w:ascii="Times New Roman" w:hAnsi="Times New Roman" w:cs="Times New Roman" w:eastAsia="Times New Roman" w:hint="default"/>
        </w:rPr>
        <w:t>2018</w:t>
      </w:r>
      <w:r>
        <w:rPr/>
        <w:t>年第三次临时股东大会，审议通过《关于回购公司股份的议案》，为了进一步健全公</w:t>
      </w:r>
    </w:p>
    <w:p>
      <w:pPr>
        <w:pStyle w:val="BodyText"/>
        <w:spacing w:line="217" w:lineRule="exact"/>
        <w:ind w:right="0"/>
        <w:jc w:val="both"/>
      </w:pPr>
      <w:r>
        <w:rPr/>
        <w:t>司长效激励机制，吸引和留住优秀人才，充分调动公司高级管理人员、核心及骨干人员的积极性，有效地将股东利益、公司</w:t>
      </w:r>
    </w:p>
    <w:p>
      <w:pPr>
        <w:pStyle w:val="BodyText"/>
        <w:spacing w:line="312" w:lineRule="auto" w:before="76"/>
        <w:ind w:right="1131"/>
        <w:jc w:val="both"/>
      </w:pPr>
      <w:r>
        <w:rPr>
          <w:spacing w:val="-2"/>
        </w:rPr>
        <w:t>利益和核心团队个人利益结合在一起，使各方更紧密的合力推进公司的长远发展，同时也为提升投资者信心，维护中小股东</w:t>
      </w:r>
      <w:r>
        <w:rPr>
          <w:spacing w:val="-66"/>
        </w:rPr>
        <w:t> </w:t>
      </w:r>
      <w:r>
        <w:rPr>
          <w:spacing w:val="-66"/>
        </w:rPr>
      </w:r>
      <w:r>
        <w:rPr>
          <w:spacing w:val="-2"/>
        </w:rPr>
        <w:t>利益。同意公司使用自筹资金以集中竞价、大宗交易以及法律法规许可的其他方式进行股份回购，用于公司实施股权激励计</w:t>
      </w:r>
      <w:r>
        <w:rPr>
          <w:spacing w:val="-66"/>
        </w:rPr>
        <w:t> </w:t>
      </w:r>
      <w:r>
        <w:rPr>
          <w:spacing w:val="-66"/>
        </w:rPr>
      </w:r>
      <w:r>
        <w:rPr>
          <w:spacing w:val="-2"/>
        </w:rPr>
        <w:t>划或员工持股计划认购股份的股份来源。回购资金总额不超过人民币</w:t>
      </w:r>
      <w:r>
        <w:rPr>
          <w:rFonts w:ascii="Times New Roman" w:hAnsi="Times New Roman" w:cs="Times New Roman" w:eastAsia="Times New Roman" w:hint="default"/>
          <w:spacing w:val="-2"/>
        </w:rPr>
        <w:t>20,000</w:t>
      </w:r>
      <w:r>
        <w:rPr>
          <w:spacing w:val="-2"/>
        </w:rPr>
        <w:t>万元且不低于</w:t>
      </w:r>
      <w:r>
        <w:rPr>
          <w:rFonts w:ascii="Times New Roman" w:hAnsi="Times New Roman" w:cs="Times New Roman" w:eastAsia="Times New Roman" w:hint="default"/>
          <w:spacing w:val="-2"/>
        </w:rPr>
        <w:t>6,000</w:t>
      </w:r>
      <w:r>
        <w:rPr>
          <w:spacing w:val="-2"/>
        </w:rPr>
        <w:t>万元，回购股份的价格为不超</w:t>
      </w:r>
      <w:r>
        <w:rPr>
          <w:spacing w:val="-55"/>
        </w:rPr>
        <w:t> </w:t>
      </w:r>
      <w:r>
        <w:rPr>
          <w:spacing w:val="-55"/>
        </w:rPr>
      </w:r>
      <w:r>
        <w:rPr/>
        <w:t>过人民币</w:t>
      </w:r>
      <w:r>
        <w:rPr>
          <w:rFonts w:ascii="Times New Roman" w:hAnsi="Times New Roman" w:cs="Times New Roman" w:eastAsia="Times New Roman" w:hint="default"/>
        </w:rPr>
        <w:t>16.70</w:t>
      </w:r>
      <w:r>
        <w:rPr/>
        <w:t>元</w:t>
      </w:r>
      <w:r>
        <w:rPr>
          <w:rFonts w:ascii="Times New Roman" w:hAnsi="Times New Roman" w:cs="Times New Roman" w:eastAsia="Times New Roman" w:hint="default"/>
        </w:rPr>
        <w:t>/</w:t>
      </w:r>
      <w:r>
        <w:rPr/>
        <w:t>股。回购股份的实施期限为自股东大会审议通过本次回购股份方案之日起不超过</w:t>
      </w:r>
      <w:r>
        <w:rPr>
          <w:rFonts w:ascii="Times New Roman" w:hAnsi="Times New Roman" w:cs="Times New Roman" w:eastAsia="Times New Roman" w:hint="default"/>
        </w:rPr>
        <w:t>12</w:t>
      </w:r>
      <w:r>
        <w:rPr/>
        <w:t>个月。</w:t>
      </w:r>
    </w:p>
    <w:p>
      <w:pPr>
        <w:pStyle w:val="BodyText"/>
        <w:spacing w:line="300" w:lineRule="auto" w:before="41"/>
        <w:ind w:right="1139"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日，公司首次实施了回购股份，并于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日披露了《关于首次回购公司股份暨回购比例达</w:t>
      </w:r>
      <w:r>
        <w:rPr>
          <w:rFonts w:ascii="Times New Roman" w:hAnsi="Times New Roman" w:cs="Times New Roman" w:eastAsia="Times New Roman" w:hint="default"/>
        </w:rPr>
        <w:t>1%</w:t>
      </w:r>
      <w:r>
        <w:rPr/>
        <w:t>的公 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日披露了《关于回购公司股份实施进展的公告》，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日披露了《关于回购公司股份达到总股 本</w:t>
      </w:r>
      <w:r>
        <w:rPr>
          <w:rFonts w:ascii="Times New Roman" w:hAnsi="Times New Roman" w:cs="Times New Roman" w:eastAsia="Times New Roman" w:hint="default"/>
        </w:rPr>
        <w:t>2%</w:t>
      </w:r>
      <w:r>
        <w:rPr/>
        <w:t>暨回购进展公告》，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日披露了《关于回购公司股份达到总股本</w:t>
      </w:r>
      <w:r>
        <w:rPr>
          <w:rFonts w:ascii="Times New Roman" w:hAnsi="Times New Roman" w:cs="Times New Roman" w:eastAsia="Times New Roman" w:hint="default"/>
        </w:rPr>
        <w:t>3%</w:t>
      </w:r>
      <w:r>
        <w:rPr/>
        <w:t>暨回购进展公告》，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日披 露了《关于回购公司股份实施进展的公告》，上述具体内容详见公司在中国证监会指定的创业板信息披露网站巨潮资讯网</w:t>
      </w:r>
    </w:p>
    <w:p>
      <w:pPr>
        <w:pStyle w:val="BodyText"/>
        <w:spacing w:line="338" w:lineRule="auto" w:before="32"/>
        <w:ind w:left="514" w:right="1122" w:hanging="360"/>
        <w:jc w:val="left"/>
      </w:pPr>
      <w:r>
        <w:rPr/>
        <w:t>（</w:t>
      </w:r>
      <w:hyperlink r:id="rId11">
        <w:r>
          <w:rPr>
            <w:rFonts w:ascii="Times New Roman" w:hAnsi="Times New Roman" w:cs="Times New Roman" w:eastAsia="Times New Roman" w:hint="default"/>
          </w:rPr>
          <w:t>http://www.cninfo.com.cn/</w:t>
        </w:r>
      </w:hyperlink>
      <w:r>
        <w:rPr/>
        <w:t>）上披露的相关公告。 本次回购自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日开始，至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日结束。公司通过股票回购专用证券账户以集中竞价交易方式累计回</w:t>
      </w:r>
    </w:p>
    <w:p>
      <w:pPr>
        <w:pStyle w:val="BodyText"/>
        <w:spacing w:line="230" w:lineRule="exact"/>
        <w:ind w:right="0"/>
        <w:jc w:val="both"/>
      </w:pPr>
      <w:r>
        <w:rPr/>
        <w:t>购股份</w:t>
      </w:r>
      <w:r>
        <w:rPr>
          <w:rFonts w:ascii="Times New Roman" w:hAnsi="Times New Roman" w:cs="Times New Roman" w:eastAsia="Times New Roman" w:hint="default"/>
        </w:rPr>
        <w:t>10,336,816</w:t>
      </w:r>
      <w:r>
        <w:rPr/>
        <w:t>股，占公司总股本的</w:t>
      </w:r>
      <w:r>
        <w:rPr>
          <w:rFonts w:ascii="Times New Roman" w:hAnsi="Times New Roman" w:cs="Times New Roman" w:eastAsia="Times New Roman" w:hint="default"/>
        </w:rPr>
        <w:t>3.73%</w:t>
      </w:r>
      <w:r>
        <w:rPr/>
        <w:t>，最高成交价为</w:t>
      </w:r>
      <w:r>
        <w:rPr>
          <w:rFonts w:ascii="Times New Roman" w:hAnsi="Times New Roman" w:cs="Times New Roman" w:eastAsia="Times New Roman" w:hint="default"/>
        </w:rPr>
        <w:t>15.50</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13.79</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w:t>
      </w:r>
      <w:r>
        <w:rPr/>
        <w:t>买入均价</w:t>
      </w:r>
      <w:r>
        <w:rPr>
          <w:rFonts w:ascii="Times New Roman" w:hAnsi="Times New Roman" w:cs="Times New Roman" w:eastAsia="Times New Roman" w:hint="default"/>
        </w:rPr>
        <w:t>14.512</w:t>
      </w:r>
      <w:r>
        <w:rPr/>
        <w:t>元</w:t>
      </w:r>
      <w:r>
        <w:rPr>
          <w:rFonts w:ascii="Times New Roman" w:hAnsi="Times New Roman" w:cs="Times New Roman" w:eastAsia="Times New Roman" w:hint="default"/>
        </w:rPr>
        <w:t>/</w:t>
      </w:r>
      <w:r>
        <w:rPr/>
        <w:t>股，累</w:t>
      </w:r>
    </w:p>
    <w:p>
      <w:pPr>
        <w:pStyle w:val="BodyText"/>
        <w:spacing w:line="340" w:lineRule="auto" w:before="64"/>
        <w:ind w:left="514" w:right="4812" w:hanging="360"/>
        <w:jc w:val="left"/>
      </w:pPr>
      <w:r>
        <w:rPr/>
        <w:t>计支付的总金额为</w:t>
      </w:r>
      <w:r>
        <w:rPr>
          <w:rFonts w:ascii="Times New Roman" w:hAnsi="Times New Roman" w:cs="Times New Roman" w:eastAsia="Times New Roman" w:hint="default"/>
        </w:rPr>
        <w:t>150,004,584.16</w:t>
      </w:r>
      <w:r>
        <w:rPr/>
        <w:t>元（含交易费用）。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日披露了《关于回购公司股份实施完毕的公告》。</w:t>
      </w:r>
    </w:p>
    <w:p>
      <w:pPr>
        <w:pStyle w:val="BodyText"/>
        <w:spacing w:line="240" w:lineRule="auto" w:before="18"/>
        <w:ind w:right="0"/>
        <w:jc w:val="both"/>
      </w:pPr>
      <w:r>
        <w:rPr/>
        <w:t>采用集中竞价方式减持回购股份的实施进展情况</w:t>
      </w:r>
    </w:p>
    <w:p>
      <w:pPr>
        <w:pStyle w:val="BodyText"/>
        <w:spacing w:line="340" w:lineRule="auto" w:before="116"/>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0"/>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3"/>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2、限售股份变动情况" w:id="104"/>
      <w:bookmarkEnd w:id="10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after="0" w:line="240" w:lineRule="auto"/>
        <w:jc w:val="right"/>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4,056,728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4,056,728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重大资产重组发 行股份</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2018-1-24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王晋敏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3,319,144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3,319,144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重大资产重组发 行股份</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2018-1-24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75,264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75,264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重大资产重组发 行股份</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2018-1-24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王熙春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75,264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75,264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重大资产重组发 行股份</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2018-1-24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朱曼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1,958,656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297,488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1,661,168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 w:right="75"/>
              <w:jc w:val="left"/>
              <w:rPr>
                <w:rFonts w:ascii="宋体" w:hAnsi="宋体" w:cs="宋体" w:eastAsia="宋体" w:hint="default"/>
                <w:sz w:val="18"/>
                <w:szCs w:val="18"/>
              </w:rPr>
            </w:pPr>
            <w:r>
              <w:rPr>
                <w:rFonts w:ascii="宋体" w:hAnsi="宋体" w:cs="宋体" w:eastAsia="宋体" w:hint="default"/>
                <w:sz w:val="18"/>
                <w:szCs w:val="18"/>
              </w:rPr>
              <w:t>参与认购公司非 公开发行股票</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每年按高管上年 期末余额的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解锁</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黄永军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18,604,516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3,003,147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21,607,663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参与认购公司非 公开发行股票， 及高管锁定股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2019-7-26</w:t>
            </w:r>
            <w:r>
              <w:rPr>
                <w:rFonts w:ascii="宋体" w:hAnsi="宋体" w:cs="宋体" w:eastAsia="宋体" w:hint="default"/>
                <w:sz w:val="18"/>
                <w:szCs w:val="18"/>
              </w:rPr>
              <w:t>；每年</w:t>
            </w:r>
          </w:p>
          <w:p>
            <w:pPr>
              <w:pStyle w:val="TableParagraph"/>
              <w:spacing w:line="319" w:lineRule="auto" w:before="63"/>
              <w:ind w:left="22" w:right="53"/>
              <w:jc w:val="left"/>
              <w:rPr>
                <w:rFonts w:ascii="宋体" w:hAnsi="宋体" w:cs="宋体" w:eastAsia="宋体" w:hint="default"/>
                <w:sz w:val="18"/>
                <w:szCs w:val="18"/>
              </w:rPr>
            </w:pPr>
            <w:r>
              <w:rPr>
                <w:rFonts w:ascii="宋体" w:hAnsi="宋体" w:cs="宋体" w:eastAsia="宋体" w:hint="default"/>
                <w:sz w:val="18"/>
                <w:szCs w:val="18"/>
              </w:rPr>
              <w:t>按高管上年期末 余额的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解锁</w:t>
            </w:r>
          </w:p>
        </w:tc>
      </w:tr>
      <w:tr>
        <w:trPr>
          <w:trHeight w:val="196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深圳平安大华汇 通财富－平安银 行－平安汇通星 通资本定向投资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 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7,198,228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7,198,228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4" w:right="75"/>
              <w:jc w:val="left"/>
              <w:rPr>
                <w:rFonts w:ascii="宋体" w:hAnsi="宋体" w:cs="宋体" w:eastAsia="宋体" w:hint="default"/>
                <w:sz w:val="18"/>
                <w:szCs w:val="18"/>
              </w:rPr>
            </w:pPr>
            <w:r>
              <w:rPr>
                <w:rFonts w:ascii="宋体" w:hAnsi="宋体" w:cs="宋体" w:eastAsia="宋体" w:hint="default"/>
                <w:sz w:val="18"/>
                <w:szCs w:val="18"/>
              </w:rPr>
              <w:t>参与认购公司非 公开发行股票</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2019/7/26</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长安基金－工商 银行－大业信托</w:t>
            </w:r>
          </w:p>
          <w:p>
            <w:pPr>
              <w:pStyle w:val="TableParagraph"/>
              <w:spacing w:line="309" w:lineRule="auto" w:before="19"/>
              <w:ind w:left="22" w:right="69"/>
              <w:jc w:val="left"/>
              <w:rPr>
                <w:rFonts w:ascii="宋体" w:hAnsi="宋体" w:cs="宋体" w:eastAsia="宋体" w:hint="default"/>
                <w:sz w:val="18"/>
                <w:szCs w:val="18"/>
              </w:rPr>
            </w:pPr>
            <w:r>
              <w:rPr>
                <w:rFonts w:ascii="宋体" w:hAnsi="宋体" w:cs="宋体" w:eastAsia="宋体" w:hint="default"/>
                <w:sz w:val="18"/>
                <w:szCs w:val="18"/>
              </w:rPr>
              <w:t>－大业信托</w:t>
            </w:r>
            <w:r>
              <w:rPr>
                <w:rFonts w:ascii="Times New Roman" w:hAnsi="Times New Roman" w:cs="Times New Roman" w:eastAsia="Times New Roman" w:hint="default"/>
                <w:sz w:val="18"/>
                <w:szCs w:val="18"/>
              </w:rPr>
              <w:t>·</w:t>
            </w:r>
            <w:r>
              <w:rPr>
                <w:rFonts w:ascii="宋体" w:hAnsi="宋体" w:cs="宋体" w:eastAsia="宋体" w:hint="default"/>
                <w:sz w:val="18"/>
                <w:szCs w:val="18"/>
              </w:rPr>
              <w:t>平 安富贵东方通单 一资金信托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13,842,746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13,842,746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4" w:right="75"/>
              <w:jc w:val="left"/>
              <w:rPr>
                <w:rFonts w:ascii="宋体" w:hAnsi="宋体" w:cs="宋体" w:eastAsia="宋体" w:hint="default"/>
                <w:sz w:val="18"/>
                <w:szCs w:val="18"/>
              </w:rPr>
            </w:pPr>
            <w:r>
              <w:rPr>
                <w:rFonts w:ascii="宋体" w:hAnsi="宋体" w:cs="宋体" w:eastAsia="宋体" w:hint="default"/>
                <w:sz w:val="18"/>
                <w:szCs w:val="18"/>
              </w:rPr>
              <w:t>参与认购公司非 公开发行股票</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2019/7/26</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兴业全球基金－ 招商银行－沈惠 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4,429,680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4,429,680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 w:right="75"/>
              <w:jc w:val="left"/>
              <w:rPr>
                <w:rFonts w:ascii="宋体" w:hAnsi="宋体" w:cs="宋体" w:eastAsia="宋体" w:hint="default"/>
                <w:sz w:val="18"/>
                <w:szCs w:val="18"/>
              </w:rPr>
            </w:pPr>
            <w:r>
              <w:rPr>
                <w:rFonts w:ascii="宋体" w:hAnsi="宋体" w:cs="宋体" w:eastAsia="宋体" w:hint="default"/>
                <w:sz w:val="18"/>
                <w:szCs w:val="18"/>
              </w:rPr>
              <w:t>参与认购公司非 公开发行股票</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2019/7/26</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258,638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258,639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每年按高管上年 期末余额的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解锁</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28,873,536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7,159,764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21,713,772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每年按高管上年 期末余额的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解锁</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朱律玮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7,135,004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313,649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6,821,355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每年按高管上年 期末余额的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解锁</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89,827,404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8,137,537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10,162,912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77,533,251</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967"/>
        <w:jc w:val="left"/>
        <w:rPr>
          <w:b w:val="0"/>
          <w:bCs w:val="0"/>
        </w:rPr>
      </w:pPr>
      <w:bookmarkStart w:name="二、证券发行与上市情况" w:id="105"/>
      <w:bookmarkEnd w:id="105"/>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67"/>
        <w:jc w:val="left"/>
        <w:rPr>
          <w:b w:val="0"/>
          <w:bCs w:val="0"/>
        </w:rPr>
      </w:pPr>
      <w:bookmarkStart w:name="1、报告期内证券发行（不含优先股）情况" w:id="106"/>
      <w:bookmarkEnd w:id="106"/>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967"/>
        <w:jc w:val="left"/>
        <w:rPr>
          <w:b w:val="0"/>
          <w:bCs w:val="0"/>
        </w:rPr>
      </w:pPr>
      <w:bookmarkStart w:name="2、公司股份总数及股东结构的变动、公司资产和负债结构的变动情况说明" w:id="107"/>
      <w:bookmarkEnd w:id="10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967"/>
        <w:jc w:val="left"/>
        <w:rPr>
          <w:b w:val="0"/>
          <w:bCs w:val="0"/>
        </w:rPr>
      </w:pPr>
      <w:bookmarkStart w:name="3、现存的内部职工股情况" w:id="108"/>
      <w:bookmarkEnd w:id="10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67"/>
        <w:jc w:val="left"/>
        <w:rPr>
          <w:b w:val="0"/>
          <w:bCs w:val="0"/>
        </w:rPr>
      </w:pPr>
      <w:bookmarkStart w:name="三、股东和实际控制人情况" w:id="109"/>
      <w:bookmarkEnd w:id="109"/>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67"/>
        <w:jc w:val="left"/>
        <w:rPr>
          <w:b w:val="0"/>
          <w:bCs w:val="0"/>
        </w:rPr>
      </w:pPr>
      <w:bookmarkStart w:name="1、公司股东数量及持股情况" w:id="110"/>
      <w:bookmarkEnd w:id="11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shape style="position:absolute;margin-left:449.277008pt;margin-top:70.551727pt;width:85.6pt;height:31.25pt;mso-position-horizontal-relative:page;mso-position-vertical-relative:paragraph;z-index:-1135432" type="#_x0000_t202" filled="false" stroked="false">
            <v:textbox inset="0,0,0,0">
              <w:txbxContent>
                <w:p>
                  <w:pPr>
                    <w:pStyle w:val="BodyText"/>
                    <w:spacing w:line="206" w:lineRule="exact"/>
                    <w:ind w:left="0" w:right="0"/>
                    <w:jc w:val="left"/>
                  </w:pPr>
                  <w:r>
                    <w:rPr/>
                    <w:t>（如有）</w:t>
                  </w:r>
                </w:p>
              </w:txbxContent>
            </v:textbox>
            <w10:wrap type="none"/>
          </v:shape>
        </w:pict>
      </w:r>
      <w:r>
        <w:rPr/>
        <w:pict>
          <v:group style="position:absolute;margin-left:482.399994pt;margin-top:70.551727pt;width:52.45pt;height:31.25pt;mso-position-horizontal-relative:page;mso-position-vertical-relative:paragraph;z-index:-1135408" coordorigin="9648,1411" coordsize="1049,625">
            <v:shape style="position:absolute;left:9648;top:1411;width:1049;height:625" coordorigin="9648,1411" coordsize="1049,625" path="m9648,2035l10697,2035,10697,1411,9648,1411,9648,2035xe" filled="true" fillcolor="#ffffff" stroked="false">
              <v:path arrowok="t"/>
              <v:fill type="solid"/>
            </v:shape>
            <w10:wrap type="none"/>
          </v:group>
        </w:pict>
      </w: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35"/>
        <w:gridCol w:w="134"/>
        <w:gridCol w:w="673"/>
        <w:gridCol w:w="739"/>
        <w:gridCol w:w="744"/>
        <w:gridCol w:w="830"/>
        <w:gridCol w:w="344"/>
        <w:gridCol w:w="445"/>
        <w:gridCol w:w="824"/>
        <w:gridCol w:w="802"/>
        <w:gridCol w:w="323"/>
        <w:gridCol w:w="1027"/>
        <w:gridCol w:w="279"/>
        <w:gridCol w:w="513"/>
        <w:gridCol w:w="558"/>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19,180</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23,334</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5"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0"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0"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10.45%</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28,951,69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-4,870,52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21,713,77</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7,237,924</w:t>
            </w:r>
          </w:p>
        </w:tc>
        <w:tc>
          <w:tcPr>
            <w:tcW w:w="1349"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5"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28,890,000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黄永军</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8.16%</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22,619,26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4,004,198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21,607,66</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1,011,601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16,890,000</w:t>
            </w: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长安基金－工商 银行－大业信托</w:t>
            </w:r>
          </w:p>
          <w:p>
            <w:pPr>
              <w:pStyle w:val="TableParagraph"/>
              <w:spacing w:line="309" w:lineRule="auto" w:before="19"/>
              <w:ind w:left="22" w:right="114"/>
              <w:jc w:val="left"/>
              <w:rPr>
                <w:rFonts w:ascii="宋体" w:hAnsi="宋体" w:cs="宋体" w:eastAsia="宋体" w:hint="default"/>
                <w:sz w:val="18"/>
                <w:szCs w:val="18"/>
              </w:rPr>
            </w:pPr>
            <w:r>
              <w:rPr>
                <w:rFonts w:ascii="宋体" w:hAnsi="宋体" w:cs="宋体" w:eastAsia="宋体" w:hint="default"/>
                <w:sz w:val="18"/>
                <w:szCs w:val="18"/>
              </w:rPr>
              <w:t>－大业信托</w:t>
            </w:r>
            <w:r>
              <w:rPr>
                <w:rFonts w:ascii="Times New Roman" w:hAnsi="Times New Roman" w:cs="Times New Roman" w:eastAsia="Times New Roman" w:hint="default"/>
                <w:sz w:val="18"/>
                <w:szCs w:val="18"/>
              </w:rPr>
              <w:t>·</w:t>
            </w:r>
            <w:r>
              <w:rPr>
                <w:rFonts w:ascii="宋体" w:hAnsi="宋体" w:cs="宋体" w:eastAsia="宋体" w:hint="default"/>
                <w:sz w:val="18"/>
                <w:szCs w:val="18"/>
              </w:rPr>
              <w:t>平安 富贵东方通单一 资金信托</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13,842,74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13,842,74</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朱律玮</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2.96%</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8,198,040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-897,100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6,821,355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1,376,685</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朱海东</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2.78%</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7,706,072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7,706,072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6" w:right="0"/>
              <w:jc w:val="left"/>
              <w:rPr>
                <w:rFonts w:ascii="Times New Roman" w:hAnsi="Times New Roman" w:cs="Times New Roman" w:eastAsia="Times New Roman" w:hint="default"/>
                <w:sz w:val="18"/>
                <w:szCs w:val="18"/>
              </w:rPr>
            </w:pPr>
            <w:r>
              <w:rPr>
                <w:rFonts w:ascii="Times New Roman"/>
                <w:sz w:val="18"/>
              </w:rPr>
              <w:t>4,250,000</w:t>
            </w:r>
          </w:p>
        </w:tc>
      </w:tr>
      <w:tr>
        <w:trPr>
          <w:trHeight w:val="98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深圳平安大华汇 通财富－平安银 行－平安汇通星</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z w:val="18"/>
              </w:rPr>
              <w:t>2.60%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7,198,228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59"/>
              <w:jc w:val="right"/>
              <w:rPr>
                <w:rFonts w:ascii="Times New Roman" w:hAnsi="Times New Roman" w:cs="Times New Roman" w:eastAsia="Times New Roman" w:hint="default"/>
                <w:sz w:val="18"/>
                <w:szCs w:val="18"/>
              </w:rPr>
            </w:pPr>
            <w:r>
              <w:rPr>
                <w:rFonts w:ascii="Times New Roman"/>
                <w:sz w:val="18"/>
              </w:rPr>
              <w:t>7,198,228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67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通资本定向投资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号资产管理计划</w:t>
            </w:r>
          </w:p>
        </w:tc>
        <w:tc>
          <w:tcPr>
            <w:tcW w:w="141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李明吉</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7,192,500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7,192,500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7,192,500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张玉芬</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6,841,400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6,841,400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6,841,400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云南国际信托有 限公司－招信智 赢点山</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号集合资 金信托计划</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6,043,228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41,400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6,043,228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孙亚明</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5,543,903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-1,500,42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5,543,903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2,050,000</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300" w:lineRule="auto" w:before="51"/>
              <w:ind w:left="16" w:right="92"/>
              <w:jc w:val="left"/>
              <w:rPr>
                <w:rFonts w:ascii="宋体" w:hAnsi="宋体" w:cs="宋体" w:eastAsia="宋体" w:hint="default"/>
                <w:sz w:val="18"/>
                <w:szCs w:val="18"/>
              </w:rPr>
            </w:pPr>
            <w:r>
              <w:rPr>
                <w:rFonts w:ascii="宋体" w:hAnsi="宋体" w:cs="宋体" w:eastAsia="宋体" w:hint="default"/>
                <w:sz w:val="18"/>
                <w:szCs w:val="18"/>
              </w:rPr>
              <w:t>报告期内，张齐春与朱海东为母子关系，为一致行动人。</w:t>
            </w:r>
            <w:r>
              <w:rPr>
                <w:rFonts w:ascii="Times New Roman" w:hAnsi="Times New Roman" w:cs="Times New Roman" w:eastAsia="Times New Roman" w:hint="default"/>
                <w:sz w:val="18"/>
                <w:szCs w:val="18"/>
              </w:rPr>
              <w:t>“</w:t>
            </w:r>
            <w:r>
              <w:rPr>
                <w:rFonts w:ascii="宋体" w:hAnsi="宋体" w:cs="宋体" w:eastAsia="宋体" w:hint="default"/>
                <w:sz w:val="18"/>
                <w:szCs w:val="18"/>
              </w:rPr>
              <w:t>云南国际信托有限公司－ 招信智赢点山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r>
              <w:rPr>
                <w:rFonts w:ascii="Times New Roman" w:hAnsi="Times New Roman" w:cs="Times New Roman" w:eastAsia="Times New Roman" w:hint="default"/>
                <w:sz w:val="18"/>
                <w:szCs w:val="18"/>
              </w:rPr>
              <w:t>”</w:t>
            </w:r>
            <w:r>
              <w:rPr>
                <w:rFonts w:ascii="宋体" w:hAnsi="宋体" w:cs="宋体" w:eastAsia="宋体" w:hint="default"/>
                <w:sz w:val="18"/>
                <w:szCs w:val="18"/>
              </w:rPr>
              <w:t>由黄永军先生发起设立。</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朱海东</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7,706,072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7,706,072</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7,237,924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7,237,924</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李明吉</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7,192,500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7,192,500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张玉芬</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6,841,400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6,841,400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云南国际信托有限公司－招信智赢 点山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6,043,228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6,043,228</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孙亚明</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5,543,903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5,543,903</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庞晓曦</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3,756,200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3,756,200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赵天时</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3,462,100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3,462,100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牛合庆</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3,155,242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3,155,242</w:t>
            </w:r>
          </w:p>
        </w:tc>
      </w:tr>
      <w:tr>
        <w:trPr>
          <w:trHeight w:val="1338"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92"/>
              <w:jc w:val="left"/>
              <w:rPr>
                <w:rFonts w:ascii="宋体" w:hAnsi="宋体" w:cs="宋体" w:eastAsia="宋体" w:hint="default"/>
                <w:sz w:val="18"/>
                <w:szCs w:val="18"/>
              </w:rPr>
            </w:pPr>
            <w:r>
              <w:rPr>
                <w:rFonts w:ascii="宋体" w:hAnsi="宋体" w:cs="宋体" w:eastAsia="宋体" w:hint="default"/>
                <w:sz w:val="18"/>
                <w:szCs w:val="18"/>
              </w:rPr>
              <w:t>报告期内，张齐春与朱海东为母子关系，为一致行动人。</w:t>
            </w:r>
            <w:r>
              <w:rPr>
                <w:rFonts w:ascii="Times New Roman" w:hAnsi="Times New Roman" w:cs="Times New Roman" w:eastAsia="Times New Roman" w:hint="default"/>
                <w:sz w:val="18"/>
                <w:szCs w:val="18"/>
              </w:rPr>
              <w:t>“</w:t>
            </w:r>
            <w:r>
              <w:rPr>
                <w:rFonts w:ascii="宋体" w:hAnsi="宋体" w:cs="宋体" w:eastAsia="宋体" w:hint="default"/>
                <w:sz w:val="18"/>
                <w:szCs w:val="18"/>
              </w:rPr>
              <w:t>云南国际信托有限公司－ 招信智赢点山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r>
              <w:rPr>
                <w:rFonts w:ascii="Times New Roman" w:hAnsi="Times New Roman" w:cs="Times New Roman" w:eastAsia="Times New Roman" w:hint="default"/>
                <w:sz w:val="18"/>
                <w:szCs w:val="18"/>
              </w:rPr>
              <w:t>”</w:t>
            </w:r>
            <w:r>
              <w:rPr>
                <w:rFonts w:ascii="宋体" w:hAnsi="宋体" w:cs="宋体" w:eastAsia="宋体" w:hint="default"/>
                <w:sz w:val="18"/>
                <w:szCs w:val="18"/>
              </w:rPr>
              <w:t>由黄永军先生发起设立。</w:t>
            </w:r>
          </w:p>
        </w:tc>
      </w:tr>
      <w:tr>
        <w:trPr>
          <w:trHeight w:val="1338"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李明吉通过长城证券股份有限公司客户信用交易担保证券账户持有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7192500 </w:t>
            </w:r>
            <w:r>
              <w:rPr>
                <w:rFonts w:ascii="宋体" w:hAnsi="宋体" w:cs="宋体" w:eastAsia="宋体" w:hint="default"/>
                <w:spacing w:val="-8"/>
                <w:sz w:val="18"/>
                <w:szCs w:val="18"/>
              </w:rPr>
              <w:t>股；张玉</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芬通过中信建投证券股份有限公司客户信用交易担保证券账户持有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6,841,400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股；庞</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晓曦通过长城证券股份有限公司客户信用交易担保证券账户持有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3,756,200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股；赵天</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时通过长城证券股份有限公司客户信用交易担保证券账户持有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3,462,100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pStyle w:val="BodyText"/>
        <w:spacing w:line="240" w:lineRule="auto" w:before="51"/>
        <w:ind w:right="967"/>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96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967"/>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967"/>
        <w:jc w:val="left"/>
        <w:rPr>
          <w:b w:val="0"/>
          <w:bCs w:val="0"/>
        </w:rPr>
      </w:pPr>
      <w:bookmarkStart w:name="2、公司控股股东情况" w:id="111"/>
      <w:bookmarkEnd w:id="11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2"/>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黄永军</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现任公司董事长、总经理</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5"/>
        <w:ind w:right="967"/>
        <w:jc w:val="left"/>
      </w:pPr>
      <w:r>
        <w:rPr/>
        <w:t>控股股东报告期内变更</w:t>
      </w:r>
    </w:p>
    <w:p>
      <w:pPr>
        <w:pStyle w:val="BodyText"/>
        <w:spacing w:line="240" w:lineRule="auto" w:before="117"/>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黄永军</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0"/>
              <w:jc w:val="left"/>
              <w:rPr>
                <w:rFonts w:ascii="宋体" w:hAnsi="宋体" w:cs="宋体" w:eastAsia="宋体" w:hint="default"/>
                <w:sz w:val="18"/>
                <w:szCs w:val="18"/>
              </w:rPr>
            </w:pPr>
            <w:r>
              <w:rPr>
                <w:rFonts w:ascii="宋体" w:hAnsi="宋体" w:cs="宋体" w:eastAsia="宋体" w:hint="default"/>
                <w:spacing w:val="-4"/>
                <w:w w:val="99"/>
                <w:sz w:val="18"/>
                <w:szCs w:val="18"/>
              </w:rPr>
              <w:t>巨潮资讯网（</w:t>
            </w:r>
            <w:hyperlink r:id="rId11">
              <w:r>
                <w:rPr>
                  <w:rFonts w:ascii="Times New Roman" w:hAnsi="Times New Roman" w:cs="Times New Roman" w:eastAsia="Times New Roman" w:hint="default"/>
                  <w:spacing w:val="-4"/>
                  <w:w w:val="99"/>
                  <w:sz w:val="18"/>
                  <w:szCs w:val="18"/>
                </w:rPr>
                <w:t>http://www.cninfo.com.cn</w:t>
              </w:r>
            </w:hyperlink>
            <w:r>
              <w:rPr>
                <w:rFonts w:ascii="宋体" w:hAnsi="宋体" w:cs="宋体" w:eastAsia="宋体" w:hint="default"/>
                <w:spacing w:val="-4"/>
                <w:w w:val="99"/>
                <w:sz w:val="18"/>
                <w:szCs w:val="18"/>
              </w:rPr>
              <w:t>）《关于股东签署</w:t>
            </w:r>
            <w:r>
              <w:rPr>
                <w:rFonts w:ascii="Times New Roman" w:hAnsi="Times New Roman" w:cs="Times New Roman" w:eastAsia="Times New Roman" w:hint="default"/>
                <w:spacing w:val="-4"/>
                <w:w w:val="99"/>
                <w:sz w:val="18"/>
                <w:szCs w:val="18"/>
              </w:rPr>
              <w:t>&lt;</w:t>
            </w:r>
            <w:r>
              <w:rPr>
                <w:rFonts w:ascii="宋体" w:hAnsi="宋体" w:cs="宋体" w:eastAsia="宋体" w:hint="default"/>
                <w:spacing w:val="-4"/>
                <w:w w:val="99"/>
                <w:sz w:val="18"/>
                <w:szCs w:val="18"/>
              </w:rPr>
              <w:t>表决</w:t>
            </w:r>
            <w:r>
              <w:rPr>
                <w:rFonts w:ascii="宋体" w:hAnsi="宋体" w:cs="宋体" w:eastAsia="宋体" w:hint="default"/>
                <w:spacing w:val="-81"/>
                <w:w w:val="99"/>
                <w:sz w:val="18"/>
                <w:szCs w:val="18"/>
              </w:rPr>
              <w:t> </w:t>
            </w:r>
            <w:r>
              <w:rPr>
                <w:rFonts w:ascii="宋体" w:hAnsi="宋体" w:cs="宋体" w:eastAsia="宋体" w:hint="default"/>
                <w:sz w:val="18"/>
                <w:szCs w:val="18"/>
              </w:rPr>
              <w:t>权委托协议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暨实际控制人变更的提示性公告》</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3"/>
        <w:rPr>
          <w:rFonts w:ascii="宋体" w:hAnsi="宋体" w:cs="宋体" w:eastAsia="宋体" w:hint="default"/>
          <w:sz w:val="19"/>
          <w:szCs w:val="19"/>
        </w:rPr>
      </w:pPr>
    </w:p>
    <w:p>
      <w:pPr>
        <w:pStyle w:val="Heading3"/>
        <w:spacing w:line="240" w:lineRule="auto" w:before="35"/>
        <w:ind w:right="967"/>
        <w:jc w:val="left"/>
        <w:rPr>
          <w:b w:val="0"/>
          <w:bCs w:val="0"/>
        </w:rPr>
      </w:pPr>
      <w:bookmarkStart w:name="3、公司实际控制人及其一致行动人" w:id="112"/>
      <w:bookmarkEnd w:id="112"/>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41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黄永军</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现任公司董事长、总经理</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8"/>
        <w:ind w:right="967"/>
        <w:jc w:val="left"/>
      </w:pPr>
      <w:r>
        <w:rPr/>
        <w:t>实际控制人报告期内变更</w:t>
      </w:r>
    </w:p>
    <w:p>
      <w:pPr>
        <w:pStyle w:val="BodyText"/>
        <w:spacing w:line="240" w:lineRule="auto" w:before="116"/>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黄永军</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5"/>
              <w:jc w:val="left"/>
              <w:rPr>
                <w:rFonts w:ascii="宋体" w:hAnsi="宋体" w:cs="宋体" w:eastAsia="宋体" w:hint="default"/>
                <w:sz w:val="18"/>
                <w:szCs w:val="18"/>
              </w:rPr>
            </w:pPr>
            <w:r>
              <w:rPr>
                <w:rFonts w:ascii="宋体" w:hAnsi="宋体" w:cs="宋体" w:eastAsia="宋体" w:hint="default"/>
                <w:spacing w:val="-5"/>
                <w:w w:val="99"/>
                <w:sz w:val="18"/>
                <w:szCs w:val="18"/>
              </w:rPr>
              <w:t>巨潮资讯网（</w:t>
            </w:r>
            <w:hyperlink r:id="rId11">
              <w:r>
                <w:rPr>
                  <w:rFonts w:ascii="Times New Roman" w:hAnsi="Times New Roman" w:cs="Times New Roman" w:eastAsia="Times New Roman" w:hint="default"/>
                  <w:spacing w:val="-5"/>
                  <w:w w:val="99"/>
                  <w:sz w:val="18"/>
                  <w:szCs w:val="18"/>
                </w:rPr>
                <w:t>http://www.cninfo.com.cn</w:t>
              </w:r>
            </w:hyperlink>
            <w:r>
              <w:rPr>
                <w:rFonts w:ascii="宋体" w:hAnsi="宋体" w:cs="宋体" w:eastAsia="宋体" w:hint="default"/>
                <w:spacing w:val="-5"/>
                <w:w w:val="99"/>
                <w:sz w:val="18"/>
                <w:szCs w:val="18"/>
              </w:rPr>
              <w:t>）《《关于股东签署</w:t>
            </w:r>
            <w:r>
              <w:rPr>
                <w:rFonts w:ascii="Times New Roman" w:hAnsi="Times New Roman" w:cs="Times New Roman" w:eastAsia="Times New Roman" w:hint="default"/>
                <w:spacing w:val="-5"/>
                <w:w w:val="99"/>
                <w:sz w:val="18"/>
                <w:szCs w:val="18"/>
              </w:rPr>
              <w:t>&lt;</w:t>
            </w:r>
            <w:r>
              <w:rPr>
                <w:rFonts w:ascii="宋体" w:hAnsi="宋体" w:cs="宋体" w:eastAsia="宋体" w:hint="default"/>
                <w:spacing w:val="-5"/>
                <w:w w:val="99"/>
                <w:sz w:val="18"/>
                <w:szCs w:val="18"/>
              </w:rPr>
              <w:t>表</w:t>
            </w:r>
            <w:r>
              <w:rPr>
                <w:rFonts w:ascii="宋体" w:hAnsi="宋体" w:cs="宋体" w:eastAsia="宋体" w:hint="default"/>
                <w:spacing w:val="-82"/>
                <w:w w:val="99"/>
                <w:sz w:val="18"/>
                <w:szCs w:val="18"/>
              </w:rPr>
              <w:t> </w:t>
            </w:r>
            <w:r>
              <w:rPr>
                <w:rFonts w:ascii="宋体" w:hAnsi="宋体" w:cs="宋体" w:eastAsia="宋体" w:hint="default"/>
                <w:sz w:val="18"/>
                <w:szCs w:val="18"/>
              </w:rPr>
              <w:t>决权委托协议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暨实际控制人变更的提示性公告》</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967"/>
        <w:jc w:val="left"/>
      </w:pPr>
      <w:r>
        <w:rPr/>
        <w:t>公司与实际控制人之间的产权及控制关系的方框图</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spacing w:line="2880" w:lineRule="exact"/>
        <w:ind w:left="1356" w:right="0" w:firstLine="0"/>
        <w:rPr>
          <w:rFonts w:ascii="宋体" w:hAnsi="宋体" w:cs="宋体" w:eastAsia="宋体" w:hint="default"/>
          <w:sz w:val="20"/>
          <w:szCs w:val="20"/>
        </w:rPr>
      </w:pPr>
      <w:r>
        <w:rPr>
          <w:rFonts w:ascii="宋体" w:hAnsi="宋体" w:cs="宋体" w:eastAsia="宋体" w:hint="default"/>
          <w:position w:val="-57"/>
          <w:sz w:val="20"/>
          <w:szCs w:val="20"/>
        </w:rPr>
        <w:drawing>
          <wp:inline distT="0" distB="0" distL="0" distR="0">
            <wp:extent cx="4591995" cy="1828800"/>
            <wp:effectExtent l="0" t="0" r="0" b="0"/>
            <wp:docPr id="53" name="image24.jpeg" descr=""/>
            <wp:cNvGraphicFramePr>
              <a:graphicFrameLocks noChangeAspect="1"/>
            </wp:cNvGraphicFramePr>
            <a:graphic>
              <a:graphicData uri="http://schemas.openxmlformats.org/drawingml/2006/picture">
                <pic:pic>
                  <pic:nvPicPr>
                    <pic:cNvPr id="54" name="image24.jpeg"/>
                    <pic:cNvPicPr/>
                  </pic:nvPicPr>
                  <pic:blipFill>
                    <a:blip r:embed="rId37" cstate="print"/>
                    <a:stretch>
                      <a:fillRect/>
                    </a:stretch>
                  </pic:blipFill>
                  <pic:spPr>
                    <a:xfrm>
                      <a:off x="0" y="0"/>
                      <a:ext cx="4591995" cy="1828800"/>
                    </a:xfrm>
                    <a:prstGeom prst="rect">
                      <a:avLst/>
                    </a:prstGeom>
                  </pic:spPr>
                </pic:pic>
              </a:graphicData>
            </a:graphic>
          </wp:inline>
        </w:drawing>
      </w:r>
      <w:r>
        <w:rPr>
          <w:rFonts w:ascii="宋体" w:hAnsi="宋体" w:cs="宋体" w:eastAsia="宋体" w:hint="default"/>
          <w:position w:val="-57"/>
          <w:sz w:val="20"/>
          <w:szCs w:val="20"/>
        </w:rPr>
      </w:r>
    </w:p>
    <w:p>
      <w:pPr>
        <w:spacing w:line="240" w:lineRule="auto" w:before="8"/>
        <w:rPr>
          <w:rFonts w:ascii="宋体" w:hAnsi="宋体" w:cs="宋体" w:eastAsia="宋体" w:hint="default"/>
          <w:sz w:val="19"/>
          <w:szCs w:val="19"/>
        </w:rPr>
      </w:pPr>
    </w:p>
    <w:p>
      <w:pPr>
        <w:spacing w:before="26"/>
        <w:ind w:left="154" w:right="967"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967"/>
        <w:jc w:val="left"/>
        <w:rPr>
          <w:b w:val="0"/>
          <w:bCs w:val="0"/>
        </w:rPr>
      </w:pPr>
      <w:bookmarkStart w:name="4、其他持股在10%以上的法人股东" w:id="113"/>
      <w:bookmarkEnd w:id="11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967"/>
        <w:jc w:val="left"/>
        <w:rPr>
          <w:b w:val="0"/>
          <w:bCs w:val="0"/>
        </w:rPr>
      </w:pPr>
      <w:bookmarkStart w:name="5、控股股东、实际控制人、重组方及其他承诺主体股份限制减持情况" w:id="114"/>
      <w:bookmarkEnd w:id="11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967"/>
        <w:jc w:val="left"/>
        <w:rPr>
          <w:b w:val="0"/>
          <w:bCs w:val="0"/>
        </w:rPr>
      </w:pPr>
      <w:bookmarkStart w:name="_TOC_250005" w:id="115"/>
      <w:bookmarkStart w:name="第七节 优先股相关情况" w:id="116"/>
      <w:r>
        <w:rPr>
          <w:b w:val="0"/>
          <w:bCs w:val="0"/>
        </w:rPr>
      </w:r>
      <w:r>
        <w:rPr/>
        <w:t>第七节</w:t>
      </w:r>
      <w:r>
        <w:rPr>
          <w:spacing w:val="-8"/>
        </w:rPr>
        <w:t> </w:t>
      </w:r>
      <w:r>
        <w:rPr/>
        <w:t>优先股相关情况</w:t>
      </w:r>
      <w:bookmarkEnd w:id="115"/>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967"/>
        <w:jc w:val="left"/>
        <w:rPr>
          <w:b w:val="0"/>
          <w:bCs w:val="0"/>
        </w:rPr>
      </w:pPr>
      <w:bookmarkStart w:name="_TOC_250004" w:id="117"/>
      <w:bookmarkStart w:name="第八节 董事、监事、高级管理人员和员工情况" w:id="118"/>
      <w:r>
        <w:rPr>
          <w:b w:val="0"/>
          <w:bCs w:val="0"/>
        </w:rPr>
      </w:r>
      <w:r>
        <w:rPr/>
        <w:t>第八节</w:t>
      </w:r>
      <w:r>
        <w:rPr>
          <w:spacing w:val="-16"/>
        </w:rPr>
        <w:t> </w:t>
      </w:r>
      <w:r>
        <w:rPr/>
        <w:t>董事、监事、高级管理人员和员工情况</w:t>
      </w:r>
      <w:bookmarkEnd w:id="117"/>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967"/>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黄永军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24,616,89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4,045,598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28,662,49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董事、常 务副总、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344,852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344,852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曲涛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杨宏皞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丁芸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范贵福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朱律玮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9,095,140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897,100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8,198,040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田琳燕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张志勇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郭大勇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武耀辉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张春林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33,822,21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4,870,522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28,951,69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沈惠中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4,429,680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4,429,680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72,308,78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4,045,598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5,767,622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4,045,598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70,586,76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967"/>
        <w:jc w:val="left"/>
        <w:rPr>
          <w:b w:val="0"/>
          <w:bCs w:val="0"/>
        </w:rPr>
      </w:pPr>
      <w:bookmarkStart w:name="二、公司董事、监事、高级管理人员变动情况" w:id="120"/>
      <w:bookmarkEnd w:id="120"/>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沈惠中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任职期满六年离任。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任职期满六年离任。</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967"/>
        <w:jc w:val="left"/>
        <w:rPr>
          <w:b w:val="0"/>
          <w:bCs w:val="0"/>
        </w:rPr>
      </w:pPr>
      <w:bookmarkStart w:name="三、任职情况" w:id="121"/>
      <w:bookmarkEnd w:id="121"/>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67"/>
        <w:jc w:val="left"/>
      </w:pPr>
      <w:r>
        <w:rPr/>
        <w:t>公司现任董事、监事、高级管理人员专业背景、主要工作经历以及目前在公司的主要职责</w:t>
      </w:r>
    </w:p>
    <w:p>
      <w:pPr>
        <w:pStyle w:val="BodyText"/>
        <w:spacing w:line="240" w:lineRule="auto" w:before="115"/>
        <w:ind w:right="967"/>
        <w:jc w:val="left"/>
      </w:pPr>
      <w:r>
        <w:rPr/>
        <w:t>（一）董事会成员：</w:t>
      </w:r>
    </w:p>
    <w:p>
      <w:pPr>
        <w:pStyle w:val="BodyText"/>
        <w:spacing w:line="300" w:lineRule="auto" w:before="77"/>
        <w:ind w:right="1129" w:firstLine="420"/>
        <w:jc w:val="both"/>
      </w:pPr>
      <w:r>
        <w:rPr>
          <w:rFonts w:ascii="Times New Roman" w:hAnsi="Times New Roman" w:cs="Times New Roman" w:eastAsia="Times New Roman" w:hint="default"/>
          <w:spacing w:val="-1"/>
        </w:rPr>
        <w:t>1.</w:t>
      </w:r>
      <w:r>
        <w:rPr>
          <w:spacing w:val="-1"/>
        </w:rPr>
        <w:t>黄永军先生，男，</w:t>
      </w:r>
      <w:r>
        <w:rPr>
          <w:rFonts w:ascii="Times New Roman" w:hAnsi="Times New Roman" w:cs="Times New Roman" w:eastAsia="Times New Roman" w:hint="default"/>
          <w:spacing w:val="-1"/>
        </w:rPr>
        <w:t>1974</w:t>
      </w:r>
      <w:r>
        <w:rPr>
          <w:spacing w:val="-1"/>
        </w:rPr>
        <w:t>年</w:t>
      </w:r>
      <w:r>
        <w:rPr>
          <w:rFonts w:ascii="Times New Roman" w:hAnsi="Times New Roman" w:cs="Times New Roman" w:eastAsia="Times New Roman" w:hint="default"/>
          <w:spacing w:val="-1"/>
        </w:rPr>
        <w:t>5</w:t>
      </w:r>
      <w:r>
        <w:rPr>
          <w:spacing w:val="-1"/>
        </w:rPr>
        <w:t>月出生，中国国籍，无境外永久居留权，毕业于北京邮电大学图像传输与处理专业，本科</w:t>
      </w:r>
      <w:r>
        <w:rPr/>
        <w:t> 学历，学士学位。</w:t>
      </w:r>
      <w:r>
        <w:rPr>
          <w:rFonts w:ascii="Times New Roman" w:hAnsi="Times New Roman" w:cs="Times New Roman" w:eastAsia="Times New Roman" w:hint="default"/>
        </w:rPr>
        <w:t>2009</w:t>
      </w:r>
      <w:r>
        <w:rPr/>
        <w:t>年至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月，任公司全资子公司北京微智信业科技有限公司董事长兼总经理，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月起任公</w:t>
      </w:r>
      <w:r>
        <w:rPr>
          <w:spacing w:val="-82"/>
        </w:rPr>
        <w:t> </w:t>
      </w:r>
      <w:r>
        <w:rPr/>
        <w:t>司总经理，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月起任公司董事，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月起至今任公司董事长，并兼任全资子公司微智信业董事长。</w:t>
      </w:r>
    </w:p>
    <w:p>
      <w:pPr>
        <w:pStyle w:val="BodyText"/>
        <w:spacing w:line="307" w:lineRule="auto" w:before="13"/>
        <w:ind w:right="1132" w:firstLine="300"/>
        <w:jc w:val="both"/>
      </w:pPr>
      <w:r>
        <w:rPr>
          <w:rFonts w:ascii="Times New Roman" w:hAnsi="Times New Roman" w:cs="Times New Roman" w:eastAsia="Times New Roman" w:hint="default"/>
          <w:spacing w:val="-2"/>
        </w:rPr>
        <w:t>2.</w:t>
      </w:r>
      <w:r>
        <w:rPr>
          <w:spacing w:val="-2"/>
        </w:rPr>
        <w:t>徐少璞先生，男，</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5</w:t>
      </w:r>
      <w:r>
        <w:rPr>
          <w:spacing w:val="-2"/>
        </w:rPr>
        <w:t>月出生，中国国籍，无境外永久居留权，毕业于哈尔滨工业大学会计学专业，本科学历，学</w:t>
      </w:r>
      <w:r>
        <w:rPr/>
        <w:t> 士学位，中国注册会计师，高级会计师。</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月，任首安工业消防股份有限公司财务总监。</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月至今，历 </w:t>
      </w:r>
      <w:r>
        <w:rPr>
          <w:spacing w:val="-2"/>
        </w:rPr>
        <w:t>任本公司副总经理、财务总监，现任本公司董事、常务副总经理、董事会秘书。同时兼任公司全资子公司北京东方通宇技术</w:t>
      </w:r>
      <w:r>
        <w:rPr>
          <w:spacing w:val="-66"/>
        </w:rPr>
        <w:t> </w:t>
      </w:r>
      <w:r>
        <w:rPr>
          <w:spacing w:val="-66"/>
        </w:rPr>
      </w:r>
      <w:r>
        <w:rPr/>
        <w:t>有限公司及成都东方通科技有限责任公司执行董事、总经理，北京微智信业科技有限公司董事。</w:t>
      </w:r>
    </w:p>
    <w:p>
      <w:pPr>
        <w:pStyle w:val="BodyText"/>
        <w:spacing w:line="300" w:lineRule="auto" w:before="26"/>
        <w:ind w:right="1132" w:firstLine="300"/>
        <w:jc w:val="right"/>
      </w:pPr>
      <w:r>
        <w:rPr>
          <w:rFonts w:ascii="Times New Roman" w:hAnsi="Times New Roman" w:cs="Times New Roman" w:eastAsia="Times New Roman" w:hint="default"/>
          <w:spacing w:val="-2"/>
        </w:rPr>
        <w:t>3.</w:t>
      </w:r>
      <w:r>
        <w:rPr>
          <w:spacing w:val="-2"/>
        </w:rPr>
        <w:t>曲涛，男，</w:t>
      </w:r>
      <w:r>
        <w:rPr>
          <w:rFonts w:ascii="Times New Roman" w:hAnsi="Times New Roman" w:cs="Times New Roman" w:eastAsia="Times New Roman" w:hint="default"/>
          <w:spacing w:val="-2"/>
        </w:rPr>
        <w:t>1976</w:t>
      </w:r>
      <w:r>
        <w:rPr>
          <w:spacing w:val="-2"/>
        </w:rPr>
        <w:t>年</w:t>
      </w:r>
      <w:r>
        <w:rPr>
          <w:rFonts w:ascii="Times New Roman" w:hAnsi="Times New Roman" w:cs="Times New Roman" w:eastAsia="Times New Roman" w:hint="default"/>
          <w:spacing w:val="-2"/>
        </w:rPr>
        <w:t>12</w:t>
      </w:r>
      <w:r>
        <w:rPr>
          <w:spacing w:val="-2"/>
        </w:rPr>
        <w:t>月出生，中国国籍，无境外永久居留权，本科学历，学士学位。</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7</w:t>
      </w:r>
      <w:r>
        <w:rPr>
          <w:spacing w:val="-2"/>
        </w:rPr>
        <w:t>月至今，历任公司全资子</w:t>
      </w:r>
      <w:r>
        <w:rPr/>
        <w:t> 公司北京微智信业科技有限公司副总经理、总经理。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月起，任公司全资子公司北京惠捷朗科技有限公司执行董事。 </w:t>
      </w:r>
      <w:r>
        <w:rPr>
          <w:rFonts w:ascii="Times New Roman" w:hAnsi="Times New Roman" w:cs="Times New Roman" w:eastAsia="Times New Roman" w:hint="default"/>
          <w:spacing w:val="-2"/>
        </w:rPr>
        <w:t>4.</w:t>
      </w:r>
      <w:r>
        <w:rPr>
          <w:spacing w:val="-2"/>
        </w:rPr>
        <w:t>杨宏皞，男，</w:t>
      </w:r>
      <w:r>
        <w:rPr>
          <w:rFonts w:ascii="Times New Roman" w:hAnsi="Times New Roman" w:cs="Times New Roman" w:eastAsia="Times New Roman" w:hint="default"/>
          <w:spacing w:val="-2"/>
        </w:rPr>
        <w:t>1978</w:t>
      </w:r>
      <w:r>
        <w:rPr>
          <w:spacing w:val="-2"/>
        </w:rPr>
        <w:t>年</w:t>
      </w:r>
      <w:r>
        <w:rPr>
          <w:rFonts w:ascii="Times New Roman" w:hAnsi="Times New Roman" w:cs="Times New Roman" w:eastAsia="Times New Roman" w:hint="default"/>
          <w:spacing w:val="-2"/>
        </w:rPr>
        <w:t>5</w:t>
      </w:r>
      <w:r>
        <w:rPr>
          <w:spacing w:val="-2"/>
        </w:rPr>
        <w:t>月出生，中国国籍，无境外永久居留权，本科学历，学士学位。</w:t>
      </w:r>
      <w:r>
        <w:rPr>
          <w:rFonts w:ascii="Times New Roman" w:hAnsi="Times New Roman" w:cs="Times New Roman" w:eastAsia="Times New Roman" w:hint="default"/>
          <w:spacing w:val="-2"/>
        </w:rPr>
        <w:t>2004</w:t>
      </w:r>
      <w:r>
        <w:rPr>
          <w:spacing w:val="-2"/>
        </w:rPr>
        <w:t>年起，任职于首创置业股份</w:t>
      </w:r>
    </w:p>
    <w:p>
      <w:pPr>
        <w:pStyle w:val="BodyText"/>
        <w:spacing w:line="240" w:lineRule="auto" w:before="13"/>
        <w:ind w:right="967"/>
        <w:jc w:val="left"/>
      </w:pPr>
      <w:r>
        <w:rPr>
          <w:spacing w:val="-3"/>
        </w:rPr>
        <w:t>有限公司；</w:t>
      </w:r>
      <w:r>
        <w:rPr>
          <w:rFonts w:ascii="Times New Roman" w:hAnsi="Times New Roman" w:cs="Times New Roman" w:eastAsia="Times New Roman" w:hint="default"/>
          <w:spacing w:val="-3"/>
        </w:rPr>
        <w:t>2015</w:t>
      </w:r>
      <w:r>
        <w:rPr>
          <w:spacing w:val="-3"/>
        </w:rPr>
        <w:t>年起，任首建睿安投资（北京）有限公司董事；</w:t>
      </w:r>
      <w:r>
        <w:rPr>
          <w:rFonts w:ascii="Times New Roman" w:hAnsi="Times New Roman" w:cs="Times New Roman" w:eastAsia="Times New Roman" w:hint="default"/>
          <w:spacing w:val="-3"/>
        </w:rPr>
        <w:t>2016</w:t>
      </w:r>
      <w:r>
        <w:rPr>
          <w:spacing w:val="-3"/>
        </w:rPr>
        <w:t>年起，任甘肃公航旅首金文化发展有限公司董事总经理。</w:t>
      </w:r>
    </w:p>
    <w:p>
      <w:pPr>
        <w:pStyle w:val="BodyText"/>
        <w:spacing w:line="309" w:lineRule="auto" w:before="63"/>
        <w:ind w:right="1047" w:firstLine="300"/>
        <w:jc w:val="left"/>
      </w:pPr>
      <w:r>
        <w:rPr>
          <w:rFonts w:ascii="Times New Roman" w:hAnsi="Times New Roman" w:cs="Times New Roman" w:eastAsia="Times New Roman" w:hint="default"/>
        </w:rPr>
        <w:t>5.</w:t>
      </w:r>
      <w:r>
        <w:rPr/>
        <w:t>甘培忠先生，男，</w:t>
      </w:r>
      <w:r>
        <w:rPr>
          <w:rFonts w:ascii="Times New Roman" w:hAnsi="Times New Roman" w:cs="Times New Roman" w:eastAsia="Times New Roman" w:hint="default"/>
        </w:rPr>
        <w:t>1956</w:t>
      </w:r>
      <w:r>
        <w:rPr/>
        <w:t>年</w:t>
      </w:r>
      <w:r>
        <w:rPr>
          <w:rFonts w:ascii="Times New Roman" w:hAnsi="Times New Roman" w:cs="Times New Roman" w:eastAsia="Times New Roman" w:hint="default"/>
        </w:rPr>
        <w:t>5</w:t>
      </w:r>
      <w:r>
        <w:rPr/>
        <w:t>月出生，中国国籍，无境外居留权，毕业于北京大学，法学博士，任北京大学法学院教授、 </w:t>
      </w:r>
      <w:r>
        <w:rPr>
          <w:spacing w:val="-2"/>
        </w:rPr>
        <w:t>博士生导师，北京大学企业与公司法研究中心主任，北京大学经济法研究所副所长、中国商业法研究会会长。现任本公司独</w:t>
      </w:r>
      <w:r>
        <w:rPr>
          <w:spacing w:val="-66"/>
        </w:rPr>
        <w:t> </w:t>
      </w:r>
      <w:r>
        <w:rPr>
          <w:spacing w:val="-66"/>
        </w:rPr>
      </w:r>
      <w:r>
        <w:rPr/>
        <w:t>立董事。</w:t>
      </w:r>
    </w:p>
    <w:p>
      <w:pPr>
        <w:pStyle w:val="BodyText"/>
        <w:spacing w:line="304" w:lineRule="auto" w:before="24"/>
        <w:ind w:right="967" w:firstLine="300"/>
        <w:jc w:val="left"/>
      </w:pPr>
      <w:r>
        <w:rPr>
          <w:rFonts w:ascii="Times New Roman" w:hAnsi="Times New Roman" w:cs="Times New Roman" w:eastAsia="Times New Roman" w:hint="default"/>
        </w:rPr>
        <w:t>6.</w:t>
      </w:r>
      <w:r>
        <w:rPr/>
        <w:t>丁芸，女，</w:t>
      </w:r>
      <w:r>
        <w:rPr>
          <w:rFonts w:ascii="Times New Roman" w:hAnsi="Times New Roman" w:cs="Times New Roman" w:eastAsia="Times New Roman" w:hint="default"/>
        </w:rPr>
        <w:t>1954</w:t>
      </w:r>
      <w:r>
        <w:rPr/>
        <w:t>年</w:t>
      </w:r>
      <w:r>
        <w:rPr>
          <w:rFonts w:ascii="Times New Roman" w:hAnsi="Times New Roman" w:cs="Times New Roman" w:eastAsia="Times New Roman" w:hint="default"/>
        </w:rPr>
        <w:t>11</w:t>
      </w:r>
      <w:r>
        <w:rPr/>
        <w:t>月出生，中国国籍，无境外永久居留权，博士研究生学历。长期从事财政、税收、财会理论和实 </w:t>
      </w:r>
      <w:r>
        <w:rPr>
          <w:spacing w:val="-4"/>
        </w:rPr>
        <w:t>务研究，出版税收筹划、中国税制、税务代理等多部著作、教材，</w:t>
      </w:r>
      <w:r>
        <w:rPr>
          <w:rFonts w:ascii="Times New Roman" w:hAnsi="Times New Roman" w:cs="Times New Roman" w:eastAsia="Times New Roman" w:hint="default"/>
          <w:spacing w:val="-4"/>
        </w:rPr>
        <w:t>1983</w:t>
      </w:r>
      <w:r>
        <w:rPr>
          <w:spacing w:val="-4"/>
        </w:rPr>
        <w:t>至今，首都经济贸易大学财税学院教授，硕士生导师，</w:t>
      </w:r>
      <w:r>
        <w:rPr>
          <w:spacing w:val="-40"/>
        </w:rPr>
        <w:t> </w:t>
      </w:r>
      <w:r>
        <w:rPr>
          <w:spacing w:val="-40"/>
        </w:rPr>
      </w:r>
      <w:r>
        <w:rPr>
          <w:spacing w:val="-2"/>
        </w:rPr>
        <w:t>具有注册会计师、注册税务师资格，现任中国税务学会常务理事、学术委员、中国注册税务师协会常务理事，北京国际税收</w:t>
      </w:r>
      <w:r>
        <w:rPr>
          <w:spacing w:val="-66"/>
        </w:rPr>
        <w:t> </w:t>
      </w:r>
      <w:r>
        <w:rPr>
          <w:spacing w:val="-66"/>
        </w:rPr>
      </w:r>
      <w:r>
        <w:rPr/>
        <w:t>研究会常务理事。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月至今，任拉萨国瑞税务咨询股份有限公司独立董事，</w:t>
      </w:r>
      <w:r>
        <w:rPr>
          <w:rFonts w:ascii="Times New Roman" w:hAnsi="Times New Roman" w:cs="Times New Roman" w:eastAsia="Times New Roman" w:hint="default"/>
        </w:rPr>
        <w:t>2017</w:t>
      </w:r>
      <w:r>
        <w:rPr/>
        <w:t>年至今，任二十一世纪空间技术应用 股份有限公司独立董事。现任本公司独立董事。</w:t>
      </w:r>
    </w:p>
    <w:p>
      <w:pPr>
        <w:pStyle w:val="BodyText"/>
        <w:spacing w:line="300" w:lineRule="auto" w:before="28"/>
        <w:ind w:right="967" w:firstLine="300"/>
        <w:jc w:val="left"/>
      </w:pPr>
      <w:r>
        <w:rPr>
          <w:rFonts w:ascii="Times New Roman" w:hAnsi="Times New Roman" w:cs="Times New Roman" w:eastAsia="Times New Roman" w:hint="default"/>
          <w:spacing w:val="-2"/>
        </w:rPr>
        <w:t>7.</w:t>
      </w:r>
      <w:r>
        <w:rPr>
          <w:spacing w:val="-2"/>
        </w:rPr>
        <w:t>范贵福，男，</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2</w:t>
      </w:r>
      <w:r>
        <w:rPr>
          <w:spacing w:val="-2"/>
        </w:rPr>
        <w:t>月出生，中国国籍，无境外永久居留权，硕士研究生学历。曾任职于山西省晋中地区邮电局（现</w:t>
      </w:r>
      <w:r>
        <w:rPr/>
        <w:t> </w:t>
      </w:r>
      <w:r>
        <w:rPr>
          <w:spacing w:val="-4"/>
        </w:rPr>
        <w:t>晋中联通公司）载波室，《电信商情》杂志编辑部主编，《通信世界》杂志社副主编，《中国数据通信》主编。</w:t>
      </w:r>
      <w:r>
        <w:rPr>
          <w:rFonts w:ascii="Times New Roman" w:hAnsi="Times New Roman" w:cs="Times New Roman" w:eastAsia="Times New Roman" w:hint="default"/>
          <w:spacing w:val="-4"/>
        </w:rPr>
        <w:t>2004</w:t>
      </w:r>
      <w:r>
        <w:rPr>
          <w:spacing w:val="-4"/>
        </w:rPr>
        <w:t>年至今，</w:t>
      </w:r>
      <w:r>
        <w:rPr>
          <w:spacing w:val="-37"/>
        </w:rPr>
        <w:t> </w:t>
      </w:r>
      <w:r>
        <w:rPr/>
        <w:t>任中国通信企业协会通信网络运营专业委员会秘书长。</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15"/>
        </w:rPr>
        <w:t> </w:t>
      </w:r>
      <w:r>
        <w:rPr/>
        <w:t>月至今，任北京梅泰诺通信技术股份有限公司监事。</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11 </w:t>
      </w:r>
      <w:r>
        <w:rPr/>
        <w:t>月至今，任杭州纵横通信股份有限公司独立董事。</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月至今，任元道通信股份有限公司独立董事。现任本公 司独立董事。</w:t>
      </w:r>
    </w:p>
    <w:p>
      <w:pPr>
        <w:spacing w:line="240" w:lineRule="auto" w:before="3"/>
        <w:rPr>
          <w:rFonts w:ascii="宋体" w:hAnsi="宋体" w:cs="宋体" w:eastAsia="宋体" w:hint="default"/>
          <w:sz w:val="26"/>
          <w:szCs w:val="26"/>
        </w:rPr>
      </w:pPr>
    </w:p>
    <w:p>
      <w:pPr>
        <w:pStyle w:val="BodyText"/>
        <w:spacing w:line="240" w:lineRule="auto"/>
        <w:ind w:right="967"/>
        <w:jc w:val="left"/>
      </w:pPr>
      <w:r>
        <w:rPr/>
        <w:t>（二）监事会成员：</w:t>
      </w:r>
    </w:p>
    <w:p>
      <w:pPr>
        <w:pStyle w:val="BodyText"/>
        <w:spacing w:line="300" w:lineRule="auto" w:before="76"/>
        <w:ind w:right="1133" w:firstLine="420"/>
        <w:jc w:val="both"/>
      </w:pPr>
      <w:r>
        <w:rPr>
          <w:rFonts w:ascii="Times New Roman" w:hAnsi="Times New Roman" w:cs="Times New Roman" w:eastAsia="Times New Roman" w:hint="default"/>
          <w:spacing w:val="-1"/>
        </w:rPr>
        <w:t>1.</w:t>
      </w:r>
      <w:r>
        <w:rPr>
          <w:spacing w:val="-1"/>
        </w:rPr>
        <w:t>朱律玮先生，男，</w:t>
      </w:r>
      <w:r>
        <w:rPr>
          <w:rFonts w:ascii="Times New Roman" w:hAnsi="Times New Roman" w:cs="Times New Roman" w:eastAsia="Times New Roman" w:hint="default"/>
          <w:spacing w:val="-1"/>
        </w:rPr>
        <w:t>1968</w:t>
      </w:r>
      <w:r>
        <w:rPr>
          <w:spacing w:val="-1"/>
        </w:rPr>
        <w:t>年</w:t>
      </w:r>
      <w:r>
        <w:rPr>
          <w:rFonts w:ascii="Times New Roman" w:hAnsi="Times New Roman" w:cs="Times New Roman" w:eastAsia="Times New Roman" w:hint="default"/>
          <w:spacing w:val="-1"/>
        </w:rPr>
        <w:t>3</w:t>
      </w:r>
      <w:r>
        <w:rPr>
          <w:spacing w:val="-1"/>
        </w:rPr>
        <w:t>月出生，中国国籍，无境外永久居留权，毕业于大连海事大学计算机及应用专业，本科学</w:t>
      </w:r>
      <w:r>
        <w:rPr/>
        <w:t> 历，学士学位。现任中国科学院大学兼职教授。近五年均在本公司任职，现任公司监事会主席。</w:t>
      </w:r>
    </w:p>
    <w:p>
      <w:pPr>
        <w:pStyle w:val="BodyText"/>
        <w:spacing w:line="300" w:lineRule="auto" w:before="31"/>
        <w:ind w:right="1138" w:firstLine="420"/>
        <w:jc w:val="both"/>
      </w:pPr>
      <w:r>
        <w:rPr>
          <w:rFonts w:ascii="Times New Roman" w:hAnsi="Times New Roman" w:cs="Times New Roman" w:eastAsia="Times New Roman" w:hint="default"/>
        </w:rPr>
        <w:t>2.</w:t>
      </w:r>
      <w:r>
        <w:rPr/>
        <w:t>张志勇先生，男，</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12</w:t>
      </w:r>
      <w:r>
        <w:rPr/>
        <w:t>月出生，中国国籍，无境外永久居留权，毕业于天津轻工业学院财务会计专业，大专学 历。近五年均在本公司任职，现任商务部经理，并担任公司监事。</w:t>
      </w:r>
    </w:p>
    <w:p>
      <w:pPr>
        <w:pStyle w:val="BodyText"/>
        <w:spacing w:line="300" w:lineRule="auto" w:before="31"/>
        <w:ind w:right="1130" w:firstLine="420"/>
        <w:jc w:val="both"/>
      </w:pPr>
      <w:r>
        <w:rPr>
          <w:rFonts w:ascii="Times New Roman" w:hAnsi="Times New Roman" w:cs="Times New Roman" w:eastAsia="Times New Roman" w:hint="default"/>
          <w:spacing w:val="-1"/>
        </w:rPr>
        <w:t>3.</w:t>
      </w:r>
      <w:r>
        <w:rPr>
          <w:spacing w:val="-1"/>
        </w:rPr>
        <w:t>田琳燕女士，女</w:t>
      </w:r>
      <w:r>
        <w:rPr>
          <w:rFonts w:ascii="Times New Roman" w:hAnsi="Times New Roman" w:cs="Times New Roman" w:eastAsia="Times New Roman" w:hint="default"/>
          <w:spacing w:val="-1"/>
        </w:rPr>
        <w:t>1978</w:t>
      </w:r>
      <w:r>
        <w:rPr>
          <w:spacing w:val="-1"/>
        </w:rPr>
        <w:t>年</w:t>
      </w:r>
      <w:r>
        <w:rPr>
          <w:rFonts w:ascii="Times New Roman" w:hAnsi="Times New Roman" w:cs="Times New Roman" w:eastAsia="Times New Roman" w:hint="default"/>
          <w:spacing w:val="-1"/>
        </w:rPr>
        <w:t>8</w:t>
      </w:r>
      <w:r>
        <w:rPr>
          <w:spacing w:val="-1"/>
        </w:rPr>
        <w:t>月出生，中国国籍，无境外永久居留权，毕业于中国科学院心理研究所在职研究生，应用心</w:t>
      </w:r>
      <w:r>
        <w:rPr/>
        <w:t> 里学人力资源管理与开发专业。</w:t>
      </w:r>
      <w:r>
        <w:rPr>
          <w:rFonts w:ascii="Times New Roman" w:hAnsi="Times New Roman" w:cs="Times New Roman" w:eastAsia="Times New Roman" w:hint="default"/>
        </w:rPr>
        <w:t>2009-2012</w:t>
      </w:r>
      <w:r>
        <w:rPr/>
        <w:t>，任北京宣爱智能模拟技术有限公司人力行政经理；</w:t>
      </w:r>
      <w:r>
        <w:rPr>
          <w:rFonts w:ascii="Times New Roman" w:hAnsi="Times New Roman" w:cs="Times New Roman" w:eastAsia="Times New Roman" w:hint="default"/>
        </w:rPr>
        <w:t>2012</w:t>
      </w:r>
      <w:r>
        <w:rPr/>
        <w:t>至今，任公司人力行政</w:t>
      </w:r>
      <w:r>
        <w:rPr>
          <w:spacing w:val="-56"/>
        </w:rPr>
        <w:t> </w:t>
      </w:r>
      <w:r>
        <w:rPr>
          <w:spacing w:val="-56"/>
        </w:rPr>
      </w:r>
      <w:r>
        <w:rPr/>
        <w:t>总监并担任公司监事。</w:t>
      </w:r>
    </w:p>
    <w:p>
      <w:pPr>
        <w:spacing w:line="240" w:lineRule="auto" w:before="3"/>
        <w:rPr>
          <w:rFonts w:ascii="宋体" w:hAnsi="宋体" w:cs="宋体" w:eastAsia="宋体" w:hint="default"/>
          <w:sz w:val="26"/>
          <w:szCs w:val="26"/>
        </w:rPr>
      </w:pPr>
    </w:p>
    <w:p>
      <w:pPr>
        <w:pStyle w:val="BodyText"/>
        <w:spacing w:line="240" w:lineRule="auto"/>
        <w:ind w:right="967"/>
        <w:jc w:val="left"/>
      </w:pPr>
      <w:r>
        <w:rPr/>
        <w:t>（三）高级管理人员：</w:t>
      </w:r>
    </w:p>
    <w:p>
      <w:pPr>
        <w:pStyle w:val="BodyText"/>
        <w:spacing w:line="240" w:lineRule="auto" w:before="76"/>
        <w:ind w:left="574" w:right="967"/>
        <w:jc w:val="left"/>
      </w:pPr>
      <w:r>
        <w:rPr>
          <w:rFonts w:ascii="Times New Roman" w:hAnsi="Times New Roman" w:cs="Times New Roman" w:eastAsia="Times New Roman" w:hint="default"/>
        </w:rPr>
        <w:t>1.</w:t>
      </w:r>
      <w:r>
        <w:rPr/>
        <w:t>黄永军先生，总经理，详见本节</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1”</w:t>
      </w:r>
      <w:r>
        <w:rPr/>
        <w:t>介绍；</w:t>
      </w:r>
    </w:p>
    <w:p>
      <w:pPr>
        <w:pStyle w:val="BodyText"/>
        <w:spacing w:line="240" w:lineRule="auto" w:before="63"/>
        <w:ind w:left="574" w:right="967"/>
        <w:jc w:val="left"/>
      </w:pPr>
      <w:r>
        <w:rPr>
          <w:rFonts w:ascii="Times New Roman" w:hAnsi="Times New Roman" w:cs="Times New Roman" w:eastAsia="Times New Roman" w:hint="default"/>
        </w:rPr>
        <w:t>2.</w:t>
      </w:r>
      <w:r>
        <w:rPr/>
        <w:t>徐少璞先生，常务副总经理，详见本节</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2”</w:t>
      </w:r>
      <w:r>
        <w:rPr/>
        <w:t>介绍；</w:t>
      </w:r>
    </w:p>
    <w:p>
      <w:pPr>
        <w:pStyle w:val="BodyText"/>
        <w:spacing w:line="240" w:lineRule="auto" w:before="63"/>
        <w:ind w:left="574" w:right="96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曲涛先生，副总经理，详见本节</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3”</w:t>
      </w:r>
      <w:r>
        <w:rPr/>
        <w:t>介绍；</w:t>
      </w:r>
    </w:p>
    <w:p>
      <w:pPr>
        <w:pStyle w:val="BodyText"/>
        <w:spacing w:line="300" w:lineRule="auto" w:before="63"/>
        <w:ind w:right="1125" w:firstLine="420"/>
        <w:jc w:val="both"/>
      </w:pPr>
      <w:r>
        <w:rPr>
          <w:rFonts w:ascii="Times New Roman" w:hAnsi="Times New Roman" w:cs="Times New Roman" w:eastAsia="Times New Roman" w:hint="default"/>
        </w:rPr>
        <w:t>4.</w:t>
      </w:r>
      <w:r>
        <w:rPr/>
        <w:t>郭大勇先生，男，</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9</w:t>
      </w:r>
      <w:r>
        <w:rPr/>
        <w:t>月出生，中国国籍，无境外永久居留权，毕业于电子科技大学电子工程专业，本科学历， </w:t>
      </w:r>
      <w:r>
        <w:rPr>
          <w:spacing w:val="-2"/>
        </w:rPr>
        <w:t>学士学位。郭大勇先生</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月，历任本公司销售经理、销售总监、华东区销售总经理职务，现任公司全资子</w:t>
      </w:r>
    </w:p>
    <w:p>
      <w:pPr>
        <w:spacing w:after="0" w:line="300"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right="967"/>
        <w:jc w:val="left"/>
      </w:pPr>
      <w:r>
        <w:rPr/>
        <w:t>公司上海东方通泰软件科技有限公司总经理。郭大勇先生同时为上海市静安区第一届政协委员。</w:t>
      </w:r>
    </w:p>
    <w:p>
      <w:pPr>
        <w:pStyle w:val="BodyText"/>
        <w:spacing w:line="300" w:lineRule="auto" w:before="76"/>
        <w:ind w:right="1049" w:firstLine="420"/>
        <w:jc w:val="left"/>
      </w:pPr>
      <w:r>
        <w:rPr>
          <w:rFonts w:ascii="Times New Roman" w:hAnsi="Times New Roman" w:cs="Times New Roman" w:eastAsia="Times New Roman" w:hint="default"/>
        </w:rPr>
        <w:t>5.</w:t>
      </w:r>
      <w:r>
        <w:rPr/>
        <w:t>武耀辉先生，男，</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5</w:t>
      </w:r>
      <w:r>
        <w:rPr/>
        <w:t>月出生，中国国籍，无境外永久居留权，毕业于河北工业大学计算机科学与技术专业，本 科学历，学士学位，信息系统项目管理师，高级工程师。武耀辉先生</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-2006</w:t>
      </w:r>
      <w:r>
        <w:rPr/>
        <w:t>年，历任北京北科光大信息技术股份有限</w:t>
      </w:r>
      <w:r>
        <w:rPr>
          <w:spacing w:val="-56"/>
        </w:rPr>
        <w:t> </w:t>
      </w:r>
      <w:r>
        <w:rPr>
          <w:spacing w:val="-56"/>
        </w:rPr>
      </w:r>
      <w:r>
        <w:rPr/>
        <w:t>公司软件开发部经理、公司副总经理；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月至今，历任本公司高级咨询顾问、实施服务部总监、大数据中心总经理， 现任本公司产品中心总经理。</w:t>
      </w:r>
    </w:p>
    <w:p>
      <w:pPr>
        <w:pStyle w:val="BodyText"/>
        <w:spacing w:line="300" w:lineRule="auto" w:before="31"/>
        <w:ind w:right="1039" w:firstLine="420"/>
        <w:jc w:val="left"/>
      </w:pPr>
      <w:r>
        <w:rPr>
          <w:rFonts w:ascii="Times New Roman" w:hAnsi="Times New Roman" w:cs="Times New Roman" w:eastAsia="Times New Roman" w:hint="default"/>
          <w:spacing w:val="-2"/>
        </w:rPr>
        <w:t>6.</w:t>
      </w:r>
      <w:r>
        <w:rPr>
          <w:spacing w:val="-2"/>
        </w:rPr>
        <w:t>张春林先生，男，</w:t>
      </w:r>
      <w:r>
        <w:rPr>
          <w:rFonts w:ascii="Times New Roman" w:hAnsi="Times New Roman" w:cs="Times New Roman" w:eastAsia="Times New Roman" w:hint="default"/>
          <w:spacing w:val="-2"/>
        </w:rPr>
        <w:t>1977</w:t>
      </w:r>
      <w:r>
        <w:rPr>
          <w:spacing w:val="-2"/>
        </w:rPr>
        <w:t>年</w:t>
      </w:r>
      <w:r>
        <w:rPr>
          <w:rFonts w:ascii="Times New Roman" w:hAnsi="Times New Roman" w:cs="Times New Roman" w:eastAsia="Times New Roman" w:hint="default"/>
          <w:spacing w:val="-2"/>
        </w:rPr>
        <w:t>1</w:t>
      </w:r>
      <w:r>
        <w:rPr>
          <w:spacing w:val="-2"/>
        </w:rPr>
        <w:t>月出生，中国国籍，无境外永久居留权，毕业于中国海洋大学计算机软件专业，本科学历，</w:t>
      </w:r>
      <w:r>
        <w:rPr/>
        <w:t> </w:t>
      </w:r>
      <w:r>
        <w:rPr>
          <w:spacing w:val="-2"/>
        </w:rPr>
        <w:t>硕士学位。张春林先生</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月，任上海欣方智能通信有限公司技术总监；</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月，任深圳优网</w:t>
      </w:r>
      <w:r>
        <w:rPr>
          <w:spacing w:val="-46"/>
        </w:rPr>
        <w:t> </w:t>
      </w:r>
      <w:r>
        <w:rPr>
          <w:spacing w:val="-46"/>
        </w:rPr>
      </w:r>
      <w:r>
        <w:rPr/>
        <w:t>科技有限公司副总经理，兼任北京优网助帮信息科技公司总经理；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月至今任公司全资子公司北京微智信业科技有限</w:t>
      </w:r>
      <w:r>
        <w:rPr>
          <w:spacing w:val="-82"/>
        </w:rPr>
        <w:t> </w:t>
      </w:r>
      <w:r>
        <w:rPr>
          <w:spacing w:val="-82"/>
        </w:rPr>
      </w:r>
      <w:r>
        <w:rPr/>
        <w:t>公司副总经理、监事。</w:t>
      </w:r>
    </w:p>
    <w:p>
      <w:pPr>
        <w:pStyle w:val="BodyText"/>
        <w:spacing w:line="300" w:lineRule="auto" w:before="31"/>
        <w:ind w:right="1129" w:firstLine="420"/>
        <w:jc w:val="both"/>
      </w:pPr>
      <w:r>
        <w:rPr>
          <w:rFonts w:ascii="Times New Roman" w:hAnsi="Times New Roman" w:cs="Times New Roman" w:eastAsia="Times New Roman" w:hint="default"/>
        </w:rPr>
        <w:t>7.</w:t>
      </w:r>
      <w:r>
        <w:rPr/>
        <w:t>王会先生，男，</w:t>
      </w:r>
      <w:r>
        <w:rPr>
          <w:rFonts w:ascii="Times New Roman" w:hAnsi="Times New Roman" w:cs="Times New Roman" w:eastAsia="Times New Roman" w:hint="default"/>
        </w:rPr>
        <w:t>1981</w:t>
      </w:r>
      <w:r>
        <w:rPr/>
        <w:t>年</w:t>
      </w:r>
      <w:r>
        <w:rPr>
          <w:rFonts w:ascii="Times New Roman" w:hAnsi="Times New Roman" w:cs="Times New Roman" w:eastAsia="Times New Roman" w:hint="default"/>
        </w:rPr>
        <w:t>11</w:t>
      </w:r>
      <w:r>
        <w:rPr/>
        <w:t>月出生，中国国籍，无境外永久居留权，毕业于北京物资学院会计学专业，本科学历，学 士学位，中国注册会计师。王会先生</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月，历任天华会计师事务所审计助理，利安达会计师事务所审计助</w:t>
      </w:r>
      <w:r>
        <w:rPr>
          <w:spacing w:val="-57"/>
        </w:rPr>
        <w:t> </w:t>
      </w:r>
      <w:r>
        <w:rPr>
          <w:spacing w:val="-57"/>
        </w:rPr>
      </w:r>
      <w:r>
        <w:rPr>
          <w:spacing w:val="-1"/>
        </w:rPr>
        <w:t>理、项目经理；</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8</w:t>
      </w:r>
      <w:r>
        <w:rPr>
          <w:spacing w:val="-1"/>
        </w:rPr>
        <w:t>月，历任国民技术股份有限公司财务经理、财务部总监；</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月至今，历任本公司财</w:t>
      </w:r>
      <w:r>
        <w:rPr>
          <w:spacing w:val="-80"/>
        </w:rPr>
        <w:t> </w:t>
      </w:r>
      <w:r>
        <w:rPr>
          <w:spacing w:val="-80"/>
        </w:rPr>
      </w:r>
      <w:r>
        <w:rPr/>
        <w:t>务部总监、财务总监。</w:t>
      </w:r>
    </w:p>
    <w:p>
      <w:pPr>
        <w:spacing w:line="240" w:lineRule="auto" w:before="0"/>
        <w:rPr>
          <w:rFonts w:ascii="宋体" w:hAnsi="宋体" w:cs="宋体" w:eastAsia="宋体" w:hint="default"/>
          <w:sz w:val="18"/>
          <w:szCs w:val="18"/>
        </w:rPr>
      </w:pPr>
    </w:p>
    <w:p>
      <w:pPr>
        <w:pStyle w:val="BodyText"/>
        <w:spacing w:line="240" w:lineRule="auto" w:before="148"/>
        <w:ind w:right="967"/>
        <w:jc w:val="left"/>
      </w:pPr>
      <w:r>
        <w:rPr/>
        <w:t>在股东单位任职情况</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2"/>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2"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黄永军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北京微智信业科技有限公司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黄永军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北京泰策科技有限公司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北京东方通宇技术有限公司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成都东方通科技有限责任公司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北京微智信业科技有限公司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北京泰策科技有限公司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北京微智信业科技有限公司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北京惠捷朗科技有限公司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杨宏皞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首建睿安投资（北京）有限公司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杨宏皞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睿安合兴资产管理（北京）有限公司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杨宏皞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甘肃公航旅首金文化发展有限公司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4"/>
                <w:sz w:val="18"/>
                <w:szCs w:val="18"/>
              </w:rPr>
              <w:t>、</w:t>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杨宏皞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首建金控企业管理（北京）有限公司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杨宏皞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睿安炎信投资管理（北京）有限公司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范贵福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中国通信企业协会通信网络运营专业委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秘书长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范贵福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北京梅泰诺通信技术股份有限公司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范贵福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杭州纵横通信股份有限公司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范贵福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元道通信股份有限公司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丁芸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首都经济贸易大学财税学院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教授，硕士生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导师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丁芸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中国税务学会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常务理事、学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术委员</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中国注册税务师协会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北京国际税收研究会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拉萨国瑞税务咨询股份有限公司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二十一世纪空间技术应用股份有限公司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北京大学法学院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教授、博士生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导师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北京大学企业与公司法研究中心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北京大学经济法研究所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副所长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最高人民法院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咨询委员</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最高人民法院案例指导工作专家委员会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中国证券法学研究会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中国经济法学研究会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北京市检察院第二分院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专家咨询委 员</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河北省廊坊市中级人民法院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专家咨询委 员</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深圳国际仲裁院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中国商业法研究会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中国邮政储蓄银行股份有限公司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朱律玮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中国科学院大学工程管理与信息技术学 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兼职教授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郭大勇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上海东方通泰软件科技有限公司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郭大勇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东方通科技无锡有限公司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张春林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北京微智信业科技有限公司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967"/>
        <w:jc w:val="left"/>
      </w:pPr>
      <w:r>
        <w:rPr/>
        <w:t>公司现任及报告期内离任董事、监事和高级管理人员近三年证券监管机构处罚的情况</w:t>
      </w:r>
    </w:p>
    <w:p>
      <w:pPr>
        <w:pStyle w:val="BodyText"/>
        <w:spacing w:line="240" w:lineRule="auto" w:before="117"/>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967"/>
        <w:jc w:val="left"/>
        <w:rPr>
          <w:b w:val="0"/>
          <w:bCs w:val="0"/>
        </w:rPr>
      </w:pPr>
      <w:bookmarkStart w:name="四、董事、监事、高级管理人员报酬情况" w:id="122"/>
      <w:bookmarkEnd w:id="122"/>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67"/>
        <w:jc w:val="left"/>
      </w:pPr>
      <w:r>
        <w:rPr/>
        <w:t>董事、监事、高级管理人员报酬的决策程序、确定依据、实际支付情况</w:t>
      </w:r>
    </w:p>
    <w:p>
      <w:pPr>
        <w:spacing w:after="0" w:line="240" w:lineRule="auto"/>
        <w:jc w:val="lef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3970"/>
        <w:gridCol w:w="5598"/>
      </w:tblGrid>
      <w:tr>
        <w:trPr>
          <w:trHeight w:val="1056" w:hRule="exact"/>
        </w:trPr>
        <w:tc>
          <w:tcPr>
            <w:tcW w:w="39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2" w:right="0"/>
              <w:jc w:val="left"/>
              <w:rPr>
                <w:rFonts w:ascii="宋体" w:hAnsi="宋体" w:cs="宋体" w:eastAsia="宋体" w:hint="default"/>
                <w:sz w:val="18"/>
                <w:szCs w:val="18"/>
              </w:rPr>
            </w:pPr>
            <w:r>
              <w:rPr>
                <w:rFonts w:ascii="宋体" w:hAnsi="宋体" w:cs="宋体" w:eastAsia="宋体" w:hint="default"/>
                <w:sz w:val="18"/>
                <w:szCs w:val="18"/>
              </w:rPr>
              <w:t>在公司任职的董事、监事和高级管理人员的报酬按照公司董事会</w:t>
            </w:r>
          </w:p>
          <w:p>
            <w:pPr>
              <w:pStyle w:val="TableParagraph"/>
              <w:spacing w:line="319" w:lineRule="auto" w:before="75"/>
              <w:ind w:left="2" w:right="1"/>
              <w:jc w:val="left"/>
              <w:rPr>
                <w:rFonts w:ascii="宋体" w:hAnsi="宋体" w:cs="宋体" w:eastAsia="宋体" w:hint="default"/>
                <w:sz w:val="18"/>
                <w:szCs w:val="18"/>
              </w:rPr>
            </w:pPr>
            <w:r>
              <w:rPr>
                <w:rFonts w:ascii="宋体" w:hAnsi="宋体" w:cs="宋体" w:eastAsia="宋体" w:hint="default"/>
                <w:sz w:val="18"/>
                <w:szCs w:val="18"/>
              </w:rPr>
              <w:t>《薪酬与考核委员会议事规则》的规定，结合其经营绩效、工作能力、 岗位职级等考核确定并发放。</w:t>
            </w:r>
          </w:p>
        </w:tc>
      </w:tr>
      <w:tr>
        <w:trPr>
          <w:trHeight w:val="1051" w:hRule="exact"/>
        </w:trPr>
        <w:tc>
          <w:tcPr>
            <w:tcW w:w="39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59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7"/>
              <w:ind w:left="2" w:right="1" w:firstLine="360"/>
              <w:jc w:val="both"/>
              <w:rPr>
                <w:rFonts w:ascii="宋体" w:hAnsi="宋体" w:cs="宋体" w:eastAsia="宋体" w:hint="default"/>
                <w:sz w:val="18"/>
                <w:szCs w:val="18"/>
              </w:rPr>
            </w:pPr>
            <w:r>
              <w:rPr>
                <w:rFonts w:ascii="宋体" w:hAnsi="宋体" w:cs="宋体" w:eastAsia="宋体" w:hint="default"/>
                <w:sz w:val="18"/>
                <w:szCs w:val="18"/>
              </w:rPr>
              <w:t>外部董事不在公司领取薪酬。在公司任职的董事、监事不另外支付 津贴。独立董事津贴根据经股东大会审议通过的《独立董事津贴管理办 法》相关规定进行支付。</w:t>
            </w:r>
          </w:p>
        </w:tc>
      </w:tr>
      <w:tr>
        <w:trPr>
          <w:trHeight w:val="1047" w:hRule="exact"/>
        </w:trPr>
        <w:tc>
          <w:tcPr>
            <w:tcW w:w="39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59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6"/>
              <w:ind w:left="2" w:right="1" w:firstLine="360"/>
              <w:jc w:val="both"/>
              <w:rPr>
                <w:rFonts w:ascii="宋体" w:hAnsi="宋体" w:cs="宋体" w:eastAsia="宋体" w:hint="default"/>
                <w:sz w:val="18"/>
                <w:szCs w:val="18"/>
              </w:rPr>
            </w:pPr>
            <w:r>
              <w:rPr>
                <w:rFonts w:ascii="宋体" w:hAnsi="宋体" w:cs="宋体" w:eastAsia="宋体" w:hint="default"/>
                <w:sz w:val="18"/>
                <w:szCs w:val="18"/>
              </w:rPr>
              <w:t>依据公司盈利水平及董事、监事、高级管理人员的职责履行情况并 结合年度绩效完成情况综合确定。其中独董领用津贴，不享受公司其他 薪金保险等待遇。</w:t>
            </w:r>
          </w:p>
        </w:tc>
      </w:tr>
    </w:tbl>
    <w:p>
      <w:pPr>
        <w:spacing w:line="240" w:lineRule="auto" w:before="5"/>
        <w:rPr>
          <w:rFonts w:ascii="宋体" w:hAnsi="宋体" w:cs="宋体" w:eastAsia="宋体" w:hint="default"/>
          <w:sz w:val="24"/>
          <w:szCs w:val="24"/>
        </w:rPr>
      </w:pPr>
    </w:p>
    <w:p>
      <w:pPr>
        <w:pStyle w:val="BodyText"/>
        <w:spacing w:line="240" w:lineRule="auto" w:before="44"/>
        <w:ind w:right="967"/>
        <w:jc w:val="left"/>
      </w:pPr>
      <w:r>
        <w:rPr/>
        <w:t>公司报告期内董事、监事和高级管理人员报酬情况</w:t>
      </w:r>
    </w:p>
    <w:p>
      <w:pPr>
        <w:pStyle w:val="BodyText"/>
        <w:spacing w:line="240" w:lineRule="auto" w:before="117"/>
        <w:ind w:left="0" w:right="1130"/>
        <w:jc w:val="right"/>
      </w:pPr>
      <w:r>
        <w:rPr/>
        <w:pict>
          <v:group style="position:absolute;margin-left:193.759995pt;margin-top:79.121712pt;width:67.9pt;height:28pt;mso-position-horizontal-relative:page;mso-position-vertical-relative:paragraph;z-index:-1135384" coordorigin="3875,1582" coordsize="1358,560">
            <v:group style="position:absolute;left:3875;top:1582;width:1358;height:156" coordorigin="3875,1582" coordsize="1358,156">
              <v:shape style="position:absolute;left:3875;top:1582;width:1358;height:156" coordorigin="3875,1582" coordsize="1358,156" path="m3875,1738l5233,1738,5233,1582,3875,1582,3875,1738xe" filled="true" fillcolor="#ffffff" stroked="false">
                <v:path arrowok="t"/>
                <v:fill type="solid"/>
              </v:shape>
            </v:group>
            <v:group style="position:absolute;left:3887;top:1738;width:2;height:393" coordorigin="3887,1738" coordsize="2,393">
              <v:shape style="position:absolute;left:3887;top:1738;width:2;height:393" coordorigin="3887,1738" coordsize="0,393" path="m3887,1738l3887,2131e" filled="false" stroked="true" strokeweight="1.140pt" strokecolor="#ffffff">
                <v:path arrowok="t"/>
              </v:shape>
            </v:group>
            <v:group style="position:absolute;left:3898;top:1738;width:1312;height:393" coordorigin="3898,1738" coordsize="1312,393">
              <v:shape style="position:absolute;left:3898;top:1738;width:1312;height:393" coordorigin="3898,1738" coordsize="1312,393" path="m3898,2131l5210,2131,5210,1738,3898,1738,3898,2131xe" filled="true" fillcolor="#ffffff" stroked="false">
                <v:path arrowok="t"/>
                <v:fill type="solid"/>
              </v:shape>
            </v:group>
            <w10:wrap type="none"/>
          </v:group>
        </w:pict>
      </w: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8"/>
              <w:jc w:val="right"/>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黄永军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董事、常务副总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杨宏皞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范贵福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朱律玮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田琳燕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张志勇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郭大勇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武耀辉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张春林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沈惠中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8"/>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590.31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pStyle w:val="BodyText"/>
        <w:spacing w:line="240" w:lineRule="auto" w:before="51"/>
        <w:ind w:right="-20"/>
        <w:jc w:val="left"/>
      </w:pPr>
      <w:r>
        <w:rPr/>
        <w:t>公司董事、高级管理人员报告期内被授予的股权激励情况</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单位：股</w:t>
      </w:r>
    </w:p>
    <w:p>
      <w:pPr>
        <w:spacing w:after="0" w:line="240" w:lineRule="auto"/>
        <w:jc w:val="left"/>
        <w:sectPr>
          <w:type w:val="continuous"/>
          <w:pgSz w:w="11910" w:h="16840"/>
          <w:pgMar w:top="1060" w:bottom="1160" w:left="980" w:right="0"/>
          <w:cols w:num="2" w:equalWidth="0">
            <w:col w:w="4655" w:space="4265"/>
            <w:col w:w="2010"/>
          </w:cols>
        </w:sectPr>
      </w:pPr>
    </w:p>
    <w:p>
      <w:pPr>
        <w:spacing w:line="240" w:lineRule="auto" w:before="6"/>
        <w:rPr>
          <w:rFonts w:ascii="宋体" w:hAnsi="宋体" w:cs="宋体" w:eastAsia="宋体" w:hint="default"/>
          <w:sz w:val="24"/>
          <w:szCs w:val="24"/>
        </w:rPr>
      </w:pPr>
      <w:r>
        <w:rPr/>
        <w:pict>
          <v:group style="position:absolute;margin-left:143.720001pt;margin-top:139.37999pt;width:43pt;height:43.65pt;mso-position-horizontal-relative:page;mso-position-vertical-relative:page;z-index:-1135360" coordorigin="2874,2788" coordsize="860,873">
            <v:group style="position:absolute;left:2874;top:2788;width:860;height:469" coordorigin="2874,2788" coordsize="860,469">
              <v:shape style="position:absolute;left:2874;top:2788;width:860;height:469" coordorigin="2874,2788" coordsize="860,469" path="m2874,3256l3734,3256,3734,2788,2874,2788,2874,3256xe" filled="true" fillcolor="#ffffff" stroked="false">
                <v:path arrowok="t"/>
                <v:fill type="solid"/>
              </v:shape>
            </v:group>
            <v:group style="position:absolute;left:2886;top:3256;width:2;height:393" coordorigin="2886,3256" coordsize="2,393">
              <v:shape style="position:absolute;left:2886;top:3256;width:2;height:393" coordorigin="2886,3256" coordsize="0,393" path="m2886,3256l2886,3648e" filled="false" stroked="true" strokeweight="1.140pt" strokecolor="#ffffff">
                <v:path arrowok="t"/>
              </v:shape>
            </v:group>
            <v:group style="position:absolute;left:2897;top:3256;width:814;height:393" coordorigin="2897,3256" coordsize="814,393">
              <v:shape style="position:absolute;left:2897;top:3256;width:814;height:393" coordorigin="2897,3256" coordsize="814,393" path="m2897,3648l3711,3648,3711,3256,2897,3256,2897,364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866"/>
        <w:gridCol w:w="870"/>
        <w:gridCol w:w="869"/>
        <w:gridCol w:w="869"/>
        <w:gridCol w:w="870"/>
        <w:gridCol w:w="870"/>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4"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1338"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董事、常务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副总经理 董事会秘 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16" w:lineRule="exact" w:before="128"/>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15.06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15.06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张春林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15.06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武耀辉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15.06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王会</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15.06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r>
      <w:tr>
        <w:trPr>
          <w:trHeight w:val="785" w:hRule="exact"/>
        </w:trPr>
        <w:tc>
          <w:tcPr>
            <w:tcW w:w="866"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8" w:type="dxa"/>
            <w:gridSpan w:val="10"/>
            <w:vMerge w:val="restart"/>
            <w:tcBorders>
              <w:top w:val="single" w:sz="4" w:space="0" w:color="000000"/>
              <w:left w:val="single" w:sz="10" w:space="0" w:color="D2D2D2"/>
              <w:right w:val="single" w:sz="4" w:space="0" w:color="000000"/>
            </w:tcBorders>
          </w:tcPr>
          <w:p>
            <w:pPr>
              <w:pStyle w:val="TableParagraph"/>
              <w:spacing w:line="300" w:lineRule="auto" w:before="51"/>
              <w:ind w:left="15"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日，第三届董事会第十四次会议和第三届监事会第十一次会议，审议通过了《关于公司</w:t>
            </w:r>
            <w:r>
              <w:rPr>
                <w:rFonts w:ascii="Times New Roman" w:hAnsi="Times New Roman" w:cs="Times New Roman" w:eastAsia="Times New Roman" w:hint="default"/>
                <w:sz w:val="18"/>
                <w:szCs w:val="18"/>
              </w:rPr>
              <w:t>&lt;2018 </w:t>
            </w:r>
            <w:r>
              <w:rPr>
                <w:rFonts w:ascii="宋体" w:hAnsi="宋体" w:cs="宋体" w:eastAsia="宋体" w:hint="default"/>
                <w:spacing w:val="-6"/>
                <w:sz w:val="18"/>
                <w:szCs w:val="18"/>
              </w:rPr>
              <w:t>年股票期权激励计划（草案）</w:t>
            </w:r>
            <w:r>
              <w:rPr>
                <w:rFonts w:ascii="Times New Roman" w:hAnsi="Times New Roman" w:cs="Times New Roman" w:eastAsia="Times New Roman" w:hint="default"/>
                <w:spacing w:val="-6"/>
                <w:sz w:val="18"/>
                <w:szCs w:val="18"/>
              </w:rPr>
              <w:t>&gt;</w:t>
            </w:r>
            <w:r>
              <w:rPr>
                <w:rFonts w:ascii="宋体" w:hAnsi="宋体" w:cs="宋体" w:eastAsia="宋体" w:hint="default"/>
                <w:spacing w:val="-6"/>
                <w:sz w:val="18"/>
                <w:szCs w:val="18"/>
              </w:rPr>
              <w:t>及其摘要的议案》、《关于公司</w:t>
            </w:r>
            <w:r>
              <w:rPr>
                <w:rFonts w:ascii="Times New Roman" w:hAnsi="Times New Roman" w:cs="Times New Roman" w:eastAsia="Times New Roman" w:hint="default"/>
                <w:spacing w:val="-6"/>
                <w:sz w:val="18"/>
                <w:szCs w:val="18"/>
              </w:rPr>
              <w:t>&lt;2018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年股票期权激励计划实施考核管理办法</w:t>
            </w:r>
            <w:r>
              <w:rPr>
                <w:rFonts w:ascii="Times New Roman" w:hAnsi="Times New Roman" w:cs="Times New Roman" w:eastAsia="Times New Roman" w:hint="default"/>
                <w:sz w:val="18"/>
                <w:szCs w:val="18"/>
              </w:rPr>
              <w:t>&gt;</w:t>
            </w:r>
            <w:r>
              <w:rPr>
                <w:rFonts w:ascii="宋体" w:hAnsi="宋体" w:cs="宋体" w:eastAsia="宋体" w:hint="default"/>
                <w:sz w:val="18"/>
                <w:szCs w:val="18"/>
              </w:rPr>
              <w:t>的</w:t>
            </w:r>
            <w:r>
              <w:rPr>
                <w:rFonts w:ascii="宋体" w:hAnsi="宋体" w:cs="宋体" w:eastAsia="宋体" w:hint="default"/>
                <w:spacing w:val="-73"/>
                <w:sz w:val="18"/>
                <w:szCs w:val="18"/>
              </w:rPr>
              <w:t> </w:t>
            </w:r>
            <w:r>
              <w:rPr>
                <w:rFonts w:ascii="宋体" w:hAnsi="宋体" w:cs="宋体" w:eastAsia="宋体" w:hint="default"/>
                <w:sz w:val="18"/>
                <w:szCs w:val="18"/>
              </w:rPr>
              <w:t>议案》等相关议案，经内部公示，并经公司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年第二次临时股东大会审议通过。</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日，第三届</w:t>
            </w:r>
          </w:p>
          <w:p>
            <w:pPr>
              <w:pStyle w:val="TableParagraph"/>
              <w:spacing w:line="240" w:lineRule="auto" w:before="13"/>
              <w:ind w:left="15" w:right="0"/>
              <w:jc w:val="left"/>
              <w:rPr>
                <w:rFonts w:ascii="宋体" w:hAnsi="宋体" w:cs="宋体" w:eastAsia="宋体" w:hint="default"/>
                <w:sz w:val="18"/>
                <w:szCs w:val="18"/>
              </w:rPr>
            </w:pPr>
            <w:r>
              <w:rPr>
                <w:rFonts w:ascii="宋体" w:hAnsi="宋体" w:cs="宋体" w:eastAsia="宋体" w:hint="default"/>
                <w:sz w:val="18"/>
                <w:szCs w:val="18"/>
              </w:rPr>
              <w:t>董事会第十六次会议和第三届监事会第十三次会议审议通过</w:t>
            </w:r>
            <w:r>
              <w:rPr>
                <w:rFonts w:ascii="宋体" w:hAnsi="宋体" w:cs="宋体" w:eastAsia="宋体" w:hint="default"/>
                <w:spacing w:val="-88"/>
                <w:sz w:val="18"/>
                <w:szCs w:val="18"/>
              </w:rPr>
              <w:t>了</w:t>
            </w:r>
            <w:r>
              <w:rPr>
                <w:rFonts w:ascii="宋体" w:hAnsi="宋体" w:cs="宋体" w:eastAsia="宋体" w:hint="default"/>
                <w:sz w:val="18"/>
                <w:szCs w:val="18"/>
              </w:rPr>
              <w:t>《关于调整公司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股票期权激励计划相关事</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项的议案》及《关于向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年股票期权激励计划受激励对象授予股票期权的议案</w:t>
            </w:r>
            <w:r>
              <w:rPr>
                <w:rFonts w:ascii="宋体" w:hAnsi="宋体" w:cs="宋体" w:eastAsia="宋体" w:hint="default"/>
                <w:spacing w:val="-90"/>
                <w:sz w:val="18"/>
                <w:szCs w:val="18"/>
              </w:rPr>
              <w:t>》</w:t>
            </w:r>
            <w:r>
              <w:rPr>
                <w:rFonts w:ascii="宋体" w:hAnsi="宋体" w:cs="宋体" w:eastAsia="宋体" w:hint="default"/>
                <w:sz w:val="18"/>
                <w:szCs w:val="18"/>
              </w:rPr>
              <w:t>。公司本次股权激励计划受</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激励对象人数由</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名变更为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名；授予的股票期权数量由</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万份变更为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1,198</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万份。行权价格为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6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股，授予日为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704" w:hRule="exact"/>
        </w:trPr>
        <w:tc>
          <w:tcPr>
            <w:tcW w:w="8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698" w:type="dxa"/>
            <w:gridSpan w:val="10"/>
            <w:vMerge/>
            <w:tcBorders>
              <w:left w:val="single" w:sz="10" w:space="0" w:color="D2D2D2"/>
              <w:right w:val="single" w:sz="4" w:space="0" w:color="000000"/>
            </w:tcBorders>
          </w:tcPr>
          <w:p>
            <w:pPr/>
          </w:p>
        </w:tc>
      </w:tr>
      <w:tr>
        <w:trPr>
          <w:trHeight w:val="785" w:hRule="exact"/>
        </w:trPr>
        <w:tc>
          <w:tcPr>
            <w:tcW w:w="866"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8" w:type="dxa"/>
            <w:gridSpan w:val="10"/>
            <w:vMerge/>
            <w:tcBorders>
              <w:left w:val="single" w:sz="10" w:space="0" w:color="D2D2D2"/>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967"/>
        <w:jc w:val="left"/>
        <w:rPr>
          <w:b w:val="0"/>
          <w:bCs w:val="0"/>
        </w:rPr>
      </w:pPr>
      <w:bookmarkStart w:name="五、公司员工情况" w:id="123"/>
      <w:bookmarkEnd w:id="123"/>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67"/>
        <w:jc w:val="left"/>
        <w:rPr>
          <w:b w:val="0"/>
          <w:bCs w:val="0"/>
        </w:rPr>
      </w:pPr>
      <w:bookmarkStart w:name="1、员工数量、专业构成及教育程度" w:id="124"/>
      <w:bookmarkEnd w:id="124"/>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189</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w:t>
            </w:r>
          </w:p>
        </w:tc>
      </w:tr>
    </w:tbl>
    <w:p>
      <w:pPr>
        <w:spacing w:line="240" w:lineRule="auto" w:before="2"/>
        <w:rPr>
          <w:rFonts w:ascii="宋体" w:hAnsi="宋体" w:cs="宋体" w:eastAsia="宋体" w:hint="default"/>
          <w:b/>
          <w:bCs/>
          <w:sz w:val="19"/>
          <w:szCs w:val="19"/>
        </w:rPr>
      </w:pPr>
    </w:p>
    <w:p>
      <w:pPr>
        <w:pStyle w:val="Heading3"/>
        <w:spacing w:line="240" w:lineRule="auto" w:before="35"/>
        <w:ind w:right="967"/>
        <w:jc w:val="left"/>
        <w:rPr>
          <w:b w:val="0"/>
          <w:bCs w:val="0"/>
        </w:rPr>
      </w:pPr>
      <w:bookmarkStart w:name="2、薪酬政策" w:id="125"/>
      <w:bookmarkEnd w:id="125"/>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67"/>
        <w:jc w:val="left"/>
      </w:pPr>
      <w:r>
        <w:rPr/>
        <w:t>公司采用以岗位价值评估为核心的薪酬体系： </w:t>
      </w:r>
      <w:r>
        <w:rPr>
          <w:spacing w:val="-2"/>
        </w:rPr>
        <w:t>公司薪酬政策采取通过岗位价值评估，明确公司各个岗位的相对价值，从而为个岗位的薪酬标准提供依据的原则，同时解决</w:t>
      </w:r>
      <w:r>
        <w:rPr>
          <w:spacing w:val="-66"/>
        </w:rPr>
        <w:t> </w:t>
      </w:r>
      <w:r>
        <w:rPr>
          <w:spacing w:val="-66"/>
        </w:rPr>
      </w:r>
      <w:r>
        <w:rPr/>
        <w:t>各岗位薪酬的内、外部公平性的问题。通过定期任职资格评审等环节，确定每个岗位对应的薪酬体系。</w:t>
      </w:r>
    </w:p>
    <w:p>
      <w:pPr>
        <w:pStyle w:val="BodyText"/>
        <w:spacing w:line="319" w:lineRule="auto" w:before="59"/>
        <w:ind w:right="967"/>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报告期内，职工薪酬总额（计入成本部分）为</w:t>
      </w:r>
      <w:r>
        <w:rPr>
          <w:rFonts w:ascii="Times New Roman" w:hAnsi="Times New Roman" w:cs="Times New Roman" w:eastAsia="Times New Roman" w:hint="default"/>
        </w:rPr>
        <w:t>8,129,135.64</w:t>
      </w:r>
      <w:r>
        <w:rPr/>
        <w:t>元，占公司营业成本的</w:t>
      </w:r>
      <w:r>
        <w:rPr>
          <w:rFonts w:ascii="Times New Roman" w:hAnsi="Times New Roman" w:cs="Times New Roman" w:eastAsia="Times New Roman" w:hint="default"/>
        </w:rPr>
        <w:t>8.88%</w:t>
      </w:r>
      <w:r>
        <w:rPr/>
        <w:t>。 </w:t>
      </w:r>
      <w:r>
        <w:rPr>
          <w:spacing w:val="-1"/>
        </w:rPr>
        <w:t>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日，公司核心技术人员为</w:t>
      </w:r>
      <w:r>
        <w:rPr>
          <w:rFonts w:ascii="Times New Roman" w:hAnsi="Times New Roman" w:cs="Times New Roman" w:eastAsia="Times New Roman" w:hint="default"/>
          <w:spacing w:val="-1"/>
        </w:rPr>
        <w:t>30</w:t>
      </w:r>
      <w:r>
        <w:rPr>
          <w:spacing w:val="-1"/>
        </w:rPr>
        <w:t>人，占全体员工人数的</w:t>
      </w:r>
      <w:r>
        <w:rPr>
          <w:rFonts w:ascii="Times New Roman" w:hAnsi="Times New Roman" w:cs="Times New Roman" w:eastAsia="Times New Roman" w:hint="default"/>
          <w:spacing w:val="-1"/>
        </w:rPr>
        <w:t>5.14%</w:t>
      </w:r>
      <w:r>
        <w:rPr>
          <w:spacing w:val="-1"/>
        </w:rPr>
        <w:t>，上年同期核心技术人员为</w:t>
      </w:r>
      <w:r>
        <w:rPr>
          <w:rFonts w:ascii="Times New Roman" w:hAnsi="Times New Roman" w:cs="Times New Roman" w:eastAsia="Times New Roman" w:hint="default"/>
          <w:spacing w:val="-1"/>
        </w:rPr>
        <w:t>30</w:t>
      </w:r>
      <w:r>
        <w:rPr>
          <w:spacing w:val="-1"/>
        </w:rPr>
        <w:t>人，占全体员工人</w:t>
      </w:r>
    </w:p>
    <w:p>
      <w:pPr>
        <w:pStyle w:val="BodyText"/>
        <w:spacing w:line="246" w:lineRule="exact"/>
        <w:ind w:right="967"/>
        <w:jc w:val="left"/>
      </w:pPr>
      <w:r>
        <w:rPr/>
        <w:t>数的</w:t>
      </w:r>
      <w:r>
        <w:rPr>
          <w:rFonts w:ascii="Times New Roman" w:hAnsi="Times New Roman" w:cs="Times New Roman" w:eastAsia="Times New Roman" w:hint="default"/>
        </w:rPr>
        <w:t>6.20%</w:t>
      </w:r>
      <w:r>
        <w:rPr/>
        <w:t>；截至报告期末，核心技术人员薪酬占全体员工薪酬的</w:t>
      </w:r>
      <w:r>
        <w:rPr>
          <w:rFonts w:ascii="Times New Roman" w:hAnsi="Times New Roman" w:cs="Times New Roman" w:eastAsia="Times New Roman" w:hint="default"/>
        </w:rPr>
        <w:t>18.47%</w:t>
      </w:r>
      <w:r>
        <w:rPr/>
        <w:t>，上年同期为</w:t>
      </w:r>
      <w:r>
        <w:rPr>
          <w:rFonts w:ascii="Times New Roman" w:hAnsi="Times New Roman" w:cs="Times New Roman" w:eastAsia="Times New Roman" w:hint="default"/>
        </w:rPr>
        <w:t>20.35%</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967"/>
        <w:jc w:val="left"/>
        <w:rPr>
          <w:b w:val="0"/>
          <w:bCs w:val="0"/>
        </w:rPr>
      </w:pPr>
      <w:bookmarkStart w:name="3、培训计划" w:id="126"/>
      <w:bookmarkEnd w:id="126"/>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67"/>
        <w:jc w:val="left"/>
      </w:pPr>
      <w:r>
        <w:rPr/>
        <w:t>以各岗位为中心的年度培训规划：</w:t>
      </w:r>
    </w:p>
    <w:p>
      <w:pPr>
        <w:pStyle w:val="BodyText"/>
        <w:spacing w:line="300" w:lineRule="auto" w:before="76"/>
        <w:ind w:right="1111"/>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4"/>
        </w:rPr>
        <w:t> </w:t>
      </w:r>
      <w:r>
        <w:rPr/>
        <w:t>针对高层管理人员，通过攻读</w:t>
      </w:r>
      <w:r>
        <w:rPr>
          <w:rFonts w:ascii="Times New Roman" w:hAnsi="Times New Roman" w:cs="Times New Roman" w:eastAsia="Times New Roman" w:hint="default"/>
        </w:rPr>
        <w:t>EMBA</w:t>
      </w:r>
      <w:r>
        <w:rPr/>
        <w:t>、领导研修等方式，强化管理能力的系统学习，培养高层管理者的管理视野和开放心 态，熟悉经济规律和市场规则，提升经营管理能力和领导水平；</w:t>
      </w:r>
    </w:p>
    <w:p>
      <w:pPr>
        <w:pStyle w:val="BodyText"/>
        <w:spacing w:line="300" w:lineRule="auto" w:before="31"/>
        <w:ind w:right="96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9"/>
        </w:rPr>
        <w:t> </w:t>
      </w:r>
      <w:r>
        <w:rPr>
          <w:spacing w:val="-2"/>
        </w:rPr>
        <w:t>针对中层人员，主要是开发他们的管理智慧，改进管理方式方法，提高其对下属的亲和力和指导能力，促使其与部下一起</w:t>
      </w:r>
      <w:r>
        <w:rPr>
          <w:spacing w:val="-87"/>
        </w:rPr>
        <w:t> </w:t>
      </w:r>
      <w:r>
        <w:rPr>
          <w:spacing w:val="-87"/>
        </w:rPr>
      </w:r>
      <w:r>
        <w:rPr/>
        <w:t>不断进步和成长；</w:t>
      </w:r>
    </w:p>
    <w:p>
      <w:pPr>
        <w:pStyle w:val="BodyText"/>
        <w:spacing w:line="300" w:lineRule="auto" w:before="31"/>
        <w:ind w:right="1051"/>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针对业务骨干，主要是提高技能、更新知识、开发其进取精神、创新能力和协作能力、提高员工的职业意识与职业素养， 提升其主动积极的工作态度与团队合作与沟通的能力，增强敬业精神与服务观念，加强其专业水准；</w:t>
      </w:r>
    </w:p>
    <w:p>
      <w:pPr>
        <w:pStyle w:val="BodyText"/>
        <w:spacing w:line="309" w:lineRule="auto" w:before="31"/>
        <w:ind w:right="1131"/>
        <w:jc w:val="both"/>
      </w:pPr>
      <w:r>
        <w:rPr>
          <w:rFonts w:ascii="Times New Roman" w:hAnsi="Times New Roman" w:cs="Times New Roman" w:eastAsia="Times New Roman" w:hint="default"/>
        </w:rPr>
        <w:t>*</w:t>
      </w:r>
      <w:r>
        <w:rPr>
          <w:rFonts w:ascii="Times New Roman" w:hAnsi="Times New Roman" w:cs="Times New Roman" w:eastAsia="Times New Roman" w:hint="default"/>
          <w:spacing w:val="14"/>
        </w:rPr>
        <w:t> </w:t>
      </w:r>
      <w:r>
        <w:rPr>
          <w:spacing w:val="-2"/>
        </w:rPr>
        <w:t>针对基层员工，主要根据工作说明书和工作规范的要求，开发其操作技能方面的潜力（提高熟练程度、降低错误率、争抢</w:t>
      </w:r>
      <w:r>
        <w:rPr>
          <w:spacing w:val="-85"/>
        </w:rPr>
        <w:t> </w:t>
      </w:r>
      <w:r>
        <w:rPr>
          <w:spacing w:val="-85"/>
        </w:rPr>
      </w:r>
      <w:r>
        <w:rPr>
          <w:spacing w:val="-2"/>
        </w:rPr>
        <w:t>迁移能力和具有一定创新能力），培养敬业精神、工作责任感和事业心，做好入司前，上岗中，工作后各项培训与培养工作</w:t>
      </w:r>
      <w:r>
        <w:rPr>
          <w:spacing w:val="-69"/>
        </w:rPr>
        <w:t> </w:t>
      </w:r>
      <w:r>
        <w:rPr>
          <w:spacing w:val="-69"/>
        </w:rPr>
      </w:r>
      <w:r>
        <w:rPr/>
        <w:t>计划，帮助他们度过适应期；</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1"/>
        <w:ind w:right="967"/>
        <w:jc w:val="left"/>
        <w:rPr>
          <w:b w:val="0"/>
          <w:bCs w:val="0"/>
        </w:rPr>
      </w:pPr>
      <w:bookmarkStart w:name="4、劳务外包情况" w:id="127"/>
      <w:bookmarkEnd w:id="127"/>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470"/>
        <w:jc w:val="center"/>
        <w:rPr>
          <w:b w:val="0"/>
          <w:bCs w:val="0"/>
        </w:rPr>
      </w:pPr>
      <w:bookmarkStart w:name="_TOC_250003" w:id="128"/>
      <w:bookmarkStart w:name="第九节 公司治理" w:id="129"/>
      <w:r>
        <w:rPr>
          <w:b w:val="0"/>
          <w:bCs w:val="0"/>
        </w:rPr>
      </w:r>
      <w:r>
        <w:rPr/>
        <w:t>第九节</w:t>
      </w:r>
      <w:r>
        <w:rPr>
          <w:spacing w:val="-5"/>
        </w:rPr>
        <w:t> </w:t>
      </w:r>
      <w:r>
        <w:rPr/>
        <w:t>公司治理</w:t>
      </w:r>
      <w:bookmarkEnd w:id="12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67"/>
        <w:jc w:val="left"/>
        <w:rPr>
          <w:b w:val="0"/>
          <w:bCs w:val="0"/>
        </w:rPr>
      </w:pPr>
      <w:bookmarkStart w:name="一、公司治理的基本状况" w:id="130"/>
      <w:bookmarkEnd w:id="130"/>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44" w:right="967"/>
        <w:jc w:val="left"/>
      </w:pPr>
      <w:r>
        <w:rPr>
          <w:spacing w:val="-3"/>
        </w:rPr>
        <w:t>报告期内，公司严格按照《公司法》、《证券法》、《上市公司治理准则》、《深圳证券交易所创业板股票上市规则》、</w:t>
      </w:r>
    </w:p>
    <w:p>
      <w:pPr>
        <w:pStyle w:val="BodyText"/>
        <w:spacing w:line="316" w:lineRule="auto" w:before="76"/>
        <w:ind w:right="1132"/>
        <w:jc w:val="both"/>
      </w:pPr>
      <w:r>
        <w:rPr>
          <w:spacing w:val="-2"/>
        </w:rPr>
        <w:t>《深圳证券交易所创业板上市公司规范运作指引》等法律法规要求，不断建立健全公司内部管理和控制制度，持续深入开展</w:t>
      </w:r>
      <w:r>
        <w:rPr>
          <w:spacing w:val="-66"/>
        </w:rPr>
        <w:t> </w:t>
      </w:r>
      <w:r>
        <w:rPr>
          <w:spacing w:val="-66"/>
        </w:rPr>
      </w:r>
      <w:r>
        <w:rPr>
          <w:spacing w:val="-2"/>
        </w:rPr>
        <w:t>公司治理活动，进一步规范公司运作；积极开展董事、监事、高级管理人员培训教育和管理工作；加强信息披露的透明性和</w:t>
      </w:r>
      <w:r>
        <w:rPr>
          <w:spacing w:val="-66"/>
        </w:rPr>
        <w:t> </w:t>
      </w:r>
      <w:r>
        <w:rPr>
          <w:spacing w:val="-66"/>
        </w:rPr>
      </w:r>
      <w:r>
        <w:rPr/>
        <w:t>公平性，提高公司治理水平。</w:t>
      </w:r>
      <w:r>
        <w:rPr>
          <w:spacing w:val="-19"/>
        </w:rPr>
        <w:t> </w:t>
      </w:r>
      <w:r>
        <w:rPr/>
        <w:t>截至报告期末，公司治理的实际情况符合中国证监会《上市公司治理准则》和《深圳证券交</w:t>
      </w:r>
      <w:r>
        <w:rPr/>
        <w:t> 易所创业板上市公司规范运作指引》等法律法规和规范性文件的要求。</w:t>
      </w:r>
    </w:p>
    <w:p>
      <w:pPr>
        <w:pStyle w:val="BodyText"/>
        <w:spacing w:line="338" w:lineRule="auto" w:before="59"/>
        <w:ind w:left="574" w:right="967" w:hanging="420"/>
        <w:jc w:val="left"/>
      </w:pPr>
      <w:r>
        <w:rPr>
          <w:rFonts w:ascii="Times New Roman" w:hAnsi="Times New Roman" w:cs="Times New Roman" w:eastAsia="Times New Roman" w:hint="default"/>
        </w:rPr>
        <w:t>1</w:t>
      </w:r>
      <w:r>
        <w:rPr/>
        <w:t>、关于股东与股东大会 公司股东按照《公司章程》、《上市公司股东大会规则》的规定按其所持股份享有平等地位，并承担相应义务。公司</w:t>
      </w:r>
    </w:p>
    <w:p>
      <w:pPr>
        <w:pStyle w:val="BodyText"/>
        <w:spacing w:line="319" w:lineRule="auto" w:before="2"/>
        <w:ind w:right="1032"/>
        <w:jc w:val="left"/>
      </w:pPr>
      <w:r>
        <w:rPr>
          <w:spacing w:val="-2"/>
        </w:rPr>
        <w:t>严格按照《公司法》、《上市公司股东大会规则》以及公司《章程》、《股东大会议事规则》和深圳证券交易所创业板的相</w:t>
      </w:r>
      <w:r>
        <w:rPr>
          <w:spacing w:val="-69"/>
        </w:rPr>
        <w:t> </w:t>
      </w:r>
      <w:r>
        <w:rPr>
          <w:spacing w:val="-69"/>
        </w:rPr>
      </w:r>
      <w:r>
        <w:rPr/>
        <w:t>关规定和要求，规范股东大会的召集、召开和表决程序。报告期内公司召开的股东大会均由董事会召集召开，董事长主持， </w:t>
      </w:r>
      <w:r>
        <w:rPr>
          <w:spacing w:val="-2"/>
        </w:rPr>
        <w:t>董事长不能主持的情况下，副董事长主持。公司治理结构能够保证所有股东，特别是中小股东享有平等地位，合法行使自己</w:t>
      </w:r>
      <w:r>
        <w:rPr>
          <w:spacing w:val="-66"/>
        </w:rPr>
        <w:t> </w:t>
      </w:r>
      <w:r>
        <w:rPr>
          <w:spacing w:val="-66"/>
        </w:rPr>
      </w:r>
      <w:r>
        <w:rPr>
          <w:spacing w:val="-2"/>
        </w:rPr>
        <w:t>的权利，保证了股东对公司重大事项的知情权、参与权、表决权。按照《公司法》、《公司章程》的规定应由股东大会审议</w:t>
      </w:r>
      <w:r>
        <w:rPr>
          <w:spacing w:val="-69"/>
        </w:rPr>
        <w:t> </w:t>
      </w:r>
      <w:r>
        <w:rPr>
          <w:spacing w:val="-69"/>
        </w:rPr>
      </w:r>
      <w:r>
        <w:rPr/>
        <w:t>的重大事项，均按照相应的权限审批后提交股东大会审议，不存在越权审批或先实施后审议的情况。</w:t>
      </w:r>
    </w:p>
    <w:p>
      <w:pPr>
        <w:pStyle w:val="BodyText"/>
        <w:spacing w:line="338" w:lineRule="auto" w:before="56"/>
        <w:ind w:left="574" w:right="967" w:hanging="420"/>
        <w:jc w:val="left"/>
      </w:pPr>
      <w:r>
        <w:rPr>
          <w:rFonts w:ascii="Times New Roman" w:hAnsi="Times New Roman" w:cs="Times New Roman" w:eastAsia="Times New Roman" w:hint="default"/>
        </w:rPr>
        <w:t>2</w:t>
      </w:r>
      <w:r>
        <w:rPr/>
        <w:t>、关于公司与控股股东 公司具有独立的业务经营能力及完备的运营体系，在业务、人员、资产、机构、财务上均独立于控股股东（实际控制</w:t>
      </w:r>
    </w:p>
    <w:p>
      <w:pPr>
        <w:pStyle w:val="BodyText"/>
        <w:spacing w:line="319" w:lineRule="auto" w:before="2"/>
        <w:ind w:right="1130"/>
        <w:jc w:val="both"/>
      </w:pPr>
      <w:r>
        <w:rPr>
          <w:spacing w:val="-5"/>
        </w:rPr>
        <w:t>人），公司董事会、监事会和内部机构根据其议事规则或公司制度独立运作。公司控股股东能严格规范自己的行为，按照《上</w:t>
      </w:r>
      <w:r>
        <w:rPr>
          <w:spacing w:val="-81"/>
        </w:rPr>
        <w:t> </w:t>
      </w:r>
      <w:r>
        <w:rPr>
          <w:spacing w:val="-81"/>
        </w:rPr>
      </w:r>
      <w:r>
        <w:rPr>
          <w:spacing w:val="-2"/>
        </w:rPr>
        <w:t>市公司治理准则》、《深圳证券交易所创业板股票上市规则》、《深圳证券交易所创业板上市公司规范运作指引》、《公司</w:t>
      </w:r>
      <w:r>
        <w:rPr>
          <w:spacing w:val="-70"/>
        </w:rPr>
        <w:t> </w:t>
      </w:r>
      <w:r>
        <w:rPr>
          <w:spacing w:val="-70"/>
        </w:rPr>
      </w:r>
      <w:r>
        <w:rPr>
          <w:spacing w:val="-2"/>
        </w:rPr>
        <w:t>章程》等规定和要求，没有超越股东大会直接或间接干预公司经营活动。报告期内，公司没有为控股股东提供担保，未损害</w:t>
      </w:r>
      <w:r>
        <w:rPr>
          <w:spacing w:val="-66"/>
        </w:rPr>
        <w:t> </w:t>
      </w:r>
      <w:r>
        <w:rPr>
          <w:spacing w:val="-66"/>
        </w:rPr>
      </w:r>
      <w:r>
        <w:rPr/>
        <w:t>公司及其他股东的利益，亦不存在控股股东非经营性占用公司资金的行为。</w:t>
      </w:r>
    </w:p>
    <w:p>
      <w:pPr>
        <w:pStyle w:val="BodyText"/>
        <w:spacing w:line="338" w:lineRule="auto" w:before="56"/>
        <w:ind w:left="574" w:right="967" w:hanging="420"/>
        <w:jc w:val="left"/>
      </w:pPr>
      <w:r>
        <w:rPr>
          <w:rFonts w:ascii="Times New Roman" w:hAnsi="Times New Roman" w:cs="Times New Roman" w:eastAsia="Times New Roman" w:hint="default"/>
        </w:rPr>
        <w:t>3</w:t>
      </w:r>
      <w:r>
        <w:rPr/>
        <w:t>、关于董事和董事会 公司严格按照《公司法》、《公司章程》规定的选聘程序选举董事。董事会由</w:t>
      </w:r>
      <w:r>
        <w:rPr>
          <w:rFonts w:ascii="Times New Roman" w:hAnsi="Times New Roman" w:cs="Times New Roman" w:eastAsia="Times New Roman" w:hint="default"/>
        </w:rPr>
        <w:t>7</w:t>
      </w:r>
      <w:r>
        <w:rPr/>
        <w:t>人组成，其中</w:t>
      </w:r>
      <w:r>
        <w:rPr>
          <w:rFonts w:ascii="Times New Roman" w:hAnsi="Times New Roman" w:cs="Times New Roman" w:eastAsia="Times New Roman" w:hint="default"/>
        </w:rPr>
        <w:t>3</w:t>
      </w:r>
      <w:r>
        <w:rPr/>
        <w:t>人为独立董事。公司董</w:t>
      </w:r>
    </w:p>
    <w:p>
      <w:pPr>
        <w:pStyle w:val="BodyText"/>
        <w:spacing w:line="217" w:lineRule="exact"/>
        <w:ind w:right="967"/>
        <w:jc w:val="left"/>
      </w:pPr>
      <w:r>
        <w:rPr>
          <w:spacing w:val="-7"/>
        </w:rPr>
        <w:t>事会人数和人员构成符合法律、法规的要求。各位董事能够依据《公司章程》、《董事会议事规则》、《独立董事工作制度》、</w:t>
      </w:r>
    </w:p>
    <w:p>
      <w:pPr>
        <w:pStyle w:val="BodyText"/>
        <w:spacing w:line="319" w:lineRule="auto" w:before="76"/>
        <w:ind w:right="1133"/>
        <w:jc w:val="both"/>
      </w:pPr>
      <w:r>
        <w:rPr>
          <w:spacing w:val="-2"/>
        </w:rPr>
        <w:t>《深圳证券交易所创业板上市公司规范运作指引》等规定开展工作，以认真负责的态度出席董事会和股东大会，从公司和全</w:t>
      </w:r>
      <w:r>
        <w:rPr>
          <w:spacing w:val="-66"/>
        </w:rPr>
        <w:t> </w:t>
      </w:r>
      <w:r>
        <w:rPr>
          <w:spacing w:val="-66"/>
        </w:rPr>
      </w:r>
      <w:r>
        <w:rPr>
          <w:spacing w:val="-2"/>
        </w:rPr>
        <w:t>体股东的利益出发，忠实履行职责，积极参加有关培训，学习有关法律法规，促进董事会规范运作和科学决策。董事会会议</w:t>
      </w:r>
      <w:r>
        <w:rPr>
          <w:spacing w:val="-66"/>
        </w:rPr>
        <w:t> </w:t>
      </w:r>
      <w:r>
        <w:rPr>
          <w:spacing w:val="-66"/>
        </w:rPr>
      </w:r>
      <w:r>
        <w:rPr/>
        <w:t>程序符合规定，会议记录完整、真实，会议相关信息披露及时、准确、充分。</w:t>
      </w:r>
    </w:p>
    <w:p>
      <w:pPr>
        <w:pStyle w:val="BodyText"/>
        <w:spacing w:line="338" w:lineRule="auto" w:before="58"/>
        <w:ind w:left="574" w:right="967" w:hanging="420"/>
        <w:jc w:val="left"/>
      </w:pPr>
      <w:r>
        <w:rPr>
          <w:rFonts w:ascii="Times New Roman" w:hAnsi="Times New Roman" w:cs="Times New Roman" w:eastAsia="Times New Roman" w:hint="default"/>
        </w:rPr>
        <w:t>4</w:t>
      </w:r>
      <w:r>
        <w:rPr/>
        <w:t>、关于监事和监事会 公司严格按照《公司法》、《公司章程》规定的选聘程序选举监事，监事会设监事</w:t>
      </w:r>
      <w:r>
        <w:rPr>
          <w:rFonts w:ascii="Times New Roman" w:hAnsi="Times New Roman" w:cs="Times New Roman" w:eastAsia="Times New Roman" w:hint="default"/>
        </w:rPr>
        <w:t>3</w:t>
      </w:r>
      <w:r>
        <w:rPr/>
        <w:t>名，其中职工选举的监事</w:t>
      </w:r>
      <w:r>
        <w:rPr>
          <w:rFonts w:ascii="Times New Roman" w:hAnsi="Times New Roman" w:cs="Times New Roman" w:eastAsia="Times New Roman" w:hint="default"/>
        </w:rPr>
        <w:t>1</w:t>
      </w:r>
      <w:r>
        <w:rPr/>
        <w:t>名。公</w:t>
      </w:r>
    </w:p>
    <w:p>
      <w:pPr>
        <w:pStyle w:val="BodyText"/>
        <w:spacing w:line="217" w:lineRule="exact"/>
        <w:ind w:right="967"/>
        <w:jc w:val="left"/>
      </w:pPr>
      <w:r>
        <w:rPr/>
        <w:t>司监事会人数和人员构成符合法律、法规的要求。各位监事能够按照《公司章程》、《监事会议事规则》等规定的要求，以</w:t>
      </w:r>
    </w:p>
    <w:p>
      <w:pPr>
        <w:pStyle w:val="BodyText"/>
        <w:spacing w:line="319" w:lineRule="auto" w:before="76"/>
        <w:ind w:right="1131"/>
        <w:jc w:val="both"/>
      </w:pPr>
      <w:r>
        <w:rPr>
          <w:spacing w:val="-2"/>
        </w:rPr>
        <w:t>认真负责的态度出席监事会，学习有关法律法规、积极参加相关业务培训，本着对全体股东尤其是中小股东负责的精神，对</w:t>
      </w:r>
      <w:r>
        <w:rPr>
          <w:spacing w:val="-66"/>
        </w:rPr>
        <w:t> </w:t>
      </w:r>
      <w:r>
        <w:rPr>
          <w:spacing w:val="-66"/>
        </w:rPr>
      </w:r>
      <w:r>
        <w:rPr>
          <w:spacing w:val="-2"/>
        </w:rPr>
        <w:t>公司重大事项、关联交易、财务状况以及董事和其他高级管理人员履行职责的合法、合规性进行监督并发表独立意见，维护</w:t>
      </w:r>
      <w:r>
        <w:rPr>
          <w:spacing w:val="-66"/>
        </w:rPr>
        <w:t> </w:t>
      </w:r>
      <w:r>
        <w:rPr>
          <w:spacing w:val="-66"/>
        </w:rPr>
      </w:r>
      <w:r>
        <w:rPr/>
        <w:t>公司及股东的合法权益。</w:t>
      </w:r>
    </w:p>
    <w:p>
      <w:pPr>
        <w:pStyle w:val="BodyText"/>
        <w:spacing w:line="338" w:lineRule="auto" w:before="56"/>
        <w:ind w:left="574" w:right="967" w:hanging="420"/>
        <w:jc w:val="left"/>
      </w:pPr>
      <w:r>
        <w:rPr>
          <w:rFonts w:ascii="Times New Roman" w:hAnsi="Times New Roman" w:cs="Times New Roman" w:eastAsia="Times New Roman" w:hint="default"/>
        </w:rPr>
        <w:t>5</w:t>
      </w:r>
      <w:r>
        <w:rPr/>
        <w:t>、关于绩效评价与激励约束机制 公司建立并逐步完善公正、透明的董事、监事、高级管理人员的绩效评价标准与激励约束机制；高级管理人员的聘任</w:t>
      </w:r>
    </w:p>
    <w:p>
      <w:pPr>
        <w:pStyle w:val="BodyText"/>
        <w:spacing w:line="240" w:lineRule="auto" w:before="4"/>
        <w:ind w:right="967"/>
        <w:jc w:val="left"/>
      </w:pPr>
      <w:r>
        <w:rPr/>
        <w:t>公开、透明，符合相关法律、法规的规定。</w:t>
      </w:r>
    </w:p>
    <w:p>
      <w:pPr>
        <w:pStyle w:val="BodyText"/>
        <w:spacing w:line="338" w:lineRule="auto" w:before="117"/>
        <w:ind w:left="574" w:right="967" w:hanging="420"/>
        <w:jc w:val="left"/>
      </w:pPr>
      <w:r>
        <w:rPr>
          <w:rFonts w:ascii="Times New Roman" w:hAnsi="Times New Roman" w:cs="Times New Roman" w:eastAsia="Times New Roman" w:hint="default"/>
        </w:rPr>
        <w:t>6</w:t>
      </w:r>
      <w:r>
        <w:rPr/>
        <w:t>、关于相关利益者 公司能够充分尊重和维护相关利益者的合法权益，积极与相关利益者合作，加强与各方的沟通和交流，实现社会、股</w:t>
      </w:r>
    </w:p>
    <w:p>
      <w:pPr>
        <w:pStyle w:val="BodyText"/>
        <w:spacing w:line="240" w:lineRule="auto" w:before="4"/>
        <w:ind w:right="967"/>
        <w:jc w:val="left"/>
      </w:pPr>
      <w:r>
        <w:rPr/>
        <w:t>东、公司、员工等各方利益的协调平衡，推动公司持续、稳定、健康发展。</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338" w:lineRule="auto" w:before="44"/>
        <w:ind w:left="444" w:right="967" w:hanging="291"/>
        <w:jc w:val="left"/>
      </w:pPr>
      <w:r>
        <w:rPr>
          <w:rFonts w:ascii="Times New Roman" w:hAnsi="Times New Roman" w:cs="Times New Roman" w:eastAsia="Times New Roman" w:hint="default"/>
        </w:rPr>
        <w:t>7</w:t>
      </w:r>
      <w:r>
        <w:rPr/>
        <w:t>、关于公司与投资者 </w:t>
      </w:r>
      <w:r>
        <w:rPr>
          <w:spacing w:val="-1"/>
        </w:rPr>
        <w:t>公司高度重视投资者关系和投资者关系管理。董事会秘书办公室为公司的投资者关系管理职能部门，由董事会秘书全面</w:t>
      </w:r>
    </w:p>
    <w:p>
      <w:pPr>
        <w:pStyle w:val="BodyText"/>
        <w:spacing w:line="319" w:lineRule="auto" w:before="2"/>
        <w:ind w:right="1131"/>
        <w:jc w:val="both"/>
      </w:pPr>
      <w:r>
        <w:rPr>
          <w:spacing w:val="-2"/>
        </w:rPr>
        <w:t>负责公司信息披露工作及投资者关系管理工作。报告期内，公司通过年度报告网上说明会、接待投资者现场调研、及时回答</w:t>
      </w:r>
      <w:r>
        <w:rPr>
          <w:spacing w:val="-66"/>
        </w:rPr>
        <w:t> </w:t>
      </w:r>
      <w:r>
        <w:rPr>
          <w:spacing w:val="-66"/>
        </w:rPr>
      </w:r>
      <w:r>
        <w:rPr>
          <w:spacing w:val="-2"/>
        </w:rPr>
        <w:t>投资者互动平台上提出的问题、接听投资者电话等多种方式，有效开展投资者关系管理工作，积极加强与投资者的沟通。同</w:t>
      </w:r>
      <w:r>
        <w:rPr>
          <w:spacing w:val="-66"/>
        </w:rPr>
        <w:t> </w:t>
      </w:r>
      <w:r>
        <w:rPr>
          <w:spacing w:val="-66"/>
        </w:rPr>
      </w:r>
      <w:r>
        <w:rPr>
          <w:spacing w:val="-2"/>
        </w:rPr>
        <w:t>时，公司严格按照相关规定，要求参加现场调研的投资者签署承诺书，并及时披露现场调研活动记录，未在投资者关系管理</w:t>
      </w:r>
      <w:r>
        <w:rPr>
          <w:spacing w:val="-66"/>
        </w:rPr>
        <w:t> </w:t>
      </w:r>
      <w:r>
        <w:rPr>
          <w:spacing w:val="-66"/>
        </w:rPr>
      </w:r>
      <w:r>
        <w:rPr/>
        <w:t>活动中违规泄露未公开的重大信息。</w:t>
      </w:r>
    </w:p>
    <w:p>
      <w:pPr>
        <w:pStyle w:val="BodyText"/>
        <w:spacing w:line="338" w:lineRule="auto" w:before="58"/>
        <w:ind w:left="574" w:right="967" w:hanging="420"/>
        <w:jc w:val="left"/>
      </w:pPr>
      <w:r>
        <w:rPr>
          <w:rFonts w:ascii="Times New Roman" w:hAnsi="Times New Roman" w:cs="Times New Roman" w:eastAsia="Times New Roman" w:hint="default"/>
        </w:rPr>
        <w:t>8</w:t>
      </w:r>
      <w:r>
        <w:rPr/>
        <w:t>、关于信息披露与透明度 公司严格按照《深圳证券交易所创业板股票上市规则》、《上市公司信息披露管理办法》等有关法律法规和《公司信</w:t>
      </w:r>
    </w:p>
    <w:p>
      <w:pPr>
        <w:pStyle w:val="BodyText"/>
        <w:spacing w:line="312" w:lineRule="auto" w:before="2"/>
        <w:ind w:right="1130"/>
        <w:jc w:val="both"/>
      </w:pPr>
      <w:r>
        <w:rPr>
          <w:spacing w:val="-2"/>
        </w:rPr>
        <w:t>息披露管理制度》的规定，加强信息披露事务管理，履行信息披露义务。公司已建立内幕信息知情人登记管理机制，严格控</w:t>
      </w:r>
      <w:r>
        <w:rPr>
          <w:spacing w:val="-66"/>
        </w:rPr>
        <w:t> </w:t>
      </w:r>
      <w:r>
        <w:rPr>
          <w:spacing w:val="-66"/>
        </w:rPr>
      </w:r>
      <w:r>
        <w:rPr>
          <w:spacing w:val="4"/>
        </w:rPr>
        <w:t>制内幕信息知情人范围。公司指定《中国证券报》、《证券时报》和中国证监会创业板指定信息披露网站（巨潮资讯网</w:t>
      </w:r>
      <w:r>
        <w:rPr>
          <w:spacing w:val="-56"/>
        </w:rPr>
        <w:t> </w:t>
      </w:r>
      <w:r>
        <w:rPr>
          <w:spacing w:val="-56"/>
        </w:rPr>
      </w:r>
      <w:hyperlink r:id="rId11">
        <w:r>
          <w:rPr>
            <w:rFonts w:ascii="Times New Roman" w:hAnsi="Times New Roman" w:cs="Times New Roman" w:eastAsia="Times New Roman" w:hint="default"/>
          </w:rPr>
          <w:t>www.cninfo.com.cn</w:t>
        </w:r>
      </w:hyperlink>
      <w:r>
        <w:rPr/>
        <w:t>）为公司信息披露报纸和网站，真实、准确、及时、完整的披露信息，确保所有投资者公平获取公司信</w:t>
      </w:r>
      <w:r>
        <w:rPr>
          <w:spacing w:val="-34"/>
        </w:rPr>
        <w:t> </w:t>
      </w:r>
      <w:r>
        <w:rPr>
          <w:spacing w:val="-34"/>
        </w:rPr>
      </w:r>
      <w:r>
        <w:rPr/>
        <w:t>息。</w:t>
      </w:r>
    </w:p>
    <w:p>
      <w:pPr>
        <w:pStyle w:val="BodyText"/>
        <w:spacing w:line="240" w:lineRule="auto" w:before="62"/>
        <w:ind w:right="0"/>
        <w:jc w:val="both"/>
      </w:pPr>
      <w:r>
        <w:rPr/>
        <w:t>公司治理的实际状况与中国证监会发布的有关上市公司治理的规范性文件是否存在重大差异</w:t>
      </w:r>
    </w:p>
    <w:p>
      <w:pPr>
        <w:pStyle w:val="BodyText"/>
        <w:spacing w:line="338" w:lineRule="auto" w:before="117"/>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31"/>
      <w:bookmarkEnd w:id="131"/>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67" w:firstLine="420"/>
        <w:jc w:val="left"/>
      </w:pPr>
      <w:r>
        <w:rPr/>
        <w:t>公司严格按照《公司法》、《证券法》等有关法律法规和《公司章程》的要求规范运作，与控股股东在业务、人员、 资产、机构、财务等方面保持独立，具有独立完整的业务及自主经营能力。。</w:t>
      </w:r>
    </w:p>
    <w:p>
      <w:pPr>
        <w:pStyle w:val="BodyText"/>
        <w:spacing w:line="302" w:lineRule="auto" w:before="55"/>
        <w:ind w:right="1114" w:firstLine="420"/>
        <w:jc w:val="left"/>
      </w:pPr>
      <w:r>
        <w:rPr>
          <w:rFonts w:ascii="Times New Roman" w:hAnsi="Times New Roman" w:cs="Times New Roman" w:eastAsia="Times New Roman" w:hint="default"/>
          <w:spacing w:val="-1"/>
        </w:rPr>
        <w:t>1</w:t>
      </w:r>
      <w:r>
        <w:rPr>
          <w:spacing w:val="-1"/>
        </w:rPr>
        <w:t>、业务方面：公司拥有独立完整的业务体系和自主经营能力，控股股东按照承诺未从事与公司业务相同或相近的业务</w:t>
      </w:r>
      <w:r>
        <w:rPr/>
        <w:t> 活动。</w:t>
      </w:r>
    </w:p>
    <w:p>
      <w:pPr>
        <w:pStyle w:val="BodyText"/>
        <w:spacing w:line="302" w:lineRule="auto" w:before="69"/>
        <w:ind w:right="967" w:firstLine="420"/>
        <w:jc w:val="left"/>
      </w:pPr>
      <w:r>
        <w:rPr>
          <w:rFonts w:ascii="Times New Roman" w:hAnsi="Times New Roman" w:cs="Times New Roman" w:eastAsia="Times New Roman" w:hint="default"/>
          <w:spacing w:val="-2"/>
        </w:rPr>
        <w:t>2</w:t>
      </w:r>
      <w:r>
        <w:rPr>
          <w:spacing w:val="-2"/>
        </w:rPr>
        <w:t>、人员方面：公司拥有独立的人事和劳资管理体系，公司总经理、副总经理、财务负责人和董事会秘书等高级管理人</w:t>
      </w:r>
      <w:r>
        <w:rPr/>
        <w:t> 员均在本公司领取报酬。</w:t>
      </w:r>
    </w:p>
    <w:p>
      <w:pPr>
        <w:pStyle w:val="BodyText"/>
        <w:spacing w:line="240" w:lineRule="auto" w:before="69"/>
        <w:ind w:left="574" w:right="967"/>
        <w:jc w:val="left"/>
      </w:pPr>
      <w:r>
        <w:rPr>
          <w:rFonts w:ascii="Times New Roman" w:hAnsi="Times New Roman" w:cs="Times New Roman" w:eastAsia="Times New Roman" w:hint="default"/>
        </w:rPr>
        <w:t>3</w:t>
      </w:r>
      <w:r>
        <w:rPr/>
        <w:t>、资产方面：公司供、销系统完整独立。商标、非专利技术等无形资产和有形资产均有本公司拥有，产权界定清晰。</w:t>
      </w:r>
    </w:p>
    <w:p>
      <w:pPr>
        <w:pStyle w:val="BodyText"/>
        <w:spacing w:line="302" w:lineRule="auto" w:before="101"/>
        <w:ind w:right="1062" w:firstLine="420"/>
        <w:jc w:val="left"/>
      </w:pPr>
      <w:r>
        <w:rPr>
          <w:rFonts w:ascii="Times New Roman" w:hAnsi="Times New Roman" w:cs="Times New Roman" w:eastAsia="Times New Roman" w:hint="default"/>
        </w:rPr>
        <w:t>4</w:t>
      </w:r>
      <w:r>
        <w:rPr/>
        <w:t>、机构方面：公司设有健全的组织机构体系，股东大会、董事会、监事会及董事会下属专业委员会等机构独立运作， 不受控股股东及其他单位或个人的干涉。</w:t>
      </w:r>
    </w:p>
    <w:p>
      <w:pPr>
        <w:pStyle w:val="BodyText"/>
        <w:spacing w:line="302" w:lineRule="auto" w:before="69"/>
        <w:ind w:right="967" w:firstLine="420"/>
        <w:jc w:val="left"/>
      </w:pPr>
      <w:r>
        <w:rPr>
          <w:rFonts w:ascii="Times New Roman" w:hAnsi="Times New Roman" w:cs="Times New Roman" w:eastAsia="Times New Roman" w:hint="default"/>
          <w:spacing w:val="-2"/>
        </w:rPr>
        <w:t>5</w:t>
      </w:r>
      <w:r>
        <w:rPr>
          <w:spacing w:val="-2"/>
        </w:rPr>
        <w:t>、财务方面：公司设有完整、独立的财务机构，配备了充足的专职财务人员，建立了独立的会计核算体系和财务管理</w:t>
      </w:r>
      <w:r>
        <w:rPr/>
        <w:t> 制度，并独立开设银行账户、独立纳税、独立做出财务决策。</w:t>
      </w:r>
    </w:p>
    <w:p>
      <w:pPr>
        <w:spacing w:line="240" w:lineRule="auto" w:before="5"/>
        <w:rPr>
          <w:rFonts w:ascii="宋体" w:hAnsi="宋体" w:cs="宋体" w:eastAsia="宋体" w:hint="default"/>
          <w:sz w:val="21"/>
          <w:szCs w:val="21"/>
        </w:rPr>
      </w:pPr>
    </w:p>
    <w:p>
      <w:pPr>
        <w:pStyle w:val="Heading2"/>
        <w:spacing w:line="240" w:lineRule="auto"/>
        <w:ind w:right="0"/>
        <w:jc w:val="both"/>
        <w:rPr>
          <w:b w:val="0"/>
          <w:bCs w:val="0"/>
        </w:rPr>
      </w:pPr>
      <w:bookmarkStart w:name="三、同业竞争情况" w:id="132"/>
      <w:bookmarkEnd w:id="132"/>
      <w:r>
        <w:rPr>
          <w:b w:val="0"/>
          <w:bCs w:val="0"/>
        </w:rPr>
      </w: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四、报告期内召开的年度股东大会和临时股东大会的有关情况" w:id="133"/>
      <w:bookmarkEnd w:id="133"/>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本报告期股东大会情况" w:id="134"/>
      <w:bookmarkEnd w:id="134"/>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2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32.98%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5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时股东大会决议公 </w:t>
            </w:r>
            <w:r>
              <w:rPr>
                <w:rFonts w:ascii="宋体" w:hAnsi="宋体" w:cs="宋体" w:eastAsia="宋体" w:hint="default"/>
                <w:spacing w:val="-7"/>
                <w:sz w:val="18"/>
                <w:szCs w:val="18"/>
              </w:rPr>
              <w:t>告》（</w:t>
            </w:r>
            <w:r>
              <w:rPr>
                <w:rFonts w:ascii="Times New Roman" w:hAnsi="Times New Roman" w:cs="Times New Roman" w:eastAsia="Times New Roman" w:hint="default"/>
                <w:spacing w:val="-7"/>
                <w:sz w:val="18"/>
                <w:szCs w:val="18"/>
              </w:rPr>
              <w:t>2018-016</w:t>
            </w:r>
            <w:r>
              <w:rPr>
                <w:rFonts w:ascii="宋体" w:hAnsi="宋体" w:cs="宋体" w:eastAsia="宋体" w:hint="default"/>
                <w:spacing w:val="-7"/>
                <w:sz w:val="18"/>
                <w:szCs w:val="18"/>
              </w:rPr>
              <w:t>）巨</w:t>
            </w:r>
            <w:r>
              <w:rPr>
                <w:rFonts w:ascii="宋体" w:hAnsi="宋体" w:cs="宋体" w:eastAsia="宋体" w:hint="default"/>
                <w:sz w:val="18"/>
                <w:szCs w:val="18"/>
              </w:rPr>
              <w:t> 潮资讯网</w:t>
            </w:r>
          </w:p>
        </w:tc>
      </w:tr>
    </w:tbl>
    <w:p>
      <w:pPr>
        <w:spacing w:after="0" w:line="307" w:lineRule="auto"/>
        <w:jc w:val="both"/>
        <w:rPr>
          <w:rFonts w:ascii="宋体" w:hAnsi="宋体" w:cs="宋体" w:eastAsia="宋体" w:hint="default"/>
          <w:sz w:val="18"/>
          <w:szCs w:val="18"/>
        </w:rPr>
        <w:sectPr>
          <w:footerReference w:type="default" r:id="rId38"/>
          <w:pgSz w:w="11910" w:h="16840"/>
          <w:pgMar w:footer="979" w:header="877"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674"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 会决议公告》</w:t>
            </w:r>
          </w:p>
          <w:p>
            <w:pPr>
              <w:pStyle w:val="TableParagraph"/>
              <w:spacing w:line="300" w:lineRule="auto" w:before="32"/>
              <w:ind w:left="23" w:right="2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2018-035</w:t>
            </w:r>
            <w:r>
              <w:rPr>
                <w:rFonts w:ascii="宋体" w:hAnsi="宋体" w:cs="宋体" w:eastAsia="宋体" w:hint="default"/>
                <w:spacing w:val="-4"/>
                <w:sz w:val="18"/>
                <w:szCs w:val="18"/>
              </w:rPr>
              <w:t>）巨潮资</w:t>
            </w:r>
            <w:r>
              <w:rPr>
                <w:rFonts w:ascii="宋体" w:hAnsi="宋体" w:cs="宋体" w:eastAsia="宋体" w:hint="default"/>
                <w:sz w:val="18"/>
                <w:szCs w:val="18"/>
              </w:rPr>
              <w:t> 讯网</w:t>
            </w:r>
          </w:p>
          <w:p>
            <w:pPr>
              <w:pStyle w:val="TableParagraph"/>
              <w:spacing w:line="240" w:lineRule="auto" w:before="3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5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时股东大会决议公 </w:t>
            </w:r>
            <w:r>
              <w:rPr>
                <w:rFonts w:ascii="宋体" w:hAnsi="宋体" w:cs="宋体" w:eastAsia="宋体" w:hint="default"/>
                <w:spacing w:val="-7"/>
                <w:sz w:val="18"/>
                <w:szCs w:val="18"/>
              </w:rPr>
              <w:t>告》（</w:t>
            </w:r>
            <w:r>
              <w:rPr>
                <w:rFonts w:ascii="Times New Roman" w:hAnsi="Times New Roman" w:cs="Times New Roman" w:eastAsia="Times New Roman" w:hint="default"/>
                <w:spacing w:val="-7"/>
                <w:sz w:val="18"/>
                <w:szCs w:val="18"/>
              </w:rPr>
              <w:t>2018-050</w:t>
            </w:r>
            <w:r>
              <w:rPr>
                <w:rFonts w:ascii="宋体" w:hAnsi="宋体" w:cs="宋体" w:eastAsia="宋体" w:hint="default"/>
                <w:spacing w:val="-7"/>
                <w:sz w:val="18"/>
                <w:szCs w:val="18"/>
              </w:rPr>
              <w:t>）巨</w:t>
            </w:r>
            <w:r>
              <w:rPr>
                <w:rFonts w:ascii="宋体" w:hAnsi="宋体" w:cs="宋体" w:eastAsia="宋体" w:hint="default"/>
                <w:sz w:val="18"/>
                <w:szCs w:val="18"/>
              </w:rPr>
              <w:t> 潮资讯网</w:t>
            </w:r>
          </w:p>
          <w:p>
            <w:pPr>
              <w:pStyle w:val="TableParagraph"/>
              <w:spacing w:line="240" w:lineRule="auto" w:before="28"/>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5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时股东大会决议公 </w:t>
            </w:r>
            <w:r>
              <w:rPr>
                <w:rFonts w:ascii="宋体" w:hAnsi="宋体" w:cs="宋体" w:eastAsia="宋体" w:hint="default"/>
                <w:spacing w:val="-7"/>
                <w:sz w:val="18"/>
                <w:szCs w:val="18"/>
              </w:rPr>
              <w:t>告》（</w:t>
            </w:r>
            <w:r>
              <w:rPr>
                <w:rFonts w:ascii="Times New Roman" w:hAnsi="Times New Roman" w:cs="Times New Roman" w:eastAsia="Times New Roman" w:hint="default"/>
                <w:spacing w:val="-7"/>
                <w:sz w:val="18"/>
                <w:szCs w:val="18"/>
              </w:rPr>
              <w:t>2018-072</w:t>
            </w:r>
            <w:r>
              <w:rPr>
                <w:rFonts w:ascii="宋体" w:hAnsi="宋体" w:cs="宋体" w:eastAsia="宋体" w:hint="default"/>
                <w:spacing w:val="-7"/>
                <w:sz w:val="18"/>
                <w:szCs w:val="18"/>
              </w:rPr>
              <w:t>）巨</w:t>
            </w:r>
            <w:r>
              <w:rPr>
                <w:rFonts w:ascii="宋体" w:hAnsi="宋体" w:cs="宋体" w:eastAsia="宋体" w:hint="default"/>
                <w:sz w:val="18"/>
                <w:szCs w:val="18"/>
              </w:rPr>
              <w:t> 潮资讯网</w:t>
            </w:r>
          </w:p>
          <w:p>
            <w:pPr>
              <w:pStyle w:val="TableParagraph"/>
              <w:spacing w:line="240" w:lineRule="auto" w:before="28"/>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5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 时股东大会决议公 </w:t>
            </w:r>
            <w:r>
              <w:rPr>
                <w:rFonts w:ascii="宋体" w:hAnsi="宋体" w:cs="宋体" w:eastAsia="宋体" w:hint="default"/>
                <w:spacing w:val="-7"/>
                <w:sz w:val="18"/>
                <w:szCs w:val="18"/>
              </w:rPr>
              <w:t>告》（</w:t>
            </w:r>
            <w:r>
              <w:rPr>
                <w:rFonts w:ascii="Times New Roman" w:hAnsi="Times New Roman" w:cs="Times New Roman" w:eastAsia="Times New Roman" w:hint="default"/>
                <w:spacing w:val="-7"/>
                <w:sz w:val="18"/>
                <w:szCs w:val="18"/>
              </w:rPr>
              <w:t>2018-102</w:t>
            </w:r>
            <w:r>
              <w:rPr>
                <w:rFonts w:ascii="宋体" w:hAnsi="宋体" w:cs="宋体" w:eastAsia="宋体" w:hint="default"/>
                <w:spacing w:val="-7"/>
                <w:sz w:val="18"/>
                <w:szCs w:val="18"/>
              </w:rPr>
              <w:t>）巨</w:t>
            </w:r>
            <w:r>
              <w:rPr>
                <w:rFonts w:ascii="宋体" w:hAnsi="宋体" w:cs="宋体" w:eastAsia="宋体" w:hint="default"/>
                <w:sz w:val="18"/>
                <w:szCs w:val="18"/>
              </w:rPr>
              <w:t> 潮资讯网</w:t>
            </w:r>
          </w:p>
          <w:p>
            <w:pPr>
              <w:pStyle w:val="TableParagraph"/>
              <w:spacing w:line="240" w:lineRule="auto" w:before="26"/>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right="967"/>
        <w:jc w:val="left"/>
        <w:rPr>
          <w:b w:val="0"/>
          <w:bCs w:val="0"/>
        </w:rPr>
      </w:pPr>
      <w:bookmarkStart w:name="2、表决权恢复的优先股股东请求召开临时股东大会" w:id="135"/>
      <w:bookmarkEnd w:id="135"/>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67"/>
        <w:jc w:val="left"/>
        <w:rPr>
          <w:b w:val="0"/>
          <w:bCs w:val="0"/>
        </w:rPr>
      </w:pPr>
      <w:bookmarkStart w:name="五、报告期内独立董事履行职责的情况" w:id="136"/>
      <w:bookmarkEnd w:id="136"/>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67"/>
        <w:jc w:val="left"/>
        <w:rPr>
          <w:b w:val="0"/>
          <w:bCs w:val="0"/>
        </w:rPr>
      </w:pPr>
      <w:bookmarkStart w:name="1、独立董事出席董事会及股东大会的情况" w:id="137"/>
      <w:bookmarkEnd w:id="137"/>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丁芸</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范贵福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footerReference w:type="default" r:id="rId39"/>
          <w:pgSz w:w="11910" w:h="16840"/>
          <w:pgMar w:footer="979" w:header="877" w:top="1100" w:bottom="1160" w:left="980" w:right="0"/>
          <w:pgNumType w:start="101"/>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60" w:lineRule="auto" w:before="51"/>
        <w:ind w:right="8052"/>
        <w:jc w:val="left"/>
      </w:pPr>
      <w:r>
        <w:rPr/>
        <w:t>连续两次未亲自出席董事会的说明 身体原因</w:t>
      </w:r>
    </w:p>
    <w:p>
      <w:pPr>
        <w:spacing w:line="240" w:lineRule="auto" w:before="11"/>
        <w:rPr>
          <w:rFonts w:ascii="宋体" w:hAnsi="宋体" w:cs="宋体" w:eastAsia="宋体" w:hint="default"/>
          <w:sz w:val="19"/>
          <w:szCs w:val="19"/>
        </w:rPr>
      </w:pPr>
    </w:p>
    <w:p>
      <w:pPr>
        <w:pStyle w:val="Heading3"/>
        <w:spacing w:line="240" w:lineRule="auto"/>
        <w:ind w:right="967"/>
        <w:jc w:val="left"/>
        <w:rPr>
          <w:b w:val="0"/>
          <w:bCs w:val="0"/>
        </w:rPr>
      </w:pPr>
      <w:bookmarkStart w:name="2、独立董事对公司有关事项提出异议的情况" w:id="138"/>
      <w:bookmarkEnd w:id="138"/>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67"/>
        <w:jc w:val="left"/>
      </w:pPr>
      <w:r>
        <w:rPr/>
        <w:t>独立董事对公司有关事项是否提出异议</w:t>
      </w:r>
    </w:p>
    <w:p>
      <w:pPr>
        <w:pStyle w:val="BodyText"/>
        <w:spacing w:line="340" w:lineRule="auto" w:before="116"/>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right="967"/>
        <w:jc w:val="left"/>
        <w:rPr>
          <w:b w:val="0"/>
          <w:bCs w:val="0"/>
        </w:rPr>
      </w:pPr>
      <w:bookmarkStart w:name="3、独立董事履行职责的其他说明" w:id="139"/>
      <w:bookmarkEnd w:id="139"/>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67"/>
        <w:jc w:val="left"/>
      </w:pPr>
      <w:r>
        <w:rPr/>
        <w:t>独立董事对公司有关建议是否被采纳</w:t>
      </w:r>
    </w:p>
    <w:p>
      <w:pPr>
        <w:pStyle w:val="BodyText"/>
        <w:spacing w:line="338" w:lineRule="auto" w:before="116"/>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2"/>
        <w:ind w:right="967" w:firstLine="360"/>
        <w:jc w:val="left"/>
      </w:pPr>
      <w:r>
        <w:rPr>
          <w:spacing w:val="-2"/>
        </w:rPr>
        <w:t>报告期内，公司独立董事严格按照《公司法》、《证券法》、《深圳证券交易所创业板股票上市规则》、《深圳证券交</w:t>
      </w:r>
      <w:r>
        <w:rPr/>
        <w:t> </w:t>
      </w:r>
      <w:r>
        <w:rPr>
          <w:spacing w:val="-4"/>
        </w:rPr>
        <w:t>易所创业板上市公司规范运作指引》、《关于在上市公司建立独立董事制度的指导意见》及《公司章程》等规范性文件要求，</w:t>
      </w:r>
      <w:r>
        <w:rPr>
          <w:spacing w:val="-44"/>
        </w:rPr>
        <w:t> </w:t>
      </w:r>
      <w:r>
        <w:rPr>
          <w:spacing w:val="-44"/>
        </w:rPr>
      </w:r>
      <w:r>
        <w:rPr>
          <w:spacing w:val="-2"/>
        </w:rPr>
        <w:t>积极出席公司董事会、股东大会，认真履行独立董事职责，对公司的发展决策提出了建设性的意见或建议，与其他董事、监</w:t>
      </w:r>
      <w:r>
        <w:rPr>
          <w:spacing w:val="-66"/>
        </w:rPr>
        <w:t> </w:t>
      </w:r>
      <w:r>
        <w:rPr>
          <w:spacing w:val="-66"/>
        </w:rPr>
      </w:r>
      <w:r>
        <w:rPr>
          <w:spacing w:val="-2"/>
        </w:rPr>
        <w:t>事及管理层及时沟通交流，掌握公司发展动态。同时，对公司完善内控制度等方面提出了很多专业性建议，有效保证了公司</w:t>
      </w:r>
      <w:r>
        <w:rPr>
          <w:spacing w:val="-66"/>
        </w:rPr>
        <w:t> </w:t>
      </w:r>
      <w:r>
        <w:rPr>
          <w:spacing w:val="-66"/>
        </w:rPr>
      </w:r>
      <w:r>
        <w:rPr>
          <w:spacing w:val="-2"/>
        </w:rPr>
        <w:t>董事会决策的公正性和客观性，维护了公司整体利益和广大中小股东的合法权益，为公司的规范运作和健康发展发挥了积极</w:t>
      </w:r>
      <w:r>
        <w:rPr>
          <w:spacing w:val="-64"/>
        </w:rPr>
        <w:t> </w:t>
      </w:r>
      <w:r>
        <w:rPr>
          <w:spacing w:val="-64"/>
        </w:rPr>
      </w:r>
      <w:r>
        <w:rPr/>
        <w:t>作用。</w:t>
      </w:r>
    </w:p>
    <w:p>
      <w:pPr>
        <w:spacing w:line="240" w:lineRule="auto" w:before="10"/>
        <w:rPr>
          <w:rFonts w:ascii="宋体" w:hAnsi="宋体" w:cs="宋体" w:eastAsia="宋体" w:hint="default"/>
          <w:sz w:val="20"/>
          <w:szCs w:val="20"/>
        </w:rPr>
      </w:pPr>
    </w:p>
    <w:p>
      <w:pPr>
        <w:pStyle w:val="Heading2"/>
        <w:spacing w:line="240" w:lineRule="auto"/>
        <w:ind w:right="967"/>
        <w:jc w:val="left"/>
        <w:rPr>
          <w:b w:val="0"/>
          <w:bCs w:val="0"/>
        </w:rPr>
      </w:pPr>
      <w:bookmarkStart w:name="六、董事会下设专门委员会在报告期内履行职责情况" w:id="140"/>
      <w:bookmarkEnd w:id="140"/>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2" w:lineRule="auto"/>
        <w:ind w:right="967" w:firstLine="360"/>
        <w:jc w:val="left"/>
      </w:pPr>
      <w:r>
        <w:rPr>
          <w:spacing w:val="-2"/>
        </w:rPr>
        <w:t>公司董事会下设四个专门委员会，分别为：战略委员会、审计委员会、薪酬与考核委员会、提名委员会。</w:t>
      </w:r>
      <w:r>
        <w:rPr>
          <w:rFonts w:ascii="Times New Roman" w:hAnsi="Times New Roman" w:cs="Times New Roman" w:eastAsia="Times New Roman" w:hint="default"/>
          <w:spacing w:val="-2"/>
        </w:rPr>
        <w:t>2018</w:t>
      </w:r>
      <w:r>
        <w:rPr>
          <w:spacing w:val="-2"/>
        </w:rPr>
        <w:t>年度，各</w:t>
      </w:r>
      <w:r>
        <w:rPr/>
        <w:t> 专门委员会本着勤勉尽责的原则，按照有关法律、法规、规范性文件及公司各专门委员会工作细则的规定开展相关工作。</w:t>
      </w:r>
    </w:p>
    <w:p>
      <w:pPr>
        <w:pStyle w:val="BodyText"/>
        <w:spacing w:line="240" w:lineRule="auto" w:before="69"/>
        <w:ind w:left="514" w:right="967"/>
        <w:jc w:val="left"/>
      </w:pPr>
      <w:r>
        <w:rPr/>
        <w:t>报告期内，各专门委员会履职情况如下：</w:t>
      </w:r>
    </w:p>
    <w:p>
      <w:pPr>
        <w:pStyle w:val="BodyText"/>
        <w:spacing w:line="309" w:lineRule="auto" w:before="116"/>
        <w:ind w:right="1133" w:firstLine="420"/>
        <w:jc w:val="both"/>
      </w:pPr>
      <w:r>
        <w:rPr>
          <w:rFonts w:ascii="Times New Roman" w:hAnsi="Times New Roman" w:cs="Times New Roman" w:eastAsia="Times New Roman" w:hint="default"/>
        </w:rPr>
        <w:t>1.</w:t>
      </w:r>
      <w:r>
        <w:rPr/>
        <w:t>报告期内，公司董事会战略委员会按照《董事会战略委员会工作细则》等相关制度的规定，了解公司的经营情况及 </w:t>
      </w:r>
      <w:r>
        <w:rPr>
          <w:spacing w:val="-2"/>
        </w:rPr>
        <w:t>发展状况，对公司的战略规划进行审核，积极研究符合公司发展方向的战略布局，为公司的健康、快速发展出谋划策，促进</w:t>
      </w:r>
      <w:r>
        <w:rPr>
          <w:spacing w:val="-66"/>
        </w:rPr>
        <w:t> </w:t>
      </w:r>
      <w:r>
        <w:rPr>
          <w:spacing w:val="-66"/>
        </w:rPr>
      </w:r>
      <w:r>
        <w:rPr/>
        <w:t>了公司董事会决策的科学性、高效性。</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BodyText"/>
        <w:spacing w:line="307" w:lineRule="auto"/>
        <w:ind w:right="1032" w:firstLine="420"/>
        <w:jc w:val="left"/>
      </w:pPr>
      <w:r>
        <w:rPr>
          <w:rFonts w:ascii="Times New Roman" w:hAnsi="Times New Roman" w:cs="Times New Roman" w:eastAsia="Times New Roman" w:hint="default"/>
        </w:rPr>
        <w:t>2.</w:t>
      </w:r>
      <w:r>
        <w:rPr/>
        <w:t>报告期内，公司董事会审计委员会按照《董事会审计委员会工作细则》等相关制度的规定，积极履行职责，认真审 </w:t>
      </w:r>
      <w:r>
        <w:rPr>
          <w:spacing w:val="-2"/>
        </w:rPr>
        <w:t>议公司内审部门提交的内审报告及工作计划，指导公司审计部在内部审计过程中应重点关注和检查的事项，督促公司内部控</w:t>
      </w:r>
      <w:r>
        <w:rPr>
          <w:spacing w:val="-64"/>
        </w:rPr>
        <w:t> </w:t>
      </w:r>
      <w:r>
        <w:rPr>
          <w:spacing w:val="-64"/>
        </w:rPr>
      </w:r>
      <w:r>
        <w:rPr>
          <w:spacing w:val="-2"/>
        </w:rPr>
        <w:t>制的有效执行。在</w:t>
      </w:r>
      <w:r>
        <w:rPr>
          <w:rFonts w:ascii="Times New Roman" w:hAnsi="Times New Roman" w:cs="Times New Roman" w:eastAsia="Times New Roman" w:hint="default"/>
          <w:spacing w:val="-2"/>
        </w:rPr>
        <w:t>2018</w:t>
      </w:r>
      <w:r>
        <w:rPr>
          <w:spacing w:val="-2"/>
        </w:rPr>
        <w:t>年度审计报告编制过程中，审计委员会在审计机构进场前与会计师召开了第一次沟通见面会，确定了</w:t>
      </w:r>
      <w:r>
        <w:rPr>
          <w:spacing w:val="-62"/>
        </w:rPr>
        <w:t> </w:t>
      </w:r>
      <w:r>
        <w:rPr>
          <w:spacing w:val="-62"/>
        </w:rPr>
      </w:r>
      <w:r>
        <w:rPr>
          <w:spacing w:val="-2"/>
        </w:rPr>
        <w:t>审计机构进场审计的时间及</w:t>
      </w:r>
      <w:r>
        <w:rPr>
          <w:rFonts w:ascii="Times New Roman" w:hAnsi="Times New Roman" w:cs="Times New Roman" w:eastAsia="Times New Roman" w:hint="default"/>
          <w:spacing w:val="-2"/>
        </w:rPr>
        <w:t>2018</w:t>
      </w:r>
      <w:r>
        <w:rPr>
          <w:spacing w:val="-2"/>
        </w:rPr>
        <w:t>年度财务报告的审计计划，并在审计过程中加强了与会计师的联系，督促其按计划进行审计</w:t>
      </w:r>
      <w:r>
        <w:rPr>
          <w:spacing w:val="-60"/>
        </w:rPr>
        <w:t> </w:t>
      </w:r>
      <w:r>
        <w:rPr>
          <w:spacing w:val="-60"/>
        </w:rPr>
      </w:r>
      <w:r>
        <w:rPr>
          <w:spacing w:val="-2"/>
        </w:rPr>
        <w:t>工作，对发现的问题保持及时有效沟通，积极提出建议，提高审计效率，为公司</w:t>
      </w:r>
      <w:r>
        <w:rPr>
          <w:rFonts w:ascii="Times New Roman" w:hAnsi="Times New Roman" w:cs="Times New Roman" w:eastAsia="Times New Roman" w:hint="default"/>
          <w:spacing w:val="-2"/>
        </w:rPr>
        <w:t>2018</w:t>
      </w:r>
      <w:r>
        <w:rPr>
          <w:spacing w:val="-2"/>
        </w:rPr>
        <w:t>年度报告的高质、高效披露提供了有利</w:t>
      </w:r>
      <w:r>
        <w:rPr>
          <w:spacing w:val="-62"/>
        </w:rPr>
        <w:t> </w:t>
      </w:r>
      <w:r>
        <w:rPr>
          <w:spacing w:val="-62"/>
        </w:rPr>
      </w:r>
      <w:r>
        <w:rPr>
          <w:spacing w:val="-2"/>
        </w:rPr>
        <w:t>保障。审计委员会每个季度至少召开一次会议审议内部审计工作的开展情况，对内审工作是否按照年初制定的审计计划实施</w:t>
      </w:r>
      <w:r>
        <w:rPr>
          <w:spacing w:val="-63"/>
        </w:rPr>
        <w:t> </w:t>
      </w:r>
      <w:r>
        <w:rPr>
          <w:spacing w:val="-63"/>
        </w:rPr>
      </w:r>
      <w:r>
        <w:rPr/>
        <w:t>进行了核查，并提出了合理的建议，监督和促进了公司内部审计工作的开展同时审计委员会认真履行内控指导和监督职责， 督促公司建立健全内控制度，促进公司持续健康发展。报告期内，对计提商誉和聘请外部审计机构事项发表了审核意见。</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pStyle w:val="BodyText"/>
        <w:spacing w:line="240" w:lineRule="auto"/>
        <w:ind w:left="574" w:right="967"/>
        <w:jc w:val="left"/>
      </w:pPr>
      <w:r>
        <w:rPr>
          <w:rFonts w:ascii="Times New Roman" w:hAnsi="Times New Roman" w:cs="Times New Roman" w:eastAsia="Times New Roman" w:hint="default"/>
        </w:rPr>
        <w:t>3.</w:t>
      </w:r>
      <w:r>
        <w:rPr/>
        <w:t>报告期内，公司董事会薪酬与考核委员会，按照《董事会薪酬与考核委员会工作细则》等相关制度的规定，对公司</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967"/>
        <w:jc w:val="left"/>
      </w:pPr>
      <w:r>
        <w:rPr/>
        <w:t>董事和高级管理人员的薪酬情况进行了考评，监督公司薪酬制度的执行情况。</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02" w:lineRule="auto"/>
        <w:ind w:right="967" w:firstLine="420"/>
        <w:jc w:val="left"/>
      </w:pPr>
      <w:r>
        <w:rPr>
          <w:rFonts w:ascii="Times New Roman" w:hAnsi="Times New Roman" w:cs="Times New Roman" w:eastAsia="Times New Roman" w:hint="default"/>
        </w:rPr>
        <w:t>4.</w:t>
      </w:r>
      <w:r>
        <w:rPr/>
        <w:t>报告期内，董事会提名委员会按照《董事会提名委员会工作细则》等相关制度的规定，认真履行自己的职责，对独 立董事提名，补选董事等事项提出了建设性建议，并对相关人员的任职资格认真进行了核查，并发表了审核意见。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2"/>
          <w:szCs w:val="12"/>
        </w:rPr>
      </w:pPr>
    </w:p>
    <w:p>
      <w:pPr>
        <w:pStyle w:val="Heading2"/>
        <w:spacing w:line="240" w:lineRule="auto"/>
        <w:ind w:right="967"/>
        <w:jc w:val="left"/>
        <w:rPr>
          <w:b w:val="0"/>
          <w:bCs w:val="0"/>
        </w:rPr>
      </w:pPr>
      <w:bookmarkStart w:name="七、监事会工作情况" w:id="141"/>
      <w:bookmarkEnd w:id="141"/>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67"/>
        <w:jc w:val="left"/>
      </w:pPr>
      <w:r>
        <w:rPr/>
        <w:t>监事会在报告期内的监督活动中发现公司是否存在风险</w:t>
      </w:r>
    </w:p>
    <w:p>
      <w:pPr>
        <w:pStyle w:val="BodyText"/>
        <w:spacing w:line="340" w:lineRule="auto" w:before="116"/>
        <w:ind w:right="73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967"/>
        <w:jc w:val="left"/>
        <w:rPr>
          <w:b w:val="0"/>
          <w:bCs w:val="0"/>
        </w:rPr>
      </w:pPr>
      <w:bookmarkStart w:name="八、高级管理人员的考评及激励情况" w:id="142"/>
      <w:bookmarkEnd w:id="142"/>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67" w:firstLine="360"/>
        <w:jc w:val="left"/>
      </w:pPr>
      <w:r>
        <w:rPr>
          <w:spacing w:val="-2"/>
        </w:rPr>
        <w:t>报告期内，公司采取高级管理人员的薪酬与公司业绩挂钩的绩效考核与激励约束机制，对高级管理人员实行基本年薪和</w:t>
      </w:r>
      <w:r>
        <w:rPr/>
        <w:t> 年终绩效考核相结合的薪酬制度。</w:t>
      </w:r>
    </w:p>
    <w:p>
      <w:pPr>
        <w:pStyle w:val="BodyText"/>
        <w:spacing w:line="319" w:lineRule="auto" w:before="55"/>
        <w:ind w:right="967" w:firstLine="360"/>
        <w:jc w:val="left"/>
      </w:pPr>
      <w:r>
        <w:rPr>
          <w:spacing w:val="-2"/>
        </w:rPr>
        <w:t>根据公司年度经营目标完成情况以及高级管理人员的工作业绩，由董事会薪酬与考核委员会对高级管理人员进行年度绩</w:t>
      </w:r>
      <w:r>
        <w:rPr/>
        <w:t> 效考核，并监督薪酬制度执行情况。公司则根据绩效考核结果兑现其绩效年薪，并进行奖惩。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9"/>
        <w:ind w:right="967"/>
        <w:jc w:val="left"/>
        <w:rPr>
          <w:b w:val="0"/>
          <w:bCs w:val="0"/>
        </w:rPr>
      </w:pPr>
      <w:bookmarkStart w:name="九、内部控制评价报告" w:id="143"/>
      <w:bookmarkEnd w:id="143"/>
      <w:r>
        <w:rPr>
          <w:b w:val="0"/>
          <w:bCs w:val="0"/>
        </w:rPr>
      </w:r>
      <w:r>
        <w:rPr/>
        <w:t>九、内部控制评价报告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67"/>
        <w:jc w:val="left"/>
        <w:rPr>
          <w:b w:val="0"/>
          <w:bCs w:val="0"/>
        </w:rPr>
      </w:pPr>
      <w:bookmarkStart w:name="1、报告期内发现的内部控制重大缺陷的具体情况" w:id="144"/>
      <w:bookmarkEnd w:id="144"/>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967"/>
        <w:jc w:val="left"/>
        <w:rPr>
          <w:b w:val="0"/>
          <w:bCs w:val="0"/>
        </w:rPr>
      </w:pPr>
      <w:bookmarkStart w:name="2、内控自我评价报告" w:id="145"/>
      <w:bookmarkEnd w:id="145"/>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7"/>
        <w:gridCol w:w="3329"/>
        <w:gridCol w:w="3051"/>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765"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09" w:lineRule="auto" w:before="51"/>
              <w:ind w:left="22" w:right="48"/>
              <w:jc w:val="both"/>
              <w:rPr>
                <w:rFonts w:ascii="宋体" w:hAnsi="宋体" w:cs="宋体" w:eastAsia="宋体" w:hint="default"/>
                <w:sz w:val="18"/>
                <w:szCs w:val="18"/>
              </w:rPr>
            </w:pPr>
            <w:r>
              <w:rPr>
                <w:rFonts w:ascii="宋体" w:hAnsi="宋体" w:cs="宋体" w:eastAsia="宋体" w:hint="default"/>
                <w:sz w:val="18"/>
                <w:szCs w:val="18"/>
              </w:rPr>
              <w:t>财务报告内部控制存在重大缺陷的迹象包 </w:t>
            </w:r>
            <w:r>
              <w:rPr>
                <w:rFonts w:ascii="宋体" w:hAnsi="宋体" w:cs="宋体" w:eastAsia="宋体" w:hint="default"/>
                <w:spacing w:val="-9"/>
                <w:sz w:val="18"/>
                <w:szCs w:val="18"/>
              </w:rPr>
              <w:t>括：（</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）控制环境无效；（</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）公司董事、</w:t>
            </w:r>
            <w:r>
              <w:rPr>
                <w:rFonts w:ascii="宋体" w:hAnsi="宋体" w:cs="宋体" w:eastAsia="宋体" w:hint="default"/>
                <w:sz w:val="18"/>
                <w:szCs w:val="18"/>
              </w:rPr>
              <w:t> 监事和高级管理人员舞弊并给公司造成重 </w:t>
            </w:r>
            <w:r>
              <w:rPr>
                <w:rFonts w:ascii="宋体" w:hAnsi="宋体" w:cs="宋体" w:eastAsia="宋体" w:hint="default"/>
                <w:spacing w:val="-5"/>
                <w:sz w:val="18"/>
                <w:szCs w:val="18"/>
              </w:rPr>
              <w:t>大损失和不利影响；（</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）注册会计师发现</w:t>
            </w:r>
            <w:r>
              <w:rPr>
                <w:rFonts w:ascii="宋体" w:hAnsi="宋体" w:cs="宋体" w:eastAsia="宋体" w:hint="default"/>
                <w:spacing w:val="-85"/>
                <w:sz w:val="18"/>
                <w:szCs w:val="18"/>
              </w:rPr>
              <w:t> </w:t>
            </w:r>
            <w:r>
              <w:rPr>
                <w:rFonts w:ascii="宋体" w:hAnsi="宋体" w:cs="宋体" w:eastAsia="宋体" w:hint="default"/>
                <w:sz w:val="18"/>
                <w:szCs w:val="18"/>
              </w:rPr>
              <w:t>当期财务报告存在重大错报，而内部控制 </w:t>
            </w:r>
            <w:r>
              <w:rPr>
                <w:rFonts w:ascii="宋体" w:hAnsi="宋体" w:cs="宋体" w:eastAsia="宋体" w:hint="default"/>
                <w:spacing w:val="-5"/>
                <w:sz w:val="18"/>
                <w:szCs w:val="18"/>
              </w:rPr>
              <w:t>在运行过程中未能发现该错报；（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）已经</w:t>
            </w:r>
          </w:p>
        </w:tc>
        <w:tc>
          <w:tcPr>
            <w:tcW w:w="3051" w:type="dxa"/>
            <w:vMerge w:val="restart"/>
            <w:tcBorders>
              <w:top w:val="single" w:sz="4" w:space="0" w:color="000000"/>
              <w:left w:val="single" w:sz="4" w:space="0" w:color="000000"/>
              <w:right w:val="single" w:sz="4" w:space="0" w:color="000000"/>
            </w:tcBorders>
          </w:tcPr>
          <w:p>
            <w:pPr>
              <w:pStyle w:val="TableParagraph"/>
              <w:spacing w:line="307" w:lineRule="auto" w:before="51"/>
              <w:ind w:left="22" w:right="20"/>
              <w:jc w:val="both"/>
              <w:rPr>
                <w:rFonts w:ascii="宋体" w:hAnsi="宋体" w:cs="宋体" w:eastAsia="宋体" w:hint="default"/>
                <w:sz w:val="18"/>
                <w:szCs w:val="18"/>
              </w:rPr>
            </w:pPr>
            <w:r>
              <w:rPr>
                <w:rFonts w:ascii="宋体" w:hAnsi="宋体" w:cs="宋体" w:eastAsia="宋体" w:hint="default"/>
                <w:spacing w:val="-9"/>
                <w:sz w:val="18"/>
                <w:szCs w:val="18"/>
              </w:rPr>
              <w:t>重大缺陷的认定标准：（</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）公司重大事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项决策违反国家法律法规，决策程序缺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乏集体民主程序，或集体民主决策程序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不规范；（</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）公司决策程序不科学，或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决策出现重大失误；（</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）重要业务缺乏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制度控制或制度系统性失效；（</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）中高</w:t>
            </w:r>
          </w:p>
        </w:tc>
      </w:tr>
      <w:tr>
        <w:trPr>
          <w:trHeight w:val="392"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766"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9"/>
          <w:szCs w:val="29"/>
        </w:rPr>
      </w:pPr>
    </w:p>
    <w:p>
      <w:pPr>
        <w:pStyle w:val="BodyText"/>
        <w:spacing w:line="240" w:lineRule="auto" w:before="44"/>
        <w:ind w:left="0" w:right="1139"/>
        <w:jc w:val="right"/>
      </w:pPr>
      <w:r>
        <w:rPr/>
        <w:pict>
          <v:shape style="position:absolute;margin-left:56.459999pt;margin-top:-108.02829pt;width:479.2pt;height:493.5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4"/>
                    <w:gridCol w:w="3051"/>
                  </w:tblGrid>
                  <w:tr>
                    <w:trPr>
                      <w:trHeight w:val="473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9" w:space="0" w:color="FFFFFF"/>
                        </w:tcBorders>
                      </w:tcPr>
                      <w:p>
                        <w:pPr>
                          <w:pStyle w:val="TableParagraph"/>
                          <w:spacing w:line="309" w:lineRule="auto" w:before="10"/>
                          <w:ind w:left="23" w:right="-39"/>
                          <w:jc w:val="left"/>
                          <w:rPr>
                            <w:rFonts w:ascii="宋体" w:hAnsi="宋体" w:cs="宋体" w:eastAsia="宋体" w:hint="default"/>
                            <w:sz w:val="18"/>
                            <w:szCs w:val="18"/>
                          </w:rPr>
                        </w:pPr>
                        <w:r>
                          <w:rPr>
                            <w:rFonts w:ascii="宋体" w:hAnsi="宋体" w:cs="宋体" w:eastAsia="宋体" w:hint="default"/>
                            <w:sz w:val="18"/>
                            <w:szCs w:val="18"/>
                          </w:rPr>
                          <w:t>发现并报告给管理层的重要缺陷在合理的 </w:t>
                        </w:r>
                        <w:r>
                          <w:rPr>
                            <w:rFonts w:ascii="宋体" w:hAnsi="宋体" w:cs="宋体" w:eastAsia="宋体" w:hint="default"/>
                            <w:spacing w:val="-5"/>
                            <w:sz w:val="18"/>
                            <w:szCs w:val="18"/>
                          </w:rPr>
                          <w:t>时间内未加以改正；（</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）审计委员会和内</w:t>
                        </w:r>
                        <w:r>
                          <w:rPr>
                            <w:rFonts w:ascii="宋体" w:hAnsi="宋体" w:cs="宋体" w:eastAsia="宋体" w:hint="default"/>
                            <w:spacing w:val="-85"/>
                            <w:sz w:val="18"/>
                            <w:szCs w:val="18"/>
                          </w:rPr>
                          <w:t> </w:t>
                        </w:r>
                        <w:r>
                          <w:rPr>
                            <w:rFonts w:ascii="宋体" w:hAnsi="宋体" w:cs="宋体" w:eastAsia="宋体" w:hint="default"/>
                            <w:sz w:val="18"/>
                            <w:szCs w:val="18"/>
                          </w:rPr>
                          <w:t>部审计部对公司的内部控制监督无效。财 务报告内部控制存在重要缺陷的迹象包 </w:t>
                        </w:r>
                        <w:r>
                          <w:rPr>
                            <w:rFonts w:ascii="宋体" w:hAnsi="宋体" w:cs="宋体" w:eastAsia="宋体" w:hint="default"/>
                            <w:spacing w:val="-5"/>
                            <w:sz w:val="18"/>
                            <w:szCs w:val="18"/>
                          </w:rPr>
                          <w:t>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）未依照公认会计准则选择和应用</w:t>
                        </w:r>
                        <w:r>
                          <w:rPr>
                            <w:rFonts w:ascii="宋体" w:hAnsi="宋体" w:cs="宋体" w:eastAsia="宋体" w:hint="default"/>
                            <w:spacing w:val="-85"/>
                            <w:sz w:val="18"/>
                            <w:szCs w:val="18"/>
                          </w:rPr>
                          <w:t> </w:t>
                        </w:r>
                        <w:r>
                          <w:rPr>
                            <w:rFonts w:ascii="宋体" w:hAnsi="宋体" w:cs="宋体" w:eastAsia="宋体" w:hint="default"/>
                            <w:spacing w:val="-5"/>
                            <w:sz w:val="18"/>
                            <w:szCs w:val="18"/>
                          </w:rPr>
                          <w:t>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）未建立反舞弊程序和控制</w:t>
                        </w:r>
                        <w:r>
                          <w:rPr>
                            <w:rFonts w:ascii="宋体" w:hAnsi="宋体" w:cs="宋体" w:eastAsia="宋体" w:hint="default"/>
                            <w:spacing w:val="-85"/>
                            <w:sz w:val="18"/>
                            <w:szCs w:val="18"/>
                          </w:rPr>
                          <w:t> </w:t>
                        </w:r>
                        <w:r>
                          <w:rPr>
                            <w:rFonts w:ascii="宋体" w:hAnsi="宋体" w:cs="宋体" w:eastAsia="宋体" w:hint="default"/>
                            <w:spacing w:val="-5"/>
                            <w:sz w:val="18"/>
                            <w:szCs w:val="18"/>
                          </w:rPr>
                          <w:t>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）财务报告过程中出现单独或多</w:t>
                        </w:r>
                        <w:r>
                          <w:rPr>
                            <w:rFonts w:ascii="宋体" w:hAnsi="宋体" w:cs="宋体" w:eastAsia="宋体" w:hint="default"/>
                            <w:spacing w:val="-85"/>
                            <w:sz w:val="18"/>
                            <w:szCs w:val="18"/>
                          </w:rPr>
                          <w:t> </w:t>
                        </w:r>
                        <w:r>
                          <w:rPr>
                            <w:rFonts w:ascii="宋体" w:hAnsi="宋体" w:cs="宋体" w:eastAsia="宋体" w:hint="default"/>
                            <w:sz w:val="18"/>
                            <w:szCs w:val="18"/>
                          </w:rPr>
                          <w:t>项缺陷，虽然未达到重大缺陷认定标准， </w:t>
                        </w:r>
                        <w:r>
                          <w:rPr>
                            <w:rFonts w:ascii="宋体" w:hAnsi="宋体" w:cs="宋体" w:eastAsia="宋体" w:hint="default"/>
                            <w:spacing w:val="-6"/>
                            <w:sz w:val="18"/>
                            <w:szCs w:val="18"/>
                          </w:rPr>
                          <w:t>但影响到财务报告达到真实、准确的目标；</w:t>
                        </w:r>
                        <w:r>
                          <w:rPr>
                            <w:rFonts w:ascii="宋体" w:hAnsi="宋体" w:cs="宋体" w:eastAsia="宋体" w:hint="default"/>
                            <w:sz w:val="18"/>
                            <w:szCs w:val="18"/>
                          </w:rPr>
                        </w:r>
                      </w:p>
                      <w:p>
                        <w:pPr>
                          <w:pStyle w:val="TableParagraph"/>
                          <w:spacing w:line="312" w:lineRule="auto" w:before="24"/>
                          <w:ind w:left="23" w:right="-39"/>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）对于非常规或特殊交易的账务处理没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有建立相应的控制机制或没有实施且没有 相应的补偿性控制。一般缺陷是指除上述 </w:t>
                        </w:r>
                        <w:r>
                          <w:rPr>
                            <w:rFonts w:ascii="宋体" w:hAnsi="宋体" w:cs="宋体" w:eastAsia="宋体" w:hint="default"/>
                            <w:spacing w:val="-6"/>
                            <w:sz w:val="18"/>
                            <w:szCs w:val="18"/>
                          </w:rPr>
                          <w:t>重大缺陷、重要缺陷之外的其他控制缺陷。</w:t>
                        </w:r>
                        <w:r>
                          <w:rPr>
                            <w:rFonts w:ascii="宋体" w:hAnsi="宋体" w:cs="宋体" w:eastAsia="宋体" w:hint="default"/>
                            <w:sz w:val="18"/>
                            <w:szCs w:val="18"/>
                          </w:rPr>
                        </w:r>
                      </w:p>
                    </w:tc>
                    <w:tc>
                      <w:tcPr>
                        <w:tcW w:w="305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0"/>
                          <w:ind w:left="16" w:right="-37"/>
                          <w:jc w:val="left"/>
                          <w:rPr>
                            <w:rFonts w:ascii="宋体" w:hAnsi="宋体" w:cs="宋体" w:eastAsia="宋体" w:hint="default"/>
                            <w:sz w:val="18"/>
                            <w:szCs w:val="18"/>
                          </w:rPr>
                        </w:pPr>
                        <w:r>
                          <w:rPr>
                            <w:rFonts w:ascii="宋体" w:hAnsi="宋体" w:cs="宋体" w:eastAsia="宋体" w:hint="default"/>
                            <w:sz w:val="18"/>
                            <w:szCs w:val="18"/>
                          </w:rPr>
                          <w:t>级管理人员和高级技术人员严重流失；</w:t>
                        </w:r>
                      </w:p>
                      <w:p>
                        <w:pPr>
                          <w:pStyle w:val="TableParagraph"/>
                          <w:spacing w:line="307" w:lineRule="auto" w:before="76"/>
                          <w:ind w:left="16" w:right="-3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）媒体负面新闻频频曝光，对公司 </w:t>
                        </w:r>
                        <w:r>
                          <w:rPr>
                            <w:rFonts w:ascii="宋体" w:hAnsi="宋体" w:cs="宋体" w:eastAsia="宋体" w:hint="default"/>
                            <w:spacing w:val="-4"/>
                            <w:sz w:val="18"/>
                            <w:szCs w:val="18"/>
                          </w:rPr>
                          <w:t>声誉造成重大损害，或发生严重影响社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会公共利益的事件；（</w:t>
                        </w:r>
                        <w:r>
                          <w:rPr>
                            <w:rFonts w:ascii="Times New Roman" w:hAnsi="Times New Roman" w:cs="Times New Roman" w:eastAsia="Times New Roman" w:hint="default"/>
                            <w:spacing w:val="-9"/>
                            <w:sz w:val="18"/>
                            <w:szCs w:val="18"/>
                          </w:rPr>
                          <w:t>6</w:t>
                        </w:r>
                        <w:r>
                          <w:rPr>
                            <w:rFonts w:ascii="宋体" w:hAnsi="宋体" w:cs="宋体" w:eastAsia="宋体" w:hint="default"/>
                            <w:spacing w:val="-9"/>
                            <w:sz w:val="18"/>
                            <w:szCs w:val="18"/>
                          </w:rPr>
                          <w:t>）内部控制评价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的结果特别是重大缺陷或重要缺陷未 </w:t>
                        </w:r>
                        <w:r>
                          <w:rPr>
                            <w:rFonts w:ascii="宋体" w:hAnsi="宋体" w:cs="宋体" w:eastAsia="宋体" w:hint="default"/>
                            <w:spacing w:val="-5"/>
                            <w:sz w:val="18"/>
                            <w:szCs w:val="18"/>
                          </w:rPr>
                          <w:t>得到整改。重要缺陷的认定标准：（</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宋体" w:hAnsi="宋体" w:cs="宋体" w:eastAsia="宋体" w:hint="default"/>
                            <w:sz w:val="18"/>
                            <w:szCs w:val="18"/>
                          </w:rPr>
                          <w:t> 重要业务制度控制或系统存在缺陷；</w:t>
                        </w:r>
                      </w:p>
                      <w:p>
                        <w:pPr>
                          <w:pStyle w:val="TableParagraph"/>
                          <w:spacing w:line="304" w:lineRule="auto" w:before="26"/>
                          <w:ind w:left="16" w:right="25"/>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）公司违反国家法律、法规、规章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政府政策等，导致政府或监管机构的调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查，并被处以罚款或罚金；（</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）关键岗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位业务人员流失严重；（</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）媒体出现负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面新闻，波及局部区域。一般缺陷的认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定标准：（</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）违反企业内部规章，但未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形成损失；（</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）一般业务制度或系统存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4"/>
                            <w:sz w:val="18"/>
                            <w:szCs w:val="18"/>
                          </w:rPr>
                          <w:t>在缺陷；（</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）公司一般缺陷未得到整改</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tc>
                  </w:tr>
                  <w:tr>
                    <w:trPr>
                      <w:trHeight w:val="35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一般缺陷：资产总额错报额＜资产总额的</w:t>
                        </w:r>
                      </w:p>
                      <w:p>
                        <w:pPr>
                          <w:pStyle w:val="TableParagraph"/>
                          <w:spacing w:line="240" w:lineRule="auto" w:before="7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营业收入错报额＜营业收入的</w:t>
                        </w:r>
                      </w:p>
                      <w:p>
                        <w:pPr>
                          <w:pStyle w:val="TableParagraph"/>
                          <w:spacing w:line="302" w:lineRule="auto" w:before="63"/>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；利润总额错报额＜利润总额的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1"/>
                            <w:sz w:val="18"/>
                            <w:szCs w:val="18"/>
                          </w:rPr>
                          <w:t> </w:t>
                        </w:r>
                        <w:r>
                          <w:rPr>
                            <w:rFonts w:ascii="宋体" w:hAnsi="宋体" w:cs="宋体" w:eastAsia="宋体" w:hint="default"/>
                            <w:spacing w:val="-9"/>
                            <w:w w:val="99"/>
                            <w:sz w:val="18"/>
                            <w:szCs w:val="18"/>
                          </w:rPr>
                          <w:t>重要缺陷：（资产总额错报额）资产总额的</w:t>
                        </w:r>
                        <w:r>
                          <w:rPr>
                            <w:rFonts w:ascii="宋体" w:hAnsi="宋体" w:cs="宋体" w:eastAsia="宋体" w:hint="default"/>
                            <w:spacing w:val="-73"/>
                            <w:w w:val="99"/>
                            <w:sz w:val="18"/>
                            <w:szCs w:val="18"/>
                          </w:rPr>
                          <w:t> </w:t>
                        </w:r>
                        <w:r>
                          <w:rPr>
                            <w:rFonts w:ascii="宋体" w:hAnsi="宋体" w:cs="宋体" w:eastAsia="宋体" w:hint="default"/>
                            <w:spacing w:val="-73"/>
                            <w:w w:val="99"/>
                            <w:sz w:val="18"/>
                            <w:szCs w:val="18"/>
                          </w:rPr>
                        </w:r>
                        <w:r>
                          <w:rPr>
                            <w:rFonts w:ascii="Times New Roman" w:hAnsi="Times New Roman" w:cs="Times New Roman" w:eastAsia="Times New Roman" w:hint="default"/>
                            <w:sz w:val="18"/>
                            <w:szCs w:val="18"/>
                          </w:rPr>
                          <w:t>0.5%≤</w:t>
                        </w:r>
                        <w:r>
                          <w:rPr>
                            <w:rFonts w:ascii="宋体" w:hAnsi="宋体" w:cs="宋体" w:eastAsia="宋体" w:hint="default"/>
                            <w:sz w:val="18"/>
                            <w:szCs w:val="18"/>
                          </w:rPr>
                          <w:t>错报＜资产总额的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47"/>
                            <w:sz w:val="18"/>
                            <w:szCs w:val="18"/>
                          </w:rPr>
                          <w:t> </w:t>
                        </w:r>
                        <w:r>
                          <w:rPr>
                            <w:rFonts w:ascii="宋体" w:hAnsi="宋体" w:cs="宋体" w:eastAsia="宋体" w:hint="default"/>
                            <w:sz w:val="18"/>
                            <w:szCs w:val="18"/>
                          </w:rPr>
                          <w:t>（营业收</w:t>
                        </w:r>
                        <w:r>
                          <w:rPr>
                            <w:rFonts w:ascii="宋体" w:hAnsi="宋体" w:cs="宋体" w:eastAsia="宋体" w:hint="default"/>
                            <w:w w:val="99"/>
                            <w:sz w:val="18"/>
                            <w:szCs w:val="18"/>
                          </w:rPr>
                          <w:t> </w:t>
                        </w:r>
                        <w:r>
                          <w:rPr>
                            <w:rFonts w:ascii="宋体" w:hAnsi="宋体" w:cs="宋体" w:eastAsia="宋体" w:hint="default"/>
                            <w:sz w:val="18"/>
                            <w:szCs w:val="18"/>
                          </w:rPr>
                          <w:t>入错报额）营业收入的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错报＜营业收</w:t>
                        </w:r>
                        <w:r>
                          <w:rPr>
                            <w:rFonts w:ascii="宋体" w:hAnsi="宋体" w:cs="宋体" w:eastAsia="宋体" w:hint="default"/>
                            <w:w w:val="99"/>
                            <w:sz w:val="18"/>
                            <w:szCs w:val="18"/>
                          </w:rPr>
                          <w:t> </w:t>
                        </w:r>
                        <w:r>
                          <w:rPr>
                            <w:rFonts w:ascii="宋体" w:hAnsi="宋体" w:cs="宋体" w:eastAsia="宋体" w:hint="default"/>
                            <w:sz w:val="18"/>
                            <w:szCs w:val="18"/>
                          </w:rPr>
                          <w:t>入的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47"/>
                            <w:sz w:val="18"/>
                            <w:szCs w:val="18"/>
                          </w:rPr>
                          <w:t> </w:t>
                        </w:r>
                        <w:r>
                          <w:rPr>
                            <w:rFonts w:ascii="宋体" w:hAnsi="宋体" w:cs="宋体" w:eastAsia="宋体" w:hint="default"/>
                            <w:sz w:val="18"/>
                            <w:szCs w:val="18"/>
                          </w:rPr>
                          <w:t>（利润总额错报额）利润总额</w:t>
                        </w:r>
                        <w:r>
                          <w:rPr>
                            <w:rFonts w:ascii="宋体" w:hAnsi="宋体" w:cs="宋体" w:eastAsia="宋体" w:hint="default"/>
                            <w:w w:val="99"/>
                            <w:sz w:val="18"/>
                            <w:szCs w:val="18"/>
                          </w:rPr>
                          <w:t> </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错报＜利润总额的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宋体" w:hAnsi="宋体" w:cs="宋体" w:eastAsia="宋体" w:hint="default"/>
                            <w:w w:val="99"/>
                            <w:sz w:val="18"/>
                            <w:szCs w:val="18"/>
                          </w:rPr>
                          <w:t> </w:t>
                        </w:r>
                        <w:r>
                          <w:rPr>
                            <w:rFonts w:ascii="宋体" w:hAnsi="宋体" w:cs="宋体" w:eastAsia="宋体" w:hint="default"/>
                            <w:sz w:val="18"/>
                            <w:szCs w:val="18"/>
                          </w:rPr>
                          <w:t>资产总额错报额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；营业收 入错报额</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；利润总额错报 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8"/>
                            <w:szCs w:val="28"/>
                          </w:rPr>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5"/>
          <w:szCs w:val="5"/>
        </w:rPr>
      </w:pPr>
    </w:p>
    <w:p>
      <w:pPr>
        <w:spacing w:line="312" w:lineRule="exact"/>
        <w:ind w:left="669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p>
      <w:pPr>
        <w:spacing w:line="312" w:lineRule="exact"/>
        <w:ind w:left="669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5"/>
        <w:rPr>
          <w:rFonts w:ascii="宋体" w:hAnsi="宋体" w:cs="宋体" w:eastAsia="宋体" w:hint="default"/>
          <w:sz w:val="21"/>
          <w:szCs w:val="21"/>
        </w:rPr>
      </w:pPr>
    </w:p>
    <w:p>
      <w:pPr>
        <w:pStyle w:val="BodyText"/>
        <w:spacing w:line="240" w:lineRule="auto" w:before="44"/>
        <w:ind w:left="0" w:right="1139"/>
        <w:jc w:val="right"/>
      </w:pPr>
      <w:r>
        <w:rPr/>
        <w:pict>
          <v:shape style="position:absolute;margin-left:376.660004pt;margin-top:19.731701pt;width:158.25pt;height:78pt;mso-position-horizontal-relative:page;mso-position-vertical-relative:paragraph;z-index:-11352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spacing w:line="240" w:lineRule="auto"/>
                    <w:ind w:left="0" w:right="0"/>
                    <w:jc w:val="left"/>
                  </w:pPr>
                  <w:r>
                    <w:rPr/>
                    <w:t>。</w:t>
                  </w:r>
                </w:p>
              </w:txbxContent>
            </v:textbox>
            <w10:wrap type="none"/>
          </v:shape>
        </w:pict>
      </w:r>
      <w:r>
        <w:rPr/>
        <w:t>。</w:t>
      </w:r>
    </w:p>
    <w:p>
      <w:pPr>
        <w:spacing w:line="240" w:lineRule="auto" w:before="10"/>
        <w:rPr>
          <w:rFonts w:ascii="宋体" w:hAnsi="宋体" w:cs="宋体" w:eastAsia="宋体" w:hint="default"/>
          <w:sz w:val="8"/>
          <w:szCs w:val="8"/>
        </w:rPr>
      </w:pPr>
    </w:p>
    <w:p>
      <w:pPr>
        <w:spacing w:line="1560" w:lineRule="exact"/>
        <w:ind w:left="6676" w:right="0" w:firstLine="0"/>
        <w:rPr>
          <w:rFonts w:ascii="宋体" w:hAnsi="宋体" w:cs="宋体" w:eastAsia="宋体" w:hint="default"/>
          <w:sz w:val="20"/>
          <w:szCs w:val="20"/>
        </w:rPr>
      </w:pPr>
      <w:r>
        <w:rPr>
          <w:rFonts w:ascii="宋体" w:hAnsi="宋体" w:cs="宋体" w:eastAsia="宋体" w:hint="default"/>
          <w:position w:val="-30"/>
          <w:sz w:val="20"/>
          <w:szCs w:val="20"/>
        </w:rPr>
        <w:pict>
          <v:group style="width:152.1pt;height:78pt;mso-position-horizontal-relative:char;mso-position-vertical-relative:line" coordorigin="0,0" coordsize="3042,1560">
            <v:group style="position:absolute;left:0;top:0;width:3042;height:1560" coordorigin="0,0" coordsize="3042,1560">
              <v:shape style="position:absolute;left:0;top:0;width:3042;height:1560" coordorigin="0,0" coordsize="3042,1560" path="m0,1560l3041,1560,3041,0,0,0,0,1560xe" filled="true" fillcolor="#ffffff" stroked="false">
                <v:path arrowok="t"/>
                <v:fill type="solid"/>
              </v:shape>
            </v:group>
          </v:group>
        </w:pict>
      </w:r>
      <w:r>
        <w:rPr>
          <w:rFonts w:ascii="宋体" w:hAnsi="宋体" w:cs="宋体" w:eastAsia="宋体" w:hint="default"/>
          <w:position w:val="-30"/>
          <w:sz w:val="20"/>
          <w:szCs w:val="20"/>
        </w:rPr>
      </w:r>
    </w:p>
    <w:p>
      <w:pPr>
        <w:spacing w:line="240" w:lineRule="auto" w:before="13"/>
        <w:rPr>
          <w:rFonts w:ascii="宋体" w:hAnsi="宋体" w:cs="宋体" w:eastAsia="宋体" w:hint="default"/>
          <w:sz w:val="29"/>
          <w:szCs w:val="29"/>
        </w:rPr>
      </w:pPr>
    </w:p>
    <w:p>
      <w:pPr>
        <w:spacing w:line="1560" w:lineRule="exact"/>
        <w:ind w:left="6676" w:right="0" w:firstLine="0"/>
        <w:rPr>
          <w:rFonts w:ascii="宋体" w:hAnsi="宋体" w:cs="宋体" w:eastAsia="宋体" w:hint="default"/>
          <w:sz w:val="20"/>
          <w:szCs w:val="20"/>
        </w:rPr>
      </w:pPr>
      <w:r>
        <w:rPr>
          <w:rFonts w:ascii="宋体" w:hAnsi="宋体" w:cs="宋体" w:eastAsia="宋体" w:hint="default"/>
          <w:position w:val="-30"/>
          <w:sz w:val="20"/>
          <w:szCs w:val="20"/>
        </w:rPr>
        <w:pict>
          <v:group style="width:152.1pt;height:78.05pt;mso-position-horizontal-relative:char;mso-position-vertical-relative:line" coordorigin="0,0" coordsize="3042,1561">
            <v:group style="position:absolute;left:0;top:0;width:3042;height:1561" coordorigin="0,0" coordsize="3042,1561">
              <v:shape style="position:absolute;left:0;top:0;width:3042;height:1561" coordorigin="0,0" coordsize="3042,1561" path="m0,1560l3041,1560,3041,0,0,0,0,1560xe" filled="true" fillcolor="#ffffff" stroked="false">
                <v:path arrowok="t"/>
                <v:fill type="solid"/>
              </v:shape>
            </v:group>
          </v:group>
        </w:pict>
      </w:r>
      <w:r>
        <w:rPr>
          <w:rFonts w:ascii="宋体" w:hAnsi="宋体" w:cs="宋体" w:eastAsia="宋体" w:hint="default"/>
          <w:position w:val="-30"/>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2"/>
        <w:spacing w:line="240" w:lineRule="auto" w:before="26"/>
        <w:ind w:right="967"/>
        <w:jc w:val="left"/>
        <w:rPr>
          <w:b w:val="0"/>
          <w:bCs w:val="0"/>
        </w:rPr>
      </w:pPr>
      <w:r>
        <w:rPr/>
        <w:pict>
          <v:shape style="position:absolute;margin-left:340.657013pt;margin-top:-170.764374pt;width:194.25pt;height:78.05pt;mso-position-horizontal-relative:page;mso-position-vertical-relative:paragraph;z-index:-1135216" type="#_x0000_t202" filled="false" stroked="false">
            <v:textbox inset="0,0,0,0">
              <w:txbxContent>
                <w:p>
                  <w:pPr>
                    <w:spacing w:line="240" w:lineRule="auto" w:before="7"/>
                    <w:rPr>
                      <w:rFonts w:ascii="宋体" w:hAnsi="宋体" w:cs="宋体" w:eastAsia="宋体" w:hint="default"/>
                      <w:sz w:val="21"/>
                      <w:szCs w:val="21"/>
                    </w:rPr>
                  </w:pPr>
                </w:p>
                <w:p>
                  <w:pPr>
                    <w:pStyle w:val="BodyText"/>
                    <w:spacing w:line="240" w:lineRule="auto"/>
                    <w:ind w:left="0" w:right="0"/>
                    <w:jc w:val="left"/>
                  </w:pPr>
                  <w:r>
                    <w:rPr/>
                    <w:t>重大缺陷：</w:t>
                  </w:r>
                </w:p>
              </w:txbxContent>
            </v:textbox>
            <w10:wrap type="none"/>
          </v:shape>
        </w:pict>
      </w:r>
      <w:bookmarkStart w:name="十、内部控制审计报告或鉴证报告" w:id="146"/>
      <w:bookmarkEnd w:id="146"/>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67"/>
        <w:jc w:val="left"/>
      </w:pP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126" w:right="967"/>
        <w:jc w:val="left"/>
        <w:rPr>
          <w:b w:val="0"/>
          <w:bCs w:val="0"/>
        </w:rPr>
      </w:pPr>
      <w:bookmarkStart w:name="_TOC_250002" w:id="147"/>
      <w:bookmarkStart w:name="第十节 公司债券相关情况" w:id="148"/>
      <w:r>
        <w:rPr>
          <w:b w:val="0"/>
          <w:bCs w:val="0"/>
        </w:rPr>
      </w:r>
      <w:r>
        <w:rPr/>
        <w:t>第十节</w:t>
      </w:r>
      <w:r>
        <w:rPr>
          <w:spacing w:val="-9"/>
        </w:rPr>
        <w:t> </w:t>
      </w:r>
      <w:r>
        <w:rPr/>
        <w:t>公司债券相关情况</w:t>
      </w:r>
      <w:bookmarkEnd w:id="147"/>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608" w:right="967"/>
        <w:jc w:val="left"/>
        <w:rPr>
          <w:b w:val="0"/>
          <w:bCs w:val="0"/>
        </w:rPr>
      </w:pPr>
      <w:bookmarkStart w:name="_TOC_250001" w:id="149"/>
      <w:bookmarkStart w:name="第十一节 财务报告" w:id="150"/>
      <w:r>
        <w:rPr>
          <w:b w:val="0"/>
          <w:bCs w:val="0"/>
        </w:rPr>
      </w:r>
      <w:r>
        <w:rPr/>
        <w:t>第十一节</w:t>
      </w:r>
      <w:r>
        <w:rPr>
          <w:spacing w:val="-6"/>
        </w:rPr>
        <w:t> </w:t>
      </w:r>
      <w:r>
        <w:rPr/>
        <w:t>财务报告</w:t>
      </w:r>
      <w:bookmarkEnd w:id="14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67"/>
        <w:jc w:val="left"/>
        <w:rPr>
          <w:b w:val="0"/>
          <w:bCs w:val="0"/>
        </w:rPr>
      </w:pPr>
      <w:bookmarkStart w:name="一、审计报告" w:id="151"/>
      <w:bookmarkEnd w:id="151"/>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ZB10228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徐文博、刘文豪</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2"/>
          <w:szCs w:val="12"/>
        </w:rPr>
      </w:pPr>
    </w:p>
    <w:p>
      <w:pPr>
        <w:pStyle w:val="Heading5"/>
        <w:spacing w:line="316" w:lineRule="auto"/>
        <w:ind w:right="0"/>
        <w:jc w:val="left"/>
        <w:rPr>
          <w:b w:val="0"/>
          <w:bCs w:val="0"/>
        </w:rPr>
      </w:pPr>
      <w:r>
        <w:rPr>
          <w:w w:val="95"/>
        </w:rPr>
        <w:t>北京东方通科技股份有限公司全体股东：</w:t>
      </w:r>
      <w:r>
        <w:rPr>
          <w:spacing w:val="72"/>
          <w:w w:val="95"/>
        </w:rPr>
        <w:t> </w:t>
      </w:r>
      <w:r>
        <w:rPr>
          <w:spacing w:val="72"/>
          <w:w w:val="95"/>
        </w:rPr>
      </w:r>
      <w:r>
        <w:rPr>
          <w:rFonts w:ascii="宋体" w:hAnsi="宋体" w:cs="宋体" w:eastAsia="宋体" w:hint="default"/>
        </w:rPr>
        <w:t>1</w:t>
      </w:r>
      <w:r>
        <w:rPr/>
        <w:t>、</w:t>
      </w:r>
      <w:r>
        <w:rPr>
          <w:spacing w:val="56"/>
        </w:rPr>
        <w:t> </w:t>
      </w:r>
      <w:r>
        <w:rPr/>
        <w:t>审计意见</w:t>
      </w:r>
      <w:r>
        <w:rPr>
          <w:b w:val="0"/>
          <w:bCs w:val="0"/>
        </w:rPr>
      </w:r>
    </w:p>
    <w:p>
      <w:pPr>
        <w:pStyle w:val="BodyText"/>
        <w:spacing w:line="240" w:lineRule="auto" w:before="51"/>
        <w:ind w:left="153"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3404" w:space="876"/>
            <w:col w:w="6650"/>
          </w:cols>
        </w:sectPr>
      </w:pPr>
    </w:p>
    <w:p>
      <w:pPr>
        <w:pStyle w:val="BodyText"/>
        <w:spacing w:line="300" w:lineRule="auto" w:before="19"/>
        <w:ind w:left="514" w:right="1129" w:firstLine="568"/>
        <w:jc w:val="both"/>
      </w:pPr>
      <w:r>
        <w:rPr/>
        <w:t>我们审计了北京东方通科技股份有限公司（以下简称东方通或公司）财务报表，包括</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w:t>
      </w:r>
      <w:r>
        <w:rPr>
          <w:spacing w:val="1"/>
        </w:rPr>
        <w:t> </w:t>
      </w:r>
      <w:r>
        <w:rPr>
          <w:spacing w:val="-2"/>
        </w:rPr>
        <w:t>母公司资产负债表，</w:t>
      </w:r>
      <w:r>
        <w:rPr>
          <w:rFonts w:ascii="Times New Roman" w:hAnsi="Times New Roman" w:cs="Times New Roman" w:eastAsia="Times New Roman" w:hint="default"/>
          <w:spacing w:val="-2"/>
        </w:rPr>
        <w:t>2018</w:t>
      </w:r>
      <w:r>
        <w:rPr>
          <w:spacing w:val="-2"/>
        </w:rPr>
        <w:t>年度的合并及母公司利润表、合并及母公司现金流量表、合并及母公司股东权益变动表以及相</w:t>
      </w:r>
      <w:r>
        <w:rPr>
          <w:spacing w:val="-66"/>
        </w:rPr>
        <w:t> </w:t>
      </w:r>
      <w:r>
        <w:rPr>
          <w:spacing w:val="-66"/>
        </w:rPr>
      </w:r>
      <w:r>
        <w:rPr/>
        <w:t>关财务报表附注。</w:t>
      </w:r>
    </w:p>
    <w:p>
      <w:pPr>
        <w:pStyle w:val="BodyText"/>
        <w:spacing w:line="300" w:lineRule="auto" w:before="31"/>
        <w:ind w:left="514" w:right="1130" w:firstLine="568"/>
        <w:jc w:val="both"/>
      </w:pPr>
      <w:r>
        <w:rPr/>
        <w:t>我们认为，后附的财务报表在所有重大方面按照企业会计准则的规定编制，公允反映了东方通</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的合并及母公司财务状况以及</w:t>
      </w:r>
      <w:r>
        <w:rPr>
          <w:rFonts w:ascii="Times New Roman" w:hAnsi="Times New Roman" w:cs="Times New Roman" w:eastAsia="Times New Roman" w:hint="default"/>
        </w:rPr>
        <w:t>2018</w:t>
      </w:r>
      <w:r>
        <w:rPr/>
        <w:t>年度的合并及母公司经营成果和现金流量。</w:t>
      </w:r>
    </w:p>
    <w:p>
      <w:pPr>
        <w:spacing w:line="240" w:lineRule="auto" w:before="11"/>
        <w:rPr>
          <w:rFonts w:ascii="宋体" w:hAnsi="宋体" w:cs="宋体" w:eastAsia="宋体" w:hint="default"/>
          <w:sz w:val="24"/>
          <w:szCs w:val="24"/>
        </w:rPr>
      </w:pPr>
    </w:p>
    <w:p>
      <w:pPr>
        <w:pStyle w:val="Heading5"/>
        <w:spacing w:line="240" w:lineRule="auto"/>
        <w:ind w:right="967"/>
        <w:jc w:val="left"/>
        <w:rPr>
          <w:b w:val="0"/>
          <w:bCs w:val="0"/>
        </w:rPr>
      </w:pPr>
      <w:r>
        <w:rPr>
          <w:rFonts w:ascii="宋体" w:hAnsi="宋体" w:cs="宋体" w:eastAsia="宋体" w:hint="default"/>
        </w:rPr>
        <w:t>2</w:t>
      </w:r>
      <w:r>
        <w:rPr/>
        <w:t>、</w:t>
      </w:r>
      <w:r>
        <w:rPr>
          <w:spacing w:val="55"/>
        </w:rPr>
        <w:t> </w:t>
      </w:r>
      <w:r>
        <w:rPr/>
        <w:t>形成审计意见的基础</w:t>
      </w:r>
      <w:r>
        <w:rPr>
          <w:b w:val="0"/>
          <w:bCs w:val="0"/>
        </w:rPr>
      </w:r>
    </w:p>
    <w:p>
      <w:pPr>
        <w:spacing w:line="240" w:lineRule="auto" w:before="0"/>
        <w:rPr>
          <w:rFonts w:ascii="宋体" w:hAnsi="宋体" w:cs="宋体" w:eastAsia="宋体" w:hint="default"/>
          <w:b/>
          <w:bCs/>
          <w:sz w:val="18"/>
          <w:szCs w:val="18"/>
        </w:rPr>
      </w:pPr>
    </w:p>
    <w:p>
      <w:pPr>
        <w:pStyle w:val="BodyText"/>
        <w:spacing w:line="309" w:lineRule="auto" w:before="153"/>
        <w:ind w:left="514" w:right="1129" w:firstLine="568"/>
        <w:jc w:val="both"/>
      </w:pPr>
      <w:r>
        <w:rPr>
          <w:spacing w:val="-2"/>
          <w:w w:val="100"/>
        </w:rPr>
        <w:t>我们按照中国注册会计师审计准则的规定执行了审计工作。审计报告的</w:t>
      </w:r>
      <w:r>
        <w:rPr>
          <w:rFonts w:ascii="Times New Roman" w:hAnsi="Times New Roman" w:cs="Times New Roman" w:eastAsia="Times New Roman" w:hint="default"/>
          <w:spacing w:val="-2"/>
          <w:w w:val="100"/>
        </w:rPr>
        <w:t>“</w:t>
      </w:r>
      <w:r>
        <w:rPr>
          <w:spacing w:val="-2"/>
          <w:w w:val="100"/>
        </w:rPr>
        <w:t>注册会计师对财务报表审计的责任</w:t>
      </w:r>
      <w:r>
        <w:rPr>
          <w:rFonts w:ascii="Times New Roman" w:hAnsi="Times New Roman" w:cs="Times New Roman" w:eastAsia="Times New Roman" w:hint="default"/>
          <w:spacing w:val="-2"/>
          <w:w w:val="100"/>
        </w:rPr>
        <w:t>”</w:t>
      </w:r>
      <w:r>
        <w:rPr>
          <w:spacing w:val="-2"/>
          <w:w w:val="100"/>
        </w:rPr>
        <w:t>部分</w:t>
      </w:r>
      <w:r>
        <w:rPr/>
        <w:t> </w:t>
      </w:r>
      <w:r>
        <w:rPr>
          <w:spacing w:val="-2"/>
        </w:rPr>
        <w:t>进一步阐述了我们在这些准则下的责任。按照中国注册会计师职业道德守则，我们独立于东方通，并履行了职业道德方</w:t>
      </w:r>
      <w:r>
        <w:rPr>
          <w:spacing w:val="-70"/>
        </w:rPr>
        <w:t> </w:t>
      </w:r>
      <w:r>
        <w:rPr>
          <w:spacing w:val="-70"/>
        </w:rPr>
      </w:r>
      <w:r>
        <w:rPr/>
        <w:t>面的其他责任。我们相信，我们获取的审计证据是充分、适当的，为发表审计意见提供了基础。</w:t>
      </w:r>
    </w:p>
    <w:p>
      <w:pPr>
        <w:spacing w:line="240" w:lineRule="auto" w:before="9"/>
        <w:rPr>
          <w:rFonts w:ascii="宋体" w:hAnsi="宋体" w:cs="宋体" w:eastAsia="宋体" w:hint="default"/>
          <w:sz w:val="25"/>
          <w:szCs w:val="25"/>
        </w:rPr>
      </w:pPr>
    </w:p>
    <w:p>
      <w:pPr>
        <w:pStyle w:val="Heading5"/>
        <w:spacing w:line="240" w:lineRule="auto"/>
        <w:ind w:right="967"/>
        <w:jc w:val="left"/>
        <w:rPr>
          <w:b w:val="0"/>
          <w:bCs w:val="0"/>
        </w:rPr>
      </w:pPr>
      <w:r>
        <w:rPr>
          <w:rFonts w:ascii="宋体" w:hAnsi="宋体" w:cs="宋体" w:eastAsia="宋体" w:hint="default"/>
        </w:rPr>
        <w:t>3</w:t>
      </w:r>
      <w:r>
        <w:rPr/>
        <w:t>、</w:t>
      </w:r>
      <w:r>
        <w:rPr>
          <w:spacing w:val="56"/>
        </w:rPr>
        <w:t> </w:t>
      </w:r>
      <w:r>
        <w:rPr/>
        <w:t>关键审计事项</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53"/>
        <w:ind w:right="1132" w:firstLine="568"/>
        <w:jc w:val="both"/>
      </w:pPr>
      <w:r>
        <w:rPr/>
        <w:t>关键审计事项是我们根据职业判断，认为对本期财务报表审计最为重要的事项。这些事项的应对以对财务报表整体 </w:t>
      </w:r>
      <w:r>
        <w:rPr>
          <w:spacing w:val="-2"/>
        </w:rPr>
        <w:t>进行审计并形成审计意见为背景，我们不对这些事项单独发表意见。我们确定下列事项是需要在审计报告中沟通的关键审计</w:t>
      </w:r>
      <w:r>
        <w:rPr>
          <w:spacing w:val="-64"/>
        </w:rPr>
        <w:t> </w:t>
      </w:r>
      <w:r>
        <w:rPr>
          <w:spacing w:val="-64"/>
        </w:rPr>
      </w:r>
      <w:r>
        <w:rPr/>
        <w:t>事项。</w:t>
      </w:r>
    </w:p>
    <w:p>
      <w:pPr>
        <w:spacing w:line="240" w:lineRule="auto" w:before="6"/>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4880"/>
        <w:gridCol w:w="4779"/>
      </w:tblGrid>
      <w:tr>
        <w:trPr>
          <w:trHeight w:val="347" w:hRule="exact"/>
        </w:trPr>
        <w:tc>
          <w:tcPr>
            <w:tcW w:w="4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07"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48" w:hRule="exact"/>
        </w:trPr>
        <w:tc>
          <w:tcPr>
            <w:tcW w:w="96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商誉减值</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2531" w:hRule="exact"/>
        </w:trPr>
        <w:tc>
          <w:tcPr>
            <w:tcW w:w="4880"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2" w:right="1"/>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日，公司合并报表中商誉账面原值为 </w:t>
            </w:r>
            <w:r>
              <w:rPr>
                <w:rFonts w:ascii="Times New Roman" w:hAnsi="Times New Roman" w:cs="Times New Roman" w:eastAsia="Times New Roman" w:hint="default"/>
                <w:sz w:val="18"/>
                <w:szCs w:val="18"/>
              </w:rPr>
              <w:t>1,461,870,910.40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元，商誉减值准备为</w:t>
            </w:r>
            <w:r>
              <w:rPr>
                <w:rFonts w:ascii="Times New Roman" w:hAnsi="Times New Roman" w:cs="Times New Roman" w:eastAsia="Times New Roman" w:hint="default"/>
                <w:sz w:val="18"/>
                <w:szCs w:val="18"/>
              </w:rPr>
              <w:t>384,817,297.98</w:t>
            </w:r>
            <w:r>
              <w:rPr>
                <w:rFonts w:ascii="宋体" w:hAnsi="宋体" w:cs="宋体" w:eastAsia="宋体" w:hint="default"/>
                <w:sz w:val="18"/>
                <w:szCs w:val="18"/>
              </w:rPr>
              <w:t>元。管理 层在每年年度终了对商誉进行减值测试，并依据减值测试的结 果调整商誉的账面价值。因管理层商誉减值测试的评估过程复 杂，需要高度的判断，减值评估涉及确定折现率等评估参数及 对未来若干年的经营和财务情况的假设，包括未来若干年的销 售增长率和毛利率等。因为商誉账面价值较大，对财务报表影 响重大，我们将商誉减值列为关键审计事项。</w:t>
            </w:r>
          </w:p>
        </w:tc>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我们针对商誉的减值执行的主要审计程序包括：</w:t>
            </w: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3"/>
              <w:ind w:left="362" w:right="2" w:hanging="36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7"/>
                <w:sz w:val="18"/>
                <w:szCs w:val="18"/>
              </w:rPr>
              <w:t> </w:t>
            </w:r>
            <w:r>
              <w:rPr>
                <w:rFonts w:ascii="宋体" w:hAnsi="宋体" w:cs="宋体" w:eastAsia="宋体" w:hint="default"/>
                <w:spacing w:val="2"/>
                <w:sz w:val="18"/>
                <w:szCs w:val="18"/>
              </w:rPr>
              <w:t>对公司商誉减值测试相关的内部控制的设计及执行有效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性进行了评估和测试；</w:t>
            </w:r>
          </w:p>
          <w:p>
            <w:pPr>
              <w:pStyle w:val="TableParagraph"/>
              <w:spacing w:line="316" w:lineRule="auto" w:before="19"/>
              <w:ind w:left="362" w:right="5" w:hanging="36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5"/>
                <w:sz w:val="18"/>
                <w:szCs w:val="18"/>
              </w:rPr>
              <w:t> </w:t>
            </w:r>
            <w:r>
              <w:rPr>
                <w:rFonts w:ascii="宋体" w:hAnsi="宋体" w:cs="宋体" w:eastAsia="宋体" w:hint="default"/>
                <w:spacing w:val="2"/>
                <w:sz w:val="18"/>
                <w:szCs w:val="18"/>
              </w:rPr>
              <w:t>分析管理层对商誉所属资产组的认定和进行商誉减值测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试时采用的关键假设和方法，检查相关的假设和方法的</w:t>
            </w:r>
            <w:r>
              <w:rPr>
                <w:rFonts w:ascii="宋体" w:hAnsi="宋体" w:cs="宋体" w:eastAsia="宋体" w:hint="default"/>
                <w:sz w:val="18"/>
                <w:szCs w:val="18"/>
              </w:rPr>
              <w:t> 合理性；</w:t>
            </w:r>
          </w:p>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pacing w:val="14"/>
                <w:sz w:val="18"/>
                <w:szCs w:val="18"/>
              </w:rPr>
              <w:t> </w:t>
            </w:r>
            <w:r>
              <w:rPr>
                <w:rFonts w:ascii="宋体" w:hAnsi="宋体" w:cs="宋体" w:eastAsia="宋体" w:hint="default"/>
                <w:spacing w:val="2"/>
                <w:sz w:val="18"/>
                <w:szCs w:val="18"/>
              </w:rPr>
              <w:t>测试管理层减值测试所依据的基础数据，我们将</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4880"/>
        <w:gridCol w:w="4779"/>
      </w:tblGrid>
      <w:tr>
        <w:trPr>
          <w:trHeight w:val="330" w:hRule="exact"/>
        </w:trPr>
        <w:tc>
          <w:tcPr>
            <w:tcW w:w="4880" w:type="dxa"/>
            <w:vMerge w:val="restart"/>
            <w:tcBorders>
              <w:top w:val="single" w:sz="6" w:space="0" w:color="000000"/>
              <w:left w:val="single" w:sz="6" w:space="0" w:color="000000"/>
              <w:right w:val="single" w:sz="6" w:space="0" w:color="000000"/>
            </w:tcBorders>
          </w:tcPr>
          <w:p>
            <w:pPr/>
          </w:p>
        </w:tc>
        <w:tc>
          <w:tcPr>
            <w:tcW w:w="47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pacing w:val="2"/>
                <w:sz w:val="18"/>
                <w:szCs w:val="18"/>
              </w:rPr>
              <w:t>度的实际结果与以前年度相应的预测数据进行了比较，</w:t>
            </w:r>
          </w:p>
        </w:tc>
      </w:tr>
      <w:tr>
        <w:trPr>
          <w:trHeight w:val="312" w:hRule="exact"/>
        </w:trPr>
        <w:tc>
          <w:tcPr>
            <w:tcW w:w="4880" w:type="dxa"/>
            <w:vMerge/>
            <w:tcBorders>
              <w:left w:val="single" w:sz="6" w:space="0" w:color="000000"/>
              <w:right w:val="single" w:sz="6" w:space="0" w:color="000000"/>
            </w:tcBorders>
          </w:tcPr>
          <w:p>
            <w:pPr/>
          </w:p>
        </w:tc>
        <w:tc>
          <w:tcPr>
            <w:tcW w:w="477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62" w:right="0"/>
              <w:jc w:val="left"/>
              <w:rPr>
                <w:rFonts w:ascii="宋体" w:hAnsi="宋体" w:cs="宋体" w:eastAsia="宋体" w:hint="default"/>
                <w:sz w:val="18"/>
                <w:szCs w:val="18"/>
              </w:rPr>
            </w:pPr>
            <w:r>
              <w:rPr>
                <w:rFonts w:ascii="宋体" w:hAnsi="宋体" w:cs="宋体" w:eastAsia="宋体" w:hint="default"/>
                <w:sz w:val="18"/>
                <w:szCs w:val="18"/>
              </w:rPr>
              <w:t>以评价管理层对现金流量的预测是否可靠；</w:t>
            </w:r>
          </w:p>
        </w:tc>
      </w:tr>
      <w:tr>
        <w:trPr>
          <w:trHeight w:val="312" w:hRule="exact"/>
        </w:trPr>
        <w:tc>
          <w:tcPr>
            <w:tcW w:w="4880" w:type="dxa"/>
            <w:vMerge/>
            <w:tcBorders>
              <w:left w:val="single" w:sz="6" w:space="0" w:color="000000"/>
              <w:right w:val="single" w:sz="6" w:space="0" w:color="000000"/>
            </w:tcBorders>
          </w:tcPr>
          <w:p>
            <w:pPr/>
          </w:p>
        </w:tc>
        <w:tc>
          <w:tcPr>
            <w:tcW w:w="477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hAnsi="宋体" w:cs="宋体" w:eastAsia="宋体" w:hint="default"/>
                <w:sz w:val="18"/>
                <w:szCs w:val="18"/>
              </w:rPr>
              <w:t>4. </w:t>
            </w:r>
            <w:r>
              <w:rPr>
                <w:rFonts w:ascii="宋体" w:hAnsi="宋体" w:cs="宋体" w:eastAsia="宋体" w:hint="default"/>
                <w:spacing w:val="17"/>
                <w:sz w:val="18"/>
                <w:szCs w:val="18"/>
              </w:rPr>
              <w:t> </w:t>
            </w:r>
            <w:r>
              <w:rPr>
                <w:rFonts w:ascii="宋体" w:hAnsi="宋体" w:cs="宋体" w:eastAsia="宋体" w:hint="default"/>
                <w:spacing w:val="2"/>
                <w:sz w:val="18"/>
                <w:szCs w:val="18"/>
              </w:rPr>
              <w:t>验证商誉减值测试模型的计算准确性，将详细预测期收</w:t>
            </w:r>
          </w:p>
        </w:tc>
      </w:tr>
      <w:tr>
        <w:trPr>
          <w:trHeight w:val="312" w:hRule="exact"/>
        </w:trPr>
        <w:tc>
          <w:tcPr>
            <w:tcW w:w="4880" w:type="dxa"/>
            <w:vMerge/>
            <w:tcBorders>
              <w:left w:val="single" w:sz="6" w:space="0" w:color="000000"/>
              <w:right w:val="single" w:sz="6" w:space="0" w:color="000000"/>
            </w:tcBorders>
          </w:tcPr>
          <w:p>
            <w:pPr/>
          </w:p>
        </w:tc>
        <w:tc>
          <w:tcPr>
            <w:tcW w:w="477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hAnsi="宋体" w:cs="宋体" w:eastAsia="宋体" w:hint="default"/>
                <w:spacing w:val="2"/>
                <w:sz w:val="18"/>
                <w:szCs w:val="18"/>
              </w:rPr>
              <w:t>入增长率与公司的历史收入增长率以及行业历史数据进</w:t>
            </w:r>
          </w:p>
        </w:tc>
      </w:tr>
      <w:tr>
        <w:trPr>
          <w:trHeight w:val="312" w:hRule="exact"/>
        </w:trPr>
        <w:tc>
          <w:tcPr>
            <w:tcW w:w="4880" w:type="dxa"/>
            <w:vMerge/>
            <w:tcBorders>
              <w:left w:val="single" w:sz="6" w:space="0" w:color="000000"/>
              <w:right w:val="single" w:sz="6" w:space="0" w:color="000000"/>
            </w:tcBorders>
          </w:tcPr>
          <w:p>
            <w:pPr/>
          </w:p>
        </w:tc>
        <w:tc>
          <w:tcPr>
            <w:tcW w:w="477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hAnsi="宋体" w:cs="宋体" w:eastAsia="宋体" w:hint="default"/>
                <w:spacing w:val="2"/>
                <w:sz w:val="18"/>
                <w:szCs w:val="18"/>
              </w:rPr>
              <w:t>行比较；将后续预测期增长率与我们根据经济数据作出</w:t>
            </w:r>
          </w:p>
        </w:tc>
      </w:tr>
      <w:tr>
        <w:trPr>
          <w:trHeight w:val="312" w:hRule="exact"/>
        </w:trPr>
        <w:tc>
          <w:tcPr>
            <w:tcW w:w="4880" w:type="dxa"/>
            <w:vMerge/>
            <w:tcBorders>
              <w:left w:val="single" w:sz="6" w:space="0" w:color="000000"/>
              <w:right w:val="single" w:sz="6" w:space="0" w:color="000000"/>
            </w:tcBorders>
          </w:tcPr>
          <w:p>
            <w:pPr/>
          </w:p>
        </w:tc>
        <w:tc>
          <w:tcPr>
            <w:tcW w:w="477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hAnsi="宋体" w:cs="宋体" w:eastAsia="宋体" w:hint="default"/>
                <w:spacing w:val="2"/>
                <w:sz w:val="18"/>
                <w:szCs w:val="18"/>
              </w:rPr>
              <w:t>的独立预期值进行比较；将预测的毛利率与以往业绩进</w:t>
            </w:r>
          </w:p>
        </w:tc>
      </w:tr>
      <w:tr>
        <w:trPr>
          <w:trHeight w:val="312" w:hRule="exact"/>
        </w:trPr>
        <w:tc>
          <w:tcPr>
            <w:tcW w:w="4880" w:type="dxa"/>
            <w:vMerge/>
            <w:tcBorders>
              <w:left w:val="single" w:sz="6" w:space="0" w:color="000000"/>
              <w:right w:val="single" w:sz="6" w:space="0" w:color="000000"/>
            </w:tcBorders>
          </w:tcPr>
          <w:p>
            <w:pPr/>
          </w:p>
        </w:tc>
        <w:tc>
          <w:tcPr>
            <w:tcW w:w="477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62" w:right="0"/>
              <w:jc w:val="left"/>
              <w:rPr>
                <w:rFonts w:ascii="宋体" w:hAnsi="宋体" w:cs="宋体" w:eastAsia="宋体" w:hint="default"/>
                <w:sz w:val="18"/>
                <w:szCs w:val="18"/>
              </w:rPr>
            </w:pPr>
            <w:r>
              <w:rPr>
                <w:rFonts w:ascii="宋体" w:hAnsi="宋体" w:cs="宋体" w:eastAsia="宋体" w:hint="default"/>
                <w:sz w:val="18"/>
                <w:szCs w:val="18"/>
              </w:rPr>
              <w:t>行比较，并考虑市场趋势；</w:t>
            </w:r>
          </w:p>
        </w:tc>
      </w:tr>
      <w:tr>
        <w:trPr>
          <w:trHeight w:val="312" w:hRule="exact"/>
        </w:trPr>
        <w:tc>
          <w:tcPr>
            <w:tcW w:w="4880" w:type="dxa"/>
            <w:vMerge/>
            <w:tcBorders>
              <w:left w:val="single" w:sz="6" w:space="0" w:color="000000"/>
              <w:right w:val="single" w:sz="6" w:space="0" w:color="000000"/>
            </w:tcBorders>
          </w:tcPr>
          <w:p>
            <w:pPr/>
          </w:p>
        </w:tc>
        <w:tc>
          <w:tcPr>
            <w:tcW w:w="477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hAnsi="宋体" w:cs="宋体" w:eastAsia="宋体" w:hint="default"/>
                <w:sz w:val="18"/>
                <w:szCs w:val="18"/>
              </w:rPr>
              <w:t>5. </w:t>
            </w:r>
            <w:r>
              <w:rPr>
                <w:rFonts w:ascii="宋体" w:hAnsi="宋体" w:cs="宋体" w:eastAsia="宋体" w:hint="default"/>
                <w:spacing w:val="8"/>
                <w:sz w:val="18"/>
                <w:szCs w:val="18"/>
              </w:rPr>
              <w:t> </w:t>
            </w:r>
            <w:r>
              <w:rPr>
                <w:rFonts w:ascii="宋体" w:hAnsi="宋体" w:cs="宋体" w:eastAsia="宋体" w:hint="default"/>
                <w:spacing w:val="10"/>
                <w:sz w:val="18"/>
                <w:szCs w:val="18"/>
              </w:rPr>
              <w:t>比较商誉所属资产组的账面价值与其可收回金额的差</w:t>
            </w:r>
          </w:p>
        </w:tc>
      </w:tr>
      <w:tr>
        <w:trPr>
          <w:trHeight w:val="330" w:hRule="exact"/>
        </w:trPr>
        <w:tc>
          <w:tcPr>
            <w:tcW w:w="4880" w:type="dxa"/>
            <w:vMerge/>
            <w:tcBorders>
              <w:left w:val="single" w:sz="6" w:space="0" w:color="000000"/>
              <w:bottom w:val="single" w:sz="6" w:space="0" w:color="000000"/>
              <w:right w:val="single" w:sz="6" w:space="0" w:color="000000"/>
            </w:tcBorders>
          </w:tcPr>
          <w:p>
            <w:pPr/>
          </w:p>
        </w:tc>
        <w:tc>
          <w:tcPr>
            <w:tcW w:w="47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362" w:right="0"/>
              <w:jc w:val="left"/>
              <w:rPr>
                <w:rFonts w:ascii="宋体" w:hAnsi="宋体" w:cs="宋体" w:eastAsia="宋体" w:hint="default"/>
                <w:sz w:val="18"/>
                <w:szCs w:val="18"/>
              </w:rPr>
            </w:pPr>
            <w:r>
              <w:rPr>
                <w:rFonts w:ascii="宋体" w:hAnsi="宋体" w:cs="宋体" w:eastAsia="宋体" w:hint="default"/>
                <w:sz w:val="18"/>
                <w:szCs w:val="18"/>
              </w:rPr>
              <w:t>异，确认是否存在商誉减值情况。</w:t>
            </w:r>
          </w:p>
        </w:tc>
      </w:tr>
    </w:tbl>
    <w:p>
      <w:pPr>
        <w:spacing w:line="240" w:lineRule="auto" w:before="3"/>
        <w:rPr>
          <w:rFonts w:ascii="宋体" w:hAnsi="宋体" w:cs="宋体" w:eastAsia="宋体" w:hint="default"/>
          <w:sz w:val="21"/>
          <w:szCs w:val="21"/>
        </w:rPr>
      </w:pPr>
    </w:p>
    <w:p>
      <w:pPr>
        <w:pStyle w:val="Heading5"/>
        <w:spacing w:line="240" w:lineRule="auto" w:before="44"/>
        <w:ind w:right="967"/>
        <w:jc w:val="left"/>
        <w:rPr>
          <w:b w:val="0"/>
          <w:bCs w:val="0"/>
        </w:rPr>
      </w:pPr>
      <w:r>
        <w:rPr>
          <w:rFonts w:ascii="宋体" w:hAnsi="宋体" w:cs="宋体" w:eastAsia="宋体" w:hint="default"/>
        </w:rPr>
        <w:t>4</w:t>
      </w:r>
      <w:r>
        <w:rPr/>
        <w:t>、</w:t>
      </w:r>
      <w:r>
        <w:rPr>
          <w:spacing w:val="56"/>
        </w:rPr>
        <w:t> </w:t>
      </w:r>
      <w:r>
        <w:rPr/>
        <w:t>其他信息</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53"/>
        <w:ind w:left="514" w:right="967" w:firstLine="568"/>
        <w:jc w:val="left"/>
      </w:pPr>
      <w:r>
        <w:rPr/>
        <w:t>东方通管理层（以下简称管理层）对其他信息负责。其他信息包括东方通</w:t>
      </w:r>
      <w:r>
        <w:rPr>
          <w:rFonts w:ascii="Times New Roman" w:hAnsi="Times New Roman" w:cs="Times New Roman" w:eastAsia="Times New Roman" w:hint="default"/>
        </w:rPr>
        <w:t>2018</w:t>
      </w:r>
      <w:r>
        <w:rPr/>
        <w:t>年年度报告中涵盖的信息，但不 包括财务报表和我们的审计报告。</w:t>
      </w:r>
    </w:p>
    <w:p>
      <w:pPr>
        <w:pStyle w:val="BodyText"/>
        <w:spacing w:line="316" w:lineRule="auto" w:before="31"/>
        <w:ind w:left="1081" w:right="967"/>
        <w:jc w:val="left"/>
      </w:pPr>
      <w:r>
        <w:rPr/>
        <w:t>我们对财务报表发表的审计意见不涵盖其他信息，我们也不对其他信息发表任何形式的鉴证结论。 结合我们对财务报表的审计，我们的责任是阅读其他信息，在此过程中，考虑其他信息是否与财务报表或我们</w:t>
      </w:r>
    </w:p>
    <w:p>
      <w:pPr>
        <w:pStyle w:val="BodyText"/>
        <w:spacing w:line="316" w:lineRule="auto" w:before="19"/>
        <w:ind w:left="1081" w:right="967" w:hanging="568"/>
        <w:jc w:val="left"/>
      </w:pPr>
      <w:r>
        <w:rPr/>
        <w:t>在审计过程中了解到的情况存在重大不一致或者似乎存在重大错报。 基于我们已执行的工作，如果我们确定其他信息存在重大错报，我们应当报告该事实。在这方面，我们无任何</w:t>
      </w:r>
    </w:p>
    <w:p>
      <w:pPr>
        <w:pStyle w:val="BodyText"/>
        <w:spacing w:line="240" w:lineRule="auto" w:before="19"/>
        <w:ind w:left="514" w:right="967"/>
        <w:jc w:val="left"/>
      </w:pPr>
      <w:r>
        <w:rPr/>
        <w:t>事项需要报告。</w:t>
      </w:r>
    </w:p>
    <w:p>
      <w:pPr>
        <w:spacing w:line="624" w:lineRule="exact" w:before="99"/>
        <w:ind w:left="1081" w:right="967" w:hanging="928"/>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z w:val="18"/>
          <w:szCs w:val="18"/>
        </w:rPr>
        <w:t>、</w:t>
      </w:r>
      <w:r>
        <w:rPr>
          <w:rFonts w:ascii="宋体" w:hAnsi="宋体" w:cs="宋体" w:eastAsia="宋体" w:hint="default"/>
          <w:b/>
          <w:bCs/>
          <w:spacing w:val="57"/>
          <w:sz w:val="18"/>
          <w:szCs w:val="18"/>
        </w:rPr>
        <w:t> </w:t>
      </w:r>
      <w:r>
        <w:rPr>
          <w:rFonts w:ascii="宋体" w:hAnsi="宋体" w:cs="宋体" w:eastAsia="宋体" w:hint="default"/>
          <w:b/>
          <w:bCs/>
          <w:sz w:val="18"/>
          <w:szCs w:val="18"/>
        </w:rPr>
        <w:t>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1"/>
          <w:sz w:val="18"/>
          <w:szCs w:val="18"/>
        </w:rPr>
        <w:t>管理层负责按照企业会计准则的规定编制财务报表，使其实现公允反映，并设计、执行和维护必要的内部控制，</w:t>
      </w:r>
    </w:p>
    <w:p>
      <w:pPr>
        <w:pStyle w:val="BodyText"/>
        <w:spacing w:line="213" w:lineRule="exact"/>
        <w:ind w:left="514" w:right="967"/>
        <w:jc w:val="left"/>
      </w:pPr>
      <w:r>
        <w:rPr/>
        <w:t>以使财务报表不存在由于舞弊或错误导致的重大错报。</w:t>
      </w:r>
    </w:p>
    <w:p>
      <w:pPr>
        <w:pStyle w:val="BodyText"/>
        <w:spacing w:line="316" w:lineRule="auto" w:before="76"/>
        <w:ind w:left="514" w:right="967" w:firstLine="568"/>
        <w:jc w:val="left"/>
      </w:pPr>
      <w:r>
        <w:rPr/>
        <w:t>在编制财务报表时，管理层负责评估东方通的持续经营能力，披露与持续经营相关的事项（如适用），并运用 持续经营假设，除非计划进行清算、终止运营或别无其他现实的选择。</w:t>
      </w:r>
    </w:p>
    <w:p>
      <w:pPr>
        <w:spacing w:line="636" w:lineRule="auto" w:before="19"/>
        <w:ind w:left="154" w:right="6584" w:firstLine="928"/>
        <w:jc w:val="left"/>
        <w:rPr>
          <w:rFonts w:ascii="宋体" w:hAnsi="宋体" w:cs="宋体" w:eastAsia="宋体" w:hint="default"/>
          <w:sz w:val="18"/>
          <w:szCs w:val="18"/>
        </w:rPr>
      </w:pPr>
      <w:r>
        <w:rPr>
          <w:rFonts w:ascii="宋体" w:hAnsi="宋体" w:cs="宋体" w:eastAsia="宋体" w:hint="default"/>
          <w:sz w:val="18"/>
          <w:szCs w:val="18"/>
        </w:rPr>
        <w:t>治理层负责监督东方通的财务报告过程。 </w:t>
      </w:r>
      <w:r>
        <w:rPr>
          <w:rFonts w:ascii="宋体" w:hAnsi="宋体" w:cs="宋体" w:eastAsia="宋体" w:hint="default"/>
          <w:b/>
          <w:bCs/>
          <w:sz w:val="18"/>
          <w:szCs w:val="18"/>
        </w:rPr>
        <w:t>6</w:t>
      </w:r>
      <w:r>
        <w:rPr>
          <w:rFonts w:ascii="宋体" w:hAnsi="宋体" w:cs="宋体" w:eastAsia="宋体" w:hint="default"/>
          <w:b/>
          <w:bCs/>
          <w:sz w:val="18"/>
          <w:szCs w:val="18"/>
        </w:rPr>
        <w:t>、</w:t>
      </w:r>
      <w:r>
        <w:rPr>
          <w:rFonts w:ascii="宋体" w:hAnsi="宋体" w:cs="宋体" w:eastAsia="宋体" w:hint="default"/>
          <w:b/>
          <w:bCs/>
          <w:spacing w:val="54"/>
          <w:sz w:val="18"/>
          <w:szCs w:val="18"/>
        </w:rPr>
        <w:t> </w:t>
      </w:r>
      <w:r>
        <w:rPr>
          <w:rFonts w:ascii="宋体" w:hAnsi="宋体" w:cs="宋体" w:eastAsia="宋体" w:hint="default"/>
          <w:b/>
          <w:bCs/>
          <w:sz w:val="18"/>
          <w:szCs w:val="18"/>
        </w:rPr>
        <w:t>注册会计师对财务报表审计的责任</w:t>
      </w:r>
      <w:r>
        <w:rPr>
          <w:rFonts w:ascii="宋体" w:hAnsi="宋体" w:cs="宋体" w:eastAsia="宋体" w:hint="default"/>
          <w:sz w:val="18"/>
          <w:szCs w:val="18"/>
        </w:rPr>
      </w:r>
    </w:p>
    <w:p>
      <w:pPr>
        <w:pStyle w:val="BodyText"/>
        <w:spacing w:line="316" w:lineRule="auto" w:before="91"/>
        <w:ind w:right="1132" w:firstLine="568"/>
        <w:jc w:val="both"/>
      </w:pPr>
      <w:r>
        <w:rPr/>
        <w:t>我们的目标是对财务报表整体是否不存在由于舞弊或错误导致的重大错报获取合理保证，并出具包含审计意见的审 </w:t>
      </w:r>
      <w:r>
        <w:rPr>
          <w:spacing w:val="-2"/>
        </w:rPr>
        <w:t>计报告。合理保证是高水平的保证，但并不能保证按照审计准则执行的审计在某一重大错报存在时总能发现。错报可能由于</w:t>
      </w:r>
      <w:r>
        <w:rPr>
          <w:spacing w:val="-66"/>
        </w:rPr>
        <w:t> </w:t>
      </w:r>
      <w:r>
        <w:rPr>
          <w:spacing w:val="-66"/>
        </w:rPr>
      </w:r>
      <w:r>
        <w:rPr>
          <w:spacing w:val="-2"/>
        </w:rPr>
        <w:t>舞弊或错误导致，如果合理预期错报单独或汇总起来可能影响财务报表使用者依据财务报表作出的经济决策，则通常认为错</w:t>
      </w:r>
      <w:r>
        <w:rPr>
          <w:spacing w:val="-64"/>
        </w:rPr>
        <w:t> </w:t>
      </w:r>
      <w:r>
        <w:rPr>
          <w:spacing w:val="-64"/>
        </w:rPr>
      </w:r>
      <w:r>
        <w:rPr/>
        <w:t>报是重大的。</w:t>
      </w:r>
    </w:p>
    <w:p>
      <w:pPr>
        <w:pStyle w:val="BodyText"/>
        <w:spacing w:line="240" w:lineRule="auto" w:before="19"/>
        <w:ind w:left="721" w:right="967"/>
        <w:jc w:val="left"/>
      </w:pPr>
      <w:r>
        <w:rPr/>
        <w:t>在按照审计准则执行审计工作的过程中，我们运用职业判断，并保持职业怀疑。同时，我们也执行以下工作：</w:t>
      </w:r>
    </w:p>
    <w:p>
      <w:pPr>
        <w:pStyle w:val="BodyText"/>
        <w:spacing w:line="309" w:lineRule="auto" w:before="76"/>
        <w:ind w:right="1040" w:firstLine="568"/>
        <w:jc w:val="both"/>
      </w:pPr>
      <w:r>
        <w:rPr>
          <w:spacing w:val="-3"/>
        </w:rPr>
        <w:t>（</w:t>
      </w:r>
      <w:r>
        <w:rPr>
          <w:rFonts w:ascii="Times New Roman" w:hAnsi="Times New Roman" w:cs="Times New Roman" w:eastAsia="Times New Roman" w:hint="default"/>
          <w:spacing w:val="-3"/>
        </w:rPr>
        <w:t>1</w:t>
      </w:r>
      <w:r>
        <w:rPr>
          <w:spacing w:val="-3"/>
        </w:rPr>
        <w:t>）识别和评估由于舞弊或错误导致的财务报表重大错报风险，设计和实施审计程序以应对这些风险，并获取充分、</w:t>
      </w:r>
      <w:r>
        <w:rPr/>
        <w:t>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24"/>
        <w:ind w:left="721" w:right="967"/>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left="721" w:right="967"/>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right="1131" w:firstLine="568"/>
        <w:jc w:val="both"/>
      </w:pPr>
      <w:r>
        <w:rPr>
          <w:spacing w:val="-1"/>
        </w:rPr>
        <w:t>（</w:t>
      </w:r>
      <w:r>
        <w:rPr>
          <w:rFonts w:ascii="Times New Roman" w:hAnsi="Times New Roman" w:cs="Times New Roman" w:eastAsia="Times New Roman" w:hint="default"/>
          <w:spacing w:val="-1"/>
        </w:rPr>
        <w:t>4</w:t>
      </w:r>
      <w:r>
        <w:rPr>
          <w:spacing w:val="-1"/>
        </w:rPr>
        <w:t>）对管理层使用持续经营假设的恰当性得出结论。同时，根据获取的审计证据，就可能导致对东方通持续经营能</w:t>
      </w:r>
      <w:r>
        <w:rPr/>
        <w:t> </w:t>
      </w:r>
      <w:r>
        <w:rPr>
          <w:spacing w:val="-2"/>
        </w:rPr>
        <w:t>力产生重大疑虑的事项或情况是否存在重大不确定性得出结论。如果我们得出结论认为存在重大不确定性，审计准则要求我</w:t>
      </w:r>
      <w:r>
        <w:rPr>
          <w:spacing w:val="-63"/>
        </w:rPr>
        <w:t> </w:t>
      </w:r>
      <w:r>
        <w:rPr>
          <w:spacing w:val="-63"/>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于截至审计报告日可获得的信息。然而，未来的事项或情况可能导致东方通不能持续经营。</w:t>
      </w:r>
    </w:p>
    <w:p>
      <w:pPr>
        <w:spacing w:after="0" w:line="312"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left="721" w:right="967"/>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300" w:lineRule="auto" w:before="63"/>
        <w:ind w:right="1131" w:firstLine="568"/>
        <w:jc w:val="both"/>
      </w:pPr>
      <w:r>
        <w:rPr>
          <w:spacing w:val="-1"/>
        </w:rPr>
        <w:t>（</w:t>
      </w:r>
      <w:r>
        <w:rPr>
          <w:rFonts w:ascii="Times New Roman" w:hAnsi="Times New Roman" w:cs="Times New Roman" w:eastAsia="Times New Roman" w:hint="default"/>
          <w:spacing w:val="-1"/>
        </w:rPr>
        <w:t>6</w:t>
      </w:r>
      <w:r>
        <w:rPr>
          <w:spacing w:val="-1"/>
        </w:rPr>
        <w:t>）就东方通中实体或业务活动的财务信息获取充分、适当的审计证据，以对财务报表发表审计意见。我们负责指</w:t>
      </w:r>
      <w:r>
        <w:rPr/>
        <w:t> 导、监督和执行集团审计，并对审计意见承担全部责任。</w:t>
      </w:r>
    </w:p>
    <w:p>
      <w:pPr>
        <w:pStyle w:val="BodyText"/>
        <w:spacing w:line="319" w:lineRule="auto" w:before="31"/>
        <w:ind w:right="1138" w:firstLine="568"/>
        <w:jc w:val="both"/>
      </w:pPr>
      <w:r>
        <w:rPr/>
        <w:t>我们与治理层就计划的审计范围、时间安排和重大审计发现等事项进行沟通，包括沟通我们在审计中识别出的值得 关注的内部控制缺陷。</w:t>
      </w:r>
    </w:p>
    <w:p>
      <w:pPr>
        <w:pStyle w:val="BodyText"/>
        <w:spacing w:line="316" w:lineRule="auto" w:before="17"/>
        <w:ind w:right="1139" w:firstLine="568"/>
        <w:jc w:val="both"/>
      </w:pPr>
      <w:r>
        <w:rPr/>
        <w:t>我们还就已遵守与独立性相关的职业道德要求向治理层提供声明，并与治理层沟通可能被合理认为影响我们独立性 的所有关系和其他事项，以及相关的防范措施（如适用）。</w:t>
      </w:r>
    </w:p>
    <w:p>
      <w:pPr>
        <w:pStyle w:val="BodyText"/>
        <w:spacing w:line="316" w:lineRule="auto" w:before="19"/>
        <w:ind w:right="1133" w:firstLine="568"/>
        <w:jc w:val="both"/>
      </w:pPr>
      <w:r>
        <w:rPr/>
        <w:t>从与治理层沟通过的事项中，我们确定哪些事项对本期财务报表审计最为重要，因而构成关键审计事项。我们在审 </w:t>
      </w:r>
      <w:r>
        <w:rPr>
          <w:spacing w:val="-2"/>
        </w:rPr>
        <w:t>计报告中描述这些事项，除非法律法规禁止公开披露这些事项，或在极少数情形下，如果合理预期在审计报告中沟通某事项</w:t>
      </w:r>
      <w:r>
        <w:rPr>
          <w:spacing w:val="-66"/>
        </w:rPr>
        <w:t> </w:t>
      </w:r>
      <w:r>
        <w:rPr>
          <w:spacing w:val="-66"/>
        </w:rPr>
      </w:r>
      <w:r>
        <w:rPr/>
        <w:t>造成的负面后果超过在公众利益方面产生的益处，我们确定不应在审计报告中沟通该事项。</w:t>
      </w:r>
    </w:p>
    <w:p>
      <w:pPr>
        <w:spacing w:line="240" w:lineRule="auto" w:before="4"/>
        <w:rPr>
          <w:rFonts w:ascii="宋体" w:hAnsi="宋体" w:cs="宋体" w:eastAsia="宋体" w:hint="default"/>
          <w:sz w:val="25"/>
          <w:szCs w:val="25"/>
        </w:rPr>
      </w:pPr>
    </w:p>
    <w:p>
      <w:pPr>
        <w:pStyle w:val="Heading5"/>
        <w:tabs>
          <w:tab w:pos="2409" w:val="left" w:leader="none"/>
        </w:tabs>
        <w:spacing w:line="240" w:lineRule="auto"/>
        <w:ind w:left="428" w:right="967"/>
        <w:jc w:val="left"/>
        <w:rPr>
          <w:b w:val="0"/>
          <w:bCs w:val="0"/>
        </w:rPr>
      </w:pPr>
      <w:r>
        <w:rPr>
          <w:w w:val="95"/>
        </w:rPr>
        <w:t>立信会计师事务所</w:t>
        <w:tab/>
      </w:r>
      <w:r>
        <w:rPr/>
        <w:t>中国注册会计师：刘文豪（项目合伙人）</w:t>
      </w:r>
      <w:r>
        <w:rPr>
          <w:b w:val="0"/>
          <w:bCs w:val="0"/>
        </w:rPr>
      </w:r>
    </w:p>
    <w:p>
      <w:pPr>
        <w:pStyle w:val="Heading5"/>
        <w:spacing w:line="240" w:lineRule="auto" w:before="76"/>
        <w:ind w:left="428" w:right="967"/>
        <w:jc w:val="left"/>
        <w:rPr>
          <w:b w:val="0"/>
          <w:bCs w:val="0"/>
        </w:rPr>
      </w:pPr>
      <w:r>
        <w:rPr/>
        <w:t>（特殊普通合伙）</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7"/>
          <w:szCs w:val="17"/>
        </w:rPr>
      </w:pPr>
    </w:p>
    <w:p>
      <w:pPr>
        <w:pStyle w:val="Heading5"/>
        <w:spacing w:line="240" w:lineRule="auto"/>
        <w:ind w:left="2350" w:right="967"/>
        <w:jc w:val="left"/>
        <w:rPr>
          <w:b w:val="0"/>
          <w:bCs w:val="0"/>
        </w:rPr>
      </w:pPr>
      <w:r>
        <w:rPr/>
        <w:t>中国注册会计师：徐文博</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7"/>
          <w:szCs w:val="17"/>
        </w:rPr>
      </w:pPr>
    </w:p>
    <w:p>
      <w:pPr>
        <w:pStyle w:val="Heading5"/>
        <w:tabs>
          <w:tab w:pos="4509" w:val="left" w:leader="none"/>
        </w:tabs>
        <w:spacing w:line="240" w:lineRule="auto"/>
        <w:ind w:left="2322" w:right="967"/>
        <w:jc w:val="left"/>
        <w:rPr>
          <w:b w:val="0"/>
          <w:bCs w:val="0"/>
        </w:rPr>
      </w:pPr>
      <w:r>
        <w:rPr>
          <w:w w:val="95"/>
        </w:rPr>
        <w:t>中国</w:t>
      </w:r>
      <w:r>
        <w:rPr>
          <w:rFonts w:ascii="Times New Roman" w:hAnsi="Times New Roman" w:cs="Times New Roman" w:eastAsia="Times New Roman" w:hint="default"/>
          <w:w w:val="95"/>
        </w:rPr>
        <w:t>•</w:t>
      </w:r>
      <w:r>
        <w:rPr>
          <w:w w:val="95"/>
        </w:rPr>
        <w:t>上海</w:t>
        <w:tab/>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Heading2"/>
        <w:spacing w:line="240" w:lineRule="auto" w:before="156"/>
        <w:ind w:right="967"/>
        <w:jc w:val="left"/>
        <w:rPr>
          <w:b w:val="0"/>
          <w:bCs w:val="0"/>
        </w:rPr>
      </w:pPr>
      <w:bookmarkStart w:name="二、财务报表" w:id="152"/>
      <w:bookmarkEnd w:id="152"/>
      <w:r>
        <w:rPr>
          <w:b w:val="0"/>
          <w:bCs w:val="0"/>
        </w:rPr>
      </w:r>
      <w:r>
        <w:rPr/>
        <w:t>二、财务报表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67"/>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967"/>
        <w:jc w:val="left"/>
        <w:rPr>
          <w:b w:val="0"/>
          <w:bCs w:val="0"/>
        </w:rPr>
      </w:pPr>
      <w:bookmarkStart w:name="1、合并资产负债表" w:id="153"/>
      <w:bookmarkEnd w:id="153"/>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pStyle w:val="BodyText"/>
        <w:spacing w:line="240" w:lineRule="auto" w:before="44"/>
        <w:ind w:right="-20"/>
        <w:jc w:val="left"/>
      </w:pPr>
      <w:r>
        <w:rPr/>
        <w:t>编制单位：北京东方通科技股份有限公司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3" w:equalWidth="0">
            <w:col w:w="3395" w:space="68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370,094,606.09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598,624,131.70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351,242,758.59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304,341,678.49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929,920.00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3,308,640.00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350,312,838.59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301,033,038.49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4,732,360.89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5,812,592.67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7,179,724.32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7,770,051.60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2,208,839.45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38,577,722.60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33,248,823.40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40,851.19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40,890.56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771,868,023.68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949,838,168.42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67,605,343.76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55,906,246.82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4,050,192.08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3,927,937.46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17,138,257.90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16,928,969.02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1,077,053,612.42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522,182,172.42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141,674.96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311,685.08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15,363,720.59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13,029,835.01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78,806,592.98</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1,260,359,394.69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612,486,845.81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2,032,227,418.37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1,562,325,014.23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55,496,692.40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73,581,640.52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7,271,317.71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4,369,869.33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14,829,832.87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10,663,050.11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28,350,685.64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20,575,670.04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338,177,765.61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1,019,543.04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492,126,294.23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110,209,773.04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112,000,000.00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5,468,820.00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3,979,724.78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315,026.67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693,672.87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117,783,846.67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4,673,397.65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609,910,140.90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114,883,170.69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277,031,708.00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277,031,708.00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1,184,086,255.80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1,181,374,804.82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150,004,584.16</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26,325,950.60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26,325,950.60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84,877,947.23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-37,290,619.88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1,422,317,277.47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1,447,441,843.54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1,422,317,277.47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1,447,441,843.54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2,032,227,418.37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1,562,325,014.23</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法定代表人：黄永军</w:t>
        <w:tab/>
        <w:t>主管会计工作负责人：徐少璞</w:t>
        <w:tab/>
        <w:t>会计机构负责人：王巧瑞</w:t>
      </w:r>
    </w:p>
    <w:p>
      <w:pPr>
        <w:spacing w:line="240" w:lineRule="auto" w:before="11"/>
        <w:rPr>
          <w:rFonts w:ascii="宋体" w:hAnsi="宋体" w:cs="宋体" w:eastAsia="宋体" w:hint="default"/>
          <w:sz w:val="26"/>
          <w:szCs w:val="26"/>
        </w:rPr>
      </w:pPr>
    </w:p>
    <w:p>
      <w:pPr>
        <w:pStyle w:val="Heading3"/>
        <w:spacing w:line="240" w:lineRule="auto"/>
        <w:ind w:right="967"/>
        <w:jc w:val="left"/>
        <w:rPr>
          <w:b w:val="0"/>
          <w:bCs w:val="0"/>
        </w:rPr>
      </w:pPr>
      <w:bookmarkStart w:name="2、母公司资产负债表" w:id="154"/>
      <w:bookmarkEnd w:id="154"/>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170,909,652.24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444,499,601.87</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112,453,675.75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111,703,219.85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929,920.00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2,097,500.00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111,523,755.75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109,605,719.85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1,795,271.67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1,725,101.56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59,371,218.01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94,094,197.18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2,208,839.45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344,529,817.67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652,022,120.46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1,507,765,424.70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826,066,327.76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1,146,963.22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1,396,134.14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6,303,112.53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9,389,174.12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7,147,874.78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6,792,073.34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1,522,363,375.23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843,643,709.36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1,866,893,192.90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1,495,665,829.82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2,433,169.16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949,177.16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1,068,768.31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2,610,268.97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10,144,586.26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6,836,538.53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8,072,205.18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9,564,981.20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383,444,977.89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79,785,635.63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453,163,706.80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99,746,601.49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112,000,000.00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5,468,820.00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3,979,724.78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117,468,820.00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3,979,724.78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570,632,526.80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103,726,326.27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277,031,708.00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277,031,708.00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1,184,086,255.80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1,181,374,804.82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150,004,584.16</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26,325,950.60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26,325,950.60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-41,178,664.14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-92,792,959.87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1,296,260,666.10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1,391,939,503.55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1,866,893,192.90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1,495,665,829.82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7"/>
        <w:rPr>
          <w:rFonts w:ascii="Times New Roman" w:hAnsi="Times New Roman" w:cs="Times New Roman" w:eastAsia="Times New Roman" w:hint="default"/>
          <w:sz w:val="23"/>
          <w:szCs w:val="23"/>
        </w:rPr>
      </w:pPr>
    </w:p>
    <w:p>
      <w:pPr>
        <w:pStyle w:val="Heading3"/>
        <w:spacing w:line="240" w:lineRule="auto" w:before="35"/>
        <w:ind w:right="967"/>
        <w:jc w:val="left"/>
        <w:rPr>
          <w:b w:val="0"/>
          <w:bCs w:val="0"/>
        </w:rPr>
      </w:pPr>
      <w:bookmarkStart w:name="3、合并利润表" w:id="155"/>
      <w:bookmarkEnd w:id="155"/>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372,052,345.23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292,786,400.27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372,052,345.23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292,786,400.27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288,748,421.87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633,011,378.53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91,492,878.91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74,034,535.88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5,100,433.07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3,938,889.54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56,862,164.97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43,818,066.20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63,218,798.95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51,503,150.37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70,369,152.84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62,092,582.36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-6,384,495.56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-9,157,046.92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2,547,769.46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9,134,700.67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9,286,283.66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8,089,488.69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406,781,201.10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43,629,168.39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31,022,068.89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-300,903.06</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-3,955,010.76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-300,903.06</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-3,955,010.76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1"/>
              <w:jc w:val="right"/>
              <w:rPr>
                <w:rFonts w:ascii="宋体" w:hAnsi="宋体" w:cs="宋体" w:eastAsia="宋体" w:hint="default"/>
                <w:sz w:val="18"/>
                <w:szCs w:val="18"/>
              </w:rPr>
            </w:pP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-183,484.06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126,632,188.69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-313,341,404.19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9,310.07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14,170,751.26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181,283.41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186,510.38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126,460,215.35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-299,357,163.31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4,291,648.24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7,929,545.73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122,168,567.11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-307,286,709.04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122,168,567.11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-307,286,709.04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122,168,567.11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-307,286,709.04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122,168,567.11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-307,286,709.04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122,168,567.11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-307,286,709.04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w:t>
            </w:r>
          </w:p>
        </w:tc>
      </w:tr>
    </w:tbl>
    <w:p>
      <w:pPr>
        <w:pStyle w:val="BodyText"/>
        <w:tabs>
          <w:tab w:pos="3574" w:val="left" w:leader="none"/>
          <w:tab w:pos="7715" w:val="left" w:leader="none"/>
        </w:tabs>
        <w:spacing w:line="624" w:lineRule="auto" w:before="51"/>
        <w:ind w:right="1229"/>
        <w:jc w:val="left"/>
      </w:pPr>
      <w:r>
        <w:rPr/>
        <w:t>本期发生同一控制下企业合并的，被合并方在合并前实现的净利润为：元，上期被合并方实现的净利润为：元。 法定代表人：黄永军</w:t>
        <w:tab/>
        <w:t>主管会计工作负责人：徐少璞</w:t>
        <w:tab/>
        <w:t>会计机构负责人：王巧瑞</w:t>
      </w:r>
    </w:p>
    <w:p>
      <w:pPr>
        <w:pStyle w:val="Heading3"/>
        <w:spacing w:line="240" w:lineRule="auto" w:before="63"/>
        <w:ind w:right="967"/>
        <w:jc w:val="left"/>
        <w:rPr>
          <w:b w:val="0"/>
          <w:bCs w:val="0"/>
        </w:rPr>
      </w:pPr>
      <w:bookmarkStart w:name="4、母公司利润表" w:id="156"/>
      <w:bookmarkEnd w:id="156"/>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106,497,983.40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94,914,544.88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11,059,923.90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13,328,476.84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2,031,629.23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1,640,929.67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36,252,782.38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29,170,949.33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29,901,384.16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25,690,238.89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29,250,642.01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32,596,686.56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-4,098,700.15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-8,407,429.34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2,528,960.01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6,684,094.11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8,448,001.36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882,914.39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399,633,998.20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28,819,284.99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14,939,850.47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19,699,096.94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122,544,989.24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-300,903.06</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-3,955,010.76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49,735,789.41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-261,254,465.56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88,933.98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102,882.90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49,653,355.43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-247,357,348.46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-1,960,940.30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1,804,792.28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51,614,295.73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-249,162,140.74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51,614,295.73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-249,162,140.74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51,614,295.73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-249,162,140.74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967"/>
        <w:jc w:val="left"/>
        <w:rPr>
          <w:b w:val="0"/>
          <w:bCs w:val="0"/>
        </w:rPr>
      </w:pPr>
      <w:bookmarkStart w:name="5、合并现金流量表" w:id="157"/>
      <w:bookmarkEnd w:id="157"/>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415,052,311.23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326,055,109.48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26,634,824.53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31,131,920.83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44,887,829.86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29,423,712.21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486,574,965.62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386,610,742.52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121,838,903.48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60,004,771.91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108,017,786.59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97,181,643.75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49,825,685.55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48,764,068.26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80,237,013.07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71,491,719.67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359,919,388.69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277,442,203.59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126,655,576.93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109,168,538.93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3,118.00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3,118.00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82,560,759.05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3,205,001.00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268,004,730.21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95,044,991.00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362,565,489.26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157,849,992.00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-362,558,989.26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-157,846,874.00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14,833,983.82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14,833,983.82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27,703,170.80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150,004,584.16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472,562.47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151,004,584.16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28,175,733.27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8,995,415.84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-13,341,749.45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-226,907,996.49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-62,020,084.52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593,679,289.59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655,699,374.11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366,771,293.10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593,679,289.59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967"/>
        <w:jc w:val="left"/>
        <w:rPr>
          <w:b w:val="0"/>
          <w:bCs w:val="0"/>
        </w:rPr>
      </w:pPr>
      <w:bookmarkStart w:name="6、母公司现金流量表" w:id="158"/>
      <w:bookmarkEnd w:id="158"/>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39"/>
        <w:gridCol w:w="3318"/>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117,148,850.31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99,921,638.92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10,741,660.21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12,310,206.47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50,236,100.41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92,053,751.55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178,126,610.93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204,285,596.94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10,541,257.62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55,500,038.92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54,740,815.15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17,710,067.33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16,783,800.10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96,179,034.72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57,914,157.78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179,930,398.59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130,438,773.03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-1,803,787.66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73,846,823.91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56,500,000.00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56,503,000.00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252,826.00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484,429.00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214,644,991.00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282,252,826.00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215,129,420.00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-282,246,326.00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-158,626,420.00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14,833,983.82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14,833,983.82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27,703,170.80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150,004,584.16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472,562.47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150,004,584.16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28,175,733.27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9,995,415.84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-13,341,749.45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-274,054,697.82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-98,121,345.54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443,938,851.87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542,060,197.41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169,884,154.05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443,938,851.87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967"/>
        <w:jc w:val="left"/>
        <w:rPr>
          <w:b w:val="0"/>
          <w:bCs w:val="0"/>
        </w:rPr>
      </w:pPr>
      <w:bookmarkStart w:name="7、合并所有者权益变动表" w:id="159"/>
      <w:bookmarkEnd w:id="159"/>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67"/>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2"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277,03</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1,708.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1,181,3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74,804.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26,325,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950.60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-37,290,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619.88</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41,843.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277,03</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1,708.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1,181,3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74,804.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26,325,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950.60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-37,290,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619.88</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41,843.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2,711,4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50.98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150,004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,584.16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122,168</w:t>
            </w:r>
          </w:p>
          <w:p>
            <w:pPr>
              <w:pStyle w:val="TableParagraph"/>
              <w:spacing w:line="240" w:lineRule="auto" w:before="106"/>
              <w:ind w:left="98" w:right="0"/>
              <w:jc w:val="left"/>
              <w:rPr>
                <w:rFonts w:ascii="Times New Roman" w:hAnsi="Times New Roman" w:cs="Times New Roman" w:eastAsia="Times New Roman" w:hint="default"/>
                <w:sz w:val="18"/>
                <w:szCs w:val="18"/>
              </w:rPr>
            </w:pPr>
            <w:r>
              <w:rPr>
                <w:rFonts w:ascii="Times New Roman"/>
                <w:sz w:val="18"/>
              </w:rPr>
              <w:t>,567.11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-25,124,</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566.07</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122,168</w:t>
            </w:r>
          </w:p>
          <w:p>
            <w:pPr>
              <w:pStyle w:val="TableParagraph"/>
              <w:spacing w:line="240" w:lineRule="auto" w:before="106"/>
              <w:ind w:left="98" w:right="0"/>
              <w:jc w:val="left"/>
              <w:rPr>
                <w:rFonts w:ascii="Times New Roman" w:hAnsi="Times New Roman" w:cs="Times New Roman" w:eastAsia="Times New Roman" w:hint="default"/>
                <w:sz w:val="18"/>
                <w:szCs w:val="18"/>
              </w:rPr>
            </w:pPr>
            <w:r>
              <w:rPr>
                <w:rFonts w:ascii="Times New Roman"/>
                <w:sz w:val="18"/>
              </w:rPr>
              <w:t>,567.11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122,168</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,567.11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2,711,4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50.98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150,004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,584.16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3,133.1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2,711,4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50.98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2,711,4</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50.98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150,004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,584.16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4,584.1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277,03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1,708.</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1,184,0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86,255.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150,004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,584.16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26,325,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950.60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84,877,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947.23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1,422,3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17,277.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47</w:t>
            </w:r>
          </w:p>
        </w:tc>
      </w:tr>
    </w:tbl>
    <w:p>
      <w:pPr>
        <w:pStyle w:val="BodyText"/>
        <w:spacing w:line="240" w:lineRule="auto" w:before="51"/>
        <w:ind w:right="967"/>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138,39</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3,484.</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1,311,9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63,316.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26,325,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950.60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297,699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,259.96</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1,774,3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2"/>
                <w:sz w:val="18"/>
              </w:rPr>
              <w:t>82,011.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24</w:t>
            </w:r>
          </w:p>
        </w:tc>
      </w:tr>
      <w:tr>
        <w:trPr>
          <w:trHeight w:val="391"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138,39</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3,484.</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1,311,9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63,316.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26,325,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950.60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297,699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,259.96</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1,774,3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2"/>
                <w:sz w:val="18"/>
              </w:rPr>
              <w:t>82,011.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24</w:t>
            </w:r>
          </w:p>
        </w:tc>
      </w:tr>
      <w:tr>
        <w:trPr>
          <w:trHeight w:val="391"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138,63</w:t>
            </w:r>
          </w:p>
          <w:p>
            <w:pPr>
              <w:pStyle w:val="TableParagraph"/>
              <w:spacing w:line="240" w:lineRule="auto" w:before="104"/>
              <w:ind w:left="67" w:right="0"/>
              <w:jc w:val="left"/>
              <w:rPr>
                <w:rFonts w:ascii="Times New Roman" w:hAnsi="Times New Roman" w:cs="Times New Roman" w:eastAsia="Times New Roman" w:hint="default"/>
                <w:sz w:val="18"/>
                <w:szCs w:val="18"/>
              </w:rPr>
            </w:pPr>
            <w:r>
              <w:rPr>
                <w:rFonts w:ascii="Times New Roman"/>
                <w:sz w:val="18"/>
              </w:rPr>
              <w:t>8,224.</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-130,58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pacing w:val="-2"/>
                <w:sz w:val="18"/>
              </w:rPr>
              <w:t>8,511.8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-334,98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9,879.8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-326,94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0,167.7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62"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-307,28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6,709.0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-307,28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6,709.0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703"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122,37</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7,927,3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42.14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8,049,7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12.14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122,37</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7,927,3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42.14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8,049,7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12.14</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-27,703,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170.80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-27,703,</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170.80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-27,703,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170.80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-27,703,</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170.80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138,51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5,854.</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5,854.0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138,51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5,854.</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5,854.0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277,03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1,708.</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1,181,3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74,804.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26,325,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950.60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-37,290,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619.88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41,843.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r>
    </w:tbl>
    <w:p>
      <w:pPr>
        <w:spacing w:line="240" w:lineRule="auto" w:before="2"/>
        <w:rPr>
          <w:rFonts w:ascii="宋体" w:hAnsi="宋体" w:cs="宋体" w:eastAsia="宋体" w:hint="default"/>
          <w:sz w:val="19"/>
          <w:szCs w:val="19"/>
        </w:rPr>
      </w:pPr>
    </w:p>
    <w:p>
      <w:pPr>
        <w:pStyle w:val="Heading3"/>
        <w:spacing w:line="240" w:lineRule="auto" w:before="35"/>
        <w:ind w:right="967"/>
        <w:jc w:val="left"/>
        <w:rPr>
          <w:b w:val="0"/>
          <w:bCs w:val="0"/>
        </w:rPr>
      </w:pPr>
      <w:bookmarkStart w:name="8、母公司所有者权益变动表" w:id="160"/>
      <w:bookmarkEnd w:id="160"/>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67"/>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8"/>
        <w:gridCol w:w="715"/>
        <w:gridCol w:w="653"/>
        <w:gridCol w:w="665"/>
        <w:gridCol w:w="654"/>
        <w:gridCol w:w="809"/>
        <w:gridCol w:w="797"/>
        <w:gridCol w:w="798"/>
        <w:gridCol w:w="798"/>
        <w:gridCol w:w="796"/>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2"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4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72" w:type="dxa"/>
            <w:gridSpan w:val="3"/>
            <w:vMerge/>
            <w:tcBorders>
              <w:left w:val="single" w:sz="4" w:space="0" w:color="000000"/>
              <w:bottom w:val="single" w:sz="4" w:space="0" w:color="000000"/>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15"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4"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6"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15"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277,031,</w:t>
            </w:r>
          </w:p>
        </w:tc>
        <w:tc>
          <w:tcPr>
            <w:tcW w:w="6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5" w:right="0"/>
              <w:jc w:val="left"/>
              <w:rPr>
                <w:rFonts w:ascii="Times New Roman" w:hAnsi="Times New Roman" w:cs="Times New Roman" w:eastAsia="Times New Roman" w:hint="default"/>
                <w:sz w:val="18"/>
                <w:szCs w:val="18"/>
              </w:rPr>
            </w:pPr>
            <w:r>
              <w:rPr>
                <w:rFonts w:ascii="Times New Roman"/>
                <w:sz w:val="18"/>
              </w:rPr>
              <w:t>1,181,374</w:t>
            </w:r>
          </w:p>
        </w:tc>
        <w:tc>
          <w:tcPr>
            <w:tcW w:w="797" w:type="dxa"/>
            <w:tcBorders>
              <w:top w:val="single" w:sz="22" w:space="0" w:color="D2D2D2"/>
              <w:left w:val="single" w:sz="4" w:space="0" w:color="000000"/>
              <w:bottom w:val="single" w:sz="4" w:space="0" w:color="000000"/>
              <w:right w:val="single" w:sz="4" w:space="0" w:color="000000"/>
            </w:tcBorders>
          </w:tcPr>
          <w:p>
            <w:pPr/>
          </w:p>
        </w:tc>
        <w:tc>
          <w:tcPr>
            <w:tcW w:w="798" w:type="dxa"/>
            <w:tcBorders>
              <w:top w:val="single" w:sz="22" w:space="0" w:color="D2D2D2"/>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26,325,95</w:t>
            </w:r>
          </w:p>
        </w:tc>
        <w:tc>
          <w:tcPr>
            <w:tcW w:w="676"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88"/>
              <w:ind w:left="43" w:right="0"/>
              <w:jc w:val="left"/>
              <w:rPr>
                <w:rFonts w:ascii="Times New Roman" w:hAnsi="Times New Roman" w:cs="Times New Roman" w:eastAsia="Times New Roman" w:hint="default"/>
                <w:sz w:val="18"/>
                <w:szCs w:val="18"/>
              </w:rPr>
            </w:pPr>
            <w:r>
              <w:rPr>
                <w:rFonts w:ascii="Times New Roman"/>
                <w:sz w:val="18"/>
              </w:rPr>
              <w:t>-92,792,</w:t>
            </w:r>
          </w:p>
        </w:tc>
        <w:tc>
          <w:tcPr>
            <w:tcW w:w="781"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88"/>
              <w:ind w:left="27" w:right="0"/>
              <w:jc w:val="left"/>
              <w:rPr>
                <w:rFonts w:ascii="Times New Roman" w:hAnsi="Times New Roman" w:cs="Times New Roman" w:eastAsia="Times New Roman" w:hint="default"/>
                <w:sz w:val="18"/>
                <w:szCs w:val="18"/>
              </w:rPr>
            </w:pPr>
            <w:r>
              <w:rPr>
                <w:rFonts w:ascii="Times New Roman"/>
                <w:sz w:val="18"/>
              </w:rPr>
              <w:t>1,391,939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Times New Roman" w:hAnsi="Times New Roman" w:cs="Times New Roman" w:eastAsia="Times New Roman" w:hint="default"/>
                <w:sz w:val="18"/>
                <w:szCs w:val="18"/>
              </w:rPr>
            </w:pPr>
            <w:r>
              <w:rPr>
                <w:rFonts w:ascii="Times New Roman"/>
                <w:sz w:val="18"/>
              </w:rPr>
              <w:t>708.00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Times New Roman" w:hAnsi="Times New Roman" w:cs="Times New Roman" w:eastAsia="Times New Roman" w:hint="default"/>
                <w:sz w:val="18"/>
                <w:szCs w:val="18"/>
              </w:rPr>
            </w:pPr>
            <w:r>
              <w:rPr>
                <w:rFonts w:ascii="Times New Roman"/>
                <w:sz w:val="18"/>
              </w:rPr>
              <w:t>,804.82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9" w:right="0"/>
              <w:jc w:val="left"/>
              <w:rPr>
                <w:rFonts w:ascii="Times New Roman" w:hAnsi="Times New Roman" w:cs="Times New Roman" w:eastAsia="Times New Roman" w:hint="default"/>
                <w:sz w:val="18"/>
                <w:szCs w:val="18"/>
              </w:rPr>
            </w:pPr>
            <w:r>
              <w:rPr>
                <w:rFonts w:ascii="Times New Roman"/>
                <w:sz w:val="18"/>
              </w:rPr>
              <w:t>0.60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Times New Roman"/>
                <w:sz w:val="18"/>
              </w:rPr>
              <w:t>959.87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,503.55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277,031,</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708.00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1,181,374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,804.82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26,325,95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0.60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-92,792,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959.87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1,391,939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,503.55</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2,711,450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150,004,5</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84.16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51,614,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295.73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-95,678,8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37.45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51,614,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295.73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51,614,29</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5.73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2,711,450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150,004,5</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84.16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-147,293,</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133.18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2,711,450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2,711,450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150,004,5</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84.16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-150,004,</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584.16</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47"/>
              <w:jc w:val="left"/>
              <w:rPr>
                <w:rFonts w:ascii="宋体" w:hAnsi="宋体" w:cs="宋体" w:eastAsia="宋体" w:hint="default"/>
                <w:sz w:val="18"/>
                <w:szCs w:val="18"/>
              </w:rPr>
            </w:pPr>
            <w:r>
              <w:rPr>
                <w:rFonts w:ascii="宋体" w:hAnsi="宋体" w:cs="宋体" w:eastAsia="宋体" w:hint="default"/>
                <w:sz w:val="18"/>
                <w:szCs w:val="18"/>
              </w:rPr>
              <w:t>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277,031,</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708.00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1,184,086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,255.80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150,004,5</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84.16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26,325,95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0.60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-41,178,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664.14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1,296,260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,666.10</w:t>
            </w:r>
          </w:p>
        </w:tc>
      </w:tr>
    </w:tbl>
    <w:p>
      <w:pPr>
        <w:pStyle w:val="BodyText"/>
        <w:spacing w:line="240" w:lineRule="auto" w:before="51"/>
        <w:ind w:right="967"/>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138,393,</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484.00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1,311,963</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,316.68</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26,325,95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0.60</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184,072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,351.67</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4" w:right="0"/>
              <w:jc w:val="center"/>
              <w:rPr>
                <w:rFonts w:ascii="Times New Roman" w:hAnsi="Times New Roman" w:cs="Times New Roman" w:eastAsia="Times New Roman" w:hint="default"/>
                <w:sz w:val="18"/>
                <w:szCs w:val="18"/>
              </w:rPr>
            </w:pPr>
            <w:r>
              <w:rPr>
                <w:rFonts w:ascii="Times New Roman"/>
                <w:sz w:val="18"/>
              </w:rPr>
              <w:t>1,660,755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,102.95</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138,393,</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484.00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1,311,963</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,316.68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26,325,95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0.60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184,072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,351.67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1,660,755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,102.95</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138,638,</w:t>
            </w:r>
          </w:p>
          <w:p>
            <w:pPr>
              <w:pStyle w:val="TableParagraph"/>
              <w:spacing w:line="240" w:lineRule="auto" w:before="106"/>
              <w:ind w:left="128" w:right="0"/>
              <w:jc w:val="center"/>
              <w:rPr>
                <w:rFonts w:ascii="Times New Roman" w:hAnsi="Times New Roman" w:cs="Times New Roman" w:eastAsia="Times New Roman" w:hint="default"/>
                <w:sz w:val="18"/>
                <w:szCs w:val="18"/>
              </w:rPr>
            </w:pPr>
            <w:r>
              <w:rPr>
                <w:rFonts w:ascii="Times New Roman"/>
                <w:sz w:val="18"/>
              </w:rPr>
              <w:t>224.00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-130,588,</w:t>
            </w:r>
          </w:p>
          <w:p>
            <w:pPr>
              <w:pStyle w:val="TableParagraph"/>
              <w:spacing w:line="240" w:lineRule="auto" w:before="106"/>
              <w:ind w:left="275" w:right="0"/>
              <w:jc w:val="left"/>
              <w:rPr>
                <w:rFonts w:ascii="Times New Roman" w:hAnsi="Times New Roman" w:cs="Times New Roman" w:eastAsia="Times New Roman" w:hint="default"/>
                <w:sz w:val="18"/>
                <w:szCs w:val="18"/>
              </w:rPr>
            </w:pPr>
            <w:r>
              <w:rPr>
                <w:rFonts w:ascii="Times New Roman"/>
                <w:sz w:val="18"/>
              </w:rPr>
              <w:t>511.86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2"/>
                <w:sz w:val="18"/>
              </w:rPr>
              <w:t>5,311.5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-268,815,</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599.40</w:t>
            </w: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2,140.7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-249,162,</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140.74</w:t>
            </w:r>
          </w:p>
        </w:tc>
      </w:tr>
      <w:tr>
        <w:trPr>
          <w:trHeight w:val="704"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122,370.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7,927,342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8,049,712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.14</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122,370.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7,927,342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8,049,712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-27,703,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170.80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-27,703,1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70.80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-27,703,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170.80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-27,703,1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70.80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138,515,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854.00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-138,515,</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854.00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138,515,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854.00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-138,515,</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854.00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277,031,</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708.00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1,181,374</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,804.82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26,325,95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0.60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-92,792,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959.87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1,391,939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,503.55</w:t>
            </w:r>
          </w:p>
        </w:tc>
      </w:tr>
    </w:tbl>
    <w:p>
      <w:pPr>
        <w:spacing w:line="240" w:lineRule="auto" w:before="2"/>
        <w:rPr>
          <w:rFonts w:ascii="宋体" w:hAnsi="宋体" w:cs="宋体" w:eastAsia="宋体" w:hint="default"/>
          <w:sz w:val="18"/>
          <w:szCs w:val="18"/>
        </w:rPr>
      </w:pPr>
    </w:p>
    <w:p>
      <w:pPr>
        <w:pStyle w:val="Heading2"/>
        <w:spacing w:line="240" w:lineRule="auto" w:before="26"/>
        <w:ind w:right="967"/>
        <w:jc w:val="left"/>
        <w:rPr>
          <w:b w:val="0"/>
          <w:bCs w:val="0"/>
        </w:rPr>
      </w:pPr>
      <w:bookmarkStart w:name="三、公司基本情况" w:id="161"/>
      <w:bookmarkEnd w:id="161"/>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left="577" w:right="1031" w:hanging="424"/>
        <w:jc w:val="left"/>
      </w:pPr>
      <w:r>
        <w:rPr>
          <w:rFonts w:ascii="宋体" w:hAnsi="宋体" w:cs="宋体" w:eastAsia="宋体" w:hint="default"/>
          <w:b/>
          <w:bCs/>
        </w:rPr>
        <w:t>（一）公司概况</w:t>
      </w:r>
      <w:r>
        <w:rPr>
          <w:rFonts w:ascii="宋体" w:hAnsi="宋体" w:cs="宋体" w:eastAsia="宋体" w:hint="default"/>
          <w:b/>
          <w:bCs/>
          <w:w w:val="99"/>
        </w:rPr>
        <w:t> </w:t>
      </w:r>
      <w:r>
        <w:rPr/>
        <w:t>北京东方通科技发展有限责任公司（以下简称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）成立于</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日，由张齐春、</w:t>
      </w:r>
    </w:p>
    <w:p>
      <w:pPr>
        <w:pStyle w:val="Heading4"/>
        <w:spacing w:line="256" w:lineRule="auto" w:before="0"/>
        <w:ind w:right="967"/>
        <w:jc w:val="left"/>
      </w:pPr>
      <w:r>
        <w:rPr>
          <w:spacing w:val="-1"/>
        </w:rPr>
        <w:t>牛合庆、朱律玮、孙亚明等十一位自然人股东出资设立，注册资本人民币</w:t>
      </w:r>
      <w:r>
        <w:rPr>
          <w:rFonts w:ascii="Times New Roman" w:hAnsi="Times New Roman" w:cs="Times New Roman" w:eastAsia="Times New Roman" w:hint="default"/>
          <w:spacing w:val="-1"/>
        </w:rPr>
        <w:t>50</w:t>
      </w:r>
      <w:r>
        <w:rPr>
          <w:spacing w:val="-1"/>
        </w:rPr>
        <w:t>万元业经北京中威审计事务所</w:t>
      </w:r>
      <w:r>
        <w:rPr>
          <w:spacing w:val="-84"/>
        </w:rPr>
        <w:t> </w:t>
      </w:r>
      <w:r>
        <w:rPr>
          <w:spacing w:val="-84"/>
        </w:rPr>
      </w:r>
      <w:r>
        <w:rPr/>
        <w:t>集团以中审验（</w:t>
      </w:r>
      <w:r>
        <w:rPr>
          <w:rFonts w:ascii="Times New Roman" w:hAnsi="Times New Roman" w:cs="Times New Roman" w:eastAsia="Times New Roman" w:hint="default"/>
        </w:rPr>
        <w:t>97</w:t>
      </w:r>
      <w:r>
        <w:rPr/>
        <w:t>）字第</w:t>
      </w:r>
      <w:r>
        <w:rPr>
          <w:rFonts w:ascii="Times New Roman" w:hAnsi="Times New Roman" w:cs="Times New Roman" w:eastAsia="Times New Roman" w:hint="default"/>
        </w:rPr>
        <w:t>106</w:t>
      </w:r>
      <w:r>
        <w:rPr/>
        <w:t>号验资报告予以验证，并于</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日在北京市工商行政管理局领取了 </w:t>
      </w:r>
      <w:r>
        <w:rPr>
          <w:rFonts w:ascii="Times New Roman" w:hAnsi="Times New Roman" w:cs="Times New Roman" w:eastAsia="Times New Roman" w:hint="default"/>
        </w:rPr>
        <w:t>06321898</w:t>
      </w:r>
      <w:r>
        <w:rPr/>
        <w:t>号企业法人营业执照。</w:t>
      </w:r>
    </w:p>
    <w:p>
      <w:pPr>
        <w:pStyle w:val="Heading4"/>
        <w:spacing w:line="256" w:lineRule="auto" w:before="5"/>
        <w:ind w:right="1074" w:firstLine="423"/>
        <w:jc w:val="left"/>
      </w:pPr>
      <w:r>
        <w:rPr>
          <w:rFonts w:ascii="Times New Roman" w:hAnsi="Times New Roman" w:cs="Times New Roman" w:eastAsia="Times New Roman" w:hint="default"/>
        </w:rPr>
        <w:t>2000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日，本公司股东会通过决议，同意股东袁卫将其持有的</w:t>
      </w:r>
      <w:r>
        <w:rPr>
          <w:rFonts w:ascii="Times New Roman" w:hAnsi="Times New Roman" w:cs="Times New Roman" w:eastAsia="Times New Roman" w:hint="default"/>
        </w:rPr>
        <w:t>2.50%</w:t>
      </w:r>
      <w:r>
        <w:rPr/>
        <w:t>股权、股东蒋芳方将其持有 的</w:t>
      </w:r>
      <w:r>
        <w:rPr>
          <w:rFonts w:ascii="Times New Roman" w:hAnsi="Times New Roman" w:cs="Times New Roman" w:eastAsia="Times New Roman" w:hint="default"/>
        </w:rPr>
        <w:t>1.68%</w:t>
      </w:r>
      <w:r>
        <w:rPr/>
        <w:t>股权转让给张齐春。上述股权变更已于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日在工商行政管理部门办理了变更登记手续。</w:t>
      </w:r>
    </w:p>
    <w:p>
      <w:pPr>
        <w:spacing w:line="240" w:lineRule="auto" w:before="3"/>
        <w:rPr>
          <w:rFonts w:ascii="宋体" w:hAnsi="宋体" w:cs="宋体" w:eastAsia="宋体" w:hint="default"/>
          <w:sz w:val="24"/>
          <w:szCs w:val="24"/>
        </w:rPr>
      </w:pPr>
    </w:p>
    <w:p>
      <w:pPr>
        <w:pStyle w:val="Heading4"/>
        <w:spacing w:line="273" w:lineRule="auto" w:before="0"/>
        <w:ind w:right="967" w:firstLine="423"/>
        <w:jc w:val="left"/>
      </w:pPr>
      <w:r>
        <w:rPr>
          <w:rFonts w:ascii="宋体" w:hAnsi="宋体" w:cs="宋体" w:eastAsia="宋体" w:hint="default"/>
          <w:spacing w:val="-1"/>
        </w:rPr>
        <w:t>2000</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12</w:t>
      </w:r>
      <w:r>
        <w:rPr>
          <w:spacing w:val="-1"/>
        </w:rPr>
        <w:t>日，本公司股东会通过决议，同意</w:t>
      </w:r>
      <w:r>
        <w:rPr>
          <w:rFonts w:ascii="宋体" w:hAnsi="宋体" w:cs="宋体" w:eastAsia="宋体" w:hint="default"/>
          <w:spacing w:val="-1"/>
        </w:rPr>
        <w:t>9</w:t>
      </w:r>
      <w:r>
        <w:rPr>
          <w:spacing w:val="-1"/>
        </w:rPr>
        <w:t>位自然人股东将其持有的总计</w:t>
      </w:r>
      <w:r>
        <w:rPr>
          <w:rFonts w:ascii="宋体" w:hAnsi="宋体" w:cs="宋体" w:eastAsia="宋体" w:hint="default"/>
          <w:spacing w:val="-1"/>
        </w:rPr>
        <w:t>15%</w:t>
      </w:r>
      <w:r>
        <w:rPr>
          <w:spacing w:val="-1"/>
        </w:rPr>
        <w:t>的股权转让给上海</w:t>
      </w:r>
      <w:r>
        <w:rPr/>
        <w:t> 涌金实业有限公司，上述股权变更已于</w:t>
      </w:r>
      <w:r>
        <w:rPr>
          <w:rFonts w:ascii="宋体" w:hAnsi="宋体" w:cs="宋体" w:eastAsia="宋体" w:hint="default"/>
        </w:rPr>
        <w:t>2001</w:t>
      </w:r>
      <w:r>
        <w:rPr/>
        <w:t>年</w:t>
      </w:r>
      <w:r>
        <w:rPr>
          <w:rFonts w:ascii="宋体" w:hAnsi="宋体" w:cs="宋体" w:eastAsia="宋体" w:hint="default"/>
        </w:rPr>
        <w:t>1</w:t>
      </w:r>
      <w:r>
        <w:rPr/>
        <w:t>月</w:t>
      </w:r>
      <w:r>
        <w:rPr>
          <w:rFonts w:ascii="宋体" w:hAnsi="宋体" w:cs="宋体" w:eastAsia="宋体" w:hint="default"/>
        </w:rPr>
        <w:t>15</w:t>
      </w:r>
      <w:r>
        <w:rPr/>
        <w:t>日在工商行政管理部门办理了变更登记手续。</w:t>
      </w:r>
    </w:p>
    <w:p>
      <w:pPr>
        <w:spacing w:line="240" w:lineRule="auto" w:before="6"/>
        <w:rPr>
          <w:rFonts w:ascii="宋体" w:hAnsi="宋体" w:cs="宋体" w:eastAsia="宋体" w:hint="default"/>
          <w:sz w:val="24"/>
          <w:szCs w:val="24"/>
        </w:rPr>
      </w:pPr>
    </w:p>
    <w:p>
      <w:pPr>
        <w:pStyle w:val="Heading4"/>
        <w:spacing w:line="240" w:lineRule="auto" w:before="0"/>
        <w:ind w:left="577" w:right="967"/>
        <w:jc w:val="left"/>
      </w:pPr>
      <w:r>
        <w:rPr>
          <w:rFonts w:ascii="宋体" w:hAnsi="宋体" w:cs="宋体" w:eastAsia="宋体" w:hint="default"/>
        </w:rPr>
        <w:t>2001</w:t>
      </w:r>
      <w:r>
        <w:rPr/>
        <w:t>年</w:t>
      </w:r>
      <w:r>
        <w:rPr>
          <w:rFonts w:ascii="宋体" w:hAnsi="宋体" w:cs="宋体" w:eastAsia="宋体" w:hint="default"/>
        </w:rPr>
        <w:t>3</w:t>
      </w:r>
      <w:r>
        <w:rPr/>
        <w:t>月</w:t>
      </w:r>
      <w:r>
        <w:rPr>
          <w:rFonts w:ascii="宋体" w:hAnsi="宋体" w:cs="宋体" w:eastAsia="宋体" w:hint="default"/>
        </w:rPr>
        <w:t>22</w:t>
      </w:r>
      <w:r>
        <w:rPr/>
        <w:t>日，本公司股东会通过决议，同意吸收合并深圳东方通科技发展有限责任公司。鉴于深</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73" w:lineRule="auto" w:before="35"/>
        <w:ind w:right="967"/>
        <w:jc w:val="left"/>
      </w:pPr>
      <w:r>
        <w:rPr/>
        <w:t>圳东方通科技发展有限责任公司与本公司有相同的股权结构，同意将其净资产中的</w:t>
      </w:r>
      <w:r>
        <w:rPr>
          <w:rFonts w:ascii="宋体" w:hAnsi="宋体" w:cs="宋体" w:eastAsia="宋体" w:hint="default"/>
        </w:rPr>
        <w:t>25</w:t>
      </w:r>
      <w:r>
        <w:rPr/>
        <w:t>万元对本公司原股东 </w:t>
      </w:r>
      <w:r>
        <w:rPr>
          <w:spacing w:val="-3"/>
        </w:rPr>
        <w:t>进行同比例增资，余额增加本公司资本公积，本次增资后公司注册资本变更为</w:t>
      </w:r>
      <w:r>
        <w:rPr>
          <w:rFonts w:ascii="宋体" w:hAnsi="宋体" w:cs="宋体" w:eastAsia="宋体" w:hint="default"/>
          <w:spacing w:val="-3"/>
        </w:rPr>
        <w:t>75</w:t>
      </w:r>
      <w:r>
        <w:rPr>
          <w:spacing w:val="-3"/>
        </w:rPr>
        <w:t>万元，股权比例保持不变。</w:t>
      </w:r>
      <w:r>
        <w:rPr>
          <w:spacing w:val="-88"/>
        </w:rPr>
        <w:t> </w:t>
      </w:r>
      <w:r>
        <w:rPr>
          <w:spacing w:val="-88"/>
        </w:rPr>
      </w:r>
      <w:r>
        <w:rPr/>
        <w:t>上述增资业经北京天华会计师事务所于</w:t>
      </w:r>
      <w:r>
        <w:rPr>
          <w:rFonts w:ascii="宋体" w:hAnsi="宋体" w:cs="宋体" w:eastAsia="宋体" w:hint="default"/>
        </w:rPr>
        <w:t>2001</w:t>
      </w:r>
      <w:r>
        <w:rPr/>
        <w:t>年</w:t>
      </w:r>
      <w:r>
        <w:rPr>
          <w:rFonts w:ascii="宋体" w:hAnsi="宋体" w:cs="宋体" w:eastAsia="宋体" w:hint="default"/>
        </w:rPr>
        <w:t>4</w:t>
      </w:r>
      <w:r>
        <w:rPr/>
        <w:t>月</w:t>
      </w:r>
      <w:r>
        <w:rPr>
          <w:rFonts w:ascii="宋体" w:hAnsi="宋体" w:cs="宋体" w:eastAsia="宋体" w:hint="default"/>
        </w:rPr>
        <w:t>2</w:t>
      </w:r>
      <w:r>
        <w:rPr/>
        <w:t>日以天华验字（</w:t>
      </w:r>
      <w:r>
        <w:rPr>
          <w:rFonts w:ascii="宋体" w:hAnsi="宋体" w:cs="宋体" w:eastAsia="宋体" w:hint="default"/>
        </w:rPr>
        <w:t>2001</w:t>
      </w:r>
      <w:r>
        <w:rPr/>
        <w:t>）第</w:t>
      </w:r>
      <w:r>
        <w:rPr>
          <w:rFonts w:ascii="宋体" w:hAnsi="宋体" w:cs="宋体" w:eastAsia="宋体" w:hint="default"/>
        </w:rPr>
        <w:t>345</w:t>
      </w:r>
      <w:r>
        <w:rPr/>
        <w:t>号验资报告予以验证，并 于</w:t>
      </w:r>
      <w:r>
        <w:rPr>
          <w:rFonts w:ascii="宋体" w:hAnsi="宋体" w:cs="宋体" w:eastAsia="宋体" w:hint="default"/>
        </w:rPr>
        <w:t>2001</w:t>
      </w:r>
      <w:r>
        <w:rPr/>
        <w:t>年</w:t>
      </w:r>
      <w:r>
        <w:rPr>
          <w:rFonts w:ascii="宋体" w:hAnsi="宋体" w:cs="宋体" w:eastAsia="宋体" w:hint="default"/>
        </w:rPr>
        <w:t>5</w:t>
      </w:r>
      <w:r>
        <w:rPr/>
        <w:t>月</w:t>
      </w:r>
      <w:r>
        <w:rPr>
          <w:rFonts w:ascii="宋体" w:hAnsi="宋体" w:cs="宋体" w:eastAsia="宋体" w:hint="default"/>
        </w:rPr>
        <w:t>11</w:t>
      </w:r>
      <w:r>
        <w:rPr/>
        <w:t>日在北京市工商行政管理局办理了变更登记手续，换领了</w:t>
      </w:r>
      <w:r>
        <w:rPr>
          <w:rFonts w:ascii="宋体" w:hAnsi="宋体" w:cs="宋体" w:eastAsia="宋体" w:hint="default"/>
        </w:rPr>
        <w:t>1100002321898</w:t>
      </w:r>
      <w:r>
        <w:rPr/>
        <w:t>号企业法人营业执 照。</w:t>
      </w:r>
    </w:p>
    <w:p>
      <w:pPr>
        <w:spacing w:line="240" w:lineRule="auto" w:before="6"/>
        <w:rPr>
          <w:rFonts w:ascii="宋体" w:hAnsi="宋体" w:cs="宋体" w:eastAsia="宋体" w:hint="default"/>
          <w:sz w:val="24"/>
          <w:szCs w:val="24"/>
        </w:rPr>
      </w:pPr>
    </w:p>
    <w:p>
      <w:pPr>
        <w:pStyle w:val="Heading4"/>
        <w:spacing w:line="273" w:lineRule="auto" w:before="0"/>
        <w:ind w:right="967" w:firstLine="423"/>
        <w:jc w:val="left"/>
      </w:pPr>
      <w:r>
        <w:rPr>
          <w:rFonts w:ascii="宋体" w:hAnsi="宋体" w:cs="宋体" w:eastAsia="宋体" w:hint="default"/>
        </w:rPr>
        <w:t>2002</w:t>
      </w:r>
      <w:r>
        <w:rPr/>
        <w:t>年</w:t>
      </w:r>
      <w:r>
        <w:rPr>
          <w:rFonts w:ascii="宋体" w:hAnsi="宋体" w:cs="宋体" w:eastAsia="宋体" w:hint="default"/>
        </w:rPr>
        <w:t>1</w:t>
      </w:r>
      <w:r>
        <w:rPr/>
        <w:t>月</w:t>
      </w:r>
      <w:r>
        <w:rPr>
          <w:rFonts w:ascii="宋体" w:hAnsi="宋体" w:cs="宋体" w:eastAsia="宋体" w:hint="default"/>
        </w:rPr>
        <w:t>28</w:t>
      </w:r>
      <w:r>
        <w:rPr/>
        <w:t>日，本公司股东会通过决议，同意以未分配利润和资本公积按全体股东原持股比例转增 </w:t>
      </w:r>
      <w:r>
        <w:rPr>
          <w:spacing w:val="-1"/>
        </w:rPr>
        <w:t>注册资本人民币</w:t>
      </w:r>
      <w:r>
        <w:rPr>
          <w:rFonts w:ascii="宋体" w:hAnsi="宋体" w:cs="宋体" w:eastAsia="宋体" w:hint="default"/>
          <w:spacing w:val="-1"/>
        </w:rPr>
        <w:t>1,125</w:t>
      </w:r>
      <w:r>
        <w:rPr>
          <w:spacing w:val="-1"/>
        </w:rPr>
        <w:t>万元，增资后公司注册资本变更为人民币</w:t>
      </w:r>
      <w:r>
        <w:rPr>
          <w:rFonts w:ascii="宋体" w:hAnsi="宋体" w:cs="宋体" w:eastAsia="宋体" w:hint="default"/>
          <w:spacing w:val="-1"/>
        </w:rPr>
        <w:t>1,200</w:t>
      </w:r>
      <w:r>
        <w:rPr>
          <w:spacing w:val="-1"/>
        </w:rPr>
        <w:t>万元。是次增资业经北京天华会计师</w:t>
      </w:r>
      <w:r>
        <w:rPr>
          <w:spacing w:val="-80"/>
        </w:rPr>
        <w:t> </w:t>
      </w:r>
      <w:r>
        <w:rPr>
          <w:spacing w:val="-80"/>
        </w:rPr>
      </w:r>
      <w:r>
        <w:rPr/>
        <w:t>事务所于</w:t>
      </w:r>
      <w:r>
        <w:rPr>
          <w:rFonts w:ascii="宋体" w:hAnsi="宋体" w:cs="宋体" w:eastAsia="宋体" w:hint="default"/>
        </w:rPr>
        <w:t>2002</w:t>
      </w:r>
      <w:r>
        <w:rPr/>
        <w:t>年</w:t>
      </w:r>
      <w:r>
        <w:rPr>
          <w:rFonts w:ascii="宋体" w:hAnsi="宋体" w:cs="宋体" w:eastAsia="宋体" w:hint="default"/>
        </w:rPr>
        <w:t>1</w:t>
      </w:r>
      <w:r>
        <w:rPr/>
        <w:t>月</w:t>
      </w:r>
      <w:r>
        <w:rPr>
          <w:rFonts w:ascii="宋体" w:hAnsi="宋体" w:cs="宋体" w:eastAsia="宋体" w:hint="default"/>
        </w:rPr>
        <w:t>30</w:t>
      </w:r>
      <w:r>
        <w:rPr/>
        <w:t>日出具天华验字（</w:t>
      </w:r>
      <w:r>
        <w:rPr>
          <w:rFonts w:ascii="宋体" w:hAnsi="宋体" w:cs="宋体" w:eastAsia="宋体" w:hint="default"/>
        </w:rPr>
        <w:t>2002</w:t>
      </w:r>
      <w:r>
        <w:rPr/>
        <w:t>）第</w:t>
      </w:r>
      <w:r>
        <w:rPr>
          <w:rFonts w:ascii="宋体" w:hAnsi="宋体" w:cs="宋体" w:eastAsia="宋体" w:hint="default"/>
        </w:rPr>
        <w:t>001</w:t>
      </w:r>
      <w:r>
        <w:rPr/>
        <w:t>号验资报告予以验证，并于</w:t>
      </w:r>
      <w:r>
        <w:rPr>
          <w:rFonts w:ascii="宋体" w:hAnsi="宋体" w:cs="宋体" w:eastAsia="宋体" w:hint="default"/>
        </w:rPr>
        <w:t>2002</w:t>
      </w:r>
      <w:r>
        <w:rPr/>
        <w:t>年</w:t>
      </w:r>
      <w:r>
        <w:rPr>
          <w:rFonts w:ascii="宋体" w:hAnsi="宋体" w:cs="宋体" w:eastAsia="宋体" w:hint="default"/>
        </w:rPr>
        <w:t>3</w:t>
      </w:r>
      <w:r>
        <w:rPr/>
        <w:t>月</w:t>
      </w:r>
      <w:r>
        <w:rPr>
          <w:rFonts w:ascii="宋体" w:hAnsi="宋体" w:cs="宋体" w:eastAsia="宋体" w:hint="default"/>
        </w:rPr>
        <w:t>11</w:t>
      </w:r>
      <w:r>
        <w:rPr/>
        <w:t>在北京市工 商行政管理局办理了变更登记手续，换领了</w:t>
      </w:r>
      <w:r>
        <w:rPr>
          <w:rFonts w:ascii="宋体" w:hAnsi="宋体" w:cs="宋体" w:eastAsia="宋体" w:hint="default"/>
        </w:rPr>
        <w:t>1101062321898</w:t>
      </w:r>
      <w:r>
        <w:rPr/>
        <w:t>号企业法人营业执照。</w:t>
      </w:r>
    </w:p>
    <w:p>
      <w:pPr>
        <w:spacing w:line="240" w:lineRule="auto" w:before="6"/>
        <w:rPr>
          <w:rFonts w:ascii="宋体" w:hAnsi="宋体" w:cs="宋体" w:eastAsia="宋体" w:hint="default"/>
          <w:sz w:val="24"/>
          <w:szCs w:val="24"/>
        </w:rPr>
      </w:pPr>
    </w:p>
    <w:p>
      <w:pPr>
        <w:pStyle w:val="Heading4"/>
        <w:spacing w:line="273" w:lineRule="auto" w:before="0"/>
        <w:ind w:right="1129" w:firstLine="423"/>
        <w:jc w:val="left"/>
      </w:pPr>
      <w:r>
        <w:rPr>
          <w:rFonts w:ascii="宋体" w:hAnsi="宋体" w:cs="宋体" w:eastAsia="宋体" w:hint="default"/>
        </w:rPr>
        <w:t>2002</w:t>
      </w:r>
      <w:r>
        <w:rPr/>
        <w:t>年</w:t>
      </w:r>
      <w:r>
        <w:rPr>
          <w:rFonts w:ascii="宋体" w:hAnsi="宋体" w:cs="宋体" w:eastAsia="宋体" w:hint="default"/>
        </w:rPr>
        <w:t>12</w:t>
      </w:r>
      <w:r>
        <w:rPr/>
        <w:t>月</w:t>
      </w:r>
      <w:r>
        <w:rPr>
          <w:rFonts w:ascii="宋体" w:hAnsi="宋体" w:cs="宋体" w:eastAsia="宋体" w:hint="default"/>
        </w:rPr>
        <w:t>27</w:t>
      </w:r>
      <w:r>
        <w:rPr/>
        <w:t>日，本公司第三届四次股东会通过决议，同意申请新增注册资本人民币</w:t>
      </w:r>
      <w:r>
        <w:rPr>
          <w:rFonts w:ascii="宋体" w:hAnsi="宋体" w:cs="宋体" w:eastAsia="宋体" w:hint="default"/>
        </w:rPr>
        <w:t>210</w:t>
      </w:r>
      <w:r>
        <w:rPr/>
        <w:t>万元，由北 </w:t>
      </w:r>
      <w:r>
        <w:rPr>
          <w:spacing w:val="-1"/>
        </w:rPr>
        <w:t>京盈富泰克投资发展有限公司（后名称变更为盈富泰克创业投资有限公司）和北京市新技术产业发展服务</w:t>
      </w:r>
      <w:r>
        <w:rPr>
          <w:spacing w:val="-81"/>
        </w:rPr>
        <w:t> </w:t>
      </w:r>
      <w:r>
        <w:rPr>
          <w:spacing w:val="-81"/>
        </w:rPr>
      </w:r>
      <w:r>
        <w:rPr>
          <w:spacing w:val="-1"/>
        </w:rPr>
        <w:t>中心（后名称变更为中关村高科技产业促进中心）以货币资金予以增资，其中北京盈富泰克投资发展有限</w:t>
      </w:r>
      <w:r>
        <w:rPr>
          <w:spacing w:val="-82"/>
        </w:rPr>
        <w:t> </w:t>
      </w:r>
      <w:r>
        <w:rPr>
          <w:spacing w:val="-82"/>
        </w:rPr>
      </w:r>
      <w:r>
        <w:rPr>
          <w:spacing w:val="-1"/>
        </w:rPr>
        <w:t>公司出资</w:t>
      </w:r>
      <w:r>
        <w:rPr>
          <w:rFonts w:ascii="宋体" w:hAnsi="宋体" w:cs="宋体" w:eastAsia="宋体" w:hint="default"/>
          <w:spacing w:val="-1"/>
        </w:rPr>
        <w:t>1,200</w:t>
      </w:r>
      <w:r>
        <w:rPr>
          <w:spacing w:val="-1"/>
        </w:rPr>
        <w:t>万元，占增资后注册资本比例为</w:t>
      </w:r>
      <w:r>
        <w:rPr>
          <w:rFonts w:ascii="宋体" w:hAnsi="宋体" w:cs="宋体" w:eastAsia="宋体" w:hint="default"/>
          <w:spacing w:val="-1"/>
        </w:rPr>
        <w:t>11.91%</w:t>
      </w:r>
      <w:r>
        <w:rPr>
          <w:spacing w:val="-1"/>
        </w:rPr>
        <w:t>；北京市新技术产业发展服务中心出资</w:t>
      </w:r>
      <w:r>
        <w:rPr>
          <w:rFonts w:ascii="宋体" w:hAnsi="宋体" w:cs="宋体" w:eastAsia="宋体" w:hint="default"/>
          <w:spacing w:val="-1"/>
        </w:rPr>
        <w:t>300</w:t>
      </w:r>
      <w:r>
        <w:rPr>
          <w:spacing w:val="-1"/>
        </w:rPr>
        <w:t>万元，占</w:t>
      </w:r>
      <w:r>
        <w:rPr>
          <w:spacing w:val="-80"/>
        </w:rPr>
        <w:t> </w:t>
      </w:r>
      <w:r>
        <w:rPr>
          <w:spacing w:val="-80"/>
        </w:rPr>
      </w:r>
      <w:r>
        <w:rPr/>
        <w:t>增资后注册资本比例为</w:t>
      </w:r>
      <w:r>
        <w:rPr>
          <w:rFonts w:ascii="宋体" w:hAnsi="宋体" w:cs="宋体" w:eastAsia="宋体" w:hint="default"/>
        </w:rPr>
        <w:t>2.98%</w:t>
      </w:r>
      <w:r>
        <w:rPr/>
        <w:t>，实际出资额溢价部分均列入资本公积金，增资后本公司注册资本变更为人 </w:t>
      </w:r>
      <w:r>
        <w:rPr>
          <w:spacing w:val="-1"/>
        </w:rPr>
        <w:t>民币</w:t>
      </w:r>
      <w:r>
        <w:rPr>
          <w:rFonts w:ascii="宋体" w:hAnsi="宋体" w:cs="宋体" w:eastAsia="宋体" w:hint="default"/>
          <w:spacing w:val="-1"/>
        </w:rPr>
        <w:t>1,410</w:t>
      </w:r>
      <w:r>
        <w:rPr>
          <w:spacing w:val="-1"/>
        </w:rPr>
        <w:t>万元。上述事项业经北京天华会计师事务所于</w:t>
      </w:r>
      <w:r>
        <w:rPr>
          <w:rFonts w:ascii="宋体" w:hAnsi="宋体" w:cs="宋体" w:eastAsia="宋体" w:hint="default"/>
          <w:spacing w:val="-1"/>
        </w:rPr>
        <w:t>2003</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31</w:t>
      </w:r>
      <w:r>
        <w:rPr>
          <w:spacing w:val="-1"/>
        </w:rPr>
        <w:t>日以天华验字（</w:t>
      </w:r>
      <w:r>
        <w:rPr>
          <w:rFonts w:ascii="宋体" w:hAnsi="宋体" w:cs="宋体" w:eastAsia="宋体" w:hint="default"/>
          <w:spacing w:val="-1"/>
        </w:rPr>
        <w:t>2003</w:t>
      </w:r>
      <w:r>
        <w:rPr>
          <w:spacing w:val="-1"/>
        </w:rPr>
        <w:t>）第</w:t>
      </w:r>
      <w:r>
        <w:rPr>
          <w:rFonts w:ascii="宋体" w:hAnsi="宋体" w:cs="宋体" w:eastAsia="宋体" w:hint="default"/>
          <w:spacing w:val="-1"/>
        </w:rPr>
        <w:t>113-02</w:t>
      </w:r>
      <w:r>
        <w:rPr>
          <w:spacing w:val="-1"/>
        </w:rPr>
        <w:t>号验</w:t>
      </w:r>
      <w:r>
        <w:rPr>
          <w:spacing w:val="-78"/>
        </w:rPr>
        <w:t> </w:t>
      </w:r>
      <w:r>
        <w:rPr/>
        <w:t>资报告予以验证，并于</w:t>
      </w:r>
      <w:r>
        <w:rPr>
          <w:rFonts w:ascii="宋体" w:hAnsi="宋体" w:cs="宋体" w:eastAsia="宋体" w:hint="default"/>
        </w:rPr>
        <w:t>2003</w:t>
      </w:r>
      <w:r>
        <w:rPr/>
        <w:t>年</w:t>
      </w:r>
      <w:r>
        <w:rPr>
          <w:rFonts w:ascii="宋体" w:hAnsi="宋体" w:cs="宋体" w:eastAsia="宋体" w:hint="default"/>
        </w:rPr>
        <w:t>8</w:t>
      </w:r>
      <w:r>
        <w:rPr/>
        <w:t>月</w:t>
      </w:r>
      <w:r>
        <w:rPr>
          <w:rFonts w:ascii="宋体" w:hAnsi="宋体" w:cs="宋体" w:eastAsia="宋体" w:hint="default"/>
        </w:rPr>
        <w:t>6</w:t>
      </w:r>
      <w:r>
        <w:rPr/>
        <w:t>在北京市工商行政管理局办理了变更登记手续，换领了</w:t>
      </w:r>
      <w:r>
        <w:rPr>
          <w:rFonts w:ascii="宋体" w:hAnsi="宋体" w:cs="宋体" w:eastAsia="宋体" w:hint="default"/>
        </w:rPr>
        <w:t>1101061321898 </w:t>
      </w:r>
      <w:r>
        <w:rPr/>
        <w:t>号企业法人营业执照。</w:t>
      </w:r>
    </w:p>
    <w:p>
      <w:pPr>
        <w:spacing w:line="240" w:lineRule="auto" w:before="6"/>
        <w:rPr>
          <w:rFonts w:ascii="宋体" w:hAnsi="宋体" w:cs="宋体" w:eastAsia="宋体" w:hint="default"/>
          <w:sz w:val="24"/>
          <w:szCs w:val="24"/>
        </w:rPr>
      </w:pPr>
    </w:p>
    <w:p>
      <w:pPr>
        <w:pStyle w:val="Heading4"/>
        <w:spacing w:line="273" w:lineRule="auto" w:before="0"/>
        <w:ind w:right="1127" w:firstLine="423"/>
        <w:jc w:val="left"/>
      </w:pPr>
      <w:r>
        <w:rPr>
          <w:rFonts w:ascii="宋体" w:hAnsi="宋体" w:cs="宋体" w:eastAsia="宋体" w:hint="default"/>
        </w:rPr>
        <w:t>2006</w:t>
      </w:r>
      <w:r>
        <w:rPr/>
        <w:t>年</w:t>
      </w:r>
      <w:r>
        <w:rPr>
          <w:rFonts w:ascii="宋体" w:hAnsi="宋体" w:cs="宋体" w:eastAsia="宋体" w:hint="default"/>
        </w:rPr>
        <w:t>5</w:t>
      </w:r>
      <w:r>
        <w:rPr/>
        <w:t>月</w:t>
      </w:r>
      <w:r>
        <w:rPr>
          <w:rFonts w:ascii="宋体" w:hAnsi="宋体" w:cs="宋体" w:eastAsia="宋体" w:hint="default"/>
        </w:rPr>
        <w:t>25</w:t>
      </w:r>
      <w:r>
        <w:rPr/>
        <w:t>日，本公司第四届第二次股东会通过决议，同意九名自然人股东按比例将他们所持公司 </w:t>
      </w:r>
      <w:r>
        <w:rPr>
          <w:spacing w:val="-1"/>
        </w:rPr>
        <w:t>的股权转让给李青春共计</w:t>
      </w:r>
      <w:r>
        <w:rPr>
          <w:rFonts w:ascii="宋体" w:hAnsi="宋体" w:cs="宋体" w:eastAsia="宋体" w:hint="default"/>
          <w:spacing w:val="-1"/>
        </w:rPr>
        <w:t>30</w:t>
      </w:r>
      <w:r>
        <w:rPr>
          <w:spacing w:val="-1"/>
        </w:rPr>
        <w:t>万元，转让给徐志东共计</w:t>
      </w:r>
      <w:r>
        <w:rPr>
          <w:rFonts w:ascii="宋体" w:hAnsi="宋体" w:cs="宋体" w:eastAsia="宋体" w:hint="default"/>
          <w:spacing w:val="-1"/>
        </w:rPr>
        <w:t>12</w:t>
      </w:r>
      <w:r>
        <w:rPr>
          <w:spacing w:val="-1"/>
        </w:rPr>
        <w:t>万元。同日，九名自然人股东分别与李青春、徐志</w:t>
      </w:r>
      <w:r>
        <w:rPr>
          <w:spacing w:val="-86"/>
        </w:rPr>
        <w:t> </w:t>
      </w:r>
      <w:r>
        <w:rPr>
          <w:spacing w:val="-86"/>
        </w:rPr>
      </w:r>
      <w:r>
        <w:rPr>
          <w:spacing w:val="-5"/>
        </w:rPr>
        <w:t>东签订《转股协议》，约定李青春、徐志东自协议签署日享有股东权利、承担股东义务。该股权转让于</w:t>
      </w:r>
      <w:r>
        <w:rPr>
          <w:rFonts w:ascii="宋体" w:hAnsi="宋体" w:cs="宋体" w:eastAsia="宋体" w:hint="default"/>
          <w:spacing w:val="-5"/>
        </w:rPr>
        <w:t>2006</w:t>
      </w:r>
      <w:r>
        <w:rPr>
          <w:rFonts w:ascii="宋体" w:hAnsi="宋体" w:cs="宋体" w:eastAsia="宋体" w:hint="default"/>
          <w:spacing w:val="-93"/>
        </w:rPr>
        <w:t> </w:t>
      </w:r>
      <w:r>
        <w:rPr/>
        <w:t>年</w:t>
      </w:r>
      <w:r>
        <w:rPr>
          <w:rFonts w:ascii="宋体" w:hAnsi="宋体" w:cs="宋体" w:eastAsia="宋体" w:hint="default"/>
        </w:rPr>
        <w:t>10</w:t>
      </w:r>
      <w:r>
        <w:rPr/>
        <w:t>月</w:t>
      </w:r>
      <w:r>
        <w:rPr>
          <w:rFonts w:ascii="宋体" w:hAnsi="宋体" w:cs="宋体" w:eastAsia="宋体" w:hint="default"/>
        </w:rPr>
        <w:t>26</w:t>
      </w:r>
      <w:r>
        <w:rPr/>
        <w:t>日办理工商变更登记。</w:t>
      </w:r>
    </w:p>
    <w:p>
      <w:pPr>
        <w:spacing w:line="240" w:lineRule="auto" w:before="6"/>
        <w:rPr>
          <w:rFonts w:ascii="宋体" w:hAnsi="宋体" w:cs="宋体" w:eastAsia="宋体" w:hint="default"/>
          <w:sz w:val="24"/>
          <w:szCs w:val="24"/>
        </w:rPr>
      </w:pPr>
    </w:p>
    <w:p>
      <w:pPr>
        <w:pStyle w:val="Heading4"/>
        <w:spacing w:line="273" w:lineRule="auto" w:before="0"/>
        <w:ind w:right="967" w:firstLine="423"/>
        <w:jc w:val="left"/>
      </w:pPr>
      <w:r>
        <w:rPr>
          <w:rFonts w:ascii="宋体" w:hAnsi="宋体" w:cs="宋体" w:eastAsia="宋体" w:hint="default"/>
        </w:rPr>
        <w:t>2009</w:t>
      </w:r>
      <w:r>
        <w:rPr/>
        <w:t>年</w:t>
      </w:r>
      <w:r>
        <w:rPr>
          <w:rFonts w:ascii="宋体" w:hAnsi="宋体" w:cs="宋体" w:eastAsia="宋体" w:hint="default"/>
        </w:rPr>
        <w:t>10</w:t>
      </w:r>
      <w:r>
        <w:rPr/>
        <w:t>月</w:t>
      </w:r>
      <w:r>
        <w:rPr>
          <w:rFonts w:ascii="宋体" w:hAnsi="宋体" w:cs="宋体" w:eastAsia="宋体" w:hint="default"/>
        </w:rPr>
        <w:t>24</w:t>
      </w:r>
      <w:r>
        <w:rPr/>
        <w:t>日，本公司</w:t>
      </w:r>
      <w:r>
        <w:rPr>
          <w:rFonts w:ascii="宋体" w:hAnsi="宋体" w:cs="宋体" w:eastAsia="宋体" w:hint="default"/>
        </w:rPr>
        <w:t>2009</w:t>
      </w:r>
      <w:r>
        <w:rPr/>
        <w:t>年第三次、第四次股东会通过决议，同意涌金实业（集团）有限公司将 </w:t>
      </w:r>
      <w:r>
        <w:rPr>
          <w:spacing w:val="-5"/>
        </w:rPr>
        <w:t>其持有本公司股权中的</w:t>
      </w:r>
      <w:r>
        <w:rPr>
          <w:rFonts w:ascii="宋体" w:hAnsi="宋体" w:cs="宋体" w:eastAsia="宋体" w:hint="default"/>
          <w:spacing w:val="-5"/>
        </w:rPr>
        <w:t>1.53%</w:t>
      </w:r>
      <w:r>
        <w:rPr>
          <w:spacing w:val="-5"/>
        </w:rPr>
        <w:t>、</w:t>
      </w:r>
      <w:r>
        <w:rPr>
          <w:rFonts w:ascii="宋体" w:hAnsi="宋体" w:cs="宋体" w:eastAsia="宋体" w:hint="default"/>
          <w:spacing w:val="-5"/>
        </w:rPr>
        <w:t>1.02%</w:t>
      </w:r>
      <w:r>
        <w:rPr>
          <w:spacing w:val="-5"/>
        </w:rPr>
        <w:t>分别转让给自然人刘亦君、李嘉，同时申请增加注册资本人民币</w:t>
      </w:r>
      <w:r>
        <w:rPr>
          <w:rFonts w:ascii="宋体" w:hAnsi="宋体" w:cs="宋体" w:eastAsia="宋体" w:hint="default"/>
          <w:spacing w:val="-5"/>
        </w:rPr>
        <w:t>183.30</w:t>
      </w:r>
      <w:r>
        <w:rPr>
          <w:rFonts w:ascii="宋体" w:hAnsi="宋体" w:cs="宋体" w:eastAsia="宋体" w:hint="default"/>
          <w:spacing w:val="-65"/>
        </w:rPr>
        <w:t> </w:t>
      </w:r>
      <w:r>
        <w:rPr>
          <w:spacing w:val="-3"/>
        </w:rPr>
        <w:t>万元，由东华软件股份公司以货币资金</w:t>
      </w:r>
      <w:r>
        <w:rPr>
          <w:rFonts w:ascii="宋体" w:hAnsi="宋体" w:cs="宋体" w:eastAsia="宋体" w:hint="default"/>
          <w:spacing w:val="-3"/>
        </w:rPr>
        <w:t>2,860</w:t>
      </w:r>
      <w:r>
        <w:rPr>
          <w:spacing w:val="-3"/>
        </w:rPr>
        <w:t>万元投入，其中</w:t>
      </w:r>
      <w:r>
        <w:rPr>
          <w:rFonts w:ascii="宋体" w:hAnsi="宋体" w:cs="宋体" w:eastAsia="宋体" w:hint="default"/>
          <w:spacing w:val="-3"/>
        </w:rPr>
        <w:t>183.30</w:t>
      </w:r>
      <w:r>
        <w:rPr>
          <w:spacing w:val="-3"/>
        </w:rPr>
        <w:t>万元作为实收资本，溢价部分</w:t>
      </w:r>
      <w:r>
        <w:rPr>
          <w:rFonts w:ascii="宋体" w:hAnsi="宋体" w:cs="宋体" w:eastAsia="宋体" w:hint="default"/>
          <w:spacing w:val="-3"/>
        </w:rPr>
        <w:t>2,676.70</w:t>
      </w:r>
      <w:r>
        <w:rPr>
          <w:rFonts w:ascii="宋体" w:hAnsi="宋体" w:cs="宋体" w:eastAsia="宋体" w:hint="default"/>
          <w:spacing w:val="-65"/>
        </w:rPr>
        <w:t> </w:t>
      </w:r>
      <w:r>
        <w:rPr>
          <w:spacing w:val="-3"/>
        </w:rPr>
        <w:t>万元计入资本公积金。此次变更后本公司注册资本为人民币</w:t>
      </w:r>
      <w:r>
        <w:rPr>
          <w:rFonts w:ascii="宋体" w:hAnsi="宋体" w:cs="宋体" w:eastAsia="宋体" w:hint="default"/>
          <w:spacing w:val="-3"/>
        </w:rPr>
        <w:t>1,593.30</w:t>
      </w:r>
      <w:r>
        <w:rPr>
          <w:spacing w:val="-3"/>
        </w:rPr>
        <w:t>万元，本次增资业经天健光华（北京）</w:t>
      </w:r>
      <w:r>
        <w:rPr>
          <w:spacing w:val="-80"/>
        </w:rPr>
        <w:t> </w:t>
      </w:r>
      <w:r>
        <w:rPr>
          <w:spacing w:val="-80"/>
        </w:rPr>
      </w:r>
      <w:r>
        <w:rPr/>
        <w:t>会计师事务所有限公司以天健光华验</w:t>
      </w:r>
      <w:r>
        <w:rPr>
          <w:rFonts w:ascii="宋体" w:hAnsi="宋体" w:cs="宋体" w:eastAsia="宋体" w:hint="default"/>
        </w:rPr>
        <w:t>(2009)</w:t>
      </w:r>
      <w:r>
        <w:rPr/>
        <w:t>综字第</w:t>
      </w:r>
      <w:r>
        <w:rPr>
          <w:rFonts w:ascii="宋体" w:hAnsi="宋体" w:cs="宋体" w:eastAsia="宋体" w:hint="default"/>
        </w:rPr>
        <w:t>010038</w:t>
      </w:r>
      <w:r>
        <w:rPr/>
        <w:t>号验资报告予以验证，并于</w:t>
      </w:r>
      <w:r>
        <w:rPr>
          <w:rFonts w:ascii="宋体" w:hAnsi="宋体" w:cs="宋体" w:eastAsia="宋体" w:hint="default"/>
        </w:rPr>
        <w:t>2009</w:t>
      </w:r>
      <w:r>
        <w:rPr/>
        <w:t>年</w:t>
      </w:r>
      <w:r>
        <w:rPr>
          <w:rFonts w:ascii="宋体" w:hAnsi="宋体" w:cs="宋体" w:eastAsia="宋体" w:hint="default"/>
        </w:rPr>
        <w:t>11</w:t>
      </w:r>
      <w:r>
        <w:rPr/>
        <w:t>月</w:t>
      </w:r>
      <w:r>
        <w:rPr>
          <w:rFonts w:ascii="宋体" w:hAnsi="宋体" w:cs="宋体" w:eastAsia="宋体" w:hint="default"/>
        </w:rPr>
        <w:t>18</w:t>
      </w:r>
      <w:r>
        <w:rPr/>
        <w:t>日在北 京市工商局丰台分局换领了变更后的营业执照。</w:t>
      </w:r>
    </w:p>
    <w:p>
      <w:pPr>
        <w:spacing w:line="240" w:lineRule="auto" w:before="6"/>
        <w:rPr>
          <w:rFonts w:ascii="宋体" w:hAnsi="宋体" w:cs="宋体" w:eastAsia="宋体" w:hint="default"/>
          <w:sz w:val="24"/>
          <w:szCs w:val="24"/>
        </w:rPr>
      </w:pPr>
    </w:p>
    <w:p>
      <w:pPr>
        <w:pStyle w:val="Heading4"/>
        <w:spacing w:line="273" w:lineRule="auto" w:before="0"/>
        <w:ind w:right="1132" w:firstLine="423"/>
        <w:jc w:val="both"/>
      </w:pPr>
      <w:r>
        <w:rPr>
          <w:spacing w:val="-1"/>
        </w:rPr>
        <w:t>根据公司</w:t>
      </w:r>
      <w:r>
        <w:rPr>
          <w:rFonts w:ascii="宋体" w:hAnsi="宋体" w:cs="宋体" w:eastAsia="宋体" w:hint="default"/>
          <w:spacing w:val="-1"/>
        </w:rPr>
        <w:t>2009</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20</w:t>
      </w:r>
      <w:r>
        <w:rPr>
          <w:spacing w:val="-1"/>
        </w:rPr>
        <w:t>日第五次、第六次股东会决议，股东张齐春、牛合庆、朱律玮、孙亚明、朱海</w:t>
      </w:r>
      <w:r>
        <w:rPr/>
        <w:t> </w:t>
      </w:r>
      <w:r>
        <w:rPr>
          <w:spacing w:val="-1"/>
        </w:rPr>
        <w:t>东、李绪兰、佟南燕、张杰分别将其持有的本公司部分股权转让给刘川等</w:t>
      </w:r>
      <w:r>
        <w:rPr>
          <w:rFonts w:ascii="宋体" w:hAnsi="宋体" w:cs="宋体" w:eastAsia="宋体" w:hint="default"/>
          <w:spacing w:val="-1"/>
        </w:rPr>
        <w:t>33</w:t>
      </w:r>
      <w:r>
        <w:rPr>
          <w:spacing w:val="-1"/>
        </w:rPr>
        <w:t>位自然人，公司于</w:t>
      </w:r>
      <w:r>
        <w:rPr>
          <w:rFonts w:ascii="宋体" w:hAnsi="宋体" w:cs="宋体" w:eastAsia="宋体" w:hint="default"/>
          <w:spacing w:val="-1"/>
        </w:rPr>
        <w:t>2009</w:t>
      </w:r>
      <w:r>
        <w:rPr>
          <w:spacing w:val="-1"/>
        </w:rPr>
        <w:t>年</w:t>
      </w:r>
      <w:r>
        <w:rPr>
          <w:rFonts w:ascii="宋体" w:hAnsi="宋体" w:cs="宋体" w:eastAsia="宋体" w:hint="default"/>
          <w:spacing w:val="-1"/>
        </w:rPr>
        <w:t>12</w:t>
      </w:r>
      <w:r>
        <w:rPr>
          <w:spacing w:val="-1"/>
        </w:rPr>
        <w:t>月</w:t>
      </w:r>
      <w:r>
        <w:rPr>
          <w:spacing w:val="-84"/>
        </w:rPr>
        <w:t> </w:t>
      </w:r>
      <w:r>
        <w:rPr>
          <w:rFonts w:ascii="宋体" w:hAnsi="宋体" w:cs="宋体" w:eastAsia="宋体" w:hint="default"/>
        </w:rPr>
        <w:t>29</w:t>
      </w:r>
      <w:r>
        <w:rPr/>
        <w:t>日在北京市工商局丰台分局办理了工商变更登记。</w:t>
      </w:r>
    </w:p>
    <w:p>
      <w:pPr>
        <w:spacing w:line="240" w:lineRule="auto" w:before="6"/>
        <w:rPr>
          <w:rFonts w:ascii="宋体" w:hAnsi="宋体" w:cs="宋体" w:eastAsia="宋体" w:hint="default"/>
          <w:sz w:val="24"/>
          <w:szCs w:val="24"/>
        </w:rPr>
      </w:pPr>
    </w:p>
    <w:p>
      <w:pPr>
        <w:pStyle w:val="Heading4"/>
        <w:spacing w:line="273" w:lineRule="auto" w:before="0"/>
        <w:ind w:right="967" w:firstLine="423"/>
        <w:jc w:val="left"/>
      </w:pPr>
      <w:r>
        <w:rPr>
          <w:rFonts w:ascii="宋体" w:hAnsi="宋体" w:cs="宋体" w:eastAsia="宋体" w:hint="default"/>
        </w:rPr>
        <w:t>2009</w:t>
      </w:r>
      <w:r>
        <w:rPr/>
        <w:t>年</w:t>
      </w:r>
      <w:r>
        <w:rPr>
          <w:rFonts w:ascii="宋体" w:hAnsi="宋体" w:cs="宋体" w:eastAsia="宋体" w:hint="default"/>
        </w:rPr>
        <w:t>12</w:t>
      </w:r>
      <w:r>
        <w:rPr/>
        <w:t>月</w:t>
      </w:r>
      <w:r>
        <w:rPr>
          <w:rFonts w:ascii="宋体" w:hAnsi="宋体" w:cs="宋体" w:eastAsia="宋体" w:hint="default"/>
        </w:rPr>
        <w:t>22</w:t>
      </w:r>
      <w:r>
        <w:rPr/>
        <w:t>日，公司第七次股东会决议，同意中关村高科技产业促进中心将其持有本公司的</w:t>
      </w:r>
      <w:r>
        <w:rPr>
          <w:rFonts w:ascii="宋体" w:hAnsi="宋体" w:cs="宋体" w:eastAsia="宋体" w:hint="default"/>
        </w:rPr>
        <w:t>2.64% </w:t>
      </w:r>
      <w:r>
        <w:rPr>
          <w:spacing w:val="-3"/>
        </w:rPr>
        <w:t>的股权全部转让，转让方式为在北京产权交易所挂牌公开交易。</w:t>
      </w:r>
      <w:r>
        <w:rPr>
          <w:rFonts w:ascii="宋体" w:hAnsi="宋体" w:cs="宋体" w:eastAsia="宋体" w:hint="default"/>
          <w:spacing w:val="-3"/>
        </w:rPr>
        <w:t>2010</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2</w:t>
      </w:r>
      <w:r>
        <w:rPr>
          <w:spacing w:val="-3"/>
        </w:rPr>
        <w:t>日，自然人陈实以人民币</w:t>
      </w:r>
      <w:r>
        <w:rPr>
          <w:rFonts w:ascii="宋体" w:hAnsi="宋体" w:cs="宋体" w:eastAsia="宋体" w:hint="default"/>
          <w:spacing w:val="-3"/>
        </w:rPr>
        <w:t>1,471</w:t>
      </w:r>
      <w:r>
        <w:rPr>
          <w:rFonts w:ascii="宋体" w:hAnsi="宋体" w:cs="宋体" w:eastAsia="宋体" w:hint="default"/>
          <w:spacing w:val="-79"/>
        </w:rPr>
        <w:t> </w:t>
      </w:r>
      <w:r>
        <w:rPr>
          <w:spacing w:val="-1"/>
        </w:rPr>
        <w:t>万元的价格受让该股权。</w:t>
      </w:r>
      <w:r>
        <w:rPr>
          <w:rFonts w:ascii="宋体" w:hAnsi="宋体" w:cs="宋体" w:eastAsia="宋体" w:hint="default"/>
          <w:spacing w:val="-1"/>
        </w:rPr>
        <w:t>2010</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15</w:t>
      </w:r>
      <w:r>
        <w:rPr>
          <w:spacing w:val="-1"/>
        </w:rPr>
        <w:t>日，本公司</w:t>
      </w:r>
      <w:r>
        <w:rPr>
          <w:rFonts w:ascii="宋体" w:hAnsi="宋体" w:cs="宋体" w:eastAsia="宋体" w:hint="default"/>
          <w:spacing w:val="-1"/>
        </w:rPr>
        <w:t>2010</w:t>
      </w:r>
      <w:r>
        <w:rPr>
          <w:spacing w:val="-1"/>
        </w:rPr>
        <w:t>年第一次股东会决议，同意并确认该股权重组行为，</w:t>
      </w:r>
      <w:r>
        <w:rPr>
          <w:spacing w:val="-82"/>
        </w:rPr>
        <w:t> </w:t>
      </w:r>
      <w:r>
        <w:rPr>
          <w:spacing w:val="-82"/>
        </w:rPr>
      </w:r>
      <w:r>
        <w:rPr/>
        <w:t>同时修改公司章程。本公司于</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29</w:t>
      </w:r>
      <w:r>
        <w:rPr/>
        <w:t>日在北京市工商局丰台分局办理了工商变更登记。</w:t>
      </w:r>
    </w:p>
    <w:p>
      <w:pPr>
        <w:spacing w:line="240" w:lineRule="auto" w:before="6"/>
        <w:rPr>
          <w:rFonts w:ascii="宋体" w:hAnsi="宋体" w:cs="宋体" w:eastAsia="宋体" w:hint="default"/>
          <w:sz w:val="24"/>
          <w:szCs w:val="24"/>
        </w:rPr>
      </w:pPr>
    </w:p>
    <w:p>
      <w:pPr>
        <w:spacing w:line="256" w:lineRule="auto" w:before="0"/>
        <w:ind w:left="577" w:right="967" w:hanging="42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股份制改造及创业板上市情况</w:t>
      </w:r>
      <w:r>
        <w:rPr>
          <w:rFonts w:ascii="宋体" w:hAnsi="宋体" w:cs="宋体" w:eastAsia="宋体" w:hint="default"/>
          <w:b/>
          <w:bCs/>
          <w:w w:val="99"/>
          <w:sz w:val="21"/>
          <w:szCs w:val="21"/>
        </w:rPr>
        <w:t> </w:t>
      </w:r>
      <w:r>
        <w:rPr>
          <w:rFonts w:ascii="宋体" w:hAnsi="宋体" w:cs="宋体" w:eastAsia="宋体" w:hint="default"/>
          <w:spacing w:val="-1"/>
          <w:sz w:val="21"/>
          <w:szCs w:val="21"/>
        </w:rPr>
        <w:t>根据</w:t>
      </w:r>
      <w:r>
        <w:rPr>
          <w:rFonts w:ascii="宋体" w:hAnsi="宋体" w:cs="宋体" w:eastAsia="宋体" w:hint="default"/>
          <w:spacing w:val="-1"/>
          <w:sz w:val="21"/>
          <w:szCs w:val="21"/>
        </w:rPr>
        <w:t>2010</w:t>
      </w:r>
      <w:r>
        <w:rPr>
          <w:rFonts w:ascii="宋体" w:hAnsi="宋体" w:cs="宋体" w:eastAsia="宋体" w:hint="default"/>
          <w:spacing w:val="-1"/>
          <w:sz w:val="21"/>
          <w:szCs w:val="21"/>
        </w:rPr>
        <w:t>年</w:t>
      </w:r>
      <w:r>
        <w:rPr>
          <w:rFonts w:ascii="宋体" w:hAnsi="宋体" w:cs="宋体" w:eastAsia="宋体" w:hint="default"/>
          <w:spacing w:val="-1"/>
          <w:sz w:val="21"/>
          <w:szCs w:val="21"/>
        </w:rPr>
        <w:t>10</w:t>
      </w:r>
      <w:r>
        <w:rPr>
          <w:rFonts w:ascii="宋体" w:hAnsi="宋体" w:cs="宋体" w:eastAsia="宋体" w:hint="default"/>
          <w:spacing w:val="-1"/>
          <w:sz w:val="21"/>
          <w:szCs w:val="21"/>
        </w:rPr>
        <w:t>月</w:t>
      </w:r>
      <w:r>
        <w:rPr>
          <w:rFonts w:ascii="宋体" w:hAnsi="宋体" w:cs="宋体" w:eastAsia="宋体" w:hint="default"/>
          <w:spacing w:val="-1"/>
          <w:sz w:val="21"/>
          <w:szCs w:val="21"/>
        </w:rPr>
        <w:t>9</w:t>
      </w:r>
      <w:r>
        <w:rPr>
          <w:rFonts w:ascii="宋体" w:hAnsi="宋体" w:cs="宋体" w:eastAsia="宋体" w:hint="default"/>
          <w:spacing w:val="-1"/>
          <w:sz w:val="21"/>
          <w:szCs w:val="21"/>
        </w:rPr>
        <w:t>日第二次临时股东会决议，公司以</w:t>
      </w:r>
      <w:r>
        <w:rPr>
          <w:rFonts w:ascii="宋体" w:hAnsi="宋体" w:cs="宋体" w:eastAsia="宋体" w:hint="default"/>
          <w:spacing w:val="-1"/>
          <w:sz w:val="21"/>
          <w:szCs w:val="21"/>
        </w:rPr>
        <w:t>2010</w:t>
      </w:r>
      <w:r>
        <w:rPr>
          <w:rFonts w:ascii="宋体" w:hAnsi="宋体" w:cs="宋体" w:eastAsia="宋体" w:hint="default"/>
          <w:spacing w:val="-1"/>
          <w:sz w:val="21"/>
          <w:szCs w:val="21"/>
        </w:rPr>
        <w:t>年</w:t>
      </w:r>
      <w:r>
        <w:rPr>
          <w:rFonts w:ascii="宋体" w:hAnsi="宋体" w:cs="宋体" w:eastAsia="宋体" w:hint="default"/>
          <w:spacing w:val="-1"/>
          <w:sz w:val="21"/>
          <w:szCs w:val="21"/>
        </w:rPr>
        <w:t>8</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日为基准日，整体变更为股份有限公</w:t>
      </w:r>
    </w:p>
    <w:p>
      <w:pPr>
        <w:pStyle w:val="Heading4"/>
        <w:spacing w:line="240" w:lineRule="auto" w:before="22"/>
        <w:ind w:right="967"/>
        <w:jc w:val="left"/>
      </w:pPr>
      <w:r>
        <w:rPr/>
        <w:t>司，将账面净资产</w:t>
      </w:r>
      <w:r>
        <w:rPr>
          <w:rFonts w:ascii="宋体" w:hAnsi="宋体" w:cs="宋体" w:eastAsia="宋体" w:hint="default"/>
        </w:rPr>
        <w:t>80,918,968.29</w:t>
      </w:r>
      <w:r>
        <w:rPr/>
        <w:t>元按</w:t>
      </w:r>
      <w:r>
        <w:rPr>
          <w:rFonts w:ascii="宋体" w:hAnsi="宋体" w:cs="宋体" w:eastAsia="宋体" w:hint="default"/>
        </w:rPr>
        <w:t>1:0.5561</w:t>
      </w:r>
      <w:r>
        <w:rPr/>
        <w:t>比例折合为</w:t>
      </w:r>
      <w:r>
        <w:rPr>
          <w:rFonts w:ascii="宋体" w:hAnsi="宋体" w:cs="宋体" w:eastAsia="宋体" w:hint="default"/>
        </w:rPr>
        <w:t>4,500</w:t>
      </w:r>
      <w:r>
        <w:rPr/>
        <w:t>万股股份，折余部分计入资本公积（资本</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73" w:lineRule="auto" w:before="35"/>
        <w:ind w:right="967"/>
        <w:jc w:val="left"/>
      </w:pPr>
      <w:r>
        <w:rPr/>
        <w:t>溢价），该事项由天健正信会计师事务所有限公司以天健正信验（</w:t>
      </w:r>
      <w:r>
        <w:rPr>
          <w:rFonts w:ascii="宋体" w:hAnsi="宋体" w:cs="宋体" w:eastAsia="宋体" w:hint="default"/>
        </w:rPr>
        <w:t>2010</w:t>
      </w:r>
      <w:r>
        <w:rPr/>
        <w:t>）综字第</w:t>
      </w:r>
      <w:r>
        <w:rPr>
          <w:rFonts w:ascii="宋体" w:hAnsi="宋体" w:cs="宋体" w:eastAsia="宋体" w:hint="default"/>
        </w:rPr>
        <w:t>010118</w:t>
      </w:r>
      <w:r>
        <w:rPr/>
        <w:t>号验资报告予以验 </w:t>
      </w:r>
      <w:r>
        <w:rPr>
          <w:spacing w:val="-3"/>
        </w:rPr>
        <w:t>证。</w:t>
      </w:r>
      <w:r>
        <w:rPr>
          <w:rFonts w:ascii="宋体" w:hAnsi="宋体" w:cs="宋体" w:eastAsia="宋体" w:hint="default"/>
          <w:spacing w:val="-3"/>
        </w:rPr>
        <w:t>2010</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24</w:t>
      </w:r>
      <w:r>
        <w:rPr>
          <w:spacing w:val="-3"/>
        </w:rPr>
        <w:t>日，股份公司创立大会暨第一次股东大会决议，决定设立北京东方通科技股份有限公司，</w:t>
      </w:r>
      <w:r>
        <w:rPr>
          <w:spacing w:val="-82"/>
        </w:rPr>
        <w:t> </w:t>
      </w:r>
      <w:r>
        <w:rPr>
          <w:spacing w:val="-82"/>
        </w:rPr>
      </w:r>
      <w:r>
        <w:rPr/>
        <w:t>并审议通过股份公司章程。公司于</w:t>
      </w:r>
      <w:r>
        <w:rPr>
          <w:rFonts w:ascii="宋体" w:hAnsi="宋体" w:cs="宋体" w:eastAsia="宋体" w:hint="default"/>
        </w:rPr>
        <w:t>2010</w:t>
      </w:r>
      <w:r>
        <w:rPr/>
        <w:t>年</w:t>
      </w:r>
      <w:r>
        <w:rPr>
          <w:rFonts w:ascii="宋体" w:hAnsi="宋体" w:cs="宋体" w:eastAsia="宋体" w:hint="default"/>
        </w:rPr>
        <w:t>11</w:t>
      </w:r>
      <w:r>
        <w:rPr/>
        <w:t>月</w:t>
      </w:r>
      <w:r>
        <w:rPr>
          <w:rFonts w:ascii="宋体" w:hAnsi="宋体" w:cs="宋体" w:eastAsia="宋体" w:hint="default"/>
        </w:rPr>
        <w:t>11</w:t>
      </w:r>
      <w:r>
        <w:rPr/>
        <w:t>日办理了工商变更登记并领取了</w:t>
      </w:r>
      <w:r>
        <w:rPr>
          <w:rFonts w:ascii="宋体" w:hAnsi="宋体" w:cs="宋体" w:eastAsia="宋体" w:hint="default"/>
        </w:rPr>
        <w:t>110106003218984</w:t>
      </w:r>
      <w:r>
        <w:rPr/>
        <w:t>号企业 法人营业执照。</w:t>
      </w:r>
    </w:p>
    <w:p>
      <w:pPr>
        <w:spacing w:line="240" w:lineRule="auto" w:before="6"/>
        <w:rPr>
          <w:rFonts w:ascii="宋体" w:hAnsi="宋体" w:cs="宋体" w:eastAsia="宋体" w:hint="default"/>
          <w:sz w:val="24"/>
          <w:szCs w:val="24"/>
        </w:rPr>
      </w:pPr>
    </w:p>
    <w:p>
      <w:pPr>
        <w:pStyle w:val="Heading4"/>
        <w:spacing w:line="273" w:lineRule="auto" w:before="0"/>
        <w:ind w:right="1120" w:firstLine="423"/>
        <w:jc w:val="left"/>
      </w:pPr>
      <w:r>
        <w:rPr>
          <w:spacing w:val="-1"/>
        </w:rPr>
        <w:t>根据本公司</w:t>
      </w:r>
      <w:r>
        <w:rPr>
          <w:rFonts w:ascii="宋体" w:hAnsi="宋体" w:cs="宋体" w:eastAsia="宋体" w:hint="default"/>
          <w:spacing w:val="-1"/>
        </w:rPr>
        <w:t>2013</w:t>
      </w:r>
      <w:r>
        <w:rPr>
          <w:spacing w:val="-1"/>
        </w:rPr>
        <w:t>年第三次临时股东大会决议和中国证券监督管理委员会《关于核准北京东方通科技股</w:t>
      </w:r>
      <w:r>
        <w:rPr/>
        <w:t> 份有限公司首次公开发行股票并在创业板上市的批复》（证监许可</w:t>
      </w:r>
      <w:r>
        <w:rPr>
          <w:rFonts w:ascii="宋体" w:hAnsi="宋体" w:cs="宋体" w:eastAsia="宋体" w:hint="default"/>
        </w:rPr>
        <w:t>[2014]66</w:t>
      </w:r>
      <w:r>
        <w:rPr/>
        <w:t>号）核准，公司于</w:t>
      </w:r>
      <w:r>
        <w:rPr>
          <w:rFonts w:ascii="宋体" w:hAnsi="宋体" w:cs="宋体" w:eastAsia="宋体" w:hint="default"/>
        </w:rPr>
        <w:t>2014</w:t>
      </w:r>
      <w:r>
        <w:rPr/>
        <w:t>年</w:t>
      </w:r>
      <w:r>
        <w:rPr>
          <w:rFonts w:ascii="宋体" w:hAnsi="宋体" w:cs="宋体" w:eastAsia="宋体" w:hint="default"/>
        </w:rPr>
        <w:t>1</w:t>
      </w:r>
      <w:r>
        <w:rPr/>
        <w:t>月 </w:t>
      </w:r>
      <w:r>
        <w:rPr>
          <w:rFonts w:ascii="宋体" w:hAnsi="宋体" w:cs="宋体" w:eastAsia="宋体" w:hint="default"/>
          <w:spacing w:val="-1"/>
        </w:rPr>
        <w:t>20</w:t>
      </w:r>
      <w:r>
        <w:rPr>
          <w:spacing w:val="-1"/>
        </w:rPr>
        <w:t>日公开发行人民币普通股</w:t>
      </w:r>
      <w:r>
        <w:rPr>
          <w:rFonts w:ascii="宋体" w:hAnsi="宋体" w:cs="宋体" w:eastAsia="宋体" w:hint="default"/>
          <w:spacing w:val="-1"/>
        </w:rPr>
        <w:t>643.3181</w:t>
      </w:r>
      <w:r>
        <w:rPr>
          <w:spacing w:val="-1"/>
        </w:rPr>
        <w:t>万股，每股发行价格</w:t>
      </w:r>
      <w:r>
        <w:rPr>
          <w:rFonts w:ascii="宋体" w:hAnsi="宋体" w:cs="宋体" w:eastAsia="宋体" w:hint="default"/>
          <w:spacing w:val="-1"/>
        </w:rPr>
        <w:t>22</w:t>
      </w:r>
      <w:r>
        <w:rPr>
          <w:spacing w:val="-1"/>
        </w:rPr>
        <w:t>元，原股东公开发售股份</w:t>
      </w:r>
      <w:r>
        <w:rPr>
          <w:rFonts w:ascii="宋体" w:hAnsi="宋体" w:cs="宋体" w:eastAsia="宋体" w:hint="default"/>
          <w:spacing w:val="-1"/>
        </w:rPr>
        <w:t>642.5115</w:t>
      </w:r>
      <w:r>
        <w:rPr>
          <w:spacing w:val="-1"/>
        </w:rPr>
        <w:t>万股。本次</w:t>
      </w:r>
      <w:r>
        <w:rPr>
          <w:spacing w:val="-78"/>
        </w:rPr>
        <w:t> </w:t>
      </w:r>
      <w:r>
        <w:rPr>
          <w:spacing w:val="-78"/>
        </w:rPr>
      </w:r>
      <w:r>
        <w:rPr>
          <w:spacing w:val="-1"/>
        </w:rPr>
        <w:t>发行后，公司的股份总数变更为</w:t>
      </w:r>
      <w:r>
        <w:rPr>
          <w:rFonts w:ascii="宋体" w:hAnsi="宋体" w:cs="宋体" w:eastAsia="宋体" w:hint="default"/>
          <w:spacing w:val="-1"/>
        </w:rPr>
        <w:t>51,433,181</w:t>
      </w:r>
      <w:r>
        <w:rPr>
          <w:spacing w:val="-1"/>
        </w:rPr>
        <w:t>股，股本总额为</w:t>
      </w:r>
      <w:r>
        <w:rPr>
          <w:rFonts w:ascii="宋体" w:hAnsi="宋体" w:cs="宋体" w:eastAsia="宋体" w:hint="default"/>
          <w:spacing w:val="-1"/>
        </w:rPr>
        <w:t>51,433,181.00</w:t>
      </w:r>
      <w:r>
        <w:rPr>
          <w:spacing w:val="-1"/>
        </w:rPr>
        <w:t>元，发起人股本</w:t>
      </w:r>
      <w:r>
        <w:rPr>
          <w:rFonts w:ascii="宋体" w:hAnsi="宋体" w:cs="宋体" w:eastAsia="宋体" w:hint="default"/>
          <w:spacing w:val="-1"/>
        </w:rPr>
        <w:t>38,574,885.00</w:t>
      </w:r>
      <w:r>
        <w:rPr>
          <w:rFonts w:ascii="宋体" w:hAnsi="宋体" w:cs="宋体" w:eastAsia="宋体" w:hint="default"/>
          <w:spacing w:val="-68"/>
        </w:rPr>
        <w:t> </w:t>
      </w:r>
      <w:r>
        <w:rPr>
          <w:rFonts w:ascii="宋体" w:hAnsi="宋体" w:cs="宋体" w:eastAsia="宋体" w:hint="default"/>
          <w:spacing w:val="-68"/>
        </w:rPr>
      </w:r>
      <w:r>
        <w:rPr/>
        <w:t>元，占股本总额的</w:t>
      </w:r>
      <w:r>
        <w:rPr>
          <w:rFonts w:ascii="宋体" w:hAnsi="宋体" w:cs="宋体" w:eastAsia="宋体" w:hint="default"/>
        </w:rPr>
        <w:t>75.0000%</w:t>
      </w:r>
      <w:r>
        <w:rPr/>
        <w:t>；社会公众股本</w:t>
      </w:r>
      <w:r>
        <w:rPr>
          <w:rFonts w:ascii="宋体" w:hAnsi="宋体" w:cs="宋体" w:eastAsia="宋体" w:hint="default"/>
        </w:rPr>
        <w:t>12,858,296.00</w:t>
      </w:r>
      <w:r>
        <w:rPr/>
        <w:t>元，占股本总额的</w:t>
      </w:r>
      <w:r>
        <w:rPr>
          <w:rFonts w:ascii="宋体" w:hAnsi="宋体" w:cs="宋体" w:eastAsia="宋体" w:hint="default"/>
        </w:rPr>
        <w:t>25.0000%</w:t>
      </w:r>
      <w:r>
        <w:rPr/>
        <w:t>。该事项业经大华 会计师事务所</w:t>
      </w:r>
      <w:r>
        <w:rPr>
          <w:rFonts w:ascii="宋体" w:hAnsi="宋体" w:cs="宋体" w:eastAsia="宋体" w:hint="default"/>
        </w:rPr>
        <w:t>(</w:t>
      </w:r>
      <w:r>
        <w:rPr/>
        <w:t>特殊普通合伙</w:t>
      </w:r>
      <w:r>
        <w:rPr>
          <w:rFonts w:ascii="宋体" w:hAnsi="宋体" w:cs="宋体" w:eastAsia="宋体" w:hint="default"/>
        </w:rPr>
        <w:t>)</w:t>
      </w:r>
      <w:r>
        <w:rPr/>
        <w:t>审验，并于</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23</w:t>
      </w:r>
      <w:r>
        <w:rPr/>
        <w:t>日出具大华验字</w:t>
      </w:r>
      <w:r>
        <w:rPr>
          <w:rFonts w:ascii="宋体" w:hAnsi="宋体" w:cs="宋体" w:eastAsia="宋体" w:hint="default"/>
        </w:rPr>
        <w:t>[2014]000055</w:t>
      </w:r>
      <w:r>
        <w:rPr/>
        <w:t>号验资报告。根据深 圳证券交易所《关于北京东方通科技股份有限公司人民币普通股股票在创业板上市的通知》（深证上 </w:t>
      </w:r>
      <w:r>
        <w:rPr>
          <w:rFonts w:ascii="宋体" w:hAnsi="宋体" w:cs="宋体" w:eastAsia="宋体" w:hint="default"/>
        </w:rPr>
        <w:t>[2014]75</w:t>
      </w:r>
      <w:r>
        <w:rPr>
          <w:rFonts w:ascii="宋体" w:hAnsi="宋体" w:cs="宋体" w:eastAsia="宋体" w:hint="default"/>
          <w:spacing w:val="-28"/>
        </w:rPr>
        <w:t> </w:t>
      </w:r>
      <w:r>
        <w:rPr/>
        <w:t>号），本公司于</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28</w:t>
      </w:r>
      <w:r>
        <w:rPr/>
        <w:t>日起在深圳证券交易所创业板上市交易，股票简称东方通，股票代 码</w:t>
      </w:r>
      <w:r>
        <w:rPr>
          <w:rFonts w:ascii="宋体" w:hAnsi="宋体" w:cs="宋体" w:eastAsia="宋体" w:hint="default"/>
        </w:rPr>
        <w:t>300379</w:t>
      </w:r>
      <w:r>
        <w:rPr/>
        <w:t>。本公司于</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28</w:t>
      </w:r>
      <w:r>
        <w:rPr/>
        <w:t>日办理了工商变更登记。</w:t>
      </w:r>
    </w:p>
    <w:p>
      <w:pPr>
        <w:spacing w:line="240" w:lineRule="auto" w:before="6"/>
        <w:rPr>
          <w:rFonts w:ascii="宋体" w:hAnsi="宋体" w:cs="宋体" w:eastAsia="宋体" w:hint="default"/>
          <w:sz w:val="24"/>
          <w:szCs w:val="24"/>
        </w:rPr>
      </w:pPr>
    </w:p>
    <w:p>
      <w:pPr>
        <w:pStyle w:val="Heading4"/>
        <w:spacing w:line="273" w:lineRule="auto" w:before="0"/>
        <w:ind w:right="1126" w:firstLine="423"/>
        <w:jc w:val="left"/>
      </w:pPr>
      <w:r>
        <w:rPr>
          <w:spacing w:val="-1"/>
        </w:rPr>
        <w:t>根据本公司</w:t>
      </w:r>
      <w:r>
        <w:rPr>
          <w:rFonts w:ascii="宋体" w:hAnsi="宋体" w:cs="宋体" w:eastAsia="宋体" w:hint="default"/>
          <w:spacing w:val="-1"/>
        </w:rPr>
        <w:t>2014</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w:t>
      </w:r>
      <w:r>
        <w:rPr>
          <w:spacing w:val="-1"/>
        </w:rPr>
        <w:t>日召开的</w:t>
      </w:r>
      <w:r>
        <w:rPr>
          <w:rFonts w:ascii="宋体" w:hAnsi="宋体" w:cs="宋体" w:eastAsia="宋体" w:hint="default"/>
          <w:spacing w:val="-1"/>
        </w:rPr>
        <w:t>2014</w:t>
      </w:r>
      <w:r>
        <w:rPr>
          <w:spacing w:val="-1"/>
        </w:rPr>
        <w:t>年第二次临时股东大会决议和修改后的章程的规定，并经中国证</w:t>
      </w:r>
      <w:r>
        <w:rPr/>
        <w:t> </w:t>
      </w:r>
      <w:r>
        <w:rPr>
          <w:spacing w:val="-1"/>
        </w:rPr>
        <w:t>券监督管理委员会《关于核准北京东方通科技股份有限公司向李健等发行股份购买资产并募集配套资金的</w:t>
      </w:r>
      <w:r>
        <w:rPr>
          <w:spacing w:val="-81"/>
        </w:rPr>
        <w:t> </w:t>
      </w:r>
      <w:r>
        <w:rPr>
          <w:spacing w:val="-81"/>
        </w:rPr>
      </w:r>
      <w:r>
        <w:rPr>
          <w:spacing w:val="-4"/>
        </w:rPr>
        <w:t>批复》（证监许可</w:t>
      </w:r>
      <w:r>
        <w:rPr>
          <w:rFonts w:ascii="宋体" w:hAnsi="宋体" w:cs="宋体" w:eastAsia="宋体" w:hint="default"/>
          <w:spacing w:val="-4"/>
        </w:rPr>
        <w:t>[2014]1354</w:t>
      </w:r>
      <w:r>
        <w:rPr>
          <w:spacing w:val="-4"/>
        </w:rPr>
        <w:t>号）核准，公司于</w:t>
      </w:r>
      <w:r>
        <w:rPr>
          <w:rFonts w:ascii="宋体" w:hAnsi="宋体" w:cs="宋体" w:eastAsia="宋体" w:hint="default"/>
          <w:spacing w:val="-4"/>
        </w:rPr>
        <w:t>2014</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15</w:t>
      </w:r>
      <w:r>
        <w:rPr>
          <w:spacing w:val="-4"/>
        </w:rPr>
        <w:t>日向李健等</w:t>
      </w:r>
      <w:r>
        <w:rPr>
          <w:rFonts w:ascii="宋体" w:hAnsi="宋体" w:cs="宋体" w:eastAsia="宋体" w:hint="default"/>
          <w:spacing w:val="-4"/>
        </w:rPr>
        <w:t>4</w:t>
      </w:r>
      <w:r>
        <w:rPr>
          <w:spacing w:val="-4"/>
        </w:rPr>
        <w:t>名交易对方发行普通股</w:t>
      </w:r>
      <w:r>
        <w:rPr>
          <w:rFonts w:ascii="宋体" w:hAnsi="宋体" w:cs="宋体" w:eastAsia="宋体" w:hint="default"/>
          <w:spacing w:val="-4"/>
        </w:rPr>
        <w:t>4,480,000</w:t>
      </w:r>
      <w:r>
        <w:rPr>
          <w:rFonts w:ascii="宋体" w:hAnsi="宋体" w:cs="宋体" w:eastAsia="宋体" w:hint="default"/>
          <w:spacing w:val="-102"/>
        </w:rPr>
        <w:t> </w:t>
      </w:r>
      <w:r>
        <w:rPr>
          <w:rFonts w:ascii="宋体" w:hAnsi="宋体" w:cs="宋体" w:eastAsia="宋体" w:hint="default"/>
          <w:spacing w:val="-102"/>
        </w:rPr>
      </w:r>
      <w:r>
        <w:rPr>
          <w:spacing w:val="-1"/>
        </w:rPr>
        <w:t>股，于</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29</w:t>
      </w:r>
      <w:r>
        <w:rPr>
          <w:spacing w:val="-1"/>
        </w:rPr>
        <w:t>日向东海基金管理有限责任公司等</w:t>
      </w:r>
      <w:r>
        <w:rPr>
          <w:rFonts w:ascii="宋体" w:hAnsi="宋体" w:cs="宋体" w:eastAsia="宋体" w:hint="default"/>
          <w:spacing w:val="-1"/>
        </w:rPr>
        <w:t>3</w:t>
      </w:r>
      <w:r>
        <w:rPr>
          <w:spacing w:val="-1"/>
        </w:rPr>
        <w:t>名特定投资者非公开发行普通股</w:t>
      </w:r>
      <w:r>
        <w:rPr>
          <w:rFonts w:ascii="宋体" w:hAnsi="宋体" w:cs="宋体" w:eastAsia="宋体" w:hint="default"/>
          <w:spacing w:val="-1"/>
        </w:rPr>
        <w:t>1,696,969</w:t>
      </w:r>
      <w:r>
        <w:rPr>
          <w:spacing w:val="-1"/>
        </w:rPr>
        <w:t>股，发</w:t>
      </w:r>
      <w:r>
        <w:rPr>
          <w:spacing w:val="-78"/>
        </w:rPr>
        <w:t> </w:t>
      </w:r>
      <w:r>
        <w:rPr>
          <w:spacing w:val="-78"/>
        </w:rPr>
      </w:r>
      <w:r>
        <w:rPr/>
        <w:t>行后的注册资本为</w:t>
      </w:r>
      <w:r>
        <w:rPr>
          <w:rFonts w:ascii="宋体" w:hAnsi="宋体" w:cs="宋体" w:eastAsia="宋体" w:hint="default"/>
        </w:rPr>
        <w:t>57,610,150.00</w:t>
      </w:r>
      <w:r>
        <w:rPr/>
        <w:t>元。该两次非公开发行均由立信会计师事务所（特殊普通合伙）审验， 并于</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19</w:t>
      </w:r>
      <w:r>
        <w:rPr/>
        <w:t>日、</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30</w:t>
      </w:r>
      <w:r>
        <w:rPr/>
        <w:t>日分别出具信会师报字</w:t>
      </w:r>
      <w:r>
        <w:rPr>
          <w:rFonts w:ascii="宋体" w:hAnsi="宋体" w:cs="宋体" w:eastAsia="宋体" w:hint="default"/>
        </w:rPr>
        <w:t>[2014]</w:t>
      </w:r>
      <w:r>
        <w:rPr/>
        <w:t>第</w:t>
      </w:r>
      <w:r>
        <w:rPr>
          <w:rFonts w:ascii="宋体" w:hAnsi="宋体" w:cs="宋体" w:eastAsia="宋体" w:hint="default"/>
        </w:rPr>
        <w:t>211399</w:t>
      </w:r>
      <w:r>
        <w:rPr/>
        <w:t>号、信会师报字</w:t>
      </w:r>
      <w:r>
        <w:rPr>
          <w:rFonts w:ascii="宋体" w:hAnsi="宋体" w:cs="宋体" w:eastAsia="宋体" w:hint="default"/>
        </w:rPr>
        <w:t>[2014]</w:t>
      </w:r>
      <w:r>
        <w:rPr/>
        <w:t>第 </w:t>
      </w:r>
      <w:r>
        <w:rPr>
          <w:rFonts w:ascii="宋体" w:hAnsi="宋体" w:cs="宋体" w:eastAsia="宋体" w:hint="default"/>
        </w:rPr>
        <w:t>211415</w:t>
      </w:r>
      <w:r>
        <w:rPr/>
        <w:t>号验资报告。本公司于</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8</w:t>
      </w:r>
      <w:r>
        <w:rPr/>
        <w:t>日办理了工商变更登记。</w:t>
      </w:r>
    </w:p>
    <w:p>
      <w:pPr>
        <w:pStyle w:val="Heading4"/>
        <w:spacing w:line="273" w:lineRule="auto" w:before="8"/>
        <w:ind w:right="967" w:firstLine="423"/>
        <w:jc w:val="left"/>
      </w:pPr>
      <w:r>
        <w:rPr>
          <w:rFonts w:ascii="宋体" w:hAnsi="宋体" w:cs="宋体" w:eastAsia="宋体" w:hint="default"/>
          <w:spacing w:val="-1"/>
        </w:rPr>
        <w:t>2015</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2</w:t>
      </w:r>
      <w:r>
        <w:rPr>
          <w:spacing w:val="-1"/>
        </w:rPr>
        <w:t>日，本公司</w:t>
      </w:r>
      <w:r>
        <w:rPr>
          <w:rFonts w:ascii="宋体" w:hAnsi="宋体" w:cs="宋体" w:eastAsia="宋体" w:hint="default"/>
          <w:spacing w:val="-1"/>
        </w:rPr>
        <w:t>2014</w:t>
      </w:r>
      <w:r>
        <w:rPr>
          <w:spacing w:val="-1"/>
        </w:rPr>
        <w:t>年度股东大会决议批准，以年初余额总股本</w:t>
      </w:r>
      <w:r>
        <w:rPr>
          <w:rFonts w:ascii="宋体" w:hAnsi="宋体" w:cs="宋体" w:eastAsia="宋体" w:hint="default"/>
          <w:spacing w:val="-1"/>
        </w:rPr>
        <w:t>57,610,150</w:t>
      </w:r>
      <w:r>
        <w:rPr>
          <w:spacing w:val="-1"/>
        </w:rPr>
        <w:t>股为基数，以资本</w:t>
      </w:r>
      <w:r>
        <w:rPr/>
        <w:t> 公积向全体股东每</w:t>
      </w:r>
      <w:r>
        <w:rPr>
          <w:rFonts w:ascii="宋体" w:hAnsi="宋体" w:cs="宋体" w:eastAsia="宋体" w:hint="default"/>
        </w:rPr>
        <w:t>10</w:t>
      </w:r>
      <w:r>
        <w:rPr/>
        <w:t>股转增</w:t>
      </w:r>
      <w:r>
        <w:rPr>
          <w:rFonts w:ascii="宋体" w:hAnsi="宋体" w:cs="宋体" w:eastAsia="宋体" w:hint="default"/>
        </w:rPr>
        <w:t>10</w:t>
      </w:r>
      <w:r>
        <w:rPr/>
        <w:t>股，合计转增</w:t>
      </w:r>
      <w:r>
        <w:rPr>
          <w:rFonts w:ascii="宋体" w:hAnsi="宋体" w:cs="宋体" w:eastAsia="宋体" w:hint="default"/>
        </w:rPr>
        <w:t>57,610,150</w:t>
      </w:r>
      <w:r>
        <w:rPr/>
        <w:t>股，转增后公司总股本为</w:t>
      </w:r>
      <w:r>
        <w:rPr>
          <w:rFonts w:ascii="宋体" w:hAnsi="宋体" w:cs="宋体" w:eastAsia="宋体" w:hint="default"/>
        </w:rPr>
        <w:t>115,220,300</w:t>
      </w:r>
      <w:r>
        <w:rPr/>
        <w:t>股。本公司 于</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11</w:t>
      </w:r>
      <w:r>
        <w:rPr/>
        <w:t>日办理了工商变更登记。</w:t>
      </w:r>
    </w:p>
    <w:p>
      <w:pPr>
        <w:pStyle w:val="Heading4"/>
        <w:spacing w:line="273" w:lineRule="auto"/>
        <w:ind w:right="967" w:firstLine="423"/>
        <w:jc w:val="left"/>
      </w:pPr>
      <w:r>
        <w:rPr>
          <w:spacing w:val="-1"/>
        </w:rPr>
        <w:t>根据本公司</w:t>
      </w:r>
      <w:r>
        <w:rPr>
          <w:rFonts w:ascii="宋体" w:hAnsi="宋体" w:cs="宋体" w:eastAsia="宋体" w:hint="default"/>
          <w:spacing w:val="-1"/>
        </w:rPr>
        <w:t>2015</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6</w:t>
      </w:r>
      <w:r>
        <w:rPr>
          <w:spacing w:val="-1"/>
        </w:rPr>
        <w:t>日召开的</w:t>
      </w:r>
      <w:r>
        <w:rPr>
          <w:rFonts w:ascii="宋体" w:hAnsi="宋体" w:cs="宋体" w:eastAsia="宋体" w:hint="default"/>
          <w:spacing w:val="-1"/>
        </w:rPr>
        <w:t>2015</w:t>
      </w:r>
      <w:r>
        <w:rPr>
          <w:spacing w:val="-1"/>
        </w:rPr>
        <w:t>年第一次临时股东大会决议和中国证券监督管理委员会《关于核</w:t>
      </w:r>
      <w:r>
        <w:rPr/>
        <w:t> 准北京东方通科技股份有限公司非公开发行股票的批复》（证监许可</w:t>
      </w:r>
      <w:r>
        <w:rPr>
          <w:rFonts w:ascii="宋体" w:hAnsi="宋体" w:cs="宋体" w:eastAsia="宋体" w:hint="default"/>
        </w:rPr>
        <w:t>[2016]805</w:t>
      </w:r>
      <w:r>
        <w:rPr/>
        <w:t>号）核准，公司向长安平 安富贵东方通资产管理计划、平安汇通星通资本定向投资</w:t>
      </w:r>
      <w:r>
        <w:rPr>
          <w:rFonts w:ascii="宋体" w:hAnsi="宋体" w:cs="宋体" w:eastAsia="宋体" w:hint="default"/>
        </w:rPr>
        <w:t>4</w:t>
      </w:r>
      <w:r>
        <w:rPr/>
        <w:t>号资产管理计划、兴全沈惠中特定客户资产管 理计划、朱曼、黄永军等</w:t>
      </w:r>
      <w:r>
        <w:rPr>
          <w:rFonts w:ascii="宋体" w:hAnsi="宋体" w:cs="宋体" w:eastAsia="宋体" w:hint="default"/>
        </w:rPr>
        <w:t>5</w:t>
      </w:r>
      <w:r>
        <w:rPr/>
        <w:t>名交易对方非公开发行普通股</w:t>
      </w:r>
      <w:r>
        <w:rPr>
          <w:rFonts w:ascii="宋体" w:hAnsi="宋体" w:cs="宋体" w:eastAsia="宋体" w:hint="default"/>
        </w:rPr>
        <w:t>22,852,344</w:t>
      </w:r>
      <w:r>
        <w:rPr/>
        <w:t>股，发行后注册资本为人民币 </w:t>
      </w:r>
      <w:r>
        <w:rPr>
          <w:rFonts w:ascii="宋体" w:hAnsi="宋体" w:cs="宋体" w:eastAsia="宋体" w:hint="default"/>
        </w:rPr>
        <w:t>138,072,644.00</w:t>
      </w:r>
      <w:r>
        <w:rPr/>
        <w:t>元。该次非公开发行由立信会计师事务所（特殊普通合伙）审验，并于</w:t>
      </w:r>
      <w:r>
        <w:rPr>
          <w:rFonts w:ascii="宋体" w:hAnsi="宋体" w:cs="宋体" w:eastAsia="宋体" w:hint="default"/>
        </w:rPr>
        <w:t>2016</w:t>
      </w:r>
      <w:r>
        <w:rPr/>
        <w:t>年</w:t>
      </w:r>
      <w:r>
        <w:rPr>
          <w:rFonts w:ascii="宋体" w:hAnsi="宋体" w:cs="宋体" w:eastAsia="宋体" w:hint="default"/>
        </w:rPr>
        <w:t>6</w:t>
      </w:r>
      <w:r>
        <w:rPr/>
        <w:t>月</w:t>
      </w:r>
      <w:r>
        <w:rPr>
          <w:rFonts w:ascii="宋体" w:hAnsi="宋体" w:cs="宋体" w:eastAsia="宋体" w:hint="default"/>
        </w:rPr>
        <w:t>28</w:t>
      </w:r>
      <w:r>
        <w:rPr/>
        <w:t>日出 具信会师报字</w:t>
      </w:r>
      <w:r>
        <w:rPr>
          <w:rFonts w:ascii="宋体" w:hAnsi="宋体" w:cs="宋体" w:eastAsia="宋体" w:hint="default"/>
        </w:rPr>
        <w:t>[2016]</w:t>
      </w:r>
      <w:r>
        <w:rPr/>
        <w:t>第</w:t>
      </w:r>
      <w:r>
        <w:rPr>
          <w:rFonts w:ascii="宋体" w:hAnsi="宋体" w:cs="宋体" w:eastAsia="宋体" w:hint="default"/>
        </w:rPr>
        <w:t>211547</w:t>
      </w:r>
      <w:r>
        <w:rPr/>
        <w:t>号验资报告。本次非公开发行新增股份</w:t>
      </w:r>
      <w:r>
        <w:rPr>
          <w:rFonts w:ascii="宋体" w:hAnsi="宋体" w:cs="宋体" w:eastAsia="宋体" w:hint="default"/>
        </w:rPr>
        <w:t>2,285.2344</w:t>
      </w:r>
      <w:r>
        <w:rPr/>
        <w:t>万股于</w:t>
      </w:r>
      <w:r>
        <w:rPr>
          <w:rFonts w:ascii="宋体" w:hAnsi="宋体" w:cs="宋体" w:eastAsia="宋体" w:hint="default"/>
        </w:rPr>
        <w:t>2016</w:t>
      </w:r>
      <w:r>
        <w:rPr/>
        <w:t>年</w:t>
      </w:r>
      <w:r>
        <w:rPr>
          <w:rFonts w:ascii="宋体" w:hAnsi="宋体" w:cs="宋体" w:eastAsia="宋体" w:hint="default"/>
        </w:rPr>
        <w:t>7</w:t>
      </w:r>
      <w:r>
        <w:rPr/>
        <w:t>月</w:t>
      </w:r>
      <w:r>
        <w:rPr>
          <w:rFonts w:ascii="宋体" w:hAnsi="宋体" w:cs="宋体" w:eastAsia="宋体" w:hint="default"/>
        </w:rPr>
        <w:t>14</w:t>
      </w:r>
      <w:r>
        <w:rPr/>
        <w:t>日在 中国证券登记结算有限公司深圳分公司办理完毕有关登记托管手续，于</w:t>
      </w:r>
      <w:r>
        <w:rPr>
          <w:rFonts w:ascii="宋体" w:hAnsi="宋体" w:cs="宋体" w:eastAsia="宋体" w:hint="default"/>
        </w:rPr>
        <w:t>2016</w:t>
      </w:r>
      <w:r>
        <w:rPr/>
        <w:t>年</w:t>
      </w:r>
      <w:r>
        <w:rPr>
          <w:rFonts w:ascii="宋体" w:hAnsi="宋体" w:cs="宋体" w:eastAsia="宋体" w:hint="default"/>
        </w:rPr>
        <w:t>7</w:t>
      </w:r>
      <w:r>
        <w:rPr/>
        <w:t>月</w:t>
      </w:r>
      <w:r>
        <w:rPr>
          <w:rFonts w:ascii="宋体" w:hAnsi="宋体" w:cs="宋体" w:eastAsia="宋体" w:hint="default"/>
        </w:rPr>
        <w:t>26</w:t>
      </w:r>
      <w:r>
        <w:rPr/>
        <w:t>日在深圳证券交易所 上市，公司于</w:t>
      </w:r>
      <w:r>
        <w:rPr>
          <w:rFonts w:ascii="宋体" w:hAnsi="宋体" w:cs="宋体" w:eastAsia="宋体" w:hint="default"/>
        </w:rPr>
        <w:t>2016</w:t>
      </w:r>
      <w:r>
        <w:rPr/>
        <w:t>年</w:t>
      </w:r>
      <w:r>
        <w:rPr>
          <w:rFonts w:ascii="宋体" w:hAnsi="宋体" w:cs="宋体" w:eastAsia="宋体" w:hint="default"/>
        </w:rPr>
        <w:t>8</w:t>
      </w:r>
      <w:r>
        <w:rPr/>
        <w:t>月</w:t>
      </w:r>
      <w:r>
        <w:rPr>
          <w:rFonts w:ascii="宋体" w:hAnsi="宋体" w:cs="宋体" w:eastAsia="宋体" w:hint="default"/>
        </w:rPr>
        <w:t>24</w:t>
      </w:r>
      <w:r>
        <w:rPr/>
        <w:t>日办理了工商变更登记。</w:t>
      </w:r>
    </w:p>
    <w:p>
      <w:pPr>
        <w:pStyle w:val="Heading4"/>
        <w:spacing w:line="273" w:lineRule="auto"/>
        <w:ind w:right="1118" w:firstLine="423"/>
        <w:jc w:val="left"/>
      </w:pPr>
      <w:r>
        <w:rPr/>
        <w:t>根据本公司</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8</w:t>
      </w:r>
      <w:r>
        <w:rPr/>
        <w:t>日召开的第二届董事会第二十一次会议，审议通过了《关于公司</w:t>
      </w:r>
      <w:r>
        <w:rPr>
          <w:rFonts w:ascii="宋体" w:hAnsi="宋体" w:cs="宋体" w:eastAsia="宋体" w:hint="default"/>
        </w:rPr>
        <w:t>&lt;</w:t>
      </w:r>
      <w:r>
        <w:rPr/>
        <w:t>第一期股票 </w:t>
      </w:r>
      <w:r>
        <w:rPr>
          <w:spacing w:val="-6"/>
        </w:rPr>
        <w:t>期权激励计划</w:t>
      </w:r>
      <w:r>
        <w:rPr>
          <w:rFonts w:ascii="宋体" w:hAnsi="宋体" w:cs="宋体" w:eastAsia="宋体" w:hint="default"/>
          <w:spacing w:val="-6"/>
        </w:rPr>
        <w:t>&gt;</w:t>
      </w:r>
      <w:r>
        <w:rPr>
          <w:spacing w:val="-6"/>
        </w:rPr>
        <w:t>首次授予期权相关事项的议案》，同意授予</w:t>
      </w:r>
      <w:r>
        <w:rPr>
          <w:rFonts w:ascii="宋体" w:hAnsi="宋体" w:cs="宋体" w:eastAsia="宋体" w:hint="default"/>
          <w:spacing w:val="-6"/>
        </w:rPr>
        <w:t>261 </w:t>
      </w:r>
      <w:r>
        <w:rPr/>
        <w:t>名激励对象 </w:t>
      </w:r>
      <w:r>
        <w:rPr>
          <w:rFonts w:ascii="宋体" w:hAnsi="宋体" w:cs="宋体" w:eastAsia="宋体" w:hint="default"/>
        </w:rPr>
        <w:t>433.25 </w:t>
      </w:r>
      <w:r>
        <w:rPr>
          <w:spacing w:val="-8"/>
        </w:rPr>
        <w:t>万份股票期权，</w:t>
      </w:r>
      <w:r>
        <w:rPr>
          <w:rFonts w:ascii="宋体" w:hAnsi="宋体" w:cs="宋体" w:eastAsia="宋体" w:hint="default"/>
          <w:spacing w:val="-8"/>
        </w:rPr>
        <w:t>2015</w:t>
      </w:r>
      <w:r>
        <w:rPr>
          <w:rFonts w:ascii="宋体" w:hAnsi="宋体" w:cs="宋体" w:eastAsia="宋体" w:hint="default"/>
          <w:spacing w:val="32"/>
        </w:rPr>
        <w:t> </w:t>
      </w:r>
      <w:r>
        <w:rPr/>
        <w:t>年 </w:t>
      </w:r>
      <w:r>
        <w:rPr>
          <w:rFonts w:ascii="宋体" w:hAnsi="宋体" w:cs="宋体" w:eastAsia="宋体" w:hint="default"/>
        </w:rPr>
        <w:t>9 </w:t>
      </w:r>
      <w:r>
        <w:rPr/>
        <w:t>月</w:t>
      </w:r>
      <w:r>
        <w:rPr>
          <w:rFonts w:ascii="宋体" w:hAnsi="宋体" w:cs="宋体" w:eastAsia="宋体" w:hint="default"/>
        </w:rPr>
        <w:t>7 </w:t>
      </w:r>
      <w:r>
        <w:rPr/>
        <w:t>日召开的</w:t>
      </w:r>
      <w:r>
        <w:rPr>
          <w:rFonts w:ascii="宋体" w:hAnsi="宋体" w:cs="宋体" w:eastAsia="宋体" w:hint="default"/>
        </w:rPr>
        <w:t>2015</w:t>
      </w:r>
      <w:r>
        <w:rPr>
          <w:rFonts w:ascii="宋体" w:hAnsi="宋体" w:cs="宋体" w:eastAsia="宋体" w:hint="default"/>
          <w:spacing w:val="-6"/>
        </w:rPr>
        <w:t> </w:t>
      </w:r>
      <w:r>
        <w:rPr/>
        <w:t>年第二次临时股东大会审议通过。截至</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日第一期股票期权激励计划员 工行权</w:t>
      </w:r>
      <w:r>
        <w:rPr>
          <w:rFonts w:ascii="宋体" w:hAnsi="宋体" w:cs="宋体" w:eastAsia="宋体" w:hint="default"/>
        </w:rPr>
        <w:t>320,840</w:t>
      </w:r>
      <w:r>
        <w:rPr/>
        <w:t>股。</w:t>
      </w:r>
    </w:p>
    <w:p>
      <w:pPr>
        <w:pStyle w:val="Heading4"/>
        <w:spacing w:line="273" w:lineRule="auto"/>
        <w:ind w:right="1194" w:firstLine="423"/>
        <w:jc w:val="left"/>
      </w:pP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日第一期股票期权激励计划员工行权</w:t>
      </w:r>
      <w:r>
        <w:rPr>
          <w:rFonts w:ascii="宋体" w:hAnsi="宋体" w:cs="宋体" w:eastAsia="宋体" w:hint="default"/>
        </w:rPr>
        <w:t>122,370.00</w:t>
      </w:r>
      <w:r>
        <w:rPr/>
        <w:t>股，于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15</w:t>
      </w:r>
      <w:r>
        <w:rPr/>
        <w:t>日办理了工商 变更登记。</w:t>
      </w:r>
    </w:p>
    <w:p>
      <w:pPr>
        <w:pStyle w:val="Heading4"/>
        <w:spacing w:line="240" w:lineRule="auto"/>
        <w:ind w:left="577" w:right="967"/>
        <w:jc w:val="left"/>
      </w:pPr>
      <w:r>
        <w:rPr/>
        <w:t>根据 </w:t>
      </w:r>
      <w:r>
        <w:rPr>
          <w:rFonts w:ascii="宋体" w:hAnsi="宋体" w:cs="宋体" w:eastAsia="宋体" w:hint="default"/>
        </w:rPr>
        <w:t>2017 </w:t>
      </w:r>
      <w:r>
        <w:rPr/>
        <w:t>年 </w:t>
      </w:r>
      <w:r>
        <w:rPr>
          <w:rFonts w:ascii="宋体" w:hAnsi="宋体" w:cs="宋体" w:eastAsia="宋体" w:hint="default"/>
        </w:rPr>
        <w:t>5 </w:t>
      </w:r>
      <w:r>
        <w:rPr/>
        <w:t>月 </w:t>
      </w:r>
      <w:r>
        <w:rPr>
          <w:rFonts w:ascii="宋体" w:hAnsi="宋体" w:cs="宋体" w:eastAsia="宋体" w:hint="default"/>
        </w:rPr>
        <w:t>5 </w:t>
      </w:r>
      <w:r>
        <w:rPr/>
        <w:t>日公司召开的 </w:t>
      </w:r>
      <w:r>
        <w:rPr>
          <w:rFonts w:ascii="宋体" w:hAnsi="宋体" w:cs="宋体" w:eastAsia="宋体" w:hint="default"/>
        </w:rPr>
        <w:t>2016 </w:t>
      </w:r>
      <w:r>
        <w:rPr/>
        <w:t>年年度股东大会决议，</w:t>
      </w:r>
      <w:r>
        <w:rPr>
          <w:rFonts w:ascii="宋体" w:hAnsi="宋体" w:cs="宋体" w:eastAsia="宋体" w:hint="default"/>
        </w:rPr>
        <w:t>2016</w:t>
      </w:r>
      <w:r>
        <w:rPr>
          <w:rFonts w:ascii="宋体" w:hAnsi="宋体" w:cs="宋体" w:eastAsia="宋体" w:hint="default"/>
          <w:spacing w:val="-3"/>
        </w:rPr>
        <w:t> </w:t>
      </w:r>
      <w:r>
        <w:rPr/>
        <w:t>年度公司利润分配方案为：</w:t>
      </w:r>
    </w:p>
    <w:p>
      <w:pPr>
        <w:pStyle w:val="Heading4"/>
        <w:spacing w:line="240" w:lineRule="auto" w:before="37"/>
        <w:ind w:right="967"/>
        <w:jc w:val="left"/>
      </w:pPr>
      <w:r>
        <w:rPr/>
        <w:t>以公司 </w:t>
      </w:r>
      <w:r>
        <w:rPr>
          <w:rFonts w:ascii="宋体" w:hAnsi="宋体" w:cs="宋体" w:eastAsia="宋体" w:hint="default"/>
        </w:rPr>
        <w:t>2017 </w:t>
      </w:r>
      <w:r>
        <w:rPr/>
        <w:t>年 </w:t>
      </w:r>
      <w:r>
        <w:rPr>
          <w:rFonts w:ascii="宋体" w:hAnsi="宋体" w:cs="宋体" w:eastAsia="宋体" w:hint="default"/>
        </w:rPr>
        <w:t>3 </w:t>
      </w:r>
      <w:r>
        <w:rPr/>
        <w:t>月 </w:t>
      </w:r>
      <w:r>
        <w:rPr>
          <w:rFonts w:ascii="宋体" w:hAnsi="宋体" w:cs="宋体" w:eastAsia="宋体" w:hint="default"/>
        </w:rPr>
        <w:t>29 </w:t>
      </w:r>
      <w:r>
        <w:rPr/>
        <w:t>日收盘的总股本 </w:t>
      </w:r>
      <w:r>
        <w:rPr>
          <w:rFonts w:ascii="宋体" w:hAnsi="宋体" w:cs="宋体" w:eastAsia="宋体" w:hint="default"/>
        </w:rPr>
        <w:t>138,515,854 </w:t>
      </w:r>
      <w:r>
        <w:rPr/>
        <w:t>股为基数，以资本公积金向全体股东每 </w:t>
      </w:r>
      <w:r>
        <w:rPr>
          <w:rFonts w:ascii="宋体" w:hAnsi="宋体" w:cs="宋体" w:eastAsia="宋体" w:hint="default"/>
        </w:rPr>
        <w:t>10</w:t>
      </w:r>
      <w:r>
        <w:rPr>
          <w:rFonts w:ascii="宋体" w:hAnsi="宋体" w:cs="宋体" w:eastAsia="宋体" w:hint="default"/>
          <w:spacing w:val="-26"/>
        </w:rPr>
        <w:t> </w:t>
      </w:r>
      <w:r>
        <w:rPr/>
        <w:t>股转</w:t>
      </w:r>
    </w:p>
    <w:p>
      <w:pPr>
        <w:pStyle w:val="Heading4"/>
        <w:spacing w:line="273" w:lineRule="auto" w:before="37"/>
        <w:ind w:right="1207"/>
        <w:jc w:val="left"/>
      </w:pPr>
      <w:r>
        <w:rPr/>
        <w:t>增 </w:t>
      </w:r>
      <w:r>
        <w:rPr>
          <w:rFonts w:ascii="宋体" w:hAnsi="宋体" w:cs="宋体" w:eastAsia="宋体" w:hint="default"/>
        </w:rPr>
        <w:t>10</w:t>
      </w:r>
      <w:r>
        <w:rPr/>
        <w:t>股，合计转增 </w:t>
      </w:r>
      <w:r>
        <w:rPr>
          <w:rFonts w:ascii="宋体" w:hAnsi="宋体" w:cs="宋体" w:eastAsia="宋体" w:hint="default"/>
        </w:rPr>
        <w:t>138,515,854 </w:t>
      </w:r>
      <w:r>
        <w:rPr/>
        <w:t>股，转增后公司总股本为 </w:t>
      </w:r>
      <w:r>
        <w:rPr>
          <w:rFonts w:ascii="宋体" w:hAnsi="宋体" w:cs="宋体" w:eastAsia="宋体" w:hint="default"/>
        </w:rPr>
        <w:t>277,031,708</w:t>
      </w:r>
      <w:r>
        <w:rPr>
          <w:rFonts w:ascii="宋体" w:hAnsi="宋体" w:cs="宋体" w:eastAsia="宋体" w:hint="default"/>
          <w:spacing w:val="-10"/>
        </w:rPr>
        <w:t> </w:t>
      </w:r>
      <w:r>
        <w:rPr/>
        <w:t>股，于</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w:t>
      </w:r>
      <w:r>
        <w:rPr/>
        <w:t>日办理了工 商变更登记。</w:t>
      </w:r>
    </w:p>
    <w:p>
      <w:pPr>
        <w:pStyle w:val="Heading4"/>
        <w:spacing w:line="240" w:lineRule="auto"/>
        <w:ind w:left="577" w:right="967"/>
        <w:jc w:val="left"/>
      </w:pP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24</w:t>
      </w:r>
      <w:r>
        <w:rPr/>
        <w:t>日变更法定代表人张齐春为黄永军。</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left="577" w:right="967"/>
        <w:jc w:val="left"/>
      </w:pPr>
      <w:r>
        <w:rPr/>
        <w:t>本公司注册号</w:t>
      </w:r>
      <w:r>
        <w:rPr>
          <w:rFonts w:ascii="宋体" w:hAnsi="宋体" w:cs="宋体" w:eastAsia="宋体" w:hint="default"/>
        </w:rPr>
        <w:t>91110000633636471E</w:t>
      </w:r>
      <w:r>
        <w:rPr/>
        <w:t>。</w:t>
      </w:r>
    </w:p>
    <w:p>
      <w:pPr>
        <w:pStyle w:val="Heading4"/>
        <w:spacing w:line="273" w:lineRule="auto" w:before="37"/>
        <w:ind w:left="577" w:right="4239"/>
        <w:jc w:val="left"/>
      </w:pPr>
      <w:r>
        <w:rPr/>
        <w:t>本公司法定住所为北京市丰台区丰台路口</w:t>
      </w:r>
      <w:r>
        <w:rPr>
          <w:rFonts w:ascii="宋体" w:hAnsi="宋体" w:cs="宋体" w:eastAsia="宋体" w:hint="default"/>
        </w:rPr>
        <w:t>139</w:t>
      </w:r>
      <w:r>
        <w:rPr/>
        <w:t>号主楼</w:t>
      </w:r>
      <w:r>
        <w:rPr>
          <w:rFonts w:ascii="宋体" w:hAnsi="宋体" w:cs="宋体" w:eastAsia="宋体" w:hint="default"/>
        </w:rPr>
        <w:t>311</w:t>
      </w:r>
      <w:r>
        <w:rPr/>
        <w:t>室</w:t>
      </w:r>
      <w:r>
        <w:rPr>
          <w:rFonts w:ascii="宋体" w:hAnsi="宋体" w:cs="宋体" w:eastAsia="宋体" w:hint="default"/>
        </w:rPr>
        <w:t>(</w:t>
      </w:r>
      <w:r>
        <w:rPr/>
        <w:t>园区</w:t>
      </w:r>
      <w:r>
        <w:rPr>
          <w:rFonts w:ascii="宋体" w:hAnsi="宋体" w:cs="宋体" w:eastAsia="宋体" w:hint="default"/>
        </w:rPr>
        <w:t>)</w:t>
      </w:r>
      <w:r>
        <w:rPr/>
        <w:t>。 法定代表人黄永军。</w:t>
      </w:r>
    </w:p>
    <w:p>
      <w:pPr>
        <w:pStyle w:val="Heading4"/>
        <w:spacing w:line="544" w:lineRule="auto"/>
        <w:ind w:left="577" w:right="4239"/>
        <w:jc w:val="left"/>
      </w:pPr>
      <w:r>
        <w:rPr/>
        <w:t>本公司最终控制人为黄永军。 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日止，本公司合并财务报表范围内子公司如下：</w:t>
      </w:r>
    </w:p>
    <w:p>
      <w:pPr>
        <w:spacing w:line="240" w:lineRule="auto" w:before="6"/>
        <w:rPr>
          <w:rFonts w:ascii="宋体" w:hAnsi="宋体" w:cs="宋体" w:eastAsia="宋体" w:hint="default"/>
          <w:sz w:val="7"/>
          <w:szCs w:val="7"/>
        </w:rPr>
      </w:pPr>
    </w:p>
    <w:tbl>
      <w:tblPr>
        <w:tblW w:w="0" w:type="auto"/>
        <w:jc w:val="left"/>
        <w:tblInd w:w="130" w:type="dxa"/>
        <w:tblLayout w:type="fixed"/>
        <w:tblCellMar>
          <w:top w:w="0" w:type="dxa"/>
          <w:left w:w="0" w:type="dxa"/>
          <w:bottom w:w="0" w:type="dxa"/>
          <w:right w:w="0" w:type="dxa"/>
        </w:tblCellMar>
        <w:tblLook w:val="01E0"/>
      </w:tblPr>
      <w:tblGrid>
        <w:gridCol w:w="9673"/>
      </w:tblGrid>
      <w:tr>
        <w:trPr>
          <w:trHeight w:val="355" w:hRule="exact"/>
        </w:trPr>
        <w:tc>
          <w:tcPr>
            <w:tcW w:w="9673" w:type="dxa"/>
            <w:tcBorders>
              <w:top w:val="single" w:sz="6" w:space="0" w:color="000000"/>
              <w:left w:val="nil" w:sz="6" w:space="0" w:color="auto"/>
              <w:bottom w:val="single" w:sz="12" w:space="0" w:color="000000"/>
              <w:right w:val="nil" w:sz="6" w:space="0" w:color="auto"/>
            </w:tcBorders>
          </w:tcPr>
          <w:p>
            <w:pPr>
              <w:pStyle w:val="TableParagraph"/>
              <w:spacing w:line="271" w:lineRule="exact"/>
              <w:ind w:left="13" w:right="0"/>
              <w:jc w:val="center"/>
              <w:rPr>
                <w:rFonts w:ascii="宋体" w:hAnsi="宋体" w:cs="宋体" w:eastAsia="宋体" w:hint="default"/>
                <w:sz w:val="21"/>
                <w:szCs w:val="21"/>
              </w:rPr>
            </w:pPr>
            <w:r>
              <w:rPr>
                <w:rFonts w:ascii="宋体" w:hAnsi="宋体" w:cs="宋体" w:eastAsia="宋体" w:hint="default"/>
                <w:sz w:val="21"/>
                <w:szCs w:val="21"/>
              </w:rPr>
              <w:t>子公司名称</w:t>
            </w:r>
          </w:p>
        </w:tc>
      </w:tr>
      <w:tr>
        <w:trPr>
          <w:trHeight w:val="352" w:hRule="exact"/>
        </w:trPr>
        <w:tc>
          <w:tcPr>
            <w:tcW w:w="9673"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2" w:right="0"/>
              <w:jc w:val="center"/>
              <w:rPr>
                <w:rFonts w:ascii="宋体" w:hAnsi="宋体" w:cs="宋体" w:eastAsia="宋体" w:hint="default"/>
                <w:sz w:val="21"/>
                <w:szCs w:val="21"/>
              </w:rPr>
            </w:pPr>
            <w:r>
              <w:rPr>
                <w:rFonts w:ascii="宋体" w:hAnsi="宋体" w:cs="宋体" w:eastAsia="宋体" w:hint="default"/>
                <w:sz w:val="21"/>
                <w:szCs w:val="21"/>
              </w:rPr>
              <w:t>成都东方通科技有限责任公司</w:t>
            </w:r>
          </w:p>
        </w:tc>
      </w:tr>
      <w:tr>
        <w:trPr>
          <w:trHeight w:val="353" w:hRule="exact"/>
        </w:trPr>
        <w:tc>
          <w:tcPr>
            <w:tcW w:w="9673"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4" w:right="0"/>
              <w:jc w:val="center"/>
              <w:rPr>
                <w:rFonts w:ascii="宋体" w:hAnsi="宋体" w:cs="宋体" w:eastAsia="宋体" w:hint="default"/>
                <w:sz w:val="21"/>
                <w:szCs w:val="21"/>
              </w:rPr>
            </w:pPr>
            <w:r>
              <w:rPr>
                <w:rFonts w:ascii="宋体" w:hAnsi="宋体" w:cs="宋体" w:eastAsia="宋体" w:hint="default"/>
                <w:sz w:val="21"/>
                <w:szCs w:val="21"/>
              </w:rPr>
              <w:t>上海东方通泰软件科技有限公司</w:t>
            </w:r>
          </w:p>
        </w:tc>
      </w:tr>
      <w:tr>
        <w:trPr>
          <w:trHeight w:val="352" w:hRule="exact"/>
        </w:trPr>
        <w:tc>
          <w:tcPr>
            <w:tcW w:w="9673"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4" w:right="0"/>
              <w:jc w:val="center"/>
              <w:rPr>
                <w:rFonts w:ascii="宋体" w:hAnsi="宋体" w:cs="宋体" w:eastAsia="宋体" w:hint="default"/>
                <w:sz w:val="21"/>
                <w:szCs w:val="21"/>
              </w:rPr>
            </w:pPr>
            <w:r>
              <w:rPr>
                <w:rFonts w:ascii="宋体" w:hAnsi="宋体" w:cs="宋体" w:eastAsia="宋体" w:hint="default"/>
                <w:sz w:val="21"/>
                <w:szCs w:val="21"/>
              </w:rPr>
              <w:t>北京东方通宇技术有限公司</w:t>
            </w:r>
          </w:p>
        </w:tc>
      </w:tr>
      <w:tr>
        <w:trPr>
          <w:trHeight w:val="352" w:hRule="exact"/>
        </w:trPr>
        <w:tc>
          <w:tcPr>
            <w:tcW w:w="9673"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2" w:right="0"/>
              <w:jc w:val="center"/>
              <w:rPr>
                <w:rFonts w:ascii="宋体" w:hAnsi="宋体" w:cs="宋体" w:eastAsia="宋体" w:hint="default"/>
                <w:sz w:val="21"/>
                <w:szCs w:val="21"/>
              </w:rPr>
            </w:pPr>
            <w:r>
              <w:rPr>
                <w:rFonts w:ascii="宋体" w:hAnsi="宋体" w:cs="宋体" w:eastAsia="宋体" w:hint="default"/>
                <w:sz w:val="21"/>
                <w:szCs w:val="21"/>
              </w:rPr>
              <w:t>北京惠捷朗科技有限公司</w:t>
            </w:r>
          </w:p>
        </w:tc>
      </w:tr>
      <w:tr>
        <w:trPr>
          <w:trHeight w:val="353" w:hRule="exact"/>
        </w:trPr>
        <w:tc>
          <w:tcPr>
            <w:tcW w:w="9673"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4" w:right="0"/>
              <w:jc w:val="center"/>
              <w:rPr>
                <w:rFonts w:ascii="宋体" w:hAnsi="宋体" w:cs="宋体" w:eastAsia="宋体" w:hint="default"/>
                <w:sz w:val="21"/>
                <w:szCs w:val="21"/>
              </w:rPr>
            </w:pPr>
            <w:r>
              <w:rPr>
                <w:rFonts w:ascii="宋体" w:hAnsi="宋体" w:cs="宋体" w:eastAsia="宋体" w:hint="default"/>
                <w:sz w:val="21"/>
                <w:szCs w:val="21"/>
              </w:rPr>
              <w:t>北京数字天堂信息科技有限责任公司</w:t>
            </w:r>
          </w:p>
        </w:tc>
      </w:tr>
      <w:tr>
        <w:trPr>
          <w:trHeight w:val="352" w:hRule="exact"/>
        </w:trPr>
        <w:tc>
          <w:tcPr>
            <w:tcW w:w="9673"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2" w:right="0"/>
              <w:jc w:val="center"/>
              <w:rPr>
                <w:rFonts w:ascii="宋体" w:hAnsi="宋体" w:cs="宋体" w:eastAsia="宋体" w:hint="default"/>
                <w:sz w:val="21"/>
                <w:szCs w:val="21"/>
              </w:rPr>
            </w:pPr>
            <w:r>
              <w:rPr>
                <w:rFonts w:ascii="宋体" w:hAnsi="宋体" w:cs="宋体" w:eastAsia="宋体" w:hint="default"/>
                <w:sz w:val="21"/>
                <w:szCs w:val="21"/>
              </w:rPr>
              <w:t>东方通科技无锡有限公司</w:t>
            </w:r>
          </w:p>
        </w:tc>
      </w:tr>
      <w:tr>
        <w:trPr>
          <w:trHeight w:val="352" w:hRule="exact"/>
        </w:trPr>
        <w:tc>
          <w:tcPr>
            <w:tcW w:w="9673"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4" w:right="0"/>
              <w:jc w:val="center"/>
              <w:rPr>
                <w:rFonts w:ascii="宋体" w:hAnsi="宋体" w:cs="宋体" w:eastAsia="宋体" w:hint="default"/>
                <w:sz w:val="21"/>
                <w:szCs w:val="21"/>
              </w:rPr>
            </w:pPr>
            <w:r>
              <w:rPr>
                <w:rFonts w:ascii="宋体" w:hAnsi="宋体" w:cs="宋体" w:eastAsia="宋体" w:hint="default"/>
                <w:sz w:val="21"/>
                <w:szCs w:val="21"/>
              </w:rPr>
              <w:t>北京微智信业科技有限公司</w:t>
            </w:r>
          </w:p>
        </w:tc>
      </w:tr>
      <w:tr>
        <w:trPr>
          <w:trHeight w:val="353" w:hRule="exact"/>
        </w:trPr>
        <w:tc>
          <w:tcPr>
            <w:tcW w:w="9673" w:type="dxa"/>
            <w:tcBorders>
              <w:top w:val="single" w:sz="12" w:space="0" w:color="000000"/>
              <w:left w:val="nil" w:sz="6" w:space="0" w:color="auto"/>
              <w:bottom w:val="single" w:sz="12" w:space="0" w:color="000000"/>
              <w:right w:val="nil" w:sz="6" w:space="0" w:color="auto"/>
            </w:tcBorders>
          </w:tcPr>
          <w:p>
            <w:pPr/>
          </w:p>
        </w:tc>
      </w:tr>
      <w:tr>
        <w:trPr>
          <w:trHeight w:val="352" w:hRule="exact"/>
        </w:trPr>
        <w:tc>
          <w:tcPr>
            <w:tcW w:w="9673"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4" w:right="0"/>
              <w:jc w:val="center"/>
              <w:rPr>
                <w:rFonts w:ascii="宋体" w:hAnsi="宋体" w:cs="宋体" w:eastAsia="宋体" w:hint="default"/>
                <w:sz w:val="21"/>
                <w:szCs w:val="21"/>
              </w:rPr>
            </w:pPr>
            <w:r>
              <w:rPr>
                <w:rFonts w:ascii="宋体" w:hAnsi="宋体" w:cs="宋体" w:eastAsia="宋体" w:hint="default"/>
                <w:sz w:val="21"/>
                <w:szCs w:val="21"/>
              </w:rPr>
              <w:t>北京泰策科技有限公司</w:t>
            </w:r>
          </w:p>
        </w:tc>
      </w:tr>
      <w:tr>
        <w:trPr>
          <w:trHeight w:val="352" w:hRule="exact"/>
        </w:trPr>
        <w:tc>
          <w:tcPr>
            <w:tcW w:w="9673"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4" w:right="0"/>
              <w:jc w:val="center"/>
              <w:rPr>
                <w:rFonts w:ascii="宋体" w:hAnsi="宋体" w:cs="宋体" w:eastAsia="宋体" w:hint="default"/>
                <w:sz w:val="21"/>
                <w:szCs w:val="21"/>
              </w:rPr>
            </w:pPr>
            <w:r>
              <w:rPr>
                <w:rFonts w:ascii="宋体" w:hAnsi="宋体" w:cs="宋体" w:eastAsia="宋体" w:hint="default"/>
                <w:sz w:val="21"/>
                <w:szCs w:val="21"/>
              </w:rPr>
              <w:t>霍尔果斯泰策科技有限公司</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967"/>
        <w:jc w:val="left"/>
        <w:rPr>
          <w:b w:val="0"/>
          <w:bCs w:val="0"/>
        </w:rPr>
      </w:pPr>
      <w:bookmarkStart w:name="四、财务报表的编制基础" w:id="162"/>
      <w:bookmarkEnd w:id="162"/>
      <w:r>
        <w:rPr>
          <w:b w:val="0"/>
          <w:bCs w:val="0"/>
        </w:rPr>
      </w:r>
      <w:r>
        <w:rPr/>
        <w:t>四、财务报表的编制基础</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67"/>
        <w:jc w:val="left"/>
        <w:rPr>
          <w:b w:val="0"/>
          <w:bCs w:val="0"/>
        </w:rPr>
      </w:pPr>
      <w:bookmarkStart w:name="1、编制基础" w:id="163"/>
      <w:bookmarkEnd w:id="163"/>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right="967" w:firstLine="423"/>
        <w:jc w:val="left"/>
      </w:pPr>
      <w:r>
        <w:rPr>
          <w:spacing w:val="-1"/>
        </w:rPr>
        <w:t>公司以持续经营为基础，根据实际发生的交易和事项，按照财政部颁布的《企业会计准则——基本准</w:t>
      </w:r>
      <w:r>
        <w:rPr/>
        <w:t> </w:t>
      </w:r>
      <w:r>
        <w:rPr>
          <w:spacing w:val="-1"/>
        </w:rPr>
        <w:t>则》和各项具体会计准则、企业会计准则应用指南、企业会计准则解释及其他相关规定（以下合称“企业</w:t>
      </w:r>
      <w:r>
        <w:rPr>
          <w:spacing w:val="-81"/>
        </w:rPr>
        <w:t> </w:t>
      </w:r>
      <w:r>
        <w:rPr>
          <w:spacing w:val="-81"/>
        </w:rPr>
      </w:r>
      <w:r>
        <w:rPr/>
        <w:t>会计准则”），以及中国证券监督管理委员会《公开发行证券的公司信息披露编报规则第</w:t>
      </w:r>
      <w:r>
        <w:rPr>
          <w:rFonts w:ascii="宋体" w:hAnsi="宋体" w:cs="宋体" w:eastAsia="宋体" w:hint="default"/>
        </w:rPr>
        <w:t>15</w:t>
      </w:r>
      <w:r>
        <w:rPr>
          <w:rFonts w:ascii="宋体" w:hAnsi="宋体" w:cs="宋体" w:eastAsia="宋体" w:hint="default"/>
          <w:spacing w:val="-1"/>
        </w:rPr>
        <w:t> </w:t>
      </w:r>
      <w:r>
        <w:rPr/>
        <w:t>号——财务 报告的一般规定》的披露规定编制财务报表。</w:t>
      </w:r>
    </w:p>
    <w:p>
      <w:pPr>
        <w:spacing w:line="240" w:lineRule="auto" w:before="8"/>
        <w:rPr>
          <w:rFonts w:ascii="宋体" w:hAnsi="宋体" w:cs="宋体" w:eastAsia="宋体" w:hint="default"/>
          <w:sz w:val="23"/>
          <w:szCs w:val="23"/>
        </w:rPr>
      </w:pPr>
    </w:p>
    <w:p>
      <w:pPr>
        <w:pStyle w:val="Heading3"/>
        <w:spacing w:line="240" w:lineRule="auto"/>
        <w:ind w:right="967"/>
        <w:jc w:val="left"/>
        <w:rPr>
          <w:b w:val="0"/>
          <w:bCs w:val="0"/>
        </w:rPr>
      </w:pPr>
      <w:bookmarkStart w:name="2、持续经营" w:id="164"/>
      <w:bookmarkEnd w:id="164"/>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Heading4"/>
        <w:spacing w:line="240" w:lineRule="auto" w:before="0"/>
        <w:ind w:left="577" w:right="967"/>
        <w:jc w:val="left"/>
      </w:pPr>
      <w:r>
        <w:rPr/>
        <w:t>本公司自本报告期末起</w:t>
      </w:r>
      <w:r>
        <w:rPr>
          <w:rFonts w:ascii="宋体" w:hAnsi="宋体" w:cs="宋体" w:eastAsia="宋体" w:hint="default"/>
        </w:rPr>
        <w:t>12</w:t>
      </w:r>
      <w:r>
        <w:rPr/>
        <w:t>个月内具备持续经营能力，无对持续经营能力产生重大疑虑的事项。</w:t>
      </w:r>
    </w:p>
    <w:p>
      <w:pPr>
        <w:spacing w:line="240" w:lineRule="auto" w:before="1"/>
        <w:rPr>
          <w:rFonts w:ascii="宋体" w:hAnsi="宋体" w:cs="宋体" w:eastAsia="宋体" w:hint="default"/>
          <w:sz w:val="24"/>
          <w:szCs w:val="24"/>
        </w:rPr>
      </w:pPr>
    </w:p>
    <w:p>
      <w:pPr>
        <w:pStyle w:val="Heading2"/>
        <w:spacing w:line="240" w:lineRule="auto"/>
        <w:ind w:right="967"/>
        <w:jc w:val="left"/>
        <w:rPr>
          <w:b w:val="0"/>
          <w:bCs w:val="0"/>
        </w:rPr>
      </w:pPr>
      <w:bookmarkStart w:name="五、重要会计政策及会计估计" w:id="165"/>
      <w:bookmarkEnd w:id="165"/>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spacing w:line="614" w:lineRule="exact" w:before="15"/>
        <w:ind w:left="577" w:right="967" w:hanging="424"/>
        <w:jc w:val="left"/>
        <w:rPr>
          <w:rFonts w:ascii="宋体" w:hAnsi="宋体" w:cs="宋体" w:eastAsia="宋体" w:hint="default"/>
          <w:sz w:val="21"/>
          <w:szCs w:val="21"/>
        </w:rPr>
      </w:pPr>
      <w:bookmarkStart w:name="1、遵循企业会计准则的声明" w:id="166"/>
      <w:bookmarkEnd w:id="16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公司所编制的财务报表符合企业会计准则的要求，真实、完整地反映了报告期公司的财务状况、经营</w:t>
      </w:r>
    </w:p>
    <w:p>
      <w:pPr>
        <w:pStyle w:val="Heading4"/>
        <w:spacing w:line="219" w:lineRule="exact" w:before="0"/>
        <w:ind w:right="967"/>
        <w:jc w:val="left"/>
      </w:pPr>
      <w:r>
        <w:rPr/>
        <w:t>成果、现金流量等有关信息。</w:t>
      </w:r>
    </w:p>
    <w:p>
      <w:pPr>
        <w:spacing w:after="0" w:line="219" w:lineRule="exact"/>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967"/>
        <w:jc w:val="left"/>
        <w:rPr>
          <w:b w:val="0"/>
          <w:bCs w:val="0"/>
        </w:rPr>
      </w:pPr>
      <w:bookmarkStart w:name="2、会计期间" w:id="167"/>
      <w:bookmarkEnd w:id="167"/>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Heading4"/>
        <w:spacing w:line="240" w:lineRule="auto" w:before="0"/>
        <w:ind w:left="577" w:right="967"/>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12"/>
        <w:rPr>
          <w:rFonts w:ascii="宋体" w:hAnsi="宋体" w:cs="宋体" w:eastAsia="宋体" w:hint="default"/>
          <w:sz w:val="25"/>
          <w:szCs w:val="25"/>
        </w:rPr>
      </w:pPr>
    </w:p>
    <w:p>
      <w:pPr>
        <w:pStyle w:val="Heading3"/>
        <w:spacing w:line="240" w:lineRule="auto"/>
        <w:ind w:right="967"/>
        <w:jc w:val="left"/>
        <w:rPr>
          <w:b w:val="0"/>
          <w:bCs w:val="0"/>
        </w:rPr>
      </w:pPr>
      <w:bookmarkStart w:name="3、营业周期" w:id="168"/>
      <w:bookmarkEnd w:id="168"/>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Heading4"/>
        <w:spacing w:line="240" w:lineRule="auto" w:before="0"/>
        <w:ind w:left="577" w:right="967"/>
        <w:jc w:val="left"/>
      </w:pPr>
      <w:r>
        <w:rPr/>
        <w:t>本公司营业周期为</w:t>
      </w:r>
      <w:r>
        <w:rPr>
          <w:rFonts w:ascii="宋体" w:hAnsi="宋体" w:cs="宋体" w:eastAsia="宋体" w:hint="default"/>
        </w:rPr>
        <w:t>12</w:t>
      </w:r>
      <w:r>
        <w:rPr/>
        <w:t>个月。</w:t>
      </w:r>
    </w:p>
    <w:p>
      <w:pPr>
        <w:spacing w:line="240" w:lineRule="auto" w:before="11"/>
        <w:rPr>
          <w:rFonts w:ascii="宋体" w:hAnsi="宋体" w:cs="宋体" w:eastAsia="宋体" w:hint="default"/>
          <w:sz w:val="25"/>
          <w:szCs w:val="25"/>
        </w:rPr>
      </w:pPr>
    </w:p>
    <w:p>
      <w:pPr>
        <w:pStyle w:val="Heading3"/>
        <w:spacing w:line="240" w:lineRule="auto"/>
        <w:ind w:right="967"/>
        <w:jc w:val="left"/>
        <w:rPr>
          <w:b w:val="0"/>
          <w:bCs w:val="0"/>
        </w:rPr>
      </w:pPr>
      <w:bookmarkStart w:name="4、记账本位币" w:id="169"/>
      <w:bookmarkEnd w:id="169"/>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Heading4"/>
        <w:spacing w:line="240" w:lineRule="auto" w:before="0"/>
        <w:ind w:left="577" w:right="967"/>
        <w:jc w:val="left"/>
      </w:pPr>
      <w:r>
        <w:rPr/>
        <w:t>本公司采用人民币为记账本位币。</w:t>
      </w:r>
    </w:p>
    <w:p>
      <w:pPr>
        <w:spacing w:line="590" w:lineRule="atLeast" w:before="39"/>
        <w:ind w:left="577" w:right="967" w:hanging="424"/>
        <w:jc w:val="left"/>
        <w:rPr>
          <w:rFonts w:ascii="宋体" w:hAnsi="宋体" w:cs="宋体" w:eastAsia="宋体" w:hint="default"/>
          <w:sz w:val="21"/>
          <w:szCs w:val="21"/>
        </w:rPr>
      </w:pPr>
      <w:bookmarkStart w:name="5、同一控制下和非同一控制下企业合并的会计处理方法" w:id="170"/>
      <w:bookmarkEnd w:id="17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同一控制下企业合并：本公司在企业合并中取得的资产和负债，按照合并日被合并方资产、负债包括</w:t>
      </w:r>
    </w:p>
    <w:p>
      <w:pPr>
        <w:pStyle w:val="Heading4"/>
        <w:spacing w:line="273" w:lineRule="auto" w:before="37"/>
        <w:ind w:right="1023"/>
        <w:jc w:val="left"/>
      </w:pPr>
      <w:r>
        <w:rPr/>
        <w:t>最终控制方收购被合并方而形成的商誉）在最终控制方合并财务报表中的账面价值计量。在合并中取得的 </w:t>
      </w:r>
      <w:r>
        <w:rPr>
          <w:spacing w:val="-3"/>
        </w:rPr>
        <w:t>净资产账面价值与支付的合并对价账面价值（或发行股份面值总额）的差额，调整资本公积中的股本溢价，</w:t>
      </w:r>
      <w:r>
        <w:rPr>
          <w:spacing w:val="-90"/>
        </w:rPr>
        <w:t> </w:t>
      </w:r>
      <w:r>
        <w:rPr>
          <w:spacing w:val="-90"/>
        </w:rPr>
      </w:r>
      <w:r>
        <w:rPr/>
        <w:t>资本公积中的股本溢价不足冲减的，调整留存收益。</w:t>
      </w:r>
    </w:p>
    <w:p>
      <w:pPr>
        <w:pStyle w:val="Heading4"/>
        <w:spacing w:line="273" w:lineRule="auto"/>
        <w:ind w:right="1131" w:firstLine="423"/>
        <w:jc w:val="both"/>
      </w:pPr>
      <w:r>
        <w:rPr>
          <w:spacing w:val="-1"/>
        </w:rPr>
        <w:t>非同一控制下企业合并：本公司在购买日对作为企业合并对价付出的资产、发生或承担的负债按照公</w:t>
      </w:r>
      <w:r>
        <w:rPr/>
        <w:t> </w:t>
      </w:r>
      <w:r>
        <w:rPr>
          <w:spacing w:val="-1"/>
        </w:rPr>
        <w:t>允价值计量，公允价值与其账面价值的差额，计入当期损益。本公司对合并成本大于合并中取得的被购买</w:t>
      </w:r>
      <w:r>
        <w:rPr>
          <w:spacing w:val="-83"/>
        </w:rPr>
        <w:t> </w:t>
      </w:r>
      <w:r>
        <w:rPr>
          <w:spacing w:val="-83"/>
        </w:rPr>
      </w:r>
      <w:r>
        <w:rPr>
          <w:spacing w:val="-1"/>
        </w:rPr>
        <w:t>方可辨认净资产公允价值份额的差额，确认为商誉；合并成本小于合并中取得的被购买方可辨认净资产公</w:t>
      </w:r>
      <w:r>
        <w:rPr>
          <w:spacing w:val="-81"/>
        </w:rPr>
        <w:t> </w:t>
      </w:r>
      <w:r>
        <w:rPr>
          <w:spacing w:val="-81"/>
        </w:rPr>
      </w:r>
      <w:r>
        <w:rPr/>
        <w:t>允价值份额的差额，经复核后，计入当期损益。</w:t>
      </w:r>
    </w:p>
    <w:p>
      <w:pPr>
        <w:pStyle w:val="Heading4"/>
        <w:spacing w:line="273" w:lineRule="auto" w:before="8"/>
        <w:ind w:right="1133" w:firstLine="423"/>
        <w:jc w:val="both"/>
      </w:pPr>
      <w:r>
        <w:rPr>
          <w:spacing w:val="-1"/>
        </w:rPr>
        <w:t>为企业合并发生的审计、法律服务、评估咨询等中介费用以及其他直接相关费用，于发生时计入当期</w:t>
      </w:r>
      <w:r>
        <w:rPr/>
        <w:t> 损益；为企业合并而发行权益性证券的交易费用，冲减权益。</w:t>
      </w:r>
    </w:p>
    <w:p>
      <w:pPr>
        <w:pStyle w:val="Heading3"/>
        <w:spacing w:line="590" w:lineRule="atLeast" w:before="9"/>
        <w:ind w:right="8117"/>
        <w:jc w:val="left"/>
        <w:rPr>
          <w:b w:val="0"/>
          <w:bCs w:val="0"/>
        </w:rPr>
      </w:pPr>
      <w:bookmarkStart w:name="6、合并财务报表的编制方法" w:id="171"/>
      <w:bookmarkEnd w:id="171"/>
      <w:r>
        <w:rPr>
          <w:b w:val="0"/>
          <w:bCs w:val="0"/>
        </w:rPr>
      </w:r>
      <w:r>
        <w:rPr>
          <w:rFonts w:ascii="Times New Roman" w:hAnsi="Times New Roman" w:cs="Times New Roman" w:eastAsia="Times New Roman" w:hint="default"/>
        </w:rPr>
        <w:t>6</w:t>
      </w:r>
      <w:r>
        <w:rPr/>
        <w:t>、合并财务报表的编制方法</w:t>
      </w:r>
      <w:r>
        <w:rPr>
          <w:w w:val="99"/>
        </w:rPr>
        <w:t> </w:t>
      </w:r>
      <w:r>
        <w:rPr/>
        <w:t>合并范围</w:t>
      </w:r>
      <w:r>
        <w:rPr>
          <w:b w:val="0"/>
          <w:bCs w:val="0"/>
        </w:rPr>
      </w:r>
    </w:p>
    <w:p>
      <w:pPr>
        <w:pStyle w:val="Heading4"/>
        <w:spacing w:line="273" w:lineRule="auto" w:before="37"/>
        <w:ind w:right="1133" w:firstLine="423"/>
        <w:jc w:val="both"/>
      </w:pPr>
      <w:r>
        <w:rPr>
          <w:spacing w:val="-1"/>
        </w:rPr>
        <w:t>本公司合并财务报表的合并范围以控制为基础确定，所有子公司（包括本公司所控制的被投资方可分</w:t>
      </w:r>
      <w:r>
        <w:rPr/>
        <w:t> 割的部分）均纳入合并财务报表。</w:t>
      </w:r>
    </w:p>
    <w:p>
      <w:pPr>
        <w:spacing w:line="240" w:lineRule="auto" w:before="6"/>
        <w:rPr>
          <w:rFonts w:ascii="宋体" w:hAnsi="宋体" w:cs="宋体" w:eastAsia="宋体" w:hint="default"/>
          <w:sz w:val="24"/>
          <w:szCs w:val="24"/>
        </w:rPr>
      </w:pPr>
    </w:p>
    <w:p>
      <w:pPr>
        <w:pStyle w:val="Heading3"/>
        <w:spacing w:line="240" w:lineRule="auto"/>
        <w:ind w:right="967"/>
        <w:jc w:val="left"/>
        <w:rPr>
          <w:b w:val="0"/>
          <w:bCs w:val="0"/>
        </w:rPr>
      </w:pPr>
      <w:r>
        <w:rPr/>
        <w:t>合并程序</w:t>
      </w:r>
      <w:r>
        <w:rPr>
          <w:b w:val="0"/>
          <w:bCs w:val="0"/>
        </w:rPr>
      </w:r>
    </w:p>
    <w:p>
      <w:pPr>
        <w:pStyle w:val="Heading4"/>
        <w:spacing w:line="273" w:lineRule="auto" w:before="37"/>
        <w:ind w:right="1133" w:firstLine="423"/>
        <w:jc w:val="both"/>
      </w:pPr>
      <w:r>
        <w:rPr>
          <w:spacing w:val="-1"/>
        </w:rPr>
        <w:t>本公司以自身和各子公司的财务报表为基础，根据其他有关资料，编制合并财务报表。本公司编制合</w:t>
      </w:r>
      <w:r>
        <w:rPr/>
        <w:t> </w:t>
      </w:r>
      <w:r>
        <w:rPr>
          <w:spacing w:val="-1"/>
        </w:rPr>
        <w:t>并财务报表，将整个企业集团视为一个会计主体，依据相关企业会计准则的确认、计量和列报要求，按照</w:t>
      </w:r>
      <w:r>
        <w:rPr>
          <w:spacing w:val="-85"/>
        </w:rPr>
        <w:t> </w:t>
      </w:r>
      <w:r>
        <w:rPr>
          <w:spacing w:val="-85"/>
        </w:rPr>
      </w:r>
      <w:r>
        <w:rPr/>
        <w:t>统一的会计政策，反映本企业集团整体财务状况、经营成果和现金流量。</w:t>
      </w:r>
    </w:p>
    <w:p>
      <w:pPr>
        <w:pStyle w:val="Heading4"/>
        <w:spacing w:line="273" w:lineRule="auto"/>
        <w:ind w:right="1131" w:firstLine="423"/>
        <w:jc w:val="both"/>
      </w:pPr>
      <w:r>
        <w:rPr>
          <w:spacing w:val="-1"/>
        </w:rPr>
        <w:t>所有纳入合并财务报表合并范围的子公司所采用的会计政策、会计期间与本公司一致，如子公司采用</w:t>
      </w:r>
      <w:r>
        <w:rPr/>
        <w:t> </w:t>
      </w:r>
      <w:r>
        <w:rPr>
          <w:spacing w:val="-1"/>
        </w:rPr>
        <w:t>的会计政策、会计期间与本公司不一致的，在编制合并财务报表时，按本公司的会计政策、会计期间进行</w:t>
      </w:r>
      <w:r>
        <w:rPr>
          <w:spacing w:val="-86"/>
        </w:rPr>
        <w:t> </w:t>
      </w:r>
      <w:r>
        <w:rPr>
          <w:spacing w:val="-86"/>
        </w:rPr>
      </w:r>
      <w:r>
        <w:rPr>
          <w:spacing w:val="-1"/>
        </w:rPr>
        <w:t>必要的调整。对于非同一控制下企业合并取得的子公司，以购买日可辨认净资产公允价值为基础对其财务</w:t>
      </w:r>
      <w:r>
        <w:rPr>
          <w:spacing w:val="-81"/>
        </w:rPr>
        <w:t> </w:t>
      </w:r>
      <w:r>
        <w:rPr>
          <w:spacing w:val="-81"/>
        </w:rPr>
      </w:r>
      <w:r>
        <w:rPr>
          <w:spacing w:val="-1"/>
        </w:rPr>
        <w:t>报表进行调整。对于同一控制下企业合并取得的子公司，以其资产、负债（包括最终控制方收购该子公司</w:t>
      </w:r>
      <w:r>
        <w:rPr>
          <w:spacing w:val="-86"/>
        </w:rPr>
        <w:t> </w:t>
      </w:r>
      <w:r>
        <w:rPr>
          <w:spacing w:val="-86"/>
        </w:rPr>
      </w:r>
      <w:r>
        <w:rPr/>
        <w:t>而形成的商誉）在最终控制方财务报表中的账面价值为基础对其财务报表进行调整。</w:t>
      </w:r>
    </w:p>
    <w:p>
      <w:pPr>
        <w:pStyle w:val="Heading4"/>
        <w:spacing w:line="273" w:lineRule="auto" w:before="8"/>
        <w:ind w:right="1131" w:firstLine="423"/>
        <w:jc w:val="both"/>
      </w:pPr>
      <w:r>
        <w:rPr>
          <w:spacing w:val="-1"/>
        </w:rPr>
        <w:t>子公司所有者权益、当期净损益和当期综合收益中属于少数股东的份额分别在合并资产负债表中所有</w:t>
      </w:r>
      <w:r>
        <w:rPr/>
        <w:t> </w:t>
      </w:r>
      <w:r>
        <w:rPr>
          <w:spacing w:val="-1"/>
        </w:rPr>
        <w:t>者权益项目下、合并利润表中净利润项目下和综合收益总额项目下单独列示。子公司少数股东分担的当期</w:t>
      </w:r>
      <w:r>
        <w:rPr>
          <w:spacing w:val="-81"/>
        </w:rPr>
        <w:t> </w:t>
      </w:r>
      <w:r>
        <w:rPr>
          <w:spacing w:val="-81"/>
        </w:rPr>
      </w:r>
      <w:r>
        <w:rPr/>
        <w:t>亏损超过了少数股东在该子公司期初所有者权益中所享有份额而形成的余额，冲减少数股东权益。</w:t>
      </w:r>
    </w:p>
    <w:p>
      <w:pPr>
        <w:pStyle w:val="Heading4"/>
        <w:spacing w:line="273" w:lineRule="auto"/>
        <w:ind w:left="577" w:right="967"/>
        <w:jc w:val="left"/>
      </w:pPr>
      <w:r>
        <w:rPr/>
        <w:t>（</w:t>
      </w:r>
      <w:r>
        <w:rPr>
          <w:rFonts w:ascii="宋体" w:hAnsi="宋体" w:cs="宋体" w:eastAsia="宋体" w:hint="default"/>
        </w:rPr>
        <w:t>1</w:t>
      </w:r>
      <w:r>
        <w:rPr/>
        <w:t>）增加子公司或业务 </w:t>
      </w:r>
      <w:r>
        <w:rPr>
          <w:spacing w:val="-1"/>
        </w:rPr>
        <w:t>在报告期内，若因同一控制下企业合并增加子公司或业务的，则调整合并资产负债表的期初数；将子</w:t>
      </w:r>
    </w:p>
    <w:p>
      <w:pPr>
        <w:spacing w:after="0" w:line="273"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73" w:lineRule="auto" w:before="35"/>
        <w:ind w:right="1131"/>
        <w:jc w:val="both"/>
      </w:pPr>
      <w:r>
        <w:rPr>
          <w:spacing w:val="-1"/>
        </w:rPr>
        <w:t>公司或业务合并当期期初至报告期末的收入、费用、利润纳入合并利润表；将子公司或业务合并当期期初</w:t>
      </w:r>
      <w:r>
        <w:rPr>
          <w:spacing w:val="-83"/>
        </w:rPr>
        <w:t> </w:t>
      </w:r>
      <w:r>
        <w:rPr>
          <w:spacing w:val="-83"/>
        </w:rPr>
      </w:r>
      <w:r>
        <w:rPr>
          <w:spacing w:val="-1"/>
        </w:rPr>
        <w:t>至报告期末的现金流量纳入合并现金流量表，同时对比较报表的相关项目进行调整，视同合并后的报告主</w:t>
      </w:r>
      <w:r>
        <w:rPr>
          <w:spacing w:val="-81"/>
        </w:rPr>
        <w:t> </w:t>
      </w:r>
      <w:r>
        <w:rPr>
          <w:spacing w:val="-81"/>
        </w:rPr>
      </w:r>
      <w:r>
        <w:rPr/>
        <w:t>体自最终控制方开始控制时点起一直存在。</w:t>
      </w:r>
    </w:p>
    <w:p>
      <w:pPr>
        <w:pStyle w:val="Heading4"/>
        <w:spacing w:line="273" w:lineRule="auto"/>
        <w:ind w:right="1131" w:firstLine="423"/>
        <w:jc w:val="both"/>
      </w:pPr>
      <w:r>
        <w:rPr>
          <w:spacing w:val="-1"/>
        </w:rPr>
        <w:t>因追加投资等原因能够对同一控制下的被投资方实施控制的，视同参与合并的各方在最终控制方开始</w:t>
      </w:r>
      <w:r>
        <w:rPr/>
        <w:t> </w:t>
      </w:r>
      <w:r>
        <w:rPr>
          <w:spacing w:val="-1"/>
        </w:rPr>
        <w:t>控制时即以目前的状态存在进行调整。在取得被合并方控制权之前持有的股权投资，在取得原股权之日与</w:t>
      </w:r>
      <w:r>
        <w:rPr>
          <w:spacing w:val="-81"/>
        </w:rPr>
        <w:t> </w:t>
      </w:r>
      <w:r>
        <w:rPr>
          <w:spacing w:val="-81"/>
        </w:rPr>
      </w:r>
      <w:r>
        <w:rPr>
          <w:spacing w:val="-1"/>
        </w:rPr>
        <w:t>合并方和被合并方同处于同一控制之日孰晚日起至合并日之间已确认有关损益、其他综合收益以及其他净</w:t>
      </w:r>
      <w:r>
        <w:rPr>
          <w:spacing w:val="-81"/>
        </w:rPr>
        <w:t> </w:t>
      </w:r>
      <w:r>
        <w:rPr>
          <w:spacing w:val="-81"/>
        </w:rPr>
      </w:r>
      <w:r>
        <w:rPr/>
        <w:t>资产变动，分别冲减比较报表期间的期初留存收益或当期损益。</w:t>
      </w:r>
    </w:p>
    <w:p>
      <w:pPr>
        <w:pStyle w:val="Heading4"/>
        <w:spacing w:line="273" w:lineRule="auto"/>
        <w:ind w:right="1130" w:firstLine="423"/>
        <w:jc w:val="both"/>
      </w:pPr>
      <w:r>
        <w:rPr>
          <w:spacing w:val="-1"/>
        </w:rPr>
        <w:t>在报告期内，若因非同一控制下企业合并增加子公司或业务的，则不调整合并资产负债表期初数；将</w:t>
      </w:r>
      <w:r>
        <w:rPr/>
        <w:t> </w:t>
      </w:r>
      <w:r>
        <w:rPr>
          <w:spacing w:val="-1"/>
        </w:rPr>
        <w:t>该子公司或业务自购买日至报告期末的收入、费用、利润纳入合并利润表；该子公司或业务自购买日至报</w:t>
      </w:r>
      <w:r>
        <w:rPr>
          <w:spacing w:val="-83"/>
        </w:rPr>
        <w:t> </w:t>
      </w:r>
      <w:r>
        <w:rPr>
          <w:spacing w:val="-83"/>
        </w:rPr>
      </w:r>
      <w:r>
        <w:rPr/>
        <w:t>告期末的现金流量纳入合并现金流量表。</w:t>
      </w:r>
    </w:p>
    <w:p>
      <w:pPr>
        <w:pStyle w:val="Heading4"/>
        <w:spacing w:line="273" w:lineRule="auto"/>
        <w:ind w:right="1131" w:firstLine="423"/>
        <w:jc w:val="both"/>
      </w:pPr>
      <w:r>
        <w:rPr>
          <w:spacing w:val="-1"/>
        </w:rPr>
        <w:t>因追加投资等原因能够对非同一控制下的被投资方实施控制的，对于购买日之前持有的被购买方的股</w:t>
      </w:r>
      <w:r>
        <w:rPr/>
        <w:t> </w:t>
      </w:r>
      <w:r>
        <w:rPr>
          <w:spacing w:val="-1"/>
        </w:rPr>
        <w:t>权，本公司按照该股权在购买日的公允价值进行重新计量，公允价值与其账面价值的差额计入当期投资收</w:t>
      </w:r>
      <w:r>
        <w:rPr>
          <w:spacing w:val="-81"/>
        </w:rPr>
        <w:t> </w:t>
      </w:r>
      <w:r>
        <w:rPr>
          <w:spacing w:val="-81"/>
        </w:rPr>
      </w:r>
      <w:r>
        <w:rPr>
          <w:spacing w:val="-1"/>
        </w:rPr>
        <w:t>益。购买日之前持有的被购买方的股权涉及权益法核算下的其他综合收益以及除净损益、其他综合收益和</w:t>
      </w:r>
      <w:r>
        <w:rPr>
          <w:spacing w:val="-81"/>
        </w:rPr>
        <w:t> </w:t>
      </w:r>
      <w:r>
        <w:rPr>
          <w:spacing w:val="-81"/>
        </w:rPr>
      </w:r>
      <w:r>
        <w:rPr>
          <w:spacing w:val="-1"/>
        </w:rPr>
        <w:t>利润分配之外的其他所有者权益变动的，与其相关的其他综合收益、其他所有者权益变动转为购买日所属</w:t>
      </w:r>
      <w:r>
        <w:rPr>
          <w:spacing w:val="-81"/>
        </w:rPr>
        <w:t> </w:t>
      </w:r>
      <w:r>
        <w:rPr>
          <w:spacing w:val="-81"/>
        </w:rPr>
      </w:r>
      <w:r>
        <w:rPr/>
        <w:t>当期投资收益，由于被投资方重新计量设定受益计划净负债或净资产变动而产生的其他综合收益除外。</w:t>
      </w:r>
    </w:p>
    <w:p>
      <w:pPr>
        <w:pStyle w:val="Heading4"/>
        <w:spacing w:line="240" w:lineRule="auto"/>
        <w:ind w:left="577" w:right="967"/>
        <w:jc w:val="left"/>
      </w:pPr>
      <w:r>
        <w:rPr/>
        <w:t>（</w:t>
      </w:r>
      <w:r>
        <w:rPr>
          <w:rFonts w:ascii="宋体" w:hAnsi="宋体" w:cs="宋体" w:eastAsia="宋体" w:hint="default"/>
        </w:rPr>
        <w:t>2</w:t>
      </w:r>
      <w:r>
        <w:rPr/>
        <w:t>）处置子公司或业务</w:t>
      </w:r>
    </w:p>
    <w:p>
      <w:pPr>
        <w:pStyle w:val="Heading4"/>
        <w:spacing w:line="273" w:lineRule="auto" w:before="37"/>
        <w:ind w:left="577" w:right="967"/>
        <w:jc w:val="left"/>
      </w:pPr>
      <w:r>
        <w:rPr/>
        <w:t>①一般处理方法 </w:t>
      </w:r>
      <w:r>
        <w:rPr>
          <w:spacing w:val="-1"/>
        </w:rPr>
        <w:t>在报告期内，本公司处置子公司或业务，则该子公司或业务期初至处置日的收入、费用、利润纳入合</w:t>
      </w:r>
    </w:p>
    <w:p>
      <w:pPr>
        <w:pStyle w:val="Heading4"/>
        <w:spacing w:line="273" w:lineRule="auto"/>
        <w:ind w:left="577" w:right="967" w:hanging="424"/>
        <w:jc w:val="left"/>
      </w:pPr>
      <w:r>
        <w:rPr/>
        <w:t>并利润表；该子公司或业务期初至处置日的现金流量纳入合并现金流量表。 </w:t>
      </w:r>
      <w:r>
        <w:rPr>
          <w:spacing w:val="-1"/>
        </w:rPr>
        <w:t>因处置部分股权投资或其他原因丧失了对被投资方控制权时，对于处置后的剩余股权投资，本公司按</w:t>
      </w:r>
    </w:p>
    <w:p>
      <w:pPr>
        <w:pStyle w:val="Heading4"/>
        <w:spacing w:line="273" w:lineRule="auto"/>
        <w:ind w:right="1131"/>
        <w:jc w:val="both"/>
      </w:pPr>
      <w:r>
        <w:rPr>
          <w:spacing w:val="-1"/>
        </w:rPr>
        <w:t>照其在丧失控制权日的公允价值进行重新计量。处置股权取得的对价与剩余股权公允价值之和，减去按原</w:t>
      </w:r>
      <w:r>
        <w:rPr>
          <w:spacing w:val="-81"/>
        </w:rPr>
        <w:t> </w:t>
      </w:r>
      <w:r>
        <w:rPr>
          <w:spacing w:val="-81"/>
        </w:rPr>
      </w:r>
      <w:r>
        <w:rPr>
          <w:spacing w:val="-1"/>
        </w:rPr>
        <w:t>持股比例计算应享有原有子公司自购买日或合并日开始持续计算的净资产的份额与商誉之和的差额，计入</w:t>
      </w:r>
      <w:r>
        <w:rPr>
          <w:spacing w:val="-81"/>
        </w:rPr>
        <w:t> </w:t>
      </w:r>
      <w:r>
        <w:rPr>
          <w:spacing w:val="-81"/>
        </w:rPr>
      </w:r>
      <w:r>
        <w:rPr>
          <w:spacing w:val="-1"/>
        </w:rPr>
        <w:t>丧失控制权当期的投资收益。与原有子公司股权投资相关的其他综合收益或除净损益、其他综合收益及利</w:t>
      </w:r>
      <w:r>
        <w:rPr>
          <w:spacing w:val="-81"/>
        </w:rPr>
        <w:t> </w:t>
      </w:r>
      <w:r>
        <w:rPr>
          <w:spacing w:val="-81"/>
        </w:rPr>
      </w:r>
      <w:r>
        <w:rPr>
          <w:spacing w:val="-1"/>
        </w:rPr>
        <w:t>润分配之外的其他所有者权益变动，在丧失控制权时转为当期投资收益，由于被投资方重新计量设定受益</w:t>
      </w:r>
      <w:r>
        <w:rPr>
          <w:spacing w:val="-81"/>
        </w:rPr>
        <w:t> </w:t>
      </w:r>
      <w:r>
        <w:rPr>
          <w:spacing w:val="-81"/>
        </w:rPr>
      </w:r>
      <w:r>
        <w:rPr/>
        <w:t>计划净负债或净资产变动而产生的其他综合收益除外。</w:t>
      </w:r>
    </w:p>
    <w:p>
      <w:pPr>
        <w:pStyle w:val="Heading4"/>
        <w:spacing w:line="240" w:lineRule="auto"/>
        <w:ind w:left="577" w:right="967"/>
        <w:jc w:val="left"/>
      </w:pPr>
      <w:r>
        <w:rPr/>
        <w:t>因其他投资方对子公司增资而导致本公司持股比例下降从而丧失控制权的，按照上述原则进行会计处</w:t>
      </w:r>
    </w:p>
    <w:p>
      <w:pPr>
        <w:pStyle w:val="Heading4"/>
        <w:spacing w:line="240" w:lineRule="auto" w:before="37"/>
        <w:ind w:right="967"/>
        <w:jc w:val="left"/>
      </w:pPr>
      <w:r>
        <w:rPr/>
        <w:t>理。</w:t>
      </w:r>
    </w:p>
    <w:p>
      <w:pPr>
        <w:pStyle w:val="Heading4"/>
        <w:spacing w:line="273" w:lineRule="auto" w:before="37"/>
        <w:ind w:left="577" w:right="967"/>
        <w:jc w:val="left"/>
      </w:pPr>
      <w:r>
        <w:rPr/>
        <w:t>②分步处置子公司 </w:t>
      </w:r>
      <w:r>
        <w:rPr>
          <w:spacing w:val="-1"/>
        </w:rPr>
        <w:t>通过多次交易分步处置对子公司股权投资直至丧失控制权的，处置对子公司股权投资的各项交易的条</w:t>
      </w:r>
    </w:p>
    <w:p>
      <w:pPr>
        <w:pStyle w:val="Heading4"/>
        <w:spacing w:line="273" w:lineRule="auto"/>
        <w:ind w:right="967"/>
        <w:jc w:val="left"/>
      </w:pPr>
      <w:r>
        <w:rPr>
          <w:spacing w:val="-1"/>
        </w:rPr>
        <w:t>款、条件以及经济影响符合以下一种或多种情况，通常表明应将多次交易事项作为一揽子交易进行会计处</w:t>
      </w:r>
      <w:r>
        <w:rPr>
          <w:spacing w:val="-81"/>
        </w:rPr>
        <w:t> </w:t>
      </w:r>
      <w:r>
        <w:rPr>
          <w:spacing w:val="-81"/>
        </w:rPr>
      </w:r>
      <w:r>
        <w:rPr/>
        <w:t>理：</w:t>
      </w:r>
    </w:p>
    <w:p>
      <w:pPr>
        <w:pStyle w:val="Heading4"/>
        <w:spacing w:line="273" w:lineRule="auto"/>
        <w:ind w:left="577" w:right="967"/>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 </w:t>
      </w:r>
      <w:r>
        <w:rPr>
          <w:spacing w:val="-1"/>
        </w:rPr>
        <w:t>处置对子公司股权投资直至丧失控制权的各项交易属于一揽子交易的，本公司将各项交易作为一项处</w:t>
      </w:r>
    </w:p>
    <w:p>
      <w:pPr>
        <w:pStyle w:val="Heading4"/>
        <w:spacing w:line="273" w:lineRule="auto"/>
        <w:ind w:right="1131"/>
        <w:jc w:val="both"/>
      </w:pPr>
      <w:r>
        <w:rPr>
          <w:spacing w:val="-1"/>
        </w:rPr>
        <w:t>置子公司并丧失控制权的交易进行会计处理；但是，在丧失控制权之前每一次处置价款与处置投资对应的</w:t>
      </w:r>
      <w:r>
        <w:rPr>
          <w:spacing w:val="-81"/>
        </w:rPr>
        <w:t> </w:t>
      </w:r>
      <w:r>
        <w:rPr>
          <w:spacing w:val="-81"/>
        </w:rPr>
      </w:r>
      <w:r>
        <w:rPr>
          <w:spacing w:val="-1"/>
        </w:rPr>
        <w:t>享有该子公司净资产份额的差额，在合并财务报表中确认为其他综合收益，在丧失控制权时一并转入丧失</w:t>
      </w:r>
      <w:r>
        <w:rPr>
          <w:spacing w:val="-81"/>
        </w:rPr>
        <w:t> </w:t>
      </w:r>
      <w:r>
        <w:rPr>
          <w:spacing w:val="-81"/>
        </w:rPr>
      </w:r>
      <w:r>
        <w:rPr/>
        <w:t>控制权当期的损益。</w:t>
      </w:r>
    </w:p>
    <w:p>
      <w:pPr>
        <w:pStyle w:val="Heading4"/>
        <w:spacing w:line="273" w:lineRule="auto"/>
        <w:ind w:right="1131" w:firstLine="423"/>
        <w:jc w:val="both"/>
      </w:pPr>
      <w:r>
        <w:rPr>
          <w:spacing w:val="-1"/>
        </w:rPr>
        <w:t>处置对子公司股权投资直至丧失控制权的各项交易不属于一揽子交易的，在丧失控制权之前，按不丧</w:t>
      </w:r>
      <w:r>
        <w:rPr/>
        <w:t> </w:t>
      </w:r>
      <w:r>
        <w:rPr>
          <w:spacing w:val="-1"/>
        </w:rPr>
        <w:t>失控制权的情况下部分处置对子公司的股权投资的相关政策进行会计处理；在丧失控制权时，按处置子公</w:t>
      </w:r>
      <w:r>
        <w:rPr>
          <w:spacing w:val="-81"/>
        </w:rPr>
        <w:t> </w:t>
      </w:r>
      <w:r>
        <w:rPr>
          <w:spacing w:val="-81"/>
        </w:rPr>
      </w:r>
      <w:r>
        <w:rPr/>
        <w:t>司一般处理方法进行会计处理。</w:t>
      </w:r>
    </w:p>
    <w:p>
      <w:pPr>
        <w:pStyle w:val="Heading4"/>
        <w:spacing w:line="273" w:lineRule="auto"/>
        <w:ind w:left="577" w:right="967"/>
        <w:jc w:val="left"/>
      </w:pPr>
      <w:r>
        <w:rPr/>
        <w:t>（</w:t>
      </w:r>
      <w:r>
        <w:rPr>
          <w:rFonts w:ascii="宋体" w:hAnsi="宋体" w:cs="宋体" w:eastAsia="宋体" w:hint="default"/>
        </w:rPr>
        <w:t>3</w:t>
      </w:r>
      <w:r>
        <w:rPr/>
        <w:t>）购买子公司少数股权 </w:t>
      </w:r>
      <w:r>
        <w:rPr>
          <w:spacing w:val="-1"/>
        </w:rPr>
        <w:t>本公司因购买少数股权新取得的长期股权投资与按照新增持股比例计算应享有子公司自购买日（或合</w:t>
      </w:r>
    </w:p>
    <w:p>
      <w:pPr>
        <w:spacing w:after="0" w:line="273"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73" w:lineRule="auto" w:before="35"/>
        <w:ind w:right="967"/>
        <w:jc w:val="left"/>
      </w:pPr>
      <w:r>
        <w:rPr>
          <w:spacing w:val="-1"/>
        </w:rPr>
        <w:t>并日）开始持续计算的净资产份额之间的差额，调整合并资产负债表中的资本公积中的股本溢价，资本公</w:t>
      </w:r>
      <w:r>
        <w:rPr>
          <w:spacing w:val="-83"/>
        </w:rPr>
        <w:t> </w:t>
      </w:r>
      <w:r>
        <w:rPr>
          <w:spacing w:val="-83"/>
        </w:rPr>
      </w:r>
      <w:r>
        <w:rPr/>
        <w:t>积中的股本溢价不足冲减的，调整留存收益。</w:t>
      </w:r>
    </w:p>
    <w:p>
      <w:pPr>
        <w:pStyle w:val="Heading4"/>
        <w:spacing w:line="273" w:lineRule="auto"/>
        <w:ind w:left="577" w:right="1299"/>
        <w:jc w:val="left"/>
      </w:pPr>
      <w:r>
        <w:rPr/>
        <w:t>（</w:t>
      </w:r>
      <w:r>
        <w:rPr>
          <w:rFonts w:ascii="宋体" w:hAnsi="宋体" w:cs="宋体" w:eastAsia="宋体" w:hint="default"/>
        </w:rPr>
        <w:t>4</w:t>
      </w:r>
      <w:r>
        <w:rPr/>
        <w:t>）不丧失控制权的情况下部分处置对子公司的股权投资 在不丧失控制权的情况下因部分处置对子公司的长期股权投资而取得的处置价款与处置长期股权投</w:t>
      </w:r>
    </w:p>
    <w:p>
      <w:pPr>
        <w:pStyle w:val="Heading4"/>
        <w:spacing w:line="273" w:lineRule="auto" w:before="8"/>
        <w:ind w:right="967"/>
        <w:jc w:val="left"/>
      </w:pPr>
      <w:r>
        <w:rPr>
          <w:spacing w:val="-1"/>
        </w:rPr>
        <w:t>资相对应享有子公司自购买日或合并日开始持续计算的净资产份额之间的差额，调整合并资产负债表中的</w:t>
      </w:r>
      <w:r>
        <w:rPr>
          <w:spacing w:val="-81"/>
        </w:rPr>
        <w:t> </w:t>
      </w:r>
      <w:r>
        <w:rPr>
          <w:spacing w:val="-81"/>
        </w:rPr>
      </w:r>
      <w:r>
        <w:rPr/>
        <w:t>资本公积中的股本溢价，资本公积中的股本溢价不足冲减的，调整留存收益。</w:t>
      </w:r>
    </w:p>
    <w:p>
      <w:pPr>
        <w:spacing w:line="240" w:lineRule="auto" w:before="8"/>
        <w:rPr>
          <w:rFonts w:ascii="宋体" w:hAnsi="宋体" w:cs="宋体" w:eastAsia="宋体" w:hint="default"/>
          <w:sz w:val="24"/>
          <w:szCs w:val="24"/>
        </w:rPr>
      </w:pPr>
    </w:p>
    <w:p>
      <w:pPr>
        <w:spacing w:line="590" w:lineRule="atLeast" w:before="0"/>
        <w:ind w:left="577" w:right="6853" w:hanging="424"/>
        <w:jc w:val="left"/>
        <w:rPr>
          <w:rFonts w:ascii="宋体" w:hAnsi="宋体" w:cs="宋体" w:eastAsia="宋体" w:hint="default"/>
          <w:sz w:val="21"/>
          <w:szCs w:val="21"/>
        </w:rPr>
      </w:pPr>
      <w:bookmarkStart w:name="7、合营安排分类及共同经营会计处理方法" w:id="172"/>
      <w:bookmarkEnd w:id="172"/>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z w:val="21"/>
          <w:szCs w:val="21"/>
        </w:rPr>
        <w:t>合营安排分为共同经营和合营企业。</w:t>
      </w:r>
    </w:p>
    <w:p>
      <w:pPr>
        <w:pStyle w:val="Heading4"/>
        <w:spacing w:line="273" w:lineRule="auto" w:before="37"/>
        <w:ind w:left="577" w:right="1089"/>
        <w:jc w:val="left"/>
      </w:pPr>
      <w:r>
        <w:rPr/>
        <w:t>当本公司是合营安排的合营方，享有该安排相关资产且承担该安排相关负债时，为共同经营。 本公司确认与共同经营中利益份额相关的下列项目，并按照相关企业会计准则的规定进行会计处理：</w:t>
      </w:r>
    </w:p>
    <w:p>
      <w:pPr>
        <w:pStyle w:val="Heading4"/>
        <w:spacing w:line="240" w:lineRule="auto"/>
        <w:ind w:left="577" w:right="967"/>
        <w:jc w:val="left"/>
      </w:pPr>
      <w:r>
        <w:rPr/>
        <w:t>（</w:t>
      </w:r>
      <w:r>
        <w:rPr>
          <w:rFonts w:ascii="宋体" w:hAnsi="宋体" w:cs="宋体" w:eastAsia="宋体" w:hint="default"/>
        </w:rPr>
        <w:t>1</w:t>
      </w:r>
      <w:r>
        <w:rPr/>
        <w:t>）确认本公司单独所持有的资产，以及按本公司份额确认共同持有的资产；</w:t>
      </w:r>
    </w:p>
    <w:p>
      <w:pPr>
        <w:pStyle w:val="Heading4"/>
        <w:spacing w:line="240" w:lineRule="auto" w:before="37"/>
        <w:ind w:left="577" w:right="967"/>
        <w:jc w:val="left"/>
      </w:pPr>
      <w:r>
        <w:rPr/>
        <w:t>（</w:t>
      </w:r>
      <w:r>
        <w:rPr>
          <w:rFonts w:ascii="宋体" w:hAnsi="宋体" w:cs="宋体" w:eastAsia="宋体" w:hint="default"/>
        </w:rPr>
        <w:t>2</w:t>
      </w:r>
      <w:r>
        <w:rPr/>
        <w:t>）确认本公司单独所承担的负债，以及按本公司份额确认共同承担的负债；</w:t>
      </w:r>
    </w:p>
    <w:p>
      <w:pPr>
        <w:pStyle w:val="Heading4"/>
        <w:spacing w:line="240" w:lineRule="auto" w:before="37"/>
        <w:ind w:left="577" w:right="967"/>
        <w:jc w:val="left"/>
      </w:pPr>
      <w:r>
        <w:rPr/>
        <w:t>（</w:t>
      </w:r>
      <w:r>
        <w:rPr>
          <w:rFonts w:ascii="宋体" w:hAnsi="宋体" w:cs="宋体" w:eastAsia="宋体" w:hint="default"/>
        </w:rPr>
        <w:t>3</w:t>
      </w:r>
      <w:r>
        <w:rPr/>
        <w:t>）确认出售本公司享有的共同经营产出份额所产生的收入；</w:t>
      </w:r>
    </w:p>
    <w:p>
      <w:pPr>
        <w:pStyle w:val="Heading4"/>
        <w:spacing w:line="240" w:lineRule="auto" w:before="37"/>
        <w:ind w:left="577" w:right="967"/>
        <w:jc w:val="left"/>
      </w:pPr>
      <w:r>
        <w:rPr/>
        <w:t>（</w:t>
      </w:r>
      <w:r>
        <w:rPr>
          <w:rFonts w:ascii="宋体" w:hAnsi="宋体" w:cs="宋体" w:eastAsia="宋体" w:hint="default"/>
        </w:rPr>
        <w:t>4</w:t>
      </w:r>
      <w:r>
        <w:rPr/>
        <w:t>）按本公司份额确认共同经营因出售产出所产生的收入；</w:t>
      </w:r>
    </w:p>
    <w:p>
      <w:pPr>
        <w:pStyle w:val="Heading4"/>
        <w:spacing w:line="240" w:lineRule="auto" w:before="37"/>
        <w:ind w:left="577" w:right="967"/>
        <w:jc w:val="left"/>
      </w:pPr>
      <w:r>
        <w:rPr/>
        <w:t>（</w:t>
      </w:r>
      <w:r>
        <w:rPr>
          <w:rFonts w:ascii="宋体" w:hAnsi="宋体" w:cs="宋体" w:eastAsia="宋体" w:hint="default"/>
        </w:rPr>
        <w:t>5</w:t>
      </w:r>
      <w:r>
        <w:rPr/>
        <w:t>）确认单独所发生的费用，以及按本公司份额确认共同经营发生的费用。</w:t>
      </w:r>
    </w:p>
    <w:p>
      <w:pPr>
        <w:spacing w:line="590" w:lineRule="atLeast" w:before="39"/>
        <w:ind w:left="577" w:right="967" w:hanging="424"/>
        <w:jc w:val="left"/>
        <w:rPr>
          <w:rFonts w:ascii="宋体" w:hAnsi="宋体" w:cs="宋体" w:eastAsia="宋体" w:hint="default"/>
          <w:sz w:val="21"/>
          <w:szCs w:val="21"/>
        </w:rPr>
      </w:pPr>
      <w:bookmarkStart w:name="8、现金及现金等价物的确定标准" w:id="173"/>
      <w:bookmarkEnd w:id="17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在编制现金流量表时，将本公司库存现金以及可以随时用于支付的存款确认为现金。将同时具备期限</w:t>
      </w:r>
    </w:p>
    <w:p>
      <w:pPr>
        <w:pStyle w:val="Heading4"/>
        <w:spacing w:line="273" w:lineRule="auto" w:before="37"/>
        <w:ind w:right="1092"/>
        <w:jc w:val="left"/>
      </w:pPr>
      <w:r>
        <w:rPr/>
        <w:t>短（从购买日起三个月内到期）、流动性强、易于转换为已知现金、价值变动风险很小四个条件的投资， 确定为现金等价物。</w:t>
      </w:r>
    </w:p>
    <w:p>
      <w:pPr>
        <w:spacing w:line="240" w:lineRule="auto" w:before="8"/>
        <w:rPr>
          <w:rFonts w:ascii="宋体" w:hAnsi="宋体" w:cs="宋体" w:eastAsia="宋体" w:hint="default"/>
          <w:sz w:val="23"/>
          <w:szCs w:val="23"/>
        </w:rPr>
      </w:pPr>
    </w:p>
    <w:p>
      <w:pPr>
        <w:pStyle w:val="Heading3"/>
        <w:spacing w:line="240" w:lineRule="auto"/>
        <w:ind w:right="967"/>
        <w:jc w:val="left"/>
        <w:rPr>
          <w:b w:val="0"/>
          <w:bCs w:val="0"/>
        </w:rPr>
      </w:pPr>
      <w:bookmarkStart w:name="9、外币业务和外币报表折算" w:id="174"/>
      <w:bookmarkEnd w:id="174"/>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67"/>
        <w:jc w:val="left"/>
        <w:rPr>
          <w:b w:val="0"/>
          <w:bCs w:val="0"/>
        </w:rPr>
      </w:pPr>
      <w:r>
        <w:rPr/>
        <w:t>（</w:t>
      </w:r>
      <w:r>
        <w:rPr>
          <w:rFonts w:ascii="Times New Roman" w:hAnsi="Times New Roman" w:cs="Times New Roman" w:eastAsia="Times New Roman" w:hint="default"/>
        </w:rPr>
        <w:t>1</w:t>
      </w:r>
      <w:r>
        <w:rPr/>
        <w:t>）外币业务</w:t>
      </w:r>
      <w:r>
        <w:rPr>
          <w:b w:val="0"/>
          <w:bCs w:val="0"/>
        </w:rPr>
      </w:r>
    </w:p>
    <w:p>
      <w:pPr>
        <w:pStyle w:val="Heading4"/>
        <w:spacing w:line="273" w:lineRule="auto" w:before="21"/>
        <w:ind w:left="577" w:right="967"/>
        <w:jc w:val="left"/>
      </w:pPr>
      <w:r>
        <w:rPr/>
        <w:t>外币业务采用交易发生日的即期汇率作为折算汇率将外币金额折合成人民币记账。 </w:t>
      </w:r>
      <w:r>
        <w:rPr>
          <w:spacing w:val="-1"/>
        </w:rPr>
        <w:t>资产负债表日外币货币性项目余额按资产负债表日即期汇率折算，由此产生的汇兑差额，除属于与购</w:t>
      </w:r>
    </w:p>
    <w:p>
      <w:pPr>
        <w:pStyle w:val="Heading4"/>
        <w:spacing w:line="273" w:lineRule="auto"/>
        <w:ind w:right="967"/>
        <w:jc w:val="left"/>
      </w:pPr>
      <w:r>
        <w:rPr>
          <w:spacing w:val="-1"/>
        </w:rPr>
        <w:t>建符合资本化条件的资产相关的外币专门借款产生的汇兑差额按照借款费用资本化的原则处理外，均计入</w:t>
      </w:r>
      <w:r>
        <w:rPr>
          <w:spacing w:val="-81"/>
        </w:rPr>
        <w:t> </w:t>
      </w:r>
      <w:r>
        <w:rPr>
          <w:spacing w:val="-81"/>
        </w:rPr>
      </w:r>
      <w:r>
        <w:rPr/>
        <w:t>当期损益。</w:t>
      </w:r>
    </w:p>
    <w:p>
      <w:pPr>
        <w:spacing w:line="256" w:lineRule="auto" w:before="7"/>
        <w:ind w:left="577" w:right="967" w:hanging="42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99"/>
          <w:sz w:val="21"/>
          <w:szCs w:val="21"/>
        </w:rPr>
        <w:t> </w:t>
      </w:r>
      <w:r>
        <w:rPr>
          <w:rFonts w:ascii="宋体" w:hAnsi="宋体" w:cs="宋体" w:eastAsia="宋体" w:hint="default"/>
          <w:spacing w:val="-1"/>
          <w:sz w:val="21"/>
          <w:szCs w:val="21"/>
        </w:rPr>
        <w:t>资产负债表中的资产和负债项目，采用资产负债表日的即期汇率折算；所有者权益项目除“未分配利</w:t>
      </w:r>
    </w:p>
    <w:p>
      <w:pPr>
        <w:pStyle w:val="Heading4"/>
        <w:spacing w:line="273" w:lineRule="auto" w:before="22"/>
        <w:ind w:right="967"/>
        <w:jc w:val="left"/>
      </w:pPr>
      <w:r>
        <w:rPr>
          <w:spacing w:val="-1"/>
        </w:rPr>
        <w:t>润”项目外，其他项目采用发生时的即期汇率折算。利润表中的收入和费用项目，采用交易发生日的即期</w:t>
      </w:r>
      <w:r>
        <w:rPr>
          <w:spacing w:val="-85"/>
        </w:rPr>
        <w:t> </w:t>
      </w:r>
      <w:r>
        <w:rPr>
          <w:spacing w:val="-85"/>
        </w:rPr>
      </w:r>
      <w:r>
        <w:rPr/>
        <w:t>汇率折算。</w:t>
      </w:r>
    </w:p>
    <w:p>
      <w:pPr>
        <w:pStyle w:val="Heading4"/>
        <w:spacing w:line="240" w:lineRule="auto"/>
        <w:ind w:left="577" w:right="967"/>
        <w:jc w:val="left"/>
      </w:pPr>
      <w:r>
        <w:rPr/>
        <w:t>处置境外经营时，将与该境外经营相关的外币财务报表折算差额，自所有者权益项目转入处置当期损</w:t>
      </w:r>
    </w:p>
    <w:p>
      <w:pPr>
        <w:pStyle w:val="Heading4"/>
        <w:spacing w:line="240" w:lineRule="auto" w:before="37"/>
        <w:ind w:right="967"/>
        <w:jc w:val="left"/>
      </w:pPr>
      <w:r>
        <w:rPr/>
        <w:t>益。</w:t>
      </w:r>
    </w:p>
    <w:p>
      <w:pPr>
        <w:spacing w:line="240" w:lineRule="auto" w:before="11"/>
        <w:rPr>
          <w:rFonts w:ascii="宋体" w:hAnsi="宋体" w:cs="宋体" w:eastAsia="宋体" w:hint="default"/>
          <w:sz w:val="25"/>
          <w:szCs w:val="25"/>
        </w:rPr>
      </w:pPr>
    </w:p>
    <w:p>
      <w:pPr>
        <w:pStyle w:val="Heading3"/>
        <w:spacing w:line="240" w:lineRule="auto"/>
        <w:ind w:right="967"/>
        <w:jc w:val="left"/>
        <w:rPr>
          <w:b w:val="0"/>
          <w:bCs w:val="0"/>
        </w:rPr>
      </w:pPr>
      <w:bookmarkStart w:name="10、金融工具" w:id="175"/>
      <w:bookmarkEnd w:id="175"/>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left="577" w:right="967"/>
        <w:jc w:val="left"/>
      </w:pPr>
      <w:r>
        <w:rPr/>
        <w:t>金融工具包括金融资产、金融负债和权益工具。</w:t>
      </w:r>
    </w:p>
    <w:p>
      <w:pPr>
        <w:pStyle w:val="Heading4"/>
        <w:spacing w:line="273" w:lineRule="auto" w:before="37"/>
        <w:ind w:left="576" w:right="967" w:firstLine="60"/>
        <w:jc w:val="left"/>
      </w:pPr>
      <w:r>
        <w:rPr/>
        <w:t>·</w:t>
      </w:r>
      <w:r>
        <w:rPr>
          <w:spacing w:val="44"/>
        </w:rPr>
        <w:t> </w:t>
      </w:r>
      <w:r>
        <w:rPr>
          <w:rFonts w:ascii="宋体" w:hAnsi="宋体" w:cs="宋体" w:eastAsia="宋体" w:hint="default"/>
          <w:b/>
          <w:bCs/>
        </w:rPr>
        <w:t>金融工具的分类</w:t>
      </w:r>
      <w:r>
        <w:rPr>
          <w:rFonts w:ascii="宋体" w:hAnsi="宋体" w:cs="宋体" w:eastAsia="宋体" w:hint="default"/>
          <w:b/>
          <w:bCs/>
          <w:w w:val="99"/>
        </w:rPr>
        <w:t> </w:t>
      </w:r>
      <w:r>
        <w:rPr>
          <w:spacing w:val="-1"/>
        </w:rPr>
        <w:t>金融资产和金融负债于初始确认时分类为：以公允价值计量且其变动计入当期损益的金融资产或金融</w:t>
      </w:r>
    </w:p>
    <w:p>
      <w:pPr>
        <w:pStyle w:val="Heading4"/>
        <w:spacing w:line="240" w:lineRule="auto"/>
        <w:ind w:right="967"/>
        <w:jc w:val="left"/>
      </w:pPr>
      <w:r>
        <w:rPr/>
        <w:t>负债，包括交易性金融资产或金融负债和直接指定为以公允价值计量且其变动计入当期损益的金融资产或</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967"/>
        <w:jc w:val="left"/>
      </w:pPr>
      <w:r>
        <w:rPr/>
        <w:t>金融负债；持有至到期投资；应收款项；可供出售金融资产；其他金融负债等。</w:t>
      </w:r>
    </w:p>
    <w:p>
      <w:pPr>
        <w:spacing w:line="240" w:lineRule="auto" w:before="9"/>
        <w:rPr>
          <w:rFonts w:ascii="宋体" w:hAnsi="宋体" w:cs="宋体" w:eastAsia="宋体" w:hint="default"/>
          <w:sz w:val="26"/>
          <w:szCs w:val="26"/>
        </w:rPr>
      </w:pPr>
    </w:p>
    <w:p>
      <w:pPr>
        <w:pStyle w:val="Heading3"/>
        <w:spacing w:line="240" w:lineRule="auto"/>
        <w:ind w:left="636" w:right="967"/>
        <w:jc w:val="left"/>
        <w:rPr>
          <w:b w:val="0"/>
          <w:bCs w:val="0"/>
        </w:rPr>
      </w:pPr>
      <w:r>
        <w:rPr>
          <w:rFonts w:ascii="宋体" w:hAnsi="宋体" w:cs="宋体" w:eastAsia="宋体" w:hint="default"/>
          <w:b w:val="0"/>
          <w:bCs w:val="0"/>
        </w:rPr>
        <w:t>·</w:t>
      </w:r>
      <w:r>
        <w:rPr>
          <w:rFonts w:ascii="宋体" w:hAnsi="宋体" w:cs="宋体" w:eastAsia="宋体" w:hint="default"/>
          <w:b w:val="0"/>
          <w:bCs w:val="0"/>
          <w:spacing w:val="42"/>
        </w:rPr>
        <w:t> </w:t>
      </w:r>
      <w:r>
        <w:rPr/>
        <w:t>金融工具的确认依据和计量方法</w:t>
      </w:r>
      <w:r>
        <w:rPr>
          <w:b w:val="0"/>
          <w:bCs w:val="0"/>
        </w:rPr>
      </w:r>
    </w:p>
    <w:p>
      <w:pPr>
        <w:pStyle w:val="Heading4"/>
        <w:spacing w:line="256" w:lineRule="auto" w:before="37"/>
        <w:ind w:left="576" w:right="967"/>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1"/>
        </w:rPr>
        <w:t>取得时以公允价值（扣除已宣告但尚未发放的现金股利或已到付息期但尚未领取的债券利息）作为初</w:t>
      </w:r>
    </w:p>
    <w:p>
      <w:pPr>
        <w:pStyle w:val="Heading4"/>
        <w:spacing w:line="273" w:lineRule="auto" w:before="22"/>
        <w:ind w:left="576" w:right="1510" w:hanging="423"/>
        <w:jc w:val="left"/>
      </w:pPr>
      <w:r>
        <w:rPr/>
        <w:t>始确认金额，相关的交易费用计入当期损益。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Heading4"/>
        <w:spacing w:line="264" w:lineRule="auto"/>
        <w:ind w:left="576" w:right="1015"/>
        <w:jc w:val="left"/>
      </w:pPr>
      <w:r>
        <w:rPr/>
        <w:t>（</w:t>
      </w:r>
      <w:r>
        <w:rPr>
          <w:rFonts w:ascii="Times New Roman" w:hAnsi="Times New Roman" w:cs="Times New Roman" w:eastAsia="Times New Roman" w:hint="default"/>
        </w:rPr>
        <w:t>2</w:t>
      </w:r>
      <w:r>
        <w:rPr/>
        <w:t>）持有至到期投资 </w:t>
      </w:r>
      <w:r>
        <w:rPr>
          <w:spacing w:val="-3"/>
        </w:rPr>
        <w:t>取得时按公允价值（扣除已到付息期但尚未领取的债券利息）和相关交易费用之和作为初始确认金额。</w:t>
      </w:r>
      <w:r>
        <w:rPr>
          <w:spacing w:val="-99"/>
        </w:rPr>
        <w:t> </w:t>
      </w:r>
      <w:r>
        <w:rPr>
          <w:spacing w:val="-99"/>
        </w:rPr>
      </w:r>
      <w:r>
        <w:rPr/>
        <w:t>持有期间按照摊余成本和实际利率计算确认利息收入，计入投资收益。实际利率在取得时确定，在该</w:t>
      </w:r>
    </w:p>
    <w:p>
      <w:pPr>
        <w:pStyle w:val="Heading4"/>
        <w:spacing w:line="273" w:lineRule="auto" w:before="16"/>
        <w:ind w:left="576" w:right="4030" w:hanging="423"/>
        <w:jc w:val="left"/>
      </w:pPr>
      <w:r>
        <w:rPr/>
        <w:t>预期存续期间或适用的更短期间内保持不变。 处置时，将所取得价款与该投资账面价值之间的差额计入投资收益。</w:t>
      </w:r>
    </w:p>
    <w:p>
      <w:pPr>
        <w:pStyle w:val="Heading4"/>
        <w:spacing w:line="256" w:lineRule="auto"/>
        <w:ind w:left="576" w:right="967"/>
        <w:jc w:val="left"/>
      </w:pPr>
      <w:r>
        <w:rPr/>
        <w:t>（</w:t>
      </w:r>
      <w:r>
        <w:rPr>
          <w:rFonts w:ascii="Times New Roman" w:hAnsi="Times New Roman" w:cs="Times New Roman" w:eastAsia="Times New Roman" w:hint="default"/>
        </w:rPr>
        <w:t>3</w:t>
      </w:r>
      <w:r>
        <w:rPr/>
        <w:t>）应收款项 </w:t>
      </w:r>
      <w:r>
        <w:rPr>
          <w:spacing w:val="-1"/>
        </w:rPr>
        <w:t>公司对外销售商品或提供劳务形成的应收债权，以及公司持有的其他企业的不包括在活跃市场上有报</w:t>
      </w:r>
    </w:p>
    <w:p>
      <w:pPr>
        <w:pStyle w:val="Heading4"/>
        <w:spacing w:line="273" w:lineRule="auto" w:before="22"/>
        <w:ind w:right="967"/>
        <w:jc w:val="left"/>
      </w:pPr>
      <w:r>
        <w:rPr>
          <w:spacing w:val="-1"/>
        </w:rPr>
        <w:t>价的债务工具的债权，包括应收账款、其他应收款等，以向购货方应收的合同或协议价款作为初始确认金</w:t>
      </w:r>
      <w:r>
        <w:rPr>
          <w:spacing w:val="-83"/>
        </w:rPr>
        <w:t> </w:t>
      </w:r>
      <w:r>
        <w:rPr>
          <w:spacing w:val="-83"/>
        </w:rPr>
      </w:r>
      <w:r>
        <w:rPr/>
        <w:t>额；具有融资性质的，按其现值进行初始确认。</w:t>
      </w:r>
    </w:p>
    <w:p>
      <w:pPr>
        <w:pStyle w:val="Heading4"/>
        <w:spacing w:line="240" w:lineRule="auto"/>
        <w:ind w:left="576" w:right="967"/>
        <w:jc w:val="left"/>
      </w:pPr>
      <w:r>
        <w:rPr/>
        <w:t>收回或处置时，将取得的价款与该应收款项账面价值之间的差额计入当期损益。</w:t>
      </w:r>
    </w:p>
    <w:p>
      <w:pPr>
        <w:pStyle w:val="Heading4"/>
        <w:spacing w:line="256" w:lineRule="auto" w:before="37"/>
        <w:ind w:left="576" w:right="967"/>
        <w:jc w:val="left"/>
      </w:pPr>
      <w:r>
        <w:rPr/>
        <w:t>（</w:t>
      </w:r>
      <w:r>
        <w:rPr>
          <w:rFonts w:ascii="Times New Roman" w:hAnsi="Times New Roman" w:cs="Times New Roman" w:eastAsia="Times New Roman" w:hint="default"/>
        </w:rPr>
        <w:t>4</w:t>
      </w:r>
      <w:r>
        <w:rPr/>
        <w:t>）可供出售金融资产 </w:t>
      </w:r>
      <w:r>
        <w:rPr>
          <w:spacing w:val="-1"/>
        </w:rPr>
        <w:t>取得时按公允价值（扣除已宣告但尚未发放的现金股利或已到付息期但尚未领取的债券利息）和相关</w:t>
      </w:r>
    </w:p>
    <w:p>
      <w:pPr>
        <w:pStyle w:val="Heading4"/>
        <w:spacing w:line="273" w:lineRule="auto" w:before="22"/>
        <w:ind w:left="576" w:right="967" w:hanging="423"/>
        <w:jc w:val="left"/>
      </w:pPr>
      <w:r>
        <w:rPr/>
        <w:t>交易费用之和作为初始确认金额。 </w:t>
      </w:r>
      <w:r>
        <w:rPr>
          <w:spacing w:val="-1"/>
        </w:rPr>
        <w:t>持有期间将取得的利息或现金股利确认为投资收益。期末以公允价值计量且将公允价值变动计入其他</w:t>
      </w:r>
    </w:p>
    <w:p>
      <w:pPr>
        <w:pStyle w:val="Heading4"/>
        <w:spacing w:line="273" w:lineRule="auto" w:before="8"/>
        <w:ind w:right="967"/>
        <w:jc w:val="left"/>
      </w:pPr>
      <w:r>
        <w:rPr>
          <w:spacing w:val="-1"/>
        </w:rPr>
        <w:t>综合收益。但是，在活跃市场中没有报价且其公允价值不能可靠计量的权益工具投资，以及与该权益工具</w:t>
      </w:r>
      <w:r>
        <w:rPr>
          <w:spacing w:val="-83"/>
        </w:rPr>
        <w:t> </w:t>
      </w:r>
      <w:r>
        <w:rPr>
          <w:spacing w:val="-83"/>
        </w:rPr>
      </w:r>
      <w:r>
        <w:rPr/>
        <w:t>挂钩并须通过交付该权益工具结算的衍生金融资产，按照成本计量。</w:t>
      </w:r>
    </w:p>
    <w:p>
      <w:pPr>
        <w:pStyle w:val="Heading4"/>
        <w:spacing w:line="273" w:lineRule="auto"/>
        <w:ind w:right="967" w:firstLine="422"/>
        <w:jc w:val="left"/>
      </w:pPr>
      <w:r>
        <w:rPr>
          <w:spacing w:val="-1"/>
        </w:rPr>
        <w:t>处置时，将取得的价款与该金融资产账面价值之间的差额，计入投资损益；同时，将原直接计入其他</w:t>
      </w:r>
      <w:r>
        <w:rPr/>
        <w:t> 综合收益的公允价值变动累计额对应处置部分的金额转出，计入当期损益。</w:t>
      </w:r>
    </w:p>
    <w:p>
      <w:pPr>
        <w:pStyle w:val="Heading4"/>
        <w:spacing w:line="256" w:lineRule="auto"/>
        <w:ind w:left="576" w:right="2560"/>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73" w:lineRule="auto" w:before="22"/>
        <w:ind w:left="576" w:right="967" w:firstLine="6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4"/>
          <w:sz w:val="21"/>
          <w:szCs w:val="21"/>
        </w:rPr>
        <w:t> </w:t>
      </w:r>
      <w:r>
        <w:rPr>
          <w:rFonts w:ascii="宋体" w:hAnsi="宋体" w:cs="宋体" w:eastAsia="宋体" w:hint="default"/>
          <w:b/>
          <w:bCs/>
          <w:sz w:val="21"/>
          <w:szCs w:val="21"/>
        </w:rPr>
        <w:t>金融资产转移的确认依据和计量方法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公司发生金融资产转移时，如已将金融资产所有权上几乎所有的风险和报酬转移给转入方，则终止确</w:t>
      </w:r>
    </w:p>
    <w:p>
      <w:pPr>
        <w:pStyle w:val="Heading4"/>
        <w:spacing w:line="273" w:lineRule="auto"/>
        <w:ind w:left="576" w:right="967" w:hanging="423"/>
        <w:jc w:val="left"/>
      </w:pPr>
      <w:r>
        <w:rPr/>
        <w:t>认该金融资产；如保留了金融资产所有权上几乎所有的风险和报酬的，则不终止确认该金融资产。 </w:t>
      </w:r>
      <w:r>
        <w:rPr>
          <w:spacing w:val="-1"/>
        </w:rPr>
        <w:t>在判断金融资产转移是否满足上述金融资产终止确认条件时，采用实质重于形式的原则。公司将金融</w:t>
      </w:r>
    </w:p>
    <w:p>
      <w:pPr>
        <w:pStyle w:val="Heading4"/>
        <w:spacing w:line="273" w:lineRule="auto"/>
        <w:ind w:right="967"/>
        <w:jc w:val="left"/>
      </w:pP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Heading4"/>
        <w:spacing w:line="240" w:lineRule="auto"/>
        <w:ind w:left="576" w:right="967"/>
        <w:jc w:val="left"/>
      </w:pPr>
      <w:r>
        <w:rPr/>
        <w:t>（</w:t>
      </w:r>
      <w:r>
        <w:rPr>
          <w:rFonts w:ascii="Times New Roman" w:hAnsi="Times New Roman" w:cs="Times New Roman" w:eastAsia="Times New Roman" w:hint="default"/>
        </w:rPr>
        <w:t>1</w:t>
      </w:r>
      <w:r>
        <w:rPr/>
        <w:t>）所转移金融资产的账面价值；</w:t>
      </w:r>
    </w:p>
    <w:p>
      <w:pPr>
        <w:pStyle w:val="Heading4"/>
        <w:spacing w:line="256" w:lineRule="auto" w:before="21"/>
        <w:ind w:right="1195" w:firstLine="422"/>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 为可供出售金融资产的情形）之和。</w:t>
      </w:r>
    </w:p>
    <w:p>
      <w:pPr>
        <w:spacing w:line="240" w:lineRule="auto" w:before="7"/>
        <w:rPr>
          <w:rFonts w:ascii="宋体" w:hAnsi="宋体" w:cs="宋体" w:eastAsia="宋体" w:hint="default"/>
          <w:sz w:val="25"/>
          <w:szCs w:val="25"/>
        </w:rPr>
      </w:pPr>
    </w:p>
    <w:p>
      <w:pPr>
        <w:pStyle w:val="Heading4"/>
        <w:spacing w:line="273" w:lineRule="auto" w:before="0"/>
        <w:ind w:right="967" w:firstLine="422"/>
        <w:jc w:val="left"/>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Heading4"/>
        <w:spacing w:line="240" w:lineRule="auto" w:before="8"/>
        <w:ind w:left="576" w:right="967"/>
        <w:jc w:val="left"/>
      </w:pPr>
      <w:r>
        <w:rPr/>
        <w:t>（</w:t>
      </w:r>
      <w:r>
        <w:rPr>
          <w:rFonts w:ascii="Times New Roman" w:hAnsi="Times New Roman" w:cs="Times New Roman" w:eastAsia="Times New Roman" w:hint="default"/>
        </w:rPr>
        <w:t>1</w:t>
      </w:r>
      <w:r>
        <w:rPr/>
        <w:t>）终止确认部分的账面价值；</w:t>
      </w:r>
    </w:p>
    <w:p>
      <w:pPr>
        <w:pStyle w:val="Heading4"/>
        <w:spacing w:line="256" w:lineRule="auto" w:before="21"/>
        <w:ind w:right="1195" w:firstLine="422"/>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 金额（涉及转移的金融资产为可供出售金融资产的情形）之和。</w:t>
      </w:r>
    </w:p>
    <w:p>
      <w:pPr>
        <w:pStyle w:val="Heading4"/>
        <w:spacing w:line="240" w:lineRule="auto" w:before="22"/>
        <w:ind w:left="576" w:right="967"/>
        <w:jc w:val="left"/>
      </w:pPr>
      <w:r>
        <w:rPr/>
        <w:t>金融资产转移不满足终止确认条件的，继续确认该金融资产，所收到的对价确认为一项金融负债。</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4"/>
        <w:spacing w:line="273" w:lineRule="auto" w:before="35"/>
        <w:ind w:left="576" w:right="967" w:firstLine="60"/>
        <w:jc w:val="left"/>
      </w:pPr>
      <w:r>
        <w:rPr/>
        <w:t>·</w:t>
      </w:r>
      <w:r>
        <w:rPr>
          <w:spacing w:val="44"/>
        </w:rPr>
        <w:t> </w:t>
      </w:r>
      <w:r>
        <w:rPr>
          <w:rFonts w:ascii="宋体" w:hAnsi="宋体" w:cs="宋体" w:eastAsia="宋体" w:hint="default"/>
          <w:b/>
          <w:bCs/>
        </w:rPr>
        <w:t>金融负债终止确认条件</w:t>
      </w:r>
      <w:r>
        <w:rPr>
          <w:rFonts w:ascii="宋体" w:hAnsi="宋体" w:cs="宋体" w:eastAsia="宋体" w:hint="default"/>
          <w:b/>
          <w:bCs/>
          <w:w w:val="99"/>
        </w:rPr>
        <w:t> </w:t>
      </w:r>
      <w:r>
        <w:rPr>
          <w:spacing w:val="-1"/>
        </w:rPr>
        <w:t>金融负债的现时义务全部或部分已经解除的，则终止确认该金融负债或其一部分；本公司若与债权人</w:t>
      </w:r>
    </w:p>
    <w:p>
      <w:pPr>
        <w:pStyle w:val="Heading4"/>
        <w:spacing w:line="273" w:lineRule="auto"/>
        <w:ind w:right="1131"/>
        <w:jc w:val="both"/>
      </w:pPr>
      <w:r>
        <w:rPr>
          <w:spacing w:val="-1"/>
        </w:rPr>
        <w:t>签定协议，以承担新金融负债方式替换现存金融负债，且新金融负债与现存金融负债的合同条款实质上不</w:t>
      </w:r>
      <w:r>
        <w:rPr>
          <w:spacing w:val="-81"/>
        </w:rPr>
        <w:t> </w:t>
      </w:r>
      <w:r>
        <w:rPr>
          <w:spacing w:val="-81"/>
        </w:rPr>
      </w:r>
      <w:r>
        <w:rPr/>
        <w:t>同的，则终止确认现存金融负债，并同时确认新金融负债。</w:t>
      </w:r>
    </w:p>
    <w:p>
      <w:pPr>
        <w:pStyle w:val="Heading4"/>
        <w:spacing w:line="273" w:lineRule="auto"/>
        <w:ind w:right="1131" w:firstLine="422"/>
        <w:jc w:val="both"/>
      </w:pPr>
      <w:r>
        <w:rPr>
          <w:spacing w:val="-1"/>
        </w:rPr>
        <w:t>对现存金融负债全部或部分合同条款作出实质性修改的，则终止确认现存金融负债或其一部分，同时</w:t>
      </w:r>
      <w:r>
        <w:rPr/>
        <w:t> 将修改条款后的金融负债确认为一项新金融负债。</w:t>
      </w:r>
    </w:p>
    <w:p>
      <w:pPr>
        <w:pStyle w:val="Heading4"/>
        <w:spacing w:line="273" w:lineRule="auto"/>
        <w:ind w:right="1131" w:firstLine="422"/>
        <w:jc w:val="both"/>
      </w:pPr>
      <w:r>
        <w:rPr>
          <w:spacing w:val="-1"/>
        </w:rPr>
        <w:t>金融负债全部或部分终止确认时，终止确认的金融负债账面价值与支付对价（包括转出的非现金资产</w:t>
      </w:r>
      <w:r>
        <w:rPr/>
        <w:t> 或承担的新金融负债）之间的差额，计入当期损益。</w:t>
      </w:r>
    </w:p>
    <w:p>
      <w:pPr>
        <w:pStyle w:val="Heading4"/>
        <w:spacing w:line="273" w:lineRule="auto"/>
        <w:ind w:right="1131" w:firstLine="422"/>
        <w:jc w:val="both"/>
      </w:pPr>
      <w:r>
        <w:rPr>
          <w:spacing w:val="-1"/>
        </w:rPr>
        <w:t>本公司若回购部分金融负债的，在回购日按照继续确认部分与终止确认部分的相对公允价值，将该金</w:t>
      </w:r>
      <w:r>
        <w:rPr/>
        <w:t> </w:t>
      </w:r>
      <w:r>
        <w:rPr>
          <w:spacing w:val="-1"/>
        </w:rPr>
        <w:t>融负债整体的账面价值进行分配。分配给终止确认部分的账面价值与支付的对价（包括转出的非现金资产</w:t>
      </w:r>
      <w:r>
        <w:rPr>
          <w:spacing w:val="-81"/>
        </w:rPr>
        <w:t> </w:t>
      </w:r>
      <w:r>
        <w:rPr>
          <w:spacing w:val="-81"/>
        </w:rPr>
      </w:r>
      <w:r>
        <w:rPr/>
        <w:t>或承担的新金融负债）之间的差额，计入当期损益。</w:t>
      </w:r>
    </w:p>
    <w:p>
      <w:pPr>
        <w:spacing w:line="240" w:lineRule="auto" w:before="6"/>
        <w:rPr>
          <w:rFonts w:ascii="宋体" w:hAnsi="宋体" w:cs="宋体" w:eastAsia="宋体" w:hint="default"/>
          <w:sz w:val="24"/>
          <w:szCs w:val="24"/>
        </w:rPr>
      </w:pPr>
    </w:p>
    <w:p>
      <w:pPr>
        <w:spacing w:line="273" w:lineRule="auto" w:before="0"/>
        <w:ind w:left="576" w:right="967" w:firstLine="6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4"/>
          <w:sz w:val="21"/>
          <w:szCs w:val="21"/>
        </w:rPr>
        <w:t> </w:t>
      </w:r>
      <w:r>
        <w:rPr>
          <w:rFonts w:ascii="宋体" w:hAnsi="宋体" w:cs="宋体" w:eastAsia="宋体" w:hint="default"/>
          <w:b/>
          <w:bCs/>
          <w:sz w:val="21"/>
          <w:szCs w:val="21"/>
        </w:rPr>
        <w:t>金融资产和金融负债的公允价值的确定方法</w:t>
      </w:r>
      <w:r>
        <w:rPr>
          <w:rFonts w:ascii="宋体" w:hAnsi="宋体" w:cs="宋体" w:eastAsia="宋体" w:hint="default"/>
          <w:b/>
          <w:bCs/>
          <w:w w:val="99"/>
          <w:sz w:val="21"/>
          <w:szCs w:val="21"/>
        </w:rPr>
        <w:t> </w:t>
      </w:r>
      <w:r>
        <w:rPr>
          <w:rFonts w:ascii="宋体" w:hAnsi="宋体" w:cs="宋体" w:eastAsia="宋体" w:hint="default"/>
          <w:spacing w:val="-1"/>
          <w:sz w:val="21"/>
          <w:szCs w:val="21"/>
        </w:rPr>
        <w:t>存在活跃市场的金融工具，以活跃市场中的报价确定其公允价值。不存在活跃市场的金融工具，采用</w:t>
      </w:r>
    </w:p>
    <w:p>
      <w:pPr>
        <w:pStyle w:val="Heading4"/>
        <w:spacing w:line="273" w:lineRule="auto"/>
        <w:ind w:right="1110"/>
        <w:jc w:val="both"/>
      </w:pPr>
      <w:r>
        <w:rPr>
          <w:spacing w:val="-1"/>
        </w:rPr>
        <w:t>估值技术确定其公允价值。在估值时，本公司采用在当前情况下适用并且有足够可利用数据和其他信息支</w:t>
      </w:r>
      <w:r>
        <w:rPr>
          <w:spacing w:val="-81"/>
        </w:rPr>
        <w:t> </w:t>
      </w:r>
      <w:r>
        <w:rPr>
          <w:spacing w:val="-81"/>
        </w:rPr>
      </w:r>
      <w:r>
        <w:rPr/>
        <w:t>持的估值技术，选择与市场参与者在相关资产或负债的交易中所考虑的资产或负债特征相一致的输入值， </w:t>
      </w:r>
      <w:r>
        <w:rPr>
          <w:spacing w:val="-1"/>
        </w:rPr>
        <w:t>并优先使用相关可观察输入值。只有在相关可观察输入值无法取得或取得不切实可行的情况下，才使用不</w:t>
      </w:r>
      <w:r>
        <w:rPr>
          <w:spacing w:val="-81"/>
        </w:rPr>
        <w:t> </w:t>
      </w:r>
      <w:r>
        <w:rPr>
          <w:spacing w:val="-81"/>
        </w:rPr>
      </w:r>
      <w:r>
        <w:rPr/>
        <w:t>可观察输入值。</w:t>
      </w:r>
    </w:p>
    <w:p>
      <w:pPr>
        <w:spacing w:line="240" w:lineRule="auto" w:before="6"/>
        <w:rPr>
          <w:rFonts w:ascii="宋体" w:hAnsi="宋体" w:cs="宋体" w:eastAsia="宋体" w:hint="default"/>
          <w:sz w:val="24"/>
          <w:szCs w:val="24"/>
        </w:rPr>
      </w:pPr>
    </w:p>
    <w:p>
      <w:pPr>
        <w:spacing w:line="273" w:lineRule="auto" w:before="0"/>
        <w:ind w:left="576" w:right="967" w:firstLine="6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4"/>
          <w:sz w:val="21"/>
          <w:szCs w:val="21"/>
        </w:rPr>
        <w:t> </w:t>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除以公允价值计量且其变动计入当期损益的金融资产外，本公司于资产负债表日对金融资产的账面价</w:t>
      </w:r>
    </w:p>
    <w:p>
      <w:pPr>
        <w:pStyle w:val="Heading4"/>
        <w:spacing w:line="240" w:lineRule="auto" w:before="8"/>
        <w:ind w:right="0"/>
        <w:jc w:val="both"/>
      </w:pPr>
      <w:r>
        <w:rPr/>
        <w:t>值进行检查，如果有客观证据表明某项金融资产发生减值的，计提减值准备。</w:t>
      </w:r>
    </w:p>
    <w:p>
      <w:pPr>
        <w:pStyle w:val="Heading4"/>
        <w:spacing w:line="256" w:lineRule="auto" w:before="37"/>
        <w:ind w:left="576" w:right="967"/>
        <w:jc w:val="left"/>
      </w:pPr>
      <w:r>
        <w:rPr/>
        <w:t>（</w:t>
      </w:r>
      <w:r>
        <w:rPr>
          <w:rFonts w:ascii="Times New Roman" w:hAnsi="Times New Roman" w:cs="Times New Roman" w:eastAsia="Times New Roman" w:hint="default"/>
        </w:rPr>
        <w:t>1</w:t>
      </w:r>
      <w:r>
        <w:rPr/>
        <w:t>）可供出售金融资产的减值准备： </w:t>
      </w:r>
      <w:r>
        <w:rPr>
          <w:spacing w:val="-1"/>
        </w:rPr>
        <w:t>期末如果可供出售金融资产的公允价值发生严重下降，或在综合考虑各种相关因素后，预期这种下降</w:t>
      </w:r>
    </w:p>
    <w:p>
      <w:pPr>
        <w:pStyle w:val="Heading4"/>
        <w:spacing w:line="273" w:lineRule="auto" w:before="22"/>
        <w:ind w:right="1131"/>
        <w:jc w:val="both"/>
      </w:pPr>
      <w:r>
        <w:rPr>
          <w:spacing w:val="-1"/>
        </w:rPr>
        <w:t>趋势属于非暂时性的，就认定其已发生减值，将原直接计入所有者权益的公允价值下降形成的累计损失一</w:t>
      </w:r>
      <w:r>
        <w:rPr>
          <w:spacing w:val="-81"/>
        </w:rPr>
        <w:t> </w:t>
      </w:r>
      <w:r>
        <w:rPr>
          <w:spacing w:val="-81"/>
        </w:rPr>
      </w:r>
      <w:r>
        <w:rPr/>
        <w:t>并转出，确认减值损失。</w:t>
      </w:r>
    </w:p>
    <w:p>
      <w:pPr>
        <w:pStyle w:val="Heading4"/>
        <w:spacing w:line="273" w:lineRule="auto"/>
        <w:ind w:right="1133" w:firstLine="422"/>
        <w:jc w:val="both"/>
      </w:pPr>
      <w:r>
        <w:rPr>
          <w:spacing w:val="-1"/>
        </w:rPr>
        <w:t>对于已确认减值损失的可供出售债务工具，在随后的会计期间公允价值已上升且客观上与确认原减值</w:t>
      </w:r>
      <w:r>
        <w:rPr/>
        <w:t> 损失确认后发生的事项有关的，原确认的减值损失予以转回，计入当期损益。</w:t>
      </w:r>
    </w:p>
    <w:p>
      <w:pPr>
        <w:pStyle w:val="Heading4"/>
        <w:spacing w:line="240" w:lineRule="auto"/>
        <w:ind w:left="576" w:right="967"/>
        <w:jc w:val="left"/>
      </w:pPr>
      <w:r>
        <w:rPr/>
        <w:t>可供出售权益工具投资发生的减值损失，不通过损益转回。</w:t>
      </w:r>
    </w:p>
    <w:p>
      <w:pPr>
        <w:pStyle w:val="Heading4"/>
        <w:spacing w:line="290" w:lineRule="auto" w:before="37"/>
        <w:ind w:right="4242" w:firstLine="422"/>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5"/>
        <w:rPr>
          <w:rFonts w:ascii="宋体" w:hAnsi="宋体" w:cs="宋体" w:eastAsia="宋体" w:hint="default"/>
          <w:sz w:val="22"/>
          <w:szCs w:val="22"/>
        </w:rPr>
      </w:pPr>
    </w:p>
    <w:p>
      <w:pPr>
        <w:pStyle w:val="Heading3"/>
        <w:spacing w:line="240" w:lineRule="auto"/>
        <w:ind w:right="0"/>
        <w:jc w:val="both"/>
        <w:rPr>
          <w:b w:val="0"/>
          <w:bCs w:val="0"/>
        </w:rPr>
      </w:pPr>
      <w:bookmarkStart w:name="11、应收票据及应收账款" w:id="176"/>
      <w:bookmarkEnd w:id="176"/>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单项金额重大并单独计提坏账准备的应收款项" w:id="177"/>
      <w:bookmarkEnd w:id="177"/>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254"/>
        <w:gridCol w:w="5315"/>
      </w:tblGrid>
      <w:tr>
        <w:trPr>
          <w:trHeight w:val="1026"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单项金额重大的判断依据或金额标准：本公司将单笔余额超过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p>
          <w:p>
            <w:pPr>
              <w:pStyle w:val="TableParagraph"/>
              <w:spacing w:line="302"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的应收账款、单笔余额超过</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的其他应收款，确 定为单项金额重大的应收款项。</w:t>
            </w:r>
          </w:p>
        </w:tc>
      </w:tr>
      <w:tr>
        <w:trPr>
          <w:trHeight w:val="1299"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0"/>
              <w:jc w:val="both"/>
              <w:rPr>
                <w:rFonts w:ascii="宋体" w:hAnsi="宋体" w:cs="宋体" w:eastAsia="宋体" w:hint="default"/>
                <w:sz w:val="18"/>
                <w:szCs w:val="18"/>
              </w:rPr>
            </w:pPr>
            <w:r>
              <w:rPr>
                <w:rFonts w:ascii="宋体" w:hAnsi="宋体" w:cs="宋体" w:eastAsia="宋体" w:hint="default"/>
                <w:sz w:val="18"/>
                <w:szCs w:val="18"/>
              </w:rPr>
              <w:t>在资产负债表日，本公司对应收款项单独进行减值测试，经测试发 生了减值的，按其未来现金流量现值低于其账面价值的差额，确定 减值损失，计提坏账准备；对单项测试未减值的应收款项，按类似 的信用风险特征划分为若干组合，再按这些应收款项组合在资产负</w:t>
            </w:r>
          </w:p>
        </w:tc>
      </w:tr>
    </w:tbl>
    <w:p>
      <w:pPr>
        <w:spacing w:after="0" w:line="316" w:lineRule="auto"/>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2"/>
        <w:rPr>
          <w:rFonts w:ascii="宋体" w:hAnsi="宋体" w:cs="宋体" w:eastAsia="宋体" w:hint="default"/>
          <w:b/>
          <w:bCs/>
          <w:sz w:val="24"/>
          <w:szCs w:val="24"/>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10;top:14;width:4244;height:353" coordorigin="10,14" coordsize="4244,353">
              <v:shape style="position:absolute;left:10;top:14;width:4244;height:353" coordorigin="10,14" coordsize="4244,353" path="m10,367l4254,367,4254,14,10,14,10,367xe" filled="true" fillcolor="#d2d2d2" stroked="false">
                <v:path arrowok="t"/>
                <v:fill type="solid"/>
              </v:shape>
            </v:group>
            <v:group style="position:absolute;left:10;top:10;width:4244;height:2" coordorigin="10,10" coordsize="4244,2">
              <v:shape style="position:absolute;left:10;top:10;width:4244;height:2" coordorigin="10,10" coordsize="4244,0" path="m10,10l4254,10e" filled="false" stroked="true" strokeweight=".48pt" strokecolor="#000000">
                <v:path arrowok="t"/>
              </v:shape>
            </v:group>
            <v:group style="position:absolute;left:4263;top:10;width:5306;height:2" coordorigin="4263,10" coordsize="5306,2">
              <v:shape style="position:absolute;left:4263;top:10;width:5306;height:2" coordorigin="4263,10" coordsize="5306,0" path="m4263,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244;height:2" coordorigin="10,372" coordsize="4244,2">
              <v:shape style="position:absolute;left:10;top:372;width:4244;height:2" coordorigin="10,372" coordsize="4244,0" path="m10,372l4254,372e" filled="false" stroked="true" strokeweight=".48pt" strokecolor="#000000">
                <v:path arrowok="t"/>
              </v:shape>
            </v:group>
            <v:group style="position:absolute;left:4258;top:5;width:2;height:372" coordorigin="4258,5" coordsize="2,372">
              <v:shape style="position:absolute;left:4258;top:5;width:2;height:372" coordorigin="4258,5" coordsize="0,372" path="m4258,5l4258,377e" filled="false" stroked="true" strokeweight=".48001pt" strokecolor="#000000">
                <v:path arrowok="t"/>
              </v:shape>
            </v:group>
            <v:group style="position:absolute;left:4263;top:372;width:5306;height:2" coordorigin="4263,372" coordsize="5306,2">
              <v:shape style="position:absolute;left:4263;top:372;width:5306;height:2" coordorigin="4263,372" coordsize="5306,0" path="m4263,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004pt" strokecolor="#000000">
                <v:path arrowok="t"/>
              </v:shape>
              <v:shape style="position:absolute;left:4258;top:10;width:5316;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债表日余额的一定比例计算确定减值损失，计提坏账准备。</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b/>
          <w:bCs/>
          <w:sz w:val="18"/>
          <w:szCs w:val="18"/>
        </w:rPr>
      </w:pPr>
    </w:p>
    <w:p>
      <w:pPr>
        <w:pStyle w:val="Heading3"/>
        <w:spacing w:line="240" w:lineRule="auto" w:before="35"/>
        <w:ind w:right="967"/>
        <w:jc w:val="left"/>
        <w:rPr>
          <w:b w:val="0"/>
          <w:bCs w:val="0"/>
        </w:rPr>
      </w:pPr>
      <w:bookmarkStart w:name="（2）按信用风险特征组合计提坏账准备的应收款项" w:id="178"/>
      <w:bookmarkEnd w:id="178"/>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押金、备用金及职工暂借款、保证金、母子公司间的往来款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967"/>
        <w:jc w:val="left"/>
      </w:pPr>
      <w:r>
        <w:rPr/>
        <w:t>组合中，采用账龄分析法计提坏账准备的：</w:t>
      </w:r>
    </w:p>
    <w:p>
      <w:pPr>
        <w:pStyle w:val="BodyText"/>
        <w:spacing w:line="240" w:lineRule="auto" w:before="117"/>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967"/>
        <w:jc w:val="left"/>
      </w:pPr>
      <w:r>
        <w:rPr/>
        <w:t>组合中，采用余额百分比法计提坏账准备的：</w:t>
      </w:r>
    </w:p>
    <w:p>
      <w:pPr>
        <w:pStyle w:val="BodyText"/>
        <w:spacing w:line="340" w:lineRule="auto" w:before="116"/>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押金、备用金及职工暂借款、保证金、 母子公司间的往来款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967"/>
        <w:jc w:val="left"/>
        <w:rPr>
          <w:b w:val="0"/>
          <w:bCs w:val="0"/>
        </w:rPr>
      </w:pPr>
      <w:bookmarkStart w:name="（3）单项金额不重大但单独计提坏账准备的应收款项" w:id="179"/>
      <w:bookmarkEnd w:id="179"/>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 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line="240" w:lineRule="auto" w:before="2"/>
        <w:rPr>
          <w:rFonts w:ascii="宋体" w:hAnsi="宋体" w:cs="宋体" w:eastAsia="宋体" w:hint="default"/>
          <w:b/>
          <w:bCs/>
          <w:sz w:val="19"/>
          <w:szCs w:val="19"/>
        </w:rPr>
      </w:pPr>
    </w:p>
    <w:p>
      <w:pPr>
        <w:pStyle w:val="Heading3"/>
        <w:spacing w:line="240" w:lineRule="auto" w:before="35"/>
        <w:ind w:right="967"/>
        <w:jc w:val="left"/>
        <w:rPr>
          <w:b w:val="0"/>
          <w:bCs w:val="0"/>
        </w:rPr>
      </w:pPr>
      <w:bookmarkStart w:name="12、存货" w:id="180"/>
      <w:bookmarkEnd w:id="180"/>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967"/>
        <w:jc w:val="left"/>
      </w:pPr>
      <w:r>
        <w:rPr/>
        <w:t>软件与信息技术服务业</w:t>
      </w:r>
    </w:p>
    <w:p>
      <w:pPr>
        <w:spacing w:before="89"/>
        <w:ind w:left="636" w:right="96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3"/>
          <w:sz w:val="21"/>
          <w:szCs w:val="21"/>
        </w:rPr>
        <w:t> </w:t>
      </w:r>
      <w:r>
        <w:rPr>
          <w:rFonts w:ascii="宋体" w:hAnsi="宋体" w:cs="宋体" w:eastAsia="宋体" w:hint="default"/>
          <w:b/>
          <w:bCs/>
          <w:sz w:val="21"/>
          <w:szCs w:val="21"/>
        </w:rPr>
        <w:t>存货的分类</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9"/>
        <w:rPr>
          <w:rFonts w:ascii="宋体" w:hAnsi="宋体" w:cs="宋体" w:eastAsia="宋体" w:hint="default"/>
          <w:b/>
          <w:bCs/>
          <w:sz w:val="20"/>
          <w:szCs w:val="20"/>
        </w:rPr>
      </w:pPr>
    </w:p>
    <w:p>
      <w:pPr>
        <w:pStyle w:val="Heading4"/>
        <w:spacing w:line="273" w:lineRule="auto" w:before="35"/>
        <w:ind w:right="1131" w:firstLine="422"/>
        <w:jc w:val="both"/>
      </w:pPr>
      <w:r>
        <w:rPr>
          <w:spacing w:val="-1"/>
        </w:rPr>
        <w:t>存货是指本公司在日常活动中持有以备出售的商品、提供劳务过程中耗用的材料和物料等。主要包括</w:t>
      </w:r>
      <w:r>
        <w:rPr/>
        <w:t> 原材料、库存商品和低值易耗品等。</w:t>
      </w:r>
    </w:p>
    <w:p>
      <w:pPr>
        <w:pStyle w:val="Heading4"/>
        <w:spacing w:line="273" w:lineRule="auto"/>
        <w:ind w:left="576" w:right="967" w:firstLine="60"/>
        <w:jc w:val="left"/>
      </w:pPr>
      <w:r>
        <w:rPr/>
        <w:t>·</w:t>
      </w:r>
      <w:r>
        <w:rPr>
          <w:spacing w:val="44"/>
        </w:rPr>
        <w:t> </w:t>
      </w:r>
      <w:r>
        <w:rPr>
          <w:rFonts w:ascii="宋体" w:hAnsi="宋体" w:cs="宋体" w:eastAsia="宋体" w:hint="default"/>
          <w:b/>
          <w:bCs/>
        </w:rPr>
        <w:t>发出存货的计价方法</w:t>
      </w:r>
      <w:r>
        <w:rPr>
          <w:rFonts w:ascii="宋体" w:hAnsi="宋体" w:cs="宋体" w:eastAsia="宋体" w:hint="default"/>
          <w:b/>
          <w:bCs/>
          <w:w w:val="99"/>
        </w:rPr>
        <w:t> </w:t>
      </w:r>
      <w:r>
        <w:rPr>
          <w:spacing w:val="-1"/>
        </w:rPr>
        <w:t>存货在取得时，按成本进行初始计量，包括采购成本、加工成本和其他成本。存货发出时，采用个别</w:t>
      </w:r>
    </w:p>
    <w:p>
      <w:pPr>
        <w:pStyle w:val="Heading4"/>
        <w:spacing w:line="240" w:lineRule="auto" w:before="8"/>
        <w:ind w:right="0"/>
        <w:jc w:val="both"/>
      </w:pPr>
      <w:r>
        <w:rPr/>
        <w:t>计价法确定发出存货的实际成本。</w:t>
      </w:r>
    </w:p>
    <w:p>
      <w:pPr>
        <w:spacing w:line="273" w:lineRule="auto" w:before="37"/>
        <w:ind w:left="576" w:right="967" w:firstLine="6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4"/>
          <w:sz w:val="21"/>
          <w:szCs w:val="21"/>
        </w:rPr>
        <w:t> </w:t>
      </w:r>
      <w:r>
        <w:rPr>
          <w:rFonts w:ascii="宋体" w:hAnsi="宋体" w:cs="宋体" w:eastAsia="宋体" w:hint="default"/>
          <w:b/>
          <w:bCs/>
          <w:sz w:val="21"/>
          <w:szCs w:val="21"/>
        </w:rPr>
        <w:t>不同类别存货可变现净值的确定依据</w:t>
      </w:r>
      <w:r>
        <w:rPr>
          <w:rFonts w:ascii="宋体" w:hAnsi="宋体" w:cs="宋体" w:eastAsia="宋体" w:hint="default"/>
          <w:b/>
          <w:bCs/>
          <w:w w:val="99"/>
          <w:sz w:val="21"/>
          <w:szCs w:val="21"/>
        </w:rPr>
        <w:t> </w:t>
      </w:r>
      <w:r>
        <w:rPr>
          <w:rFonts w:ascii="宋体" w:hAnsi="宋体" w:cs="宋体" w:eastAsia="宋体" w:hint="default"/>
          <w:spacing w:val="-1"/>
          <w:sz w:val="21"/>
          <w:szCs w:val="21"/>
        </w:rPr>
        <w:t>产成品、库存商品和用于出售的材料等直接用于出售的商品存货，在正常生产经营过程中，以该存货</w:t>
      </w:r>
    </w:p>
    <w:p>
      <w:pPr>
        <w:pStyle w:val="Heading4"/>
        <w:spacing w:line="273" w:lineRule="auto"/>
        <w:ind w:right="1131"/>
        <w:jc w:val="both"/>
      </w:pPr>
      <w:r>
        <w:rPr>
          <w:spacing w:val="-1"/>
        </w:rPr>
        <w:t>的估计售价减去估计的销售费用和相关税费后的金额，确定其可变现净值；需要经过加工的材料存货，在</w:t>
      </w:r>
      <w:r>
        <w:rPr>
          <w:spacing w:val="-83"/>
        </w:rPr>
        <w:t> </w:t>
      </w:r>
      <w:r>
        <w:rPr>
          <w:spacing w:val="-83"/>
        </w:rPr>
      </w:r>
      <w:r>
        <w:rPr>
          <w:spacing w:val="-1"/>
        </w:rPr>
        <w:t>正常生产经营过程中，以所生产的产成品的估计售价减去至完工时估计将要发生的成本、估计的销售费用</w:t>
      </w:r>
      <w:r>
        <w:rPr>
          <w:spacing w:val="-81"/>
        </w:rPr>
        <w:t> </w:t>
      </w:r>
      <w:r>
        <w:rPr>
          <w:spacing w:val="-81"/>
        </w:rPr>
      </w:r>
      <w:r>
        <w:rPr>
          <w:spacing w:val="-1"/>
        </w:rPr>
        <w:t>和相关税费后的金额，确定其可变现净值；为执行销售合同或者劳务合同而持有的存货，其可变现净值以</w:t>
      </w:r>
      <w:r>
        <w:rPr>
          <w:spacing w:val="-83"/>
        </w:rPr>
        <w:t> </w:t>
      </w:r>
      <w:r>
        <w:rPr>
          <w:spacing w:val="-83"/>
        </w:rPr>
      </w:r>
      <w:r>
        <w:rPr>
          <w:spacing w:val="-1"/>
        </w:rPr>
        <w:t>合同价格为基础计算，若持有存货的数量多于销售合同订购数量的，超出部分的存货的可变现净值以一般</w:t>
      </w:r>
      <w:r>
        <w:rPr>
          <w:spacing w:val="-81"/>
        </w:rPr>
        <w:t> </w:t>
      </w:r>
      <w:r>
        <w:rPr>
          <w:spacing w:val="-81"/>
        </w:rPr>
      </w:r>
      <w:r>
        <w:rPr/>
        <w:t>销售价格为基础计算。</w:t>
      </w:r>
    </w:p>
    <w:p>
      <w:pPr>
        <w:pStyle w:val="Heading4"/>
        <w:spacing w:line="273" w:lineRule="auto"/>
        <w:ind w:right="1131" w:firstLine="422"/>
        <w:jc w:val="both"/>
      </w:pPr>
      <w:r>
        <w:rPr>
          <w:spacing w:val="-1"/>
        </w:rPr>
        <w:t>期末按照单个存货项目计提存货跌价准备；但对于数量繁多、单价较低的存货，按照存货类别计提存</w:t>
      </w:r>
      <w:r>
        <w:rPr/>
        <w:t> </w:t>
      </w:r>
      <w:r>
        <w:rPr>
          <w:spacing w:val="-1"/>
        </w:rPr>
        <w:t>货跌价准备；与在同一地区生产和销售的产品系列相关、具有相同或类似最终用途或目的，且难以与其他</w:t>
      </w:r>
      <w:r>
        <w:rPr>
          <w:spacing w:val="-83"/>
        </w:rPr>
        <w:t> </w:t>
      </w:r>
      <w:r>
        <w:rPr>
          <w:spacing w:val="-83"/>
        </w:rPr>
      </w:r>
      <w:r>
        <w:rPr/>
        <w:t>项目分开计量的存货，则合并计提存货跌价准备。</w:t>
      </w:r>
    </w:p>
    <w:p>
      <w:pPr>
        <w:pStyle w:val="Heading4"/>
        <w:spacing w:line="273" w:lineRule="auto"/>
        <w:ind w:right="1133" w:firstLine="422"/>
        <w:jc w:val="both"/>
      </w:pPr>
      <w:r>
        <w:rPr>
          <w:spacing w:val="-1"/>
        </w:rPr>
        <w:t>除有明确证据表明资产负债表日市场价格异常外，存货项目的可变现净值以资产负债表日市场价格为</w:t>
      </w:r>
      <w:r>
        <w:rPr/>
        <w:t> 基础确定。</w:t>
      </w:r>
    </w:p>
    <w:p>
      <w:pPr>
        <w:pStyle w:val="Heading4"/>
        <w:spacing w:line="240" w:lineRule="auto"/>
        <w:ind w:left="576" w:right="967"/>
        <w:jc w:val="left"/>
      </w:pPr>
      <w:r>
        <w:rPr/>
        <w:t>本期期末存货项目的可变现净值以资产负债表日市场价格为基础确定。</w:t>
      </w:r>
    </w:p>
    <w:p>
      <w:pPr>
        <w:spacing w:line="273" w:lineRule="auto" w:before="37"/>
        <w:ind w:left="576" w:right="8436" w:firstLine="6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3"/>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w:t>
      </w:r>
    </w:p>
    <w:p>
      <w:pPr>
        <w:spacing w:line="273" w:lineRule="auto" w:before="7"/>
        <w:ind w:left="576" w:right="6961" w:firstLine="6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2"/>
          <w:sz w:val="21"/>
          <w:szCs w:val="21"/>
        </w:rPr>
        <w:t> </w:t>
      </w:r>
      <w:r>
        <w:rPr>
          <w:rFonts w:ascii="宋体" w:hAnsi="宋体" w:cs="宋体" w:eastAsia="宋体" w:hint="default"/>
          <w:b/>
          <w:bCs/>
          <w:sz w:val="21"/>
          <w:szCs w:val="21"/>
        </w:rPr>
        <w:t>低值易耗品和包装物的摊销方法</w:t>
      </w:r>
      <w:r>
        <w:rPr>
          <w:rFonts w:ascii="宋体" w:hAnsi="宋体" w:cs="宋体" w:eastAsia="宋体" w:hint="default"/>
          <w:b/>
          <w:bCs/>
          <w:w w:val="99"/>
          <w:sz w:val="21"/>
          <w:szCs w:val="21"/>
        </w:rPr>
        <w:t> </w:t>
      </w:r>
      <w:r>
        <w:rPr>
          <w:rFonts w:ascii="宋体" w:hAnsi="宋体" w:cs="宋体" w:eastAsia="宋体" w:hint="default"/>
          <w:sz w:val="21"/>
          <w:szCs w:val="21"/>
        </w:rPr>
        <w:t>低值易耗品采用一次转销法。</w:t>
      </w:r>
    </w:p>
    <w:p>
      <w:pPr>
        <w:spacing w:line="590" w:lineRule="atLeast" w:before="10"/>
        <w:ind w:left="490" w:right="3696" w:hanging="336"/>
        <w:jc w:val="left"/>
        <w:rPr>
          <w:rFonts w:ascii="宋体" w:hAnsi="宋体" w:cs="宋体" w:eastAsia="宋体" w:hint="default"/>
          <w:sz w:val="21"/>
          <w:szCs w:val="21"/>
        </w:rPr>
      </w:pPr>
      <w:bookmarkStart w:name="13、持有待售资产" w:id="181"/>
      <w:bookmarkEnd w:id="181"/>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、持有待售资产</w:t>
      </w:r>
      <w:r>
        <w:rPr>
          <w:rFonts w:ascii="宋体" w:hAnsi="宋体" w:cs="宋体" w:eastAsia="宋体" w:hint="default"/>
          <w:b/>
          <w:bCs/>
          <w:w w:val="99"/>
          <w:sz w:val="21"/>
          <w:szCs w:val="21"/>
        </w:rPr>
        <w:t> </w:t>
      </w:r>
      <w:r>
        <w:rPr>
          <w:rFonts w:ascii="宋体" w:hAnsi="宋体" w:cs="宋体" w:eastAsia="宋体" w:hint="default"/>
          <w:sz w:val="21"/>
          <w:szCs w:val="21"/>
        </w:rPr>
        <w:t>本公司将同时满足下列条件的非流动资产或处置组划分为持有待售类别：</w:t>
      </w:r>
    </w:p>
    <w:p>
      <w:pPr>
        <w:pStyle w:val="Heading4"/>
        <w:spacing w:line="240" w:lineRule="auto" w:before="37"/>
        <w:ind w:left="405" w:right="967"/>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Heading4"/>
        <w:spacing w:line="256" w:lineRule="auto" w:before="21"/>
        <w:ind w:right="1155" w:firstLine="252"/>
        <w:jc w:val="left"/>
      </w:pPr>
      <w:r>
        <w:rPr/>
        <w:t>（</w:t>
      </w:r>
      <w:r>
        <w:rPr>
          <w:rFonts w:ascii="Times New Roman" w:hAnsi="Times New Roman" w:cs="Times New Roman" w:eastAsia="Times New Roman" w:hint="default"/>
        </w:rPr>
        <w:t>2</w:t>
      </w:r>
      <w:r>
        <w:rPr/>
        <w:t>）出售极可能发生，即本公司已经就一项出售计划作出决议且获得确定的购买承诺，预计出售将在 一年内完成。有关规定要求本公司相关权力机构或者监管部门批准后方可出售的，已经获得批准。</w:t>
      </w:r>
    </w:p>
    <w:p>
      <w:pPr>
        <w:spacing w:line="240" w:lineRule="auto" w:before="10"/>
        <w:rPr>
          <w:rFonts w:ascii="宋体" w:hAnsi="宋体" w:cs="宋体" w:eastAsia="宋体" w:hint="default"/>
          <w:sz w:val="24"/>
          <w:szCs w:val="24"/>
        </w:rPr>
      </w:pPr>
    </w:p>
    <w:p>
      <w:pPr>
        <w:pStyle w:val="Heading3"/>
        <w:spacing w:line="240" w:lineRule="auto"/>
        <w:ind w:right="0"/>
        <w:jc w:val="both"/>
        <w:rPr>
          <w:b w:val="0"/>
          <w:bCs w:val="0"/>
        </w:rPr>
      </w:pPr>
      <w:bookmarkStart w:name="14、长期股权投资" w:id="182"/>
      <w:bookmarkEnd w:id="182"/>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spacing w:line="273" w:lineRule="auto" w:before="0"/>
        <w:ind w:left="576" w:right="967" w:firstLine="6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4"/>
          <w:sz w:val="21"/>
          <w:szCs w:val="21"/>
        </w:rPr>
        <w:t> </w:t>
      </w:r>
      <w:r>
        <w:rPr>
          <w:rFonts w:ascii="宋体" w:hAnsi="宋体" w:cs="宋体" w:eastAsia="宋体" w:hint="default"/>
          <w:b/>
          <w:bCs/>
          <w:sz w:val="21"/>
          <w:szCs w:val="21"/>
        </w:rPr>
        <w:t>共同控制、重大影响的判断标准</w:t>
      </w:r>
      <w:r>
        <w:rPr>
          <w:rFonts w:ascii="宋体" w:hAnsi="宋体" w:cs="宋体" w:eastAsia="宋体" w:hint="default"/>
          <w:b/>
          <w:bCs/>
          <w:w w:val="99"/>
          <w:sz w:val="21"/>
          <w:szCs w:val="21"/>
        </w:rPr>
        <w:t> </w:t>
      </w:r>
      <w:r>
        <w:rPr>
          <w:rFonts w:ascii="宋体" w:hAnsi="宋体" w:cs="宋体" w:eastAsia="宋体" w:hint="default"/>
          <w:spacing w:val="-1"/>
          <w:sz w:val="21"/>
          <w:szCs w:val="21"/>
        </w:rPr>
        <w:t>共同控制，是指按照相关约定对某项安排所共有的控制，并且该安排的相关活动必须经过分享控制权</w:t>
      </w:r>
    </w:p>
    <w:p>
      <w:pPr>
        <w:pStyle w:val="Heading4"/>
        <w:spacing w:line="273" w:lineRule="auto"/>
        <w:ind w:right="1132"/>
        <w:jc w:val="both"/>
      </w:pPr>
      <w:r>
        <w:rPr>
          <w:spacing w:val="-1"/>
        </w:rPr>
        <w:t>的参与方一致同意后才能决策。本公司与其他合营方一同对被投资单位实施共同控制且对被投资单位净资</w:t>
      </w:r>
      <w:r>
        <w:rPr>
          <w:spacing w:val="-81"/>
        </w:rPr>
        <w:t> </w:t>
      </w:r>
      <w:r>
        <w:rPr>
          <w:spacing w:val="-81"/>
        </w:rPr>
      </w:r>
      <w:r>
        <w:rPr/>
        <w:t>产享有权利的，被投资单位为本公司的合营企业。</w:t>
      </w:r>
    </w:p>
    <w:p>
      <w:pPr>
        <w:pStyle w:val="Heading4"/>
        <w:spacing w:line="273" w:lineRule="auto"/>
        <w:ind w:right="1131" w:firstLine="422"/>
        <w:jc w:val="both"/>
      </w:pPr>
      <w:r>
        <w:rPr>
          <w:spacing w:val="-1"/>
        </w:rPr>
        <w:t>重大影响，是指对一个企业的财务和经营决策有参与决策的权力，但并不能够控制或者与其他方一起</w:t>
      </w:r>
      <w:r>
        <w:rPr/>
        <w:t> 共同控制这些政策的制定。本公司能够对被投资单位施加重大影响的，被投资单位为本公司联营企业。</w:t>
      </w:r>
    </w:p>
    <w:p>
      <w:pPr>
        <w:spacing w:line="240" w:lineRule="auto" w:before="6"/>
        <w:rPr>
          <w:rFonts w:ascii="宋体" w:hAnsi="宋体" w:cs="宋体" w:eastAsia="宋体" w:hint="default"/>
          <w:sz w:val="24"/>
          <w:szCs w:val="24"/>
        </w:rPr>
      </w:pPr>
    </w:p>
    <w:p>
      <w:pPr>
        <w:pStyle w:val="Heading3"/>
        <w:spacing w:line="240" w:lineRule="auto"/>
        <w:ind w:left="636" w:right="967"/>
        <w:jc w:val="left"/>
        <w:rPr>
          <w:b w:val="0"/>
          <w:bCs w:val="0"/>
        </w:rPr>
      </w:pPr>
      <w:r>
        <w:rPr>
          <w:rFonts w:ascii="宋体" w:hAnsi="宋体" w:cs="宋体" w:eastAsia="宋体" w:hint="default"/>
          <w:b w:val="0"/>
          <w:bCs w:val="0"/>
        </w:rPr>
        <w:t>·</w:t>
      </w:r>
      <w:r>
        <w:rPr>
          <w:rFonts w:ascii="宋体" w:hAnsi="宋体" w:cs="宋体" w:eastAsia="宋体" w:hint="default"/>
          <w:b w:val="0"/>
          <w:bCs w:val="0"/>
          <w:spacing w:val="43"/>
        </w:rPr>
        <w:t> </w:t>
      </w:r>
      <w:r>
        <w:rPr/>
        <w:t>初始投资成本的确定</w:t>
      </w:r>
      <w:r>
        <w:rPr>
          <w:b w:val="0"/>
          <w:bCs w:val="0"/>
        </w:rPr>
      </w:r>
    </w:p>
    <w:p>
      <w:pPr>
        <w:pStyle w:val="Heading4"/>
        <w:spacing w:line="256" w:lineRule="auto" w:before="37"/>
        <w:ind w:left="576" w:right="967"/>
        <w:jc w:val="left"/>
      </w:pPr>
      <w:r>
        <w:rPr/>
        <w:t>（</w:t>
      </w:r>
      <w:r>
        <w:rPr>
          <w:rFonts w:ascii="Times New Roman" w:hAnsi="Times New Roman" w:cs="Times New Roman" w:eastAsia="Times New Roman" w:hint="default"/>
        </w:rPr>
        <w:t>1</w:t>
      </w:r>
      <w:r>
        <w:rPr/>
        <w:t>）企业合并形成的长期股权投资 </w:t>
      </w:r>
      <w:r>
        <w:rPr>
          <w:spacing w:val="-1"/>
        </w:rPr>
        <w:t>同一控制下的企业合并：公司以支付现金、转让非现金资产或承担债务方式以及以发行权益性证券作</w:t>
      </w:r>
    </w:p>
    <w:p>
      <w:pPr>
        <w:pStyle w:val="Heading4"/>
        <w:spacing w:line="273" w:lineRule="auto" w:before="22"/>
        <w:ind w:right="1130"/>
        <w:jc w:val="both"/>
      </w:pPr>
      <w:r>
        <w:rPr>
          <w:spacing w:val="-1"/>
        </w:rPr>
        <w:t>为合并对价的，在合并日按照取得被合并方所有者权益在最终控制方合并财务报表中的账面价值的份额作</w:t>
      </w:r>
      <w:r>
        <w:rPr>
          <w:spacing w:val="-81"/>
        </w:rPr>
        <w:t> </w:t>
      </w:r>
      <w:r>
        <w:rPr>
          <w:spacing w:val="-81"/>
        </w:rPr>
      </w:r>
      <w:r>
        <w:rPr>
          <w:spacing w:val="-1"/>
        </w:rPr>
        <w:t>为长期股权投资的初始投资成本。因追加投资等原因能够对同一控制下的被投资单位实施控制的，在合并</w:t>
      </w:r>
    </w:p>
    <w:p>
      <w:pPr>
        <w:spacing w:after="0" w:line="273" w:lineRule="auto"/>
        <w:jc w:val="both"/>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73" w:lineRule="auto" w:before="35"/>
        <w:ind w:right="1131"/>
        <w:jc w:val="both"/>
      </w:pPr>
      <w:r>
        <w:rPr>
          <w:spacing w:val="-1"/>
        </w:rPr>
        <w:t>日根据合并后应享有被合并方净资产在最终控制方合并财务报表中的账面价值的份额，确定长期股权投资</w:t>
      </w:r>
      <w:r>
        <w:rPr>
          <w:spacing w:val="-81"/>
        </w:rPr>
        <w:t> </w:t>
      </w:r>
      <w:r>
        <w:rPr>
          <w:spacing w:val="-81"/>
        </w:rPr>
      </w:r>
      <w:r>
        <w:rPr>
          <w:spacing w:val="-1"/>
        </w:rPr>
        <w:t>的初始投资成本。合并日长期股权投资的初始投资成本，与达到合并前的长期股权投资账面价值加上合并</w:t>
      </w:r>
      <w:r>
        <w:rPr>
          <w:spacing w:val="-81"/>
        </w:rPr>
        <w:t> </w:t>
      </w:r>
      <w:r>
        <w:rPr>
          <w:spacing w:val="-81"/>
        </w:rPr>
      </w:r>
      <w:r>
        <w:rPr>
          <w:spacing w:val="-1"/>
        </w:rPr>
        <w:t>日进一步取得股份新支付对价的账面价值之和的差额，调整股本溢价，股本溢价不足冲减的，冲减留存收</w:t>
      </w:r>
      <w:r>
        <w:rPr>
          <w:spacing w:val="-83"/>
        </w:rPr>
        <w:t> </w:t>
      </w:r>
      <w:r>
        <w:rPr>
          <w:spacing w:val="-83"/>
        </w:rPr>
      </w:r>
      <w:r>
        <w:rPr/>
        <w:t>益。</w:t>
      </w:r>
    </w:p>
    <w:p>
      <w:pPr>
        <w:pStyle w:val="Heading4"/>
        <w:spacing w:line="273" w:lineRule="auto" w:before="8"/>
        <w:ind w:right="1131" w:firstLine="422"/>
        <w:jc w:val="both"/>
      </w:pPr>
      <w:r>
        <w:rPr>
          <w:spacing w:val="-1"/>
        </w:rPr>
        <w:t>非同一控制下的企业合并：公司按照购买日确定的合并成本作为长期股权投资的初始投资成本。因追</w:t>
      </w:r>
      <w:r>
        <w:rPr/>
        <w:t> </w:t>
      </w:r>
      <w:r>
        <w:rPr>
          <w:spacing w:val="-1"/>
        </w:rPr>
        <w:t>加投资等原因能够对非同一控制下的被投资单位实施控制的，按照原持有的股权投资账面价值加上新增投</w:t>
      </w:r>
      <w:r>
        <w:rPr>
          <w:spacing w:val="-81"/>
        </w:rPr>
        <w:t> </w:t>
      </w:r>
      <w:r>
        <w:rPr>
          <w:spacing w:val="-81"/>
        </w:rPr>
      </w:r>
      <w:r>
        <w:rPr/>
        <w:t>资成本之和，作为改按成本法核算的初始投资成本。</w:t>
      </w:r>
    </w:p>
    <w:p>
      <w:pPr>
        <w:pStyle w:val="Heading4"/>
        <w:spacing w:line="266" w:lineRule="auto"/>
        <w:ind w:left="576" w:right="967"/>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1"/>
        </w:rPr>
        <w:t>在非货币性资产交换具备商业实质和换入资产或换出资产的公允价值能够可靠计量的前提下，非货币</w:t>
      </w:r>
    </w:p>
    <w:p>
      <w:pPr>
        <w:pStyle w:val="Heading4"/>
        <w:spacing w:line="273" w:lineRule="auto" w:before="14"/>
        <w:ind w:right="1131"/>
        <w:jc w:val="both"/>
      </w:pPr>
      <w:r>
        <w:rPr>
          <w:spacing w:val="-1"/>
        </w:rPr>
        <w:t>性资产交换换入的长期股权投资以换出资产的公允价值和应支付的相关税费确定其初始投资成本，除非有</w:t>
      </w:r>
      <w:r>
        <w:rPr>
          <w:spacing w:val="-81"/>
        </w:rPr>
        <w:t> </w:t>
      </w:r>
      <w:r>
        <w:rPr>
          <w:spacing w:val="-81"/>
        </w:rPr>
      </w:r>
      <w:r>
        <w:rPr>
          <w:spacing w:val="-1"/>
        </w:rPr>
        <w:t>确凿证据表明换入资产的公允价值更加可靠；不满足上述前提的非货币性资产交换，以换出资产的账面价</w:t>
      </w:r>
      <w:r>
        <w:rPr>
          <w:spacing w:val="-81"/>
        </w:rPr>
        <w:t> </w:t>
      </w:r>
      <w:r>
        <w:rPr>
          <w:spacing w:val="-81"/>
        </w:rPr>
      </w:r>
      <w:r>
        <w:rPr/>
        <w:t>值和应支付的相关税费作为换入长期股权投资的初始投资成本。</w:t>
      </w:r>
    </w:p>
    <w:p>
      <w:pPr>
        <w:pStyle w:val="Heading4"/>
        <w:spacing w:line="240" w:lineRule="auto"/>
        <w:ind w:left="576" w:right="967"/>
        <w:jc w:val="left"/>
      </w:pPr>
      <w:r>
        <w:rPr/>
        <w:t>通过债务重组取得的长期股权投资，其初始投资成本按照公允价值为基础确定。</w:t>
      </w:r>
    </w:p>
    <w:p>
      <w:pPr>
        <w:spacing w:line="240" w:lineRule="auto" w:before="9"/>
        <w:rPr>
          <w:rFonts w:ascii="宋体" w:hAnsi="宋体" w:cs="宋体" w:eastAsia="宋体" w:hint="default"/>
          <w:sz w:val="26"/>
          <w:szCs w:val="26"/>
        </w:rPr>
      </w:pPr>
    </w:p>
    <w:p>
      <w:pPr>
        <w:pStyle w:val="Heading3"/>
        <w:spacing w:line="240" w:lineRule="auto"/>
        <w:ind w:left="636" w:right="967"/>
        <w:jc w:val="left"/>
        <w:rPr>
          <w:b w:val="0"/>
          <w:bCs w:val="0"/>
        </w:rPr>
      </w:pPr>
      <w:r>
        <w:rPr>
          <w:rFonts w:ascii="宋体" w:hAnsi="宋体" w:cs="宋体" w:eastAsia="宋体" w:hint="default"/>
          <w:b w:val="0"/>
          <w:bCs w:val="0"/>
        </w:rPr>
        <w:t>·</w:t>
      </w:r>
      <w:r>
        <w:rPr>
          <w:rFonts w:ascii="宋体" w:hAnsi="宋体" w:cs="宋体" w:eastAsia="宋体" w:hint="default"/>
          <w:b w:val="0"/>
          <w:bCs w:val="0"/>
          <w:spacing w:val="41"/>
        </w:rPr>
        <w:t> </w:t>
      </w:r>
      <w:r>
        <w:rPr/>
        <w:t>后续计量及损益确认方法</w:t>
      </w:r>
      <w:r>
        <w:rPr>
          <w:b w:val="0"/>
          <w:bCs w:val="0"/>
        </w:rPr>
      </w:r>
    </w:p>
    <w:p>
      <w:pPr>
        <w:pStyle w:val="Heading4"/>
        <w:spacing w:line="256" w:lineRule="auto" w:before="37"/>
        <w:ind w:left="576" w:right="967"/>
        <w:jc w:val="left"/>
      </w:pPr>
      <w:r>
        <w:rPr/>
        <w:t>（</w:t>
      </w:r>
      <w:r>
        <w:rPr>
          <w:rFonts w:ascii="Times New Roman" w:hAnsi="Times New Roman" w:cs="Times New Roman" w:eastAsia="Times New Roman" w:hint="default"/>
        </w:rPr>
        <w:t>1</w:t>
      </w:r>
      <w:r>
        <w:rPr/>
        <w:t>）成本法核算的长期股权投资 </w:t>
      </w:r>
      <w:r>
        <w:rPr>
          <w:spacing w:val="-1"/>
        </w:rPr>
        <w:t>公司对子公司的长期股权投资，采用成本法核算。除取得投资时实际支付的价款或对价中包含的已宣</w:t>
      </w:r>
    </w:p>
    <w:p>
      <w:pPr>
        <w:pStyle w:val="Heading4"/>
        <w:spacing w:line="273" w:lineRule="auto" w:before="22"/>
        <w:ind w:right="1132"/>
        <w:jc w:val="both"/>
      </w:pPr>
      <w:r>
        <w:rPr>
          <w:spacing w:val="-1"/>
        </w:rPr>
        <w:t>告但尚未发放的现金股利或利润外，公司按照享有被投资单位宣告发放的现金股利或利润确认当期投资收</w:t>
      </w:r>
      <w:r>
        <w:rPr>
          <w:spacing w:val="-81"/>
        </w:rPr>
        <w:t> </w:t>
      </w:r>
      <w:r>
        <w:rPr>
          <w:spacing w:val="-81"/>
        </w:rPr>
      </w:r>
      <w:r>
        <w:rPr/>
        <w:t>益。</w:t>
      </w:r>
    </w:p>
    <w:p>
      <w:pPr>
        <w:pStyle w:val="Heading4"/>
        <w:spacing w:line="256" w:lineRule="auto"/>
        <w:ind w:left="576" w:right="967"/>
        <w:jc w:val="left"/>
      </w:pPr>
      <w:r>
        <w:rPr/>
        <w:t>（</w:t>
      </w:r>
      <w:r>
        <w:rPr>
          <w:rFonts w:ascii="Times New Roman" w:hAnsi="Times New Roman" w:cs="Times New Roman" w:eastAsia="Times New Roman" w:hint="default"/>
        </w:rPr>
        <w:t>2</w:t>
      </w:r>
      <w:r>
        <w:rPr/>
        <w:t>）权益法核算的长期股权投资 </w:t>
      </w:r>
      <w:r>
        <w:rPr>
          <w:spacing w:val="-1"/>
        </w:rPr>
        <w:t>对联营企业和合营企业的长期股权投资，采用权益法核算。初始投资成本大于投资时应享有被投资单</w:t>
      </w:r>
    </w:p>
    <w:p>
      <w:pPr>
        <w:pStyle w:val="Heading4"/>
        <w:spacing w:line="273" w:lineRule="auto" w:before="22"/>
        <w:ind w:right="967"/>
        <w:jc w:val="left"/>
      </w:pPr>
      <w:r>
        <w:rPr>
          <w:spacing w:val="-1"/>
        </w:rPr>
        <w:t>位可辨认净资产公允价值份额的差额，不调整长期股权投资的初始投资成本；初始投资成本小于投资时应</w:t>
      </w:r>
      <w:r>
        <w:rPr>
          <w:spacing w:val="-81"/>
        </w:rPr>
        <w:t> </w:t>
      </w:r>
      <w:r>
        <w:rPr>
          <w:spacing w:val="-81"/>
        </w:rPr>
      </w:r>
      <w:r>
        <w:rPr/>
        <w:t>享有被投资单位可辨认净资产公允价值份额的差额，计入当期损益。</w:t>
      </w:r>
    </w:p>
    <w:p>
      <w:pPr>
        <w:pStyle w:val="Heading4"/>
        <w:spacing w:line="273" w:lineRule="auto"/>
        <w:ind w:right="1131" w:firstLine="422"/>
        <w:jc w:val="both"/>
      </w:pPr>
      <w:r>
        <w:rPr>
          <w:spacing w:val="-1"/>
        </w:rPr>
        <w:t>公司按照应享有或应分担的被投资单位实现的净损益和其他综合收益的份额，分别确认投资收益和其</w:t>
      </w:r>
      <w:r>
        <w:rPr/>
        <w:t> </w:t>
      </w:r>
      <w:r>
        <w:rPr>
          <w:spacing w:val="-1"/>
        </w:rPr>
        <w:t>他综合收益，同时调整长期股权投资的账面价值；按照被投资单位宣告分派的利润或现金股利计算应享有</w:t>
      </w:r>
      <w:r>
        <w:rPr>
          <w:spacing w:val="-81"/>
        </w:rPr>
        <w:t> </w:t>
      </w:r>
      <w:r>
        <w:rPr>
          <w:spacing w:val="-81"/>
        </w:rPr>
      </w:r>
      <w:r>
        <w:rPr>
          <w:spacing w:val="-1"/>
        </w:rPr>
        <w:t>的部分，相应减少长期股权投资的账面价值；对于被投资单位除净损益、其他综合收益和利润分配以外所</w:t>
      </w:r>
      <w:r>
        <w:rPr>
          <w:spacing w:val="-83"/>
        </w:rPr>
        <w:t> </w:t>
      </w:r>
      <w:r>
        <w:rPr>
          <w:spacing w:val="-83"/>
        </w:rPr>
      </w:r>
      <w:r>
        <w:rPr/>
        <w:t>有者权益的其他变动，调整长期股权投资的账面价值并计入所有者权益。</w:t>
      </w:r>
    </w:p>
    <w:p>
      <w:pPr>
        <w:pStyle w:val="Heading4"/>
        <w:spacing w:line="273" w:lineRule="auto"/>
        <w:ind w:right="967" w:firstLine="422"/>
        <w:jc w:val="left"/>
      </w:pPr>
      <w:r>
        <w:rPr/>
        <w:t>在确认应享有被投资单位净损益的份额时，以取得投资时被投资单位可辨认净资产的公允价值为基 </w:t>
      </w:r>
      <w:r>
        <w:rPr>
          <w:spacing w:val="-1"/>
        </w:rPr>
        <w:t>础，并按照公司的会计政策及会计期间，对被投资单位的净利润进行调整后确认。在持有投资期间，被投</w:t>
      </w:r>
      <w:r>
        <w:rPr>
          <w:spacing w:val="-86"/>
        </w:rPr>
        <w:t> </w:t>
      </w:r>
      <w:r>
        <w:rPr>
          <w:spacing w:val="-86"/>
        </w:rPr>
      </w:r>
      <w:r>
        <w:rPr>
          <w:spacing w:val="-1"/>
        </w:rPr>
        <w:t>资单位编制合并财务报表的，以合并财务报表中的净利润、其他综合收益和其他所有者权益变动中归属于</w:t>
      </w:r>
      <w:r>
        <w:rPr>
          <w:spacing w:val="-81"/>
        </w:rPr>
        <w:t> </w:t>
      </w:r>
      <w:r>
        <w:rPr>
          <w:spacing w:val="-81"/>
        </w:rPr>
      </w:r>
      <w:r>
        <w:rPr/>
        <w:t>被投资单位的金额为基础进行核算。</w:t>
      </w:r>
    </w:p>
    <w:p>
      <w:pPr>
        <w:pStyle w:val="Heading4"/>
        <w:spacing w:line="268" w:lineRule="auto"/>
        <w:ind w:right="967" w:firstLine="422"/>
        <w:jc w:val="left"/>
      </w:pPr>
      <w:r>
        <w:rPr/>
        <w:t>公司与联营企业、合营企业之间发生的未实现内部交易损益按照应享有的比例计算归属于公司的部 </w:t>
      </w:r>
      <w:r>
        <w:rPr>
          <w:spacing w:val="-1"/>
        </w:rPr>
        <w:t>分，予以抵销，在此基础上确认投资收益。与被投资单位发生的未实现内部交易损失，属于资产减值损失</w:t>
      </w:r>
      <w:r>
        <w:rPr>
          <w:spacing w:val="-86"/>
        </w:rPr>
        <w:t> </w:t>
      </w:r>
      <w:r>
        <w:rPr>
          <w:spacing w:val="-86"/>
        </w:rPr>
      </w:r>
      <w:r>
        <w:rPr>
          <w:spacing w:val="-1"/>
        </w:rPr>
        <w:t>的，全额确认。公司与联营企业、合营企业之间发生投出或出售资产的交易，该资产构成业务的，按照本</w:t>
      </w:r>
      <w:r>
        <w:rPr>
          <w:spacing w:val="-83"/>
        </w:rPr>
        <w:t> </w:t>
      </w:r>
      <w:r>
        <w:rPr>
          <w:spacing w:val="-83"/>
        </w:rPr>
      </w:r>
      <w:r>
        <w:rPr/>
        <w:t>附注</w:t>
      </w:r>
      <w:r>
        <w:rPr>
          <w:rFonts w:ascii="Times New Roman" w:hAnsi="Times New Roman" w:cs="Times New Roman" w:eastAsia="Times New Roman" w:hint="default"/>
        </w:rPr>
        <w:t>“</w:t>
      </w:r>
      <w:r>
        <w:rPr/>
        <w:t>同一控制下和非同一控制下企业合并的会计处理方法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合并财务报表的编制方法</w:t>
      </w:r>
      <w:r>
        <w:rPr>
          <w:rFonts w:ascii="Times New Roman" w:hAnsi="Times New Roman" w:cs="Times New Roman" w:eastAsia="Times New Roman" w:hint="default"/>
        </w:rPr>
        <w:t>”</w:t>
      </w:r>
      <w:r>
        <w:rPr/>
        <w:t>中披露的相关政 策进行会计处理。</w:t>
      </w:r>
    </w:p>
    <w:p>
      <w:pPr>
        <w:pStyle w:val="Heading4"/>
        <w:spacing w:line="273" w:lineRule="auto" w:before="12"/>
        <w:ind w:right="1131" w:firstLine="422"/>
        <w:jc w:val="both"/>
      </w:pPr>
      <w:r>
        <w:rPr>
          <w:spacing w:val="-1"/>
        </w:rPr>
        <w:t>在公司确认应分担被投资单位发生的亏损时，按照以下顺序进行处理：首先，冲减长期股权投资的账</w:t>
      </w:r>
      <w:r>
        <w:rPr/>
        <w:t> </w:t>
      </w:r>
      <w:r>
        <w:rPr>
          <w:spacing w:val="-1"/>
        </w:rPr>
        <w:t>面价值。其次，长期股权投资的账面价值不足以冲减的，以其他实质上构成对被投资单位净投资的长期权</w:t>
      </w:r>
      <w:r>
        <w:rPr>
          <w:spacing w:val="-83"/>
        </w:rPr>
        <w:t> </w:t>
      </w:r>
      <w:r>
        <w:rPr>
          <w:spacing w:val="-83"/>
        </w:rPr>
      </w:r>
      <w:r>
        <w:rPr>
          <w:spacing w:val="-1"/>
        </w:rPr>
        <w:t>益账面价值为限继续确认投资损失，冲减长期应收项目等的账面价值。最后，经过上述处理，按照投资合</w:t>
      </w:r>
      <w:r>
        <w:rPr>
          <w:spacing w:val="-86"/>
        </w:rPr>
        <w:t> </w:t>
      </w:r>
      <w:r>
        <w:rPr>
          <w:spacing w:val="-86"/>
        </w:rPr>
      </w:r>
      <w:r>
        <w:rPr/>
        <w:t>同或协议约定企业仍承担额外义务的，按预计承担的义务确认预计负债，计入当期投资损失。</w:t>
      </w:r>
    </w:p>
    <w:p>
      <w:pPr>
        <w:pStyle w:val="Heading4"/>
        <w:spacing w:line="256" w:lineRule="auto"/>
        <w:ind w:left="576" w:right="3610"/>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spacing w:after="0" w:line="256"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73" w:lineRule="auto" w:before="35"/>
        <w:ind w:right="1131" w:firstLine="422"/>
        <w:jc w:val="both"/>
      </w:pPr>
      <w:r>
        <w:rPr>
          <w:spacing w:val="-1"/>
        </w:rPr>
        <w:t>采用权益法核算的长期股权投资，在处置该项投资时，采用与被投资单位直接处置相关资产或负债相</w:t>
      </w:r>
      <w:r>
        <w:rPr/>
        <w:t> </w:t>
      </w:r>
      <w:r>
        <w:rPr>
          <w:spacing w:val="-1"/>
        </w:rPr>
        <w:t>同的基础，按相应比例对原计入其他综合收益的部分进行会计处理。因被投资单位除净损益、其他综合收</w:t>
      </w:r>
      <w:r>
        <w:rPr>
          <w:spacing w:val="-83"/>
        </w:rPr>
        <w:t> </w:t>
      </w:r>
      <w:r>
        <w:rPr>
          <w:spacing w:val="-83"/>
        </w:rPr>
      </w:r>
      <w:r>
        <w:rPr>
          <w:spacing w:val="-1"/>
        </w:rPr>
        <w:t>益和利润分配以外的其他所有者权益变动而确认的所有者权益，按比例结转入当期损益，由于被投资方重</w:t>
      </w:r>
      <w:r>
        <w:rPr>
          <w:spacing w:val="-81"/>
        </w:rPr>
        <w:t> </w:t>
      </w:r>
      <w:r>
        <w:rPr>
          <w:spacing w:val="-81"/>
        </w:rPr>
      </w:r>
      <w:r>
        <w:rPr/>
        <w:t>新计量设定受益计划净负债或净资产变动而产生的其他综合收益除外。</w:t>
      </w:r>
    </w:p>
    <w:p>
      <w:pPr>
        <w:pStyle w:val="Heading4"/>
        <w:spacing w:line="273" w:lineRule="auto" w:before="8"/>
        <w:ind w:right="1131" w:firstLine="422"/>
        <w:jc w:val="both"/>
      </w:pPr>
      <w:r>
        <w:rPr>
          <w:spacing w:val="-1"/>
        </w:rPr>
        <w:t>因处置部分股权投资等原因丧失了对被投资单位的共同控制或重大影响的，处置后的剩余股权改按金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外的其他所有者权益变动而确认的所有者权益，在终止采用权益法核算时全部转入当期损益。</w:t>
      </w:r>
    </w:p>
    <w:p>
      <w:pPr>
        <w:pStyle w:val="Heading4"/>
        <w:spacing w:line="273" w:lineRule="auto"/>
        <w:ind w:right="1131" w:firstLine="422"/>
        <w:jc w:val="both"/>
      </w:pPr>
      <w:r>
        <w:rPr>
          <w:spacing w:val="-1"/>
        </w:rPr>
        <w:t>因处置部分股权投资、因其他投资方对子公司增资而导致本公司持股比例下降等原因丧失了对被投资</w:t>
      </w:r>
      <w:r>
        <w:rPr/>
        <w:t> </w:t>
      </w:r>
      <w:r>
        <w:rPr>
          <w:spacing w:val="-1"/>
        </w:rPr>
        <w:t>单位控制权的，在编制个别财务报表时，剩余股权能够对被投资单位实施共同控制或重大影响的，改按权</w:t>
      </w:r>
      <w:r>
        <w:rPr>
          <w:spacing w:val="-83"/>
        </w:rPr>
        <w:t> </w:t>
      </w:r>
      <w:r>
        <w:rPr>
          <w:spacing w:val="-83"/>
        </w:rPr>
      </w:r>
      <w:r>
        <w:rPr>
          <w:spacing w:val="-1"/>
        </w:rPr>
        <w:t>益法核算，并对该剩余股权视同自取得时即采用权益法核算进行调整；剩余股权不能对被投资单位实施共</w:t>
      </w:r>
      <w:r>
        <w:rPr>
          <w:spacing w:val="-81"/>
        </w:rPr>
        <w:t> </w:t>
      </w:r>
      <w:r>
        <w:rPr>
          <w:spacing w:val="-81"/>
        </w:rPr>
      </w:r>
      <w:r>
        <w:rPr>
          <w:spacing w:val="-1"/>
        </w:rPr>
        <w:t>同控制或施加重大影响的，改按金融工具确认和计量准则的有关规定进行会计处理，其在丧失控制之日的</w:t>
      </w:r>
      <w:r>
        <w:rPr>
          <w:spacing w:val="-81"/>
        </w:rPr>
        <w:t> </w:t>
      </w:r>
      <w:r>
        <w:rPr>
          <w:spacing w:val="-81"/>
        </w:rPr>
      </w:r>
      <w:r>
        <w:rPr/>
        <w:t>公允价值与账面价值间的差额计入当期损益。</w:t>
      </w:r>
    </w:p>
    <w:p>
      <w:pPr>
        <w:pStyle w:val="Heading4"/>
        <w:spacing w:line="273" w:lineRule="auto"/>
        <w:ind w:right="1131" w:firstLine="422"/>
        <w:jc w:val="both"/>
      </w:pPr>
      <w:r>
        <w:rPr>
          <w:spacing w:val="-1"/>
        </w:rPr>
        <w:t>处置的股权是因追加投资等原因通过企业合并取得的，在编制个别财务报表时，处置后的剩余股权采</w:t>
      </w:r>
      <w:r>
        <w:rPr/>
        <w:t> </w:t>
      </w:r>
      <w:r>
        <w:rPr>
          <w:spacing w:val="-1"/>
        </w:rPr>
        <w:t>用成本法或权益法核算的，购买日之前持有的股权投资因采用权益法核算而确认的其他综合收益和其他所</w:t>
      </w:r>
      <w:r>
        <w:rPr>
          <w:spacing w:val="-81"/>
        </w:rPr>
        <w:t> </w:t>
      </w:r>
      <w:r>
        <w:rPr>
          <w:spacing w:val="-81"/>
        </w:rPr>
      </w:r>
      <w:r>
        <w:rPr>
          <w:spacing w:val="-1"/>
        </w:rPr>
        <w:t>有者权益按比例结转；处置后的剩余股权改按金融工具确认和计量准则进行会计处理的，其他综合收益和</w:t>
      </w:r>
      <w:r>
        <w:rPr>
          <w:spacing w:val="-81"/>
        </w:rPr>
        <w:t> </w:t>
      </w:r>
      <w:r>
        <w:rPr>
          <w:spacing w:val="-81"/>
        </w:rPr>
      </w:r>
      <w:r>
        <w:rPr/>
        <w:t>其他所有者权益全部结转。</w:t>
      </w:r>
    </w:p>
    <w:p>
      <w:pPr>
        <w:spacing w:line="240" w:lineRule="auto" w:before="8"/>
        <w:rPr>
          <w:rFonts w:ascii="宋体" w:hAnsi="宋体" w:cs="宋体" w:eastAsia="宋体" w:hint="default"/>
          <w:sz w:val="23"/>
          <w:szCs w:val="23"/>
        </w:rPr>
      </w:pPr>
    </w:p>
    <w:p>
      <w:pPr>
        <w:pStyle w:val="Heading3"/>
        <w:spacing w:line="240" w:lineRule="auto"/>
        <w:ind w:right="967"/>
        <w:jc w:val="left"/>
        <w:rPr>
          <w:b w:val="0"/>
          <w:bCs w:val="0"/>
        </w:rPr>
      </w:pPr>
      <w:bookmarkStart w:name="15、投资性房地产" w:id="183"/>
      <w:bookmarkEnd w:id="183"/>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3"/>
        <w:spacing w:line="240" w:lineRule="auto"/>
        <w:ind w:right="967"/>
        <w:jc w:val="left"/>
        <w:rPr>
          <w:b w:val="0"/>
          <w:bCs w:val="0"/>
        </w:rPr>
      </w:pPr>
      <w:bookmarkStart w:name="16、固定资产" w:id="184"/>
      <w:bookmarkEnd w:id="184"/>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67"/>
        <w:jc w:val="left"/>
        <w:rPr>
          <w:b w:val="0"/>
          <w:bCs w:val="0"/>
        </w:rPr>
      </w:pPr>
      <w:bookmarkStart w:name="（1）确认条件" w:id="185"/>
      <w:bookmarkEnd w:id="185"/>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4"/>
          <w:szCs w:val="24"/>
        </w:rPr>
      </w:pPr>
    </w:p>
    <w:p>
      <w:pPr>
        <w:pStyle w:val="Heading4"/>
        <w:spacing w:line="266" w:lineRule="auto" w:before="0"/>
        <w:ind w:right="1015" w:firstLine="420"/>
        <w:jc w:val="left"/>
      </w:pPr>
      <w:r>
        <w:rPr/>
        <w:t>固定资产指为生产商品、提供劳务、出租或经营管理而持有，并且使用寿命超过一个会计年度的有形 </w:t>
      </w:r>
      <w:r>
        <w:rPr>
          <w:spacing w:val="-7"/>
        </w:rPr>
        <w:t>资产。固定资产在同时满足下列条件时予以确认：（</w:t>
      </w:r>
      <w:r>
        <w:rPr>
          <w:rFonts w:ascii="Times New Roman" w:hAnsi="Times New Roman" w:cs="Times New Roman" w:eastAsia="Times New Roman" w:hint="default"/>
          <w:spacing w:val="-7"/>
        </w:rPr>
        <w:t>1</w:t>
      </w:r>
      <w:r>
        <w:rPr>
          <w:spacing w:val="-7"/>
        </w:rPr>
        <w:t>）与该固定资产有关的经济利益很可能流入企业；（</w:t>
      </w:r>
      <w:r>
        <w:rPr>
          <w:rFonts w:ascii="Times New Roman" w:hAnsi="Times New Roman" w:cs="Times New Roman" w:eastAsia="Times New Roman" w:hint="default"/>
          <w:spacing w:val="-7"/>
        </w:rPr>
        <w:t>2</w:t>
      </w:r>
      <w:r>
        <w:rPr>
          <w:spacing w:val="-7"/>
        </w:rPr>
        <w:t>）</w:t>
      </w:r>
      <w:r>
        <w:rPr/>
        <w:t> 该固定资产的成本能够可靠地计量。</w:t>
      </w:r>
    </w:p>
    <w:p>
      <w:pPr>
        <w:spacing w:line="240" w:lineRule="auto" w:before="12"/>
        <w:rPr>
          <w:rFonts w:ascii="宋体" w:hAnsi="宋体" w:cs="宋体" w:eastAsia="宋体" w:hint="default"/>
          <w:sz w:val="23"/>
          <w:szCs w:val="23"/>
        </w:rPr>
      </w:pPr>
    </w:p>
    <w:p>
      <w:pPr>
        <w:pStyle w:val="Heading3"/>
        <w:spacing w:line="240" w:lineRule="auto"/>
        <w:ind w:right="967"/>
        <w:jc w:val="left"/>
        <w:rPr>
          <w:b w:val="0"/>
          <w:bCs w:val="0"/>
        </w:rPr>
      </w:pPr>
      <w:bookmarkStart w:name="（2）折旧方法" w:id="186"/>
      <w:bookmarkEnd w:id="186"/>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2.71%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b/>
          <w:bCs/>
          <w:sz w:val="20"/>
          <w:szCs w:val="20"/>
        </w:rPr>
      </w:pPr>
    </w:p>
    <w:p>
      <w:pPr>
        <w:pStyle w:val="Heading3"/>
        <w:spacing w:line="240" w:lineRule="auto" w:before="35"/>
        <w:ind w:right="967"/>
        <w:jc w:val="left"/>
        <w:rPr>
          <w:b w:val="0"/>
          <w:bCs w:val="0"/>
        </w:rPr>
      </w:pPr>
      <w:bookmarkStart w:name="（3）融资租入固定资产的认定依据、计价和折旧方法" w:id="187"/>
      <w:bookmarkEnd w:id="187"/>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67"/>
        <w:jc w:val="left"/>
        <w:rPr>
          <w:b w:val="0"/>
          <w:bCs w:val="0"/>
        </w:rPr>
      </w:pPr>
      <w:bookmarkStart w:name="17、在建工程" w:id="188"/>
      <w:bookmarkEnd w:id="188"/>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9"/>
        <w:ind w:right="967"/>
        <w:jc w:val="left"/>
      </w:pPr>
      <w:r>
        <w:rPr/>
        <w:t>软件与信息技术服务业</w:t>
      </w:r>
    </w:p>
    <w:p>
      <w:pPr>
        <w:pStyle w:val="Heading4"/>
        <w:spacing w:line="273" w:lineRule="auto" w:before="89"/>
        <w:ind w:right="1023" w:firstLine="420"/>
        <w:jc w:val="left"/>
      </w:pPr>
      <w:r>
        <w:rPr/>
        <w:t>在建工程项目按建造该项资产达到预定可使用状态前所发生的必要支出，作为固定资产的入账价值。 </w:t>
      </w:r>
      <w:r>
        <w:rPr>
          <w:spacing w:val="-3"/>
        </w:rPr>
        <w:t>所建造的固定资产在工程已达到预定可使用状态，但尚未办理竣工决算的，自达到预定可使用状态之日起，</w:t>
      </w:r>
      <w:r>
        <w:rPr>
          <w:spacing w:val="-92"/>
        </w:rPr>
        <w:t> </w:t>
      </w:r>
      <w:r>
        <w:rPr>
          <w:spacing w:val="-92"/>
        </w:rPr>
      </w:r>
      <w:r>
        <w:rPr/>
        <w:t>根据工程预算、造价或者工程实际成本等，按估计的价值转入固定资产，并按本公司固定资产折旧政策计</w:t>
      </w:r>
      <w:r>
        <w:rPr/>
        <w:t> </w:t>
      </w:r>
      <w:r>
        <w:rPr>
          <w:spacing w:val="-3"/>
        </w:rPr>
        <w:t>提固定资产的折旧，待办理竣工决算后，再按实际成本调整原来的暂估价值，但不调整原已计提的折旧额。</w:t>
      </w:r>
    </w:p>
    <w:p>
      <w:pPr>
        <w:spacing w:line="240" w:lineRule="auto" w:before="8"/>
        <w:rPr>
          <w:rFonts w:ascii="宋体" w:hAnsi="宋体" w:cs="宋体" w:eastAsia="宋体" w:hint="default"/>
          <w:sz w:val="23"/>
          <w:szCs w:val="23"/>
        </w:rPr>
      </w:pPr>
    </w:p>
    <w:p>
      <w:pPr>
        <w:pStyle w:val="Heading3"/>
        <w:spacing w:line="240" w:lineRule="auto"/>
        <w:ind w:right="967"/>
        <w:jc w:val="left"/>
        <w:rPr>
          <w:b w:val="0"/>
          <w:bCs w:val="0"/>
        </w:rPr>
      </w:pPr>
      <w:bookmarkStart w:name="18、借款费用" w:id="189"/>
      <w:bookmarkEnd w:id="189"/>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left="576" w:right="967" w:firstLine="60"/>
        <w:jc w:val="left"/>
      </w:pPr>
      <w:r>
        <w:rPr/>
        <w:t>·</w:t>
      </w:r>
      <w:r>
        <w:rPr>
          <w:spacing w:val="44"/>
        </w:rPr>
        <w:t> </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w:t>
      </w:r>
      <w:r>
        <w:rPr>
          <w:spacing w:val="-1"/>
        </w:rPr>
        <w:t>公司发生的借款费用，可直接归属于符合资本化条件的资产的购建或者生产的，予以资本化，计入相</w:t>
      </w:r>
    </w:p>
    <w:p>
      <w:pPr>
        <w:pStyle w:val="Heading4"/>
        <w:spacing w:line="273" w:lineRule="auto"/>
        <w:ind w:left="576" w:right="967" w:hanging="423"/>
        <w:jc w:val="left"/>
      </w:pPr>
      <w:r>
        <w:rPr/>
        <w:t>关资产成本；其他借款费用，在发生时根据其发生额确认为费用，计入当期损益。 </w:t>
      </w:r>
      <w:r>
        <w:rPr>
          <w:spacing w:val="-1"/>
        </w:rPr>
        <w:t>符合资本化条件的资产，是指需要经过相当长时间的购建或者生产活动才能达到预定可使用或者可销</w:t>
      </w:r>
    </w:p>
    <w:p>
      <w:pPr>
        <w:pStyle w:val="Heading4"/>
        <w:spacing w:line="273" w:lineRule="auto"/>
        <w:ind w:left="576" w:right="6133" w:hanging="423"/>
        <w:jc w:val="left"/>
      </w:pPr>
      <w:r>
        <w:rPr/>
        <w:t>售状态的固定资产、投资性房地产和存货等资产。 借款费用同时满足下列条件时开始资本化：</w:t>
      </w:r>
    </w:p>
    <w:p>
      <w:pPr>
        <w:pStyle w:val="Heading4"/>
        <w:spacing w:line="256" w:lineRule="auto"/>
        <w:ind w:right="1195" w:firstLine="422"/>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 非现金资产或者承担带息债务形式发生的支出；</w:t>
      </w:r>
    </w:p>
    <w:p>
      <w:pPr>
        <w:pStyle w:val="Heading4"/>
        <w:spacing w:line="240" w:lineRule="auto" w:before="22"/>
        <w:ind w:left="576" w:right="967"/>
        <w:jc w:val="left"/>
      </w:pPr>
      <w:r>
        <w:rPr/>
        <w:t>（</w:t>
      </w:r>
      <w:r>
        <w:rPr>
          <w:rFonts w:ascii="Times New Roman" w:hAnsi="Times New Roman" w:cs="Times New Roman" w:eastAsia="Times New Roman" w:hint="default"/>
        </w:rPr>
        <w:t>2</w:t>
      </w:r>
      <w:r>
        <w:rPr/>
        <w:t>）借款费用已经发生；</w:t>
      </w:r>
    </w:p>
    <w:p>
      <w:pPr>
        <w:pStyle w:val="Heading4"/>
        <w:spacing w:line="240" w:lineRule="auto" w:before="21"/>
        <w:ind w:left="576" w:right="967"/>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6"/>
        <w:rPr>
          <w:rFonts w:ascii="宋体" w:hAnsi="宋体" w:cs="宋体" w:eastAsia="宋体" w:hint="default"/>
          <w:sz w:val="25"/>
          <w:szCs w:val="25"/>
        </w:rPr>
      </w:pPr>
    </w:p>
    <w:p>
      <w:pPr>
        <w:pStyle w:val="Heading4"/>
        <w:spacing w:line="273" w:lineRule="auto" w:before="0"/>
        <w:ind w:left="576" w:right="967" w:firstLine="60"/>
        <w:jc w:val="left"/>
      </w:pPr>
      <w:r>
        <w:rPr/>
        <w:t>·</w:t>
      </w:r>
      <w:r>
        <w:rPr>
          <w:spacing w:val="44"/>
        </w:rPr>
        <w:t> </w:t>
      </w:r>
      <w:r>
        <w:rPr>
          <w:rFonts w:ascii="宋体" w:hAnsi="宋体" w:cs="宋体" w:eastAsia="宋体" w:hint="default"/>
          <w:b/>
          <w:bCs/>
        </w:rPr>
        <w:t>借款费用资本化期间</w:t>
      </w:r>
      <w:r>
        <w:rPr>
          <w:rFonts w:ascii="宋体" w:hAnsi="宋体" w:cs="宋体" w:eastAsia="宋体" w:hint="default"/>
          <w:b/>
          <w:bCs/>
          <w:w w:val="99"/>
        </w:rPr>
        <w:t> </w:t>
      </w:r>
      <w:r>
        <w:rPr>
          <w:spacing w:val="-1"/>
        </w:rPr>
        <w:t>资本化期间，指从借款费用开始资本化时点到停止资本化时点的期间，借款费用暂停资本化的期间不</w:t>
      </w:r>
    </w:p>
    <w:p>
      <w:pPr>
        <w:pStyle w:val="Heading4"/>
        <w:spacing w:line="240" w:lineRule="auto"/>
        <w:ind w:right="967"/>
        <w:jc w:val="left"/>
      </w:pPr>
      <w:r>
        <w:rPr/>
        <w:t>包括在内。</w:t>
      </w:r>
    </w:p>
    <w:p>
      <w:pPr>
        <w:pStyle w:val="Heading4"/>
        <w:spacing w:line="273" w:lineRule="auto" w:before="37"/>
        <w:ind w:left="576" w:right="967"/>
        <w:jc w:val="left"/>
      </w:pPr>
      <w:r>
        <w:rPr/>
        <w:t>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w:t>
      </w:r>
    </w:p>
    <w:p>
      <w:pPr>
        <w:pStyle w:val="Heading4"/>
        <w:spacing w:line="240" w:lineRule="auto"/>
        <w:ind w:right="967"/>
        <w:jc w:val="left"/>
      </w:pPr>
      <w:r>
        <w:rPr/>
        <w:t>止资本化。</w:t>
      </w:r>
    </w:p>
    <w:p>
      <w:pPr>
        <w:pStyle w:val="Heading4"/>
        <w:spacing w:line="273" w:lineRule="auto" w:before="37"/>
        <w:ind w:right="967" w:firstLine="422"/>
        <w:jc w:val="left"/>
      </w:pPr>
      <w:r>
        <w:rPr>
          <w:spacing w:val="-1"/>
        </w:rPr>
        <w:t>购建或者生产的资产的各部分分别完工，但必须等到整体完工后才可使用或可对外销售的，在该资产</w:t>
      </w:r>
      <w:r>
        <w:rPr/>
        <w:t> 整体完工时停止借款费用资本化。</w:t>
      </w:r>
    </w:p>
    <w:p>
      <w:pPr>
        <w:spacing w:line="240" w:lineRule="auto" w:before="6"/>
        <w:rPr>
          <w:rFonts w:ascii="宋体" w:hAnsi="宋体" w:cs="宋体" w:eastAsia="宋体" w:hint="default"/>
          <w:sz w:val="24"/>
          <w:szCs w:val="24"/>
        </w:rPr>
      </w:pPr>
    </w:p>
    <w:p>
      <w:pPr>
        <w:pStyle w:val="Heading4"/>
        <w:spacing w:line="273" w:lineRule="auto" w:before="0"/>
        <w:ind w:left="576" w:right="1195" w:firstLine="60"/>
        <w:jc w:val="left"/>
      </w:pPr>
      <w:r>
        <w:rPr/>
        <w:t>·</w:t>
      </w:r>
      <w:r>
        <w:rPr>
          <w:spacing w:val="44"/>
        </w:rPr>
        <w:t> </w:t>
      </w:r>
      <w:r>
        <w:rPr>
          <w:rFonts w:ascii="宋体" w:hAnsi="宋体" w:cs="宋体" w:eastAsia="宋体" w:hint="default"/>
          <w:b/>
          <w:bCs/>
        </w:rPr>
        <w:t>暂停资本化期间</w:t>
      </w:r>
      <w:r>
        <w:rPr>
          <w:rFonts w:ascii="宋体" w:hAnsi="宋体" w:cs="宋体" w:eastAsia="宋体" w:hint="default"/>
          <w:b/>
          <w:bCs/>
          <w:w w:val="99"/>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w:t>
      </w:r>
    </w:p>
    <w:p>
      <w:pPr>
        <w:pStyle w:val="Heading4"/>
        <w:spacing w:line="273" w:lineRule="auto" w:before="0"/>
        <w:ind w:right="1131"/>
        <w:jc w:val="both"/>
      </w:pPr>
      <w:r>
        <w:rPr>
          <w:spacing w:val="-1"/>
        </w:rPr>
        <w:t>款费用暂停资本化；该项中断如是所购建或生产的符合资本化条件的资产达到预定可使用状态或者可销售</w:t>
      </w:r>
      <w:r>
        <w:rPr>
          <w:spacing w:val="-81"/>
        </w:rPr>
        <w:t> </w:t>
      </w:r>
      <w:r>
        <w:rPr>
          <w:spacing w:val="-81"/>
        </w:rPr>
      </w:r>
      <w:r>
        <w:rPr>
          <w:spacing w:val="-1"/>
        </w:rPr>
        <w:t>状态必要的程序，则借款费用继续资本化。在中断期间发生的借款费用确认为当期损益，直至资产的购建</w:t>
      </w:r>
      <w:r>
        <w:rPr>
          <w:spacing w:val="-83"/>
        </w:rPr>
        <w:t> </w:t>
      </w:r>
      <w:r>
        <w:rPr>
          <w:spacing w:val="-83"/>
        </w:rPr>
      </w:r>
      <w:r>
        <w:rPr/>
        <w:t>或者生产活动重新开始后借款费用继续资本化。</w:t>
      </w:r>
    </w:p>
    <w:p>
      <w:pPr>
        <w:spacing w:line="240" w:lineRule="auto" w:before="6"/>
        <w:rPr>
          <w:rFonts w:ascii="宋体" w:hAnsi="宋体" w:cs="宋体" w:eastAsia="宋体" w:hint="default"/>
          <w:sz w:val="24"/>
          <w:szCs w:val="24"/>
        </w:rPr>
      </w:pPr>
    </w:p>
    <w:p>
      <w:pPr>
        <w:spacing w:line="273" w:lineRule="auto" w:before="0"/>
        <w:ind w:left="576" w:right="1300" w:firstLine="6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4"/>
          <w:sz w:val="21"/>
          <w:szCs w:val="21"/>
        </w:rPr>
        <w:t> </w:t>
      </w:r>
      <w:r>
        <w:rPr>
          <w:rFonts w:ascii="宋体" w:hAnsi="宋体" w:cs="宋体" w:eastAsia="宋体" w:hint="default"/>
          <w:b/>
          <w:bCs/>
          <w:sz w:val="21"/>
          <w:szCs w:val="21"/>
        </w:rPr>
        <w:t>借款费用资本化率、资本化金额的计算方法</w:t>
      </w:r>
      <w:r>
        <w:rPr>
          <w:rFonts w:ascii="宋体" w:hAnsi="宋体" w:cs="宋体" w:eastAsia="宋体" w:hint="default"/>
          <w:b/>
          <w:bCs/>
          <w:spacing w:val="1"/>
          <w:w w:val="99"/>
          <w:sz w:val="21"/>
          <w:szCs w:val="21"/>
        </w:rPr>
        <w:t> </w:t>
      </w:r>
      <w:r>
        <w:rPr>
          <w:rFonts w:ascii="宋体" w:hAnsi="宋体" w:cs="宋体" w:eastAsia="宋体" w:hint="default"/>
          <w:sz w:val="21"/>
          <w:szCs w:val="21"/>
        </w:rPr>
        <w:t>对于为购建或者生产符合资本化条件的资产而借入的专门借款，以专门借款当期实际发生的借款费</w:t>
      </w:r>
    </w:p>
    <w:p>
      <w:pPr>
        <w:pStyle w:val="Heading4"/>
        <w:spacing w:line="240" w:lineRule="auto"/>
        <w:ind w:right="967"/>
        <w:jc w:val="left"/>
      </w:pPr>
      <w:r>
        <w:rPr/>
        <w:t>用，减去尚未动用的借款资金存入银行取得的利息收入或进行暂时性投资取得的投资收益后的金额，来确</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73" w:lineRule="auto" w:before="35"/>
        <w:ind w:left="576" w:right="967" w:hanging="423"/>
        <w:jc w:val="left"/>
      </w:pPr>
      <w:r>
        <w:rPr/>
        <w:t>定借款费用的资本化金额。 </w:t>
      </w:r>
      <w:r>
        <w:rPr>
          <w:spacing w:val="-1"/>
        </w:rPr>
        <w:t>对于为购建或者生产符合资本化条件的资产而占用的一般借款，根据累计资产支出超过专门借款部分</w:t>
      </w:r>
    </w:p>
    <w:p>
      <w:pPr>
        <w:pStyle w:val="Heading4"/>
        <w:spacing w:line="273" w:lineRule="auto"/>
        <w:ind w:right="1092"/>
        <w:jc w:val="left"/>
      </w:pPr>
      <w:r>
        <w:rPr/>
        <w:t>的资产支出加权平均数乘以所占用一般借款的资本化率，计算确定一般借款应予资本化的借款费用金额。 资本化率根据一般借款加权平均利率计算确定。</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right="967"/>
        <w:jc w:val="left"/>
        <w:rPr>
          <w:b w:val="0"/>
          <w:bCs w:val="0"/>
        </w:rPr>
      </w:pPr>
      <w:bookmarkStart w:name="19、无形资产" w:id="190"/>
      <w:bookmarkEnd w:id="190"/>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67"/>
        <w:jc w:val="left"/>
        <w:rPr>
          <w:b w:val="0"/>
          <w:bCs w:val="0"/>
        </w:rPr>
      </w:pPr>
      <w:bookmarkStart w:name="（1）计价方法、使用寿命、减值测试" w:id="191"/>
      <w:bookmarkEnd w:id="191"/>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9"/>
        <w:ind w:right="967"/>
        <w:jc w:val="left"/>
      </w:pPr>
      <w:r>
        <w:rPr/>
        <w:t>软件与信息技术服务业</w:t>
      </w:r>
    </w:p>
    <w:p>
      <w:pPr>
        <w:pStyle w:val="Heading3"/>
        <w:spacing w:line="240" w:lineRule="auto" w:before="89"/>
        <w:ind w:left="636" w:right="967"/>
        <w:jc w:val="left"/>
        <w:rPr>
          <w:b w:val="0"/>
          <w:bCs w:val="0"/>
        </w:rPr>
      </w:pPr>
      <w:r>
        <w:rPr>
          <w:rFonts w:ascii="宋体" w:hAnsi="宋体" w:cs="宋体" w:eastAsia="宋体" w:hint="default"/>
          <w:b w:val="0"/>
          <w:bCs w:val="0"/>
        </w:rPr>
        <w:t>·</w:t>
      </w:r>
      <w:r>
        <w:rPr>
          <w:rFonts w:ascii="宋体" w:hAnsi="宋体" w:cs="宋体" w:eastAsia="宋体" w:hint="default"/>
          <w:b w:val="0"/>
          <w:bCs w:val="0"/>
          <w:spacing w:val="43"/>
        </w:rPr>
        <w:t> </w:t>
      </w:r>
      <w:r>
        <w:rPr/>
        <w:t>无形资产的计价方法</w:t>
      </w:r>
      <w:r>
        <w:rPr>
          <w:b w:val="0"/>
          <w:bCs w:val="0"/>
        </w:rPr>
      </w:r>
    </w:p>
    <w:p>
      <w:pPr>
        <w:pStyle w:val="Heading4"/>
        <w:spacing w:line="256" w:lineRule="auto" w:before="37"/>
        <w:ind w:left="576" w:right="967"/>
        <w:jc w:val="left"/>
      </w:pPr>
      <w:r>
        <w:rPr/>
        <w:t>（</w:t>
      </w:r>
      <w:r>
        <w:rPr>
          <w:rFonts w:ascii="Times New Roman" w:hAnsi="Times New Roman" w:cs="Times New Roman" w:eastAsia="Times New Roman" w:hint="default"/>
        </w:rPr>
        <w:t>1</w:t>
      </w:r>
      <w:r>
        <w:rPr/>
        <w:t>）公司取得无形资产时按成本进行初始计量； </w:t>
      </w:r>
      <w:r>
        <w:rPr>
          <w:spacing w:val="-1"/>
        </w:rPr>
        <w:t>外购无形资产的成本，包括购买价款、相关税费以及直接归属于使该项资产达到预定用途所发生的其</w:t>
      </w:r>
    </w:p>
    <w:p>
      <w:pPr>
        <w:pStyle w:val="Heading4"/>
        <w:spacing w:line="240" w:lineRule="auto" w:before="22"/>
        <w:ind w:right="967"/>
        <w:jc w:val="left"/>
      </w:pPr>
      <w:r>
        <w:rPr/>
        <w:t>他支出。</w:t>
      </w:r>
    </w:p>
    <w:p>
      <w:pPr>
        <w:pStyle w:val="Heading4"/>
        <w:spacing w:line="256" w:lineRule="auto" w:before="37"/>
        <w:ind w:left="576" w:right="6550"/>
        <w:jc w:val="left"/>
      </w:pPr>
      <w:r>
        <w:rPr/>
        <w:t>（</w:t>
      </w:r>
      <w:r>
        <w:rPr>
          <w:rFonts w:ascii="Times New Roman" w:hAnsi="Times New Roman" w:cs="Times New Roman" w:eastAsia="Times New Roman" w:hint="default"/>
        </w:rPr>
        <w:t>2</w:t>
      </w:r>
      <w:r>
        <w:rPr/>
        <w:t>）后续计量 在取得无形资产时分析判断其使用寿命。</w:t>
      </w:r>
    </w:p>
    <w:p>
      <w:pPr>
        <w:pStyle w:val="Heading4"/>
        <w:spacing w:line="273" w:lineRule="auto" w:before="22"/>
        <w:ind w:right="967" w:firstLine="422"/>
        <w:jc w:val="left"/>
      </w:pPr>
      <w:r>
        <w:rPr>
          <w:spacing w:val="-1"/>
        </w:rPr>
        <w:t>对于使用寿命有限的无形资产，在为企业带来经济利益的期限内按直线法摊销；无法预见无形资产为</w:t>
      </w:r>
      <w:r>
        <w:rPr/>
        <w:t> 企业带来经济利益期限的，视为使用寿命不确定的无形资产，不予摊销。</w:t>
      </w:r>
    </w:p>
    <w:p>
      <w:pPr>
        <w:spacing w:line="240" w:lineRule="auto" w:before="6"/>
        <w:rPr>
          <w:rFonts w:ascii="宋体" w:hAnsi="宋体" w:cs="宋体" w:eastAsia="宋体" w:hint="default"/>
          <w:sz w:val="24"/>
          <w:szCs w:val="24"/>
        </w:rPr>
      </w:pPr>
    </w:p>
    <w:p>
      <w:pPr>
        <w:pStyle w:val="Heading3"/>
        <w:spacing w:line="240" w:lineRule="auto"/>
        <w:ind w:left="636" w:right="967"/>
        <w:jc w:val="left"/>
        <w:rPr>
          <w:b w:val="0"/>
          <w:bCs w:val="0"/>
        </w:rPr>
      </w:pPr>
      <w:r>
        <w:rPr>
          <w:rFonts w:ascii="宋体" w:hAnsi="宋体" w:cs="宋体" w:eastAsia="宋体" w:hint="default"/>
          <w:b w:val="0"/>
          <w:bCs w:val="0"/>
        </w:rPr>
        <w:t>·</w:t>
      </w:r>
      <w:r>
        <w:rPr>
          <w:rFonts w:ascii="宋体" w:hAnsi="宋体" w:cs="宋体" w:eastAsia="宋体" w:hint="default"/>
          <w:b w:val="0"/>
          <w:bCs w:val="0"/>
          <w:spacing w:val="39"/>
        </w:rPr>
        <w:t> </w:t>
      </w:r>
      <w:r>
        <w:rPr/>
        <w:t>使用寿命有限的无形资产的使用寿命估计情况：</w:t>
      </w:r>
      <w:r>
        <w:rPr>
          <w:b w:val="0"/>
          <w:bCs w:val="0"/>
        </w:rPr>
      </w:r>
    </w:p>
    <w:p>
      <w:pPr>
        <w:spacing w:line="240" w:lineRule="auto" w:before="11"/>
        <w:rPr>
          <w:rFonts w:ascii="宋体" w:hAnsi="宋体" w:cs="宋体" w:eastAsia="宋体" w:hint="default"/>
          <w:b/>
          <w:bCs/>
          <w:sz w:val="27"/>
          <w:szCs w:val="27"/>
        </w:rPr>
      </w:pPr>
    </w:p>
    <w:tbl>
      <w:tblPr>
        <w:tblW w:w="0" w:type="auto"/>
        <w:jc w:val="left"/>
        <w:tblInd w:w="153" w:type="dxa"/>
        <w:tblLayout w:type="fixed"/>
        <w:tblCellMar>
          <w:top w:w="0" w:type="dxa"/>
          <w:left w:w="0" w:type="dxa"/>
          <w:bottom w:w="0" w:type="dxa"/>
          <w:right w:w="0" w:type="dxa"/>
        </w:tblCellMar>
        <w:tblLook w:val="01E0"/>
      </w:tblPr>
      <w:tblGrid>
        <w:gridCol w:w="2943"/>
        <w:gridCol w:w="2928"/>
        <w:gridCol w:w="3788"/>
      </w:tblGrid>
      <w:tr>
        <w:trPr>
          <w:trHeight w:val="347" w:hRule="exact"/>
        </w:trPr>
        <w:tc>
          <w:tcPr>
            <w:tcW w:w="2943" w:type="dxa"/>
            <w:tcBorders>
              <w:top w:val="single" w:sz="6" w:space="0" w:color="000000"/>
              <w:left w:val="nil" w:sz="6" w:space="0" w:color="auto"/>
              <w:bottom w:val="single" w:sz="6" w:space="0" w:color="000000"/>
              <w:right w:val="nil" w:sz="6" w:space="0" w:color="auto"/>
            </w:tcBorders>
          </w:tcPr>
          <w:p>
            <w:pPr>
              <w:pStyle w:val="TableParagraph"/>
              <w:spacing w:line="271" w:lineRule="exact"/>
              <w:ind w:left="167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928" w:type="dxa"/>
            <w:tcBorders>
              <w:top w:val="single" w:sz="6" w:space="0" w:color="000000"/>
              <w:left w:val="nil" w:sz="6" w:space="0" w:color="auto"/>
              <w:bottom w:val="single" w:sz="6" w:space="0" w:color="000000"/>
              <w:right w:val="nil" w:sz="6" w:space="0" w:color="auto"/>
            </w:tcBorders>
          </w:tcPr>
          <w:p>
            <w:pPr>
              <w:pStyle w:val="TableParagraph"/>
              <w:spacing w:line="271" w:lineRule="exact"/>
              <w:ind w:left="1386" w:right="0"/>
              <w:jc w:val="left"/>
              <w:rPr>
                <w:rFonts w:ascii="宋体" w:hAnsi="宋体" w:cs="宋体" w:eastAsia="宋体" w:hint="default"/>
                <w:sz w:val="21"/>
                <w:szCs w:val="21"/>
              </w:rPr>
            </w:pPr>
            <w:r>
              <w:rPr>
                <w:rFonts w:ascii="宋体" w:hAnsi="宋体" w:cs="宋体" w:eastAsia="宋体" w:hint="default"/>
                <w:sz w:val="21"/>
                <w:szCs w:val="21"/>
              </w:rPr>
              <w:t>预计使用寿命</w:t>
            </w:r>
          </w:p>
        </w:tc>
        <w:tc>
          <w:tcPr>
            <w:tcW w:w="3788" w:type="dxa"/>
            <w:tcBorders>
              <w:top w:val="single" w:sz="6" w:space="0" w:color="000000"/>
              <w:left w:val="nil" w:sz="6" w:space="0" w:color="auto"/>
              <w:bottom w:val="single" w:sz="6" w:space="0" w:color="000000"/>
              <w:right w:val="nil" w:sz="6" w:space="0" w:color="auto"/>
            </w:tcBorders>
          </w:tcPr>
          <w:p>
            <w:pPr>
              <w:pStyle w:val="TableParagraph"/>
              <w:spacing w:line="271" w:lineRule="exact"/>
              <w:ind w:left="272" w:right="0"/>
              <w:jc w:val="center"/>
              <w:rPr>
                <w:rFonts w:ascii="宋体" w:hAnsi="宋体" w:cs="宋体" w:eastAsia="宋体" w:hint="default"/>
                <w:sz w:val="21"/>
                <w:szCs w:val="21"/>
              </w:rPr>
            </w:pPr>
            <w:r>
              <w:rPr>
                <w:rFonts w:ascii="宋体" w:hAnsi="宋体" w:cs="宋体" w:eastAsia="宋体" w:hint="default"/>
                <w:sz w:val="21"/>
                <w:szCs w:val="21"/>
              </w:rPr>
              <w:t>摊销方法</w:t>
            </w:r>
          </w:p>
        </w:tc>
      </w:tr>
      <w:tr>
        <w:trPr>
          <w:trHeight w:val="348" w:hRule="exact"/>
        </w:trPr>
        <w:tc>
          <w:tcPr>
            <w:tcW w:w="2943" w:type="dxa"/>
            <w:tcBorders>
              <w:top w:val="single" w:sz="6" w:space="0" w:color="000000"/>
              <w:left w:val="nil" w:sz="6" w:space="0" w:color="auto"/>
              <w:bottom w:val="single" w:sz="6" w:space="0" w:color="000000"/>
              <w:right w:val="nil" w:sz="6" w:space="0" w:color="auto"/>
            </w:tcBorders>
          </w:tcPr>
          <w:p>
            <w:pPr>
              <w:pStyle w:val="TableParagraph"/>
              <w:spacing w:line="271" w:lineRule="exact"/>
              <w:ind w:left="345" w:right="0"/>
              <w:jc w:val="left"/>
              <w:rPr>
                <w:rFonts w:ascii="宋体" w:hAnsi="宋体" w:cs="宋体" w:eastAsia="宋体" w:hint="default"/>
                <w:sz w:val="21"/>
                <w:szCs w:val="21"/>
              </w:rPr>
            </w:pPr>
            <w:r>
              <w:rPr>
                <w:rFonts w:ascii="宋体" w:hAnsi="宋体" w:cs="宋体" w:eastAsia="宋体" w:hint="default"/>
                <w:sz w:val="21"/>
                <w:szCs w:val="21"/>
              </w:rPr>
              <w:t>外购软件</w:t>
            </w:r>
          </w:p>
        </w:tc>
        <w:tc>
          <w:tcPr>
            <w:tcW w:w="2928"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left="844" w:right="0"/>
              <w:jc w:val="left"/>
              <w:rPr>
                <w:rFonts w:ascii="Times New Roman" w:hAnsi="Times New Roman" w:cs="Times New Roman" w:eastAsia="Times New Roman" w:hint="default"/>
                <w:sz w:val="21"/>
                <w:szCs w:val="21"/>
              </w:rPr>
            </w:pPr>
            <w:r>
              <w:rPr>
                <w:rFonts w:ascii="Times New Roman"/>
                <w:sz w:val="21"/>
              </w:rPr>
              <w:t>5</w:t>
            </w:r>
          </w:p>
        </w:tc>
        <w:tc>
          <w:tcPr>
            <w:tcW w:w="3788" w:type="dxa"/>
            <w:tcBorders>
              <w:top w:val="single" w:sz="6" w:space="0" w:color="000000"/>
              <w:left w:val="nil" w:sz="6" w:space="0" w:color="auto"/>
              <w:bottom w:val="single" w:sz="6" w:space="0" w:color="000000"/>
              <w:right w:val="nil" w:sz="6" w:space="0" w:color="auto"/>
            </w:tcBorders>
          </w:tcPr>
          <w:p>
            <w:pPr>
              <w:pStyle w:val="TableParagraph"/>
              <w:spacing w:line="271" w:lineRule="exact"/>
              <w:ind w:left="281" w:right="0"/>
              <w:jc w:val="left"/>
              <w:rPr>
                <w:rFonts w:ascii="宋体" w:hAnsi="宋体" w:cs="宋体" w:eastAsia="宋体" w:hint="default"/>
                <w:sz w:val="21"/>
                <w:szCs w:val="21"/>
              </w:rPr>
            </w:pPr>
            <w:r>
              <w:rPr>
                <w:rFonts w:ascii="宋体" w:hAnsi="宋体" w:cs="宋体" w:eastAsia="宋体" w:hint="default"/>
                <w:sz w:val="21"/>
                <w:szCs w:val="21"/>
              </w:rPr>
              <w:t>直线法</w:t>
            </w:r>
          </w:p>
        </w:tc>
      </w:tr>
    </w:tbl>
    <w:p>
      <w:pPr>
        <w:spacing w:line="240" w:lineRule="auto" w:before="0"/>
        <w:rPr>
          <w:rFonts w:ascii="宋体" w:hAnsi="宋体" w:cs="宋体" w:eastAsia="宋体" w:hint="default"/>
          <w:b/>
          <w:bCs/>
          <w:sz w:val="20"/>
          <w:szCs w:val="20"/>
        </w:rPr>
      </w:pPr>
    </w:p>
    <w:p>
      <w:pPr>
        <w:pStyle w:val="Heading4"/>
        <w:spacing w:line="273" w:lineRule="auto" w:before="35"/>
        <w:ind w:left="576" w:right="3400"/>
        <w:jc w:val="left"/>
      </w:pPr>
      <w:r>
        <w:rPr/>
        <w:t>每年度终了，对使用寿命有限的无形资产的使用寿命及摊销方法进行复核。 经复核，本年期末无形资产的使用寿命及摊销方法与以前估计未有不同。</w:t>
      </w:r>
    </w:p>
    <w:p>
      <w:pPr>
        <w:spacing w:line="240" w:lineRule="auto" w:before="8"/>
        <w:rPr>
          <w:rFonts w:ascii="宋体" w:hAnsi="宋体" w:cs="宋体" w:eastAsia="宋体" w:hint="default"/>
          <w:sz w:val="23"/>
          <w:szCs w:val="23"/>
        </w:rPr>
      </w:pPr>
    </w:p>
    <w:p>
      <w:pPr>
        <w:pStyle w:val="Heading3"/>
        <w:spacing w:line="240" w:lineRule="auto"/>
        <w:ind w:right="967"/>
        <w:jc w:val="left"/>
        <w:rPr>
          <w:b w:val="0"/>
          <w:bCs w:val="0"/>
        </w:rPr>
      </w:pPr>
      <w:bookmarkStart w:name="（2）内部研究开发支出会计政策" w:id="192"/>
      <w:bookmarkEnd w:id="19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left="576" w:right="967" w:firstLine="60"/>
        <w:jc w:val="left"/>
      </w:pPr>
      <w:r>
        <w:rPr/>
        <w:t>·</w:t>
      </w:r>
      <w:r>
        <w:rPr>
          <w:spacing w:val="44"/>
        </w:rPr>
        <w:t> </w:t>
      </w:r>
      <w:r>
        <w:rPr>
          <w:rFonts w:ascii="宋体" w:hAnsi="宋体" w:cs="宋体" w:eastAsia="宋体" w:hint="default"/>
          <w:b/>
          <w:bCs/>
        </w:rPr>
        <w:t>划分研究阶段和开发阶段的具体标准</w:t>
      </w:r>
      <w:r>
        <w:rPr>
          <w:rFonts w:ascii="宋体" w:hAnsi="宋体" w:cs="宋体" w:eastAsia="宋体" w:hint="default"/>
          <w:b/>
          <w:bCs/>
          <w:w w:val="99"/>
        </w:rPr>
        <w:t> </w:t>
      </w:r>
      <w:r>
        <w:rPr/>
        <w:t>公司内部研究开发项目的支出分为研究阶段支出和开发阶段支出。 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w:t>
      </w:r>
    </w:p>
    <w:p>
      <w:pPr>
        <w:pStyle w:val="Heading4"/>
        <w:spacing w:line="273" w:lineRule="auto"/>
        <w:ind w:left="576" w:right="967" w:hanging="423"/>
        <w:jc w:val="left"/>
      </w:pPr>
      <w:r>
        <w:rPr/>
        <w:t>的或具有实质性改进的材料、装置、产品等活动的阶段。 </w:t>
      </w:r>
      <w:r>
        <w:rPr>
          <w:spacing w:val="-1"/>
        </w:rPr>
        <w:t>公司内部研究开发项目主要是数据融合平台的研发。本公司在完成创新业务模式预研、需求调研分析</w:t>
      </w:r>
    </w:p>
    <w:p>
      <w:pPr>
        <w:pStyle w:val="Heading4"/>
        <w:spacing w:line="273" w:lineRule="auto"/>
        <w:ind w:right="967"/>
        <w:jc w:val="left"/>
      </w:pPr>
      <w:r>
        <w:rPr>
          <w:spacing w:val="-1"/>
        </w:rPr>
        <w:t>和关键技术预研等前期工作后，确定平台各组件的开发、满足客户需求的开发方向，并确定技术可以完善</w:t>
      </w:r>
      <w:r>
        <w:rPr>
          <w:spacing w:val="-83"/>
        </w:rPr>
        <w:t> </w:t>
      </w:r>
      <w:r>
        <w:rPr>
          <w:spacing w:val="-83"/>
        </w:rPr>
      </w:r>
      <w:r>
        <w:rPr/>
        <w:t>组件功能时作为开发支出资本化的起始时点。</w:t>
      </w:r>
    </w:p>
    <w:p>
      <w:pPr>
        <w:pStyle w:val="Heading3"/>
        <w:spacing w:line="240" w:lineRule="auto" w:before="8"/>
        <w:ind w:left="636" w:right="967"/>
        <w:jc w:val="left"/>
        <w:rPr>
          <w:b w:val="0"/>
          <w:bCs w:val="0"/>
        </w:rPr>
      </w:pPr>
      <w:r>
        <w:rPr>
          <w:rFonts w:ascii="宋体" w:hAnsi="宋体" w:cs="宋体" w:eastAsia="宋体" w:hint="default"/>
          <w:b w:val="0"/>
          <w:bCs w:val="0"/>
        </w:rPr>
        <w:t>·</w:t>
      </w:r>
      <w:r>
        <w:rPr>
          <w:rFonts w:ascii="宋体" w:hAnsi="宋体" w:cs="宋体" w:eastAsia="宋体" w:hint="default"/>
          <w:b w:val="0"/>
          <w:bCs w:val="0"/>
          <w:spacing w:val="42"/>
        </w:rPr>
        <w:t> </w:t>
      </w:r>
      <w:r>
        <w:rPr/>
        <w:t>开发阶段支出资本化的具体条件</w:t>
      </w:r>
      <w:r>
        <w:rPr>
          <w:b w:val="0"/>
          <w:bCs w:val="0"/>
        </w:rPr>
      </w:r>
    </w:p>
    <w:p>
      <w:pPr>
        <w:pStyle w:val="Heading4"/>
        <w:spacing w:line="240" w:lineRule="auto" w:before="37"/>
        <w:ind w:left="576" w:right="967"/>
        <w:jc w:val="left"/>
      </w:pPr>
      <w:r>
        <w:rPr/>
        <w:t>（一）完成该无形资产以使其能够使用或出售在技术上具有可行性；</w:t>
      </w:r>
    </w:p>
    <w:p>
      <w:pPr>
        <w:pStyle w:val="Heading4"/>
        <w:spacing w:line="240" w:lineRule="auto" w:before="37"/>
        <w:ind w:left="576" w:right="967"/>
        <w:jc w:val="left"/>
      </w:pPr>
      <w:r>
        <w:rPr/>
        <w:t>（二）具有完成该无形资产并使用或出售的意图；</w:t>
      </w:r>
    </w:p>
    <w:p>
      <w:pPr>
        <w:pStyle w:val="Heading4"/>
        <w:spacing w:line="240" w:lineRule="auto" w:before="37"/>
        <w:ind w:left="576" w:right="967"/>
        <w:jc w:val="left"/>
      </w:pPr>
      <w:r>
        <w:rPr/>
        <w:t>（三）无形资产产生经济利益的方式，包括能够证明运用该无形资产生产的产品存在市场或无形资产</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0"/>
        <w:jc w:val="both"/>
      </w:pPr>
      <w:r>
        <w:rPr/>
        <w:t>自身存在市场，无形资产将在内部使用的，应当证明其有用性；</w:t>
      </w:r>
    </w:p>
    <w:p>
      <w:pPr>
        <w:pStyle w:val="Heading4"/>
        <w:spacing w:line="273" w:lineRule="auto" w:before="37"/>
        <w:ind w:right="967" w:firstLine="422"/>
        <w:jc w:val="left"/>
      </w:pPr>
      <w:r>
        <w:rPr>
          <w:spacing w:val="-1"/>
        </w:rPr>
        <w:t>（四）有足够的技术、财务资源和其他资源支持，以完成该无形资产的开发，并有能力使用或出售该</w:t>
      </w:r>
      <w:r>
        <w:rPr/>
        <w:t> 无形资产；</w:t>
      </w:r>
    </w:p>
    <w:p>
      <w:pPr>
        <w:pStyle w:val="Heading4"/>
        <w:spacing w:line="273" w:lineRule="auto"/>
        <w:ind w:left="576" w:right="967"/>
        <w:jc w:val="left"/>
      </w:pPr>
      <w:r>
        <w:rPr/>
        <w:t>（五）归属于该无形资产开发阶段的支出能够可靠地计量。 </w:t>
      </w:r>
      <w:r>
        <w:rPr>
          <w:spacing w:val="-1"/>
        </w:rPr>
        <w:t>不满足上述条件的开发阶段的支出，于发生时计入当期损益。以前期间已计入损益的开发支出不在以</w:t>
      </w:r>
    </w:p>
    <w:p>
      <w:pPr>
        <w:pStyle w:val="Heading4"/>
        <w:spacing w:line="273" w:lineRule="auto"/>
        <w:ind w:right="1131"/>
        <w:jc w:val="both"/>
      </w:pPr>
      <w:r>
        <w:rPr>
          <w:spacing w:val="-1"/>
        </w:rPr>
        <w:t>后期间重新确认为资产。已资本化的开发阶段的支出在资产负债表上列示为开发支出，自该项目达到预定</w:t>
      </w:r>
      <w:r>
        <w:rPr>
          <w:spacing w:val="-81"/>
        </w:rPr>
        <w:t> </w:t>
      </w:r>
      <w:r>
        <w:rPr>
          <w:spacing w:val="-81"/>
        </w:rPr>
      </w:r>
      <w:r>
        <w:rPr/>
        <w:t>用途之日起转为无形资产。</w:t>
      </w:r>
    </w:p>
    <w:p>
      <w:pPr>
        <w:pStyle w:val="Heading4"/>
        <w:spacing w:line="590" w:lineRule="atLeast" w:before="9"/>
        <w:ind w:left="576" w:right="967" w:hanging="423"/>
        <w:jc w:val="left"/>
      </w:pPr>
      <w:bookmarkStart w:name="20、长期资产减值" w:id="193"/>
      <w:bookmarkEnd w:id="193"/>
      <w:r>
        <w:rPr/>
      </w:r>
      <w:r>
        <w:rPr>
          <w:rFonts w:ascii="Times New Roman" w:hAnsi="Times New Roman" w:cs="Times New Roman" w:eastAsia="Times New Roman" w:hint="default"/>
          <w:b/>
          <w:bCs/>
        </w:rPr>
        <w:t>20</w:t>
      </w:r>
      <w:r>
        <w:rPr>
          <w:rFonts w:ascii="宋体" w:hAnsi="宋体" w:cs="宋体" w:eastAsia="宋体" w:hint="default"/>
          <w:b/>
          <w:bCs/>
        </w:rPr>
        <w:t>、长期资产减值</w:t>
      </w:r>
      <w:r>
        <w:rPr>
          <w:rFonts w:ascii="宋体" w:hAnsi="宋体" w:cs="宋体" w:eastAsia="宋体" w:hint="default"/>
          <w:b/>
          <w:bCs/>
          <w:w w:val="99"/>
        </w:rPr>
        <w:t> </w:t>
      </w:r>
      <w:r>
        <w:rPr>
          <w:spacing w:val="-1"/>
        </w:rPr>
        <w:t>长期股权投资、固定资产、在建工程、使用寿命有限的无形资产等长期资产，于资产负债表日存在减</w:t>
      </w:r>
    </w:p>
    <w:p>
      <w:pPr>
        <w:pStyle w:val="Heading4"/>
        <w:spacing w:line="273" w:lineRule="auto" w:before="37"/>
        <w:ind w:right="1131"/>
        <w:jc w:val="both"/>
      </w:pPr>
      <w:r>
        <w:rPr>
          <w:spacing w:val="-1"/>
        </w:rPr>
        <w:t>值迹象的，进行减值测试。减值测试结果表明资产的可收回金额低于其账面价值的，按其差额计提减值准</w:t>
      </w:r>
      <w:r>
        <w:rPr>
          <w:spacing w:val="-83"/>
        </w:rPr>
        <w:t> </w:t>
      </w:r>
      <w:r>
        <w:rPr>
          <w:spacing w:val="-83"/>
        </w:rPr>
      </w:r>
      <w:r>
        <w:rPr>
          <w:spacing w:val="-1"/>
        </w:rPr>
        <w:t>备并计入减值损失。可收回金额为资产的公允价值减去处置费用后的净额与资产预计未来现金流量的现值</w:t>
      </w:r>
      <w:r>
        <w:rPr>
          <w:spacing w:val="-81"/>
        </w:rPr>
        <w:t> </w:t>
      </w:r>
      <w:r>
        <w:rPr>
          <w:spacing w:val="-81"/>
        </w:rPr>
      </w:r>
      <w:r>
        <w:rPr>
          <w:spacing w:val="-1"/>
        </w:rPr>
        <w:t>两者之间的较高者。资产减值准备按单项资产为基础计算并确认，如果难以对单项资产的可收回金额进行</w:t>
      </w:r>
      <w:r>
        <w:rPr>
          <w:spacing w:val="-81"/>
        </w:rPr>
        <w:t> </w:t>
      </w:r>
      <w:r>
        <w:rPr>
          <w:spacing w:val="-81"/>
        </w:rPr>
      </w:r>
      <w:r>
        <w:rPr>
          <w:spacing w:val="-1"/>
        </w:rPr>
        <w:t>估计的，以该资产所属的资产组确定资产组的可收回金额。资产组是能够独立产生现金流入的最小资产组</w:t>
      </w:r>
      <w:r>
        <w:rPr>
          <w:spacing w:val="-81"/>
        </w:rPr>
        <w:t> </w:t>
      </w:r>
      <w:r>
        <w:rPr>
          <w:spacing w:val="-81"/>
        </w:rPr>
      </w:r>
      <w:r>
        <w:rPr/>
        <w:t>合。</w:t>
      </w:r>
    </w:p>
    <w:p>
      <w:pPr>
        <w:pStyle w:val="Heading4"/>
        <w:spacing w:line="273" w:lineRule="auto"/>
        <w:ind w:left="576" w:right="967"/>
        <w:jc w:val="left"/>
      </w:pPr>
      <w:r>
        <w:rPr/>
        <w:t>商誉和使用寿命不确定的无形资产至少在每年年度终了进行减值测试。 </w:t>
      </w:r>
      <w:r>
        <w:rPr>
          <w:spacing w:val="-1"/>
        </w:rPr>
        <w:t>本公司进行商誉减值测试，对于因企业合并形成的商誉的账面价值，自购买日起按照合理的方法分摊</w:t>
      </w:r>
    </w:p>
    <w:p>
      <w:pPr>
        <w:pStyle w:val="Heading4"/>
        <w:spacing w:line="273" w:lineRule="auto"/>
        <w:ind w:right="1131"/>
        <w:jc w:val="both"/>
      </w:pPr>
      <w:r>
        <w:rPr>
          <w:spacing w:val="-1"/>
        </w:rPr>
        <w:t>至相关的资产组；难以分摊至相关的资产组的，将其分摊至相关的资产组组合。在将商誉的账面价值分摊</w:t>
      </w:r>
      <w:r>
        <w:rPr>
          <w:spacing w:val="-83"/>
        </w:rPr>
        <w:t> </w:t>
      </w:r>
      <w:r>
        <w:rPr>
          <w:spacing w:val="-83"/>
        </w:rPr>
      </w:r>
      <w:r>
        <w:rPr>
          <w:spacing w:val="-1"/>
        </w:rPr>
        <w:t>至相关的资产组或者资产组组合时，按照各资产组或者资产组组合的公允价值占相关资产组或者资产组组</w:t>
      </w:r>
      <w:r>
        <w:rPr>
          <w:spacing w:val="-81"/>
        </w:rPr>
        <w:t> </w:t>
      </w:r>
      <w:r>
        <w:rPr>
          <w:spacing w:val="-81"/>
        </w:rPr>
      </w:r>
      <w:r>
        <w:rPr>
          <w:spacing w:val="-1"/>
        </w:rPr>
        <w:t>合公允价值总额的比例进行分摊。公允价值难以可靠计量的，按照各资产组或者资产组组合的账面价值占</w:t>
      </w:r>
      <w:r>
        <w:rPr>
          <w:spacing w:val="-81"/>
        </w:rPr>
        <w:t> </w:t>
      </w:r>
      <w:r>
        <w:rPr>
          <w:spacing w:val="-81"/>
        </w:rPr>
      </w:r>
      <w:r>
        <w:rPr/>
        <w:t>相关资产组或者资产组组合账面价值总额的比例进行分摊。</w:t>
      </w:r>
    </w:p>
    <w:p>
      <w:pPr>
        <w:pStyle w:val="Heading4"/>
        <w:spacing w:line="273" w:lineRule="auto" w:before="8"/>
        <w:ind w:right="1009" w:firstLine="422"/>
        <w:jc w:val="left"/>
      </w:pPr>
      <w:r>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面价值相比较，确认相应的减值损失。再对包含商誉的资产组或者资产组组合进行减值测试，比较这些相 关资产组或者资产组组合的账面价值（包括所分摊的商誉的账面价值部分）与其可收回金额，如相关资产 组或者资产组组合的可收回金额低于其账面价值的，确认商誉的减值损失。</w:t>
      </w:r>
      <w:r>
        <w:rPr>
          <w:spacing w:val="-22"/>
        </w:rPr>
        <w:t> </w:t>
      </w:r>
      <w:r>
        <w:rPr/>
        <w:t>上述资产减值损失一经确认，</w:t>
      </w:r>
      <w:r>
        <w:rPr/>
        <w:t> 在以后会计期间不予转回。</w:t>
      </w:r>
    </w:p>
    <w:p>
      <w:pPr>
        <w:pStyle w:val="Heading4"/>
        <w:spacing w:line="590" w:lineRule="atLeast" w:before="9"/>
        <w:ind w:left="576" w:right="967" w:hanging="423"/>
        <w:jc w:val="left"/>
      </w:pPr>
      <w:bookmarkStart w:name="21、长期待摊费用" w:id="194"/>
      <w:bookmarkEnd w:id="194"/>
      <w:r>
        <w:rPr/>
      </w:r>
      <w:r>
        <w:rPr>
          <w:rFonts w:ascii="Times New Roman" w:hAnsi="Times New Roman" w:cs="Times New Roman" w:eastAsia="Times New Roman" w:hint="default"/>
          <w:b/>
          <w:bCs/>
        </w:rPr>
        <w:t>21</w:t>
      </w:r>
      <w:r>
        <w:rPr>
          <w:rFonts w:ascii="宋体" w:hAnsi="宋体" w:cs="宋体" w:eastAsia="宋体" w:hint="default"/>
          <w:b/>
          <w:bCs/>
        </w:rPr>
        <w:t>、长期待摊费用</w:t>
      </w:r>
      <w:r>
        <w:rPr>
          <w:rFonts w:ascii="宋体" w:hAnsi="宋体" w:cs="宋体" w:eastAsia="宋体" w:hint="default"/>
          <w:b/>
          <w:bCs/>
          <w:w w:val="99"/>
        </w:rPr>
        <w:t> </w:t>
      </w:r>
      <w:r>
        <w:rPr>
          <w:spacing w:val="-1"/>
        </w:rPr>
        <w:t>长期待摊费用为已经发生但应由本期和以后各期负担的分摊期限在一年以上的各项费用。本公司长期</w:t>
      </w:r>
    </w:p>
    <w:p>
      <w:pPr>
        <w:pStyle w:val="Heading4"/>
        <w:spacing w:line="273" w:lineRule="auto" w:before="37"/>
        <w:ind w:left="576" w:right="7180" w:hanging="423"/>
        <w:jc w:val="left"/>
      </w:pPr>
      <w:r>
        <w:rPr/>
        <w:t>待摊费用包括装修费和技术支持费。 长期待摊费用在受益期内平均摊销</w:t>
      </w:r>
    </w:p>
    <w:p>
      <w:pPr>
        <w:spacing w:line="240" w:lineRule="auto" w:before="8"/>
        <w:rPr>
          <w:rFonts w:ascii="宋体" w:hAnsi="宋体" w:cs="宋体" w:eastAsia="宋体" w:hint="default"/>
          <w:sz w:val="23"/>
          <w:szCs w:val="23"/>
        </w:rPr>
      </w:pPr>
    </w:p>
    <w:p>
      <w:pPr>
        <w:pStyle w:val="Heading3"/>
        <w:spacing w:line="240" w:lineRule="auto"/>
        <w:ind w:right="967"/>
        <w:jc w:val="left"/>
        <w:rPr>
          <w:b w:val="0"/>
          <w:bCs w:val="0"/>
        </w:rPr>
      </w:pPr>
      <w:bookmarkStart w:name="22、职工薪酬" w:id="195"/>
      <w:bookmarkEnd w:id="195"/>
      <w:r>
        <w:rPr>
          <w:b w:val="0"/>
          <w:bCs w:val="0"/>
        </w:rPr>
      </w:r>
      <w:r>
        <w:rPr>
          <w:rFonts w:ascii="Times New Roman" w:hAnsi="Times New Roman" w:cs="Times New Roman" w:eastAsia="Times New Roman" w:hint="default"/>
        </w:rPr>
        <w:t>22</w:t>
      </w:r>
      <w:r>
        <w:rPr/>
        <w:t>、职工薪酬</w:t>
      </w:r>
      <w:r>
        <w:rPr>
          <w:b w:val="0"/>
          <w:bCs w:val="0"/>
        </w:rPr>
      </w:r>
    </w:p>
    <w:p>
      <w:pPr>
        <w:spacing w:line="590" w:lineRule="atLeast" w:before="23"/>
        <w:ind w:left="576" w:right="967" w:hanging="423"/>
        <w:jc w:val="left"/>
        <w:rPr>
          <w:rFonts w:ascii="宋体" w:hAnsi="宋体" w:cs="宋体" w:eastAsia="宋体" w:hint="default"/>
          <w:sz w:val="21"/>
          <w:szCs w:val="21"/>
        </w:rPr>
      </w:pPr>
      <w:bookmarkStart w:name="（1）短期薪酬的会计处理方法" w:id="196"/>
      <w:bookmarkEnd w:id="1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本公司在职工为本公司提供服务的会计期间，将实际发生的短期薪酬确认为负债，并计入当期损益或</w:t>
      </w:r>
    </w:p>
    <w:p>
      <w:pPr>
        <w:pStyle w:val="Heading4"/>
        <w:spacing w:line="273" w:lineRule="auto" w:before="37"/>
        <w:ind w:left="576" w:right="967" w:hanging="423"/>
        <w:jc w:val="left"/>
      </w:pPr>
      <w:r>
        <w:rPr/>
        <w:t>相关资产成本。 </w:t>
      </w:r>
      <w:r>
        <w:rPr>
          <w:spacing w:val="-1"/>
        </w:rPr>
        <w:t>本公司为职工缴纳的社会保险费和住房公积金，以及按规定提取的工会经费和职工教育经费，在职工</w:t>
      </w:r>
    </w:p>
    <w:p>
      <w:pPr>
        <w:pStyle w:val="Heading4"/>
        <w:spacing w:line="273" w:lineRule="auto"/>
        <w:ind w:left="576" w:right="1933" w:hanging="423"/>
        <w:jc w:val="left"/>
      </w:pPr>
      <w:r>
        <w:rPr/>
        <w:t>为本公司提供服务的会计期间，根据规定的计提基础和计提比例计算确定相应的职工薪酬金额。 职工福利费为非货币性福利的，如能够可靠计量的，按照公允价值计量。</w:t>
      </w:r>
    </w:p>
    <w:p>
      <w:pPr>
        <w:spacing w:after="0" w:line="273"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967"/>
        <w:jc w:val="left"/>
        <w:rPr>
          <w:b w:val="0"/>
          <w:bCs w:val="0"/>
        </w:rPr>
      </w:pPr>
      <w:bookmarkStart w:name="（2）离职后福利的会计处理方法" w:id="197"/>
      <w:bookmarkEnd w:id="197"/>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left="576" w:right="967"/>
        <w:jc w:val="left"/>
      </w:pPr>
      <w:r>
        <w:rPr/>
        <w:t>（</w:t>
      </w:r>
      <w:r>
        <w:rPr>
          <w:rFonts w:ascii="宋体" w:hAnsi="宋体" w:cs="宋体" w:eastAsia="宋体" w:hint="default"/>
        </w:rPr>
        <w:t>1</w:t>
      </w:r>
      <w:r>
        <w:rPr/>
        <w:t>）设定提存计划 </w:t>
      </w:r>
      <w:r>
        <w:rPr>
          <w:spacing w:val="-1"/>
        </w:rPr>
        <w:t>本公司按当地政府的相关规定为职工缴纳基本养老保险和失业保险，在职工为本公司提供服务的会计</w:t>
      </w:r>
    </w:p>
    <w:p>
      <w:pPr>
        <w:pStyle w:val="Heading4"/>
        <w:spacing w:line="273" w:lineRule="auto" w:before="8"/>
        <w:ind w:left="0" w:right="1109"/>
        <w:jc w:val="right"/>
      </w:pPr>
      <w:r>
        <w:rPr/>
        <w:t>期间，按以当地规定的缴纳基数和比例计算应缴纳金额，确认为负债，并计入当期损益或相关资产成本。 </w:t>
      </w:r>
      <w:r>
        <w:rPr>
          <w:spacing w:val="-1"/>
        </w:rPr>
        <w:t>除基本养老保险外，本公司还依据国家企业年金制度的相关政策建立了企业年金缴费制度（补充养老</w:t>
      </w:r>
      <w:r>
        <w:rPr/>
        <w:t> </w:t>
      </w:r>
      <w:r>
        <w:rPr>
          <w:spacing w:val="-1"/>
        </w:rPr>
        <w:t>保险）</w:t>
      </w:r>
      <w:r>
        <w:rPr>
          <w:rFonts w:ascii="宋体" w:hAnsi="宋体" w:cs="宋体" w:eastAsia="宋体" w:hint="default"/>
          <w:spacing w:val="-1"/>
        </w:rPr>
        <w:t>/</w:t>
      </w:r>
      <w:r>
        <w:rPr>
          <w:spacing w:val="-1"/>
        </w:rPr>
        <w:t>企业年金计划。本公司按职工工资总额的一定比例向当地社会保险机构缴费</w:t>
      </w:r>
      <w:r>
        <w:rPr>
          <w:rFonts w:ascii="宋体" w:hAnsi="宋体" w:cs="宋体" w:eastAsia="宋体" w:hint="default"/>
          <w:spacing w:val="-1"/>
        </w:rPr>
        <w:t>/</w:t>
      </w:r>
      <w:r>
        <w:rPr>
          <w:spacing w:val="-1"/>
        </w:rPr>
        <w:t>年金计划缴费，相应</w:t>
      </w:r>
    </w:p>
    <w:p>
      <w:pPr>
        <w:pStyle w:val="Heading4"/>
        <w:spacing w:line="240" w:lineRule="auto"/>
        <w:ind w:right="967"/>
        <w:jc w:val="left"/>
      </w:pPr>
      <w:r>
        <w:rPr/>
        <w:t>支出计入当期损益或相关资产成本。</w:t>
      </w:r>
    </w:p>
    <w:p>
      <w:pPr>
        <w:pStyle w:val="Heading4"/>
        <w:spacing w:line="273" w:lineRule="auto" w:before="37"/>
        <w:ind w:left="576" w:right="1300"/>
        <w:jc w:val="left"/>
      </w:pPr>
      <w:r>
        <w:rPr/>
        <w:t>（</w:t>
      </w:r>
      <w:r>
        <w:rPr>
          <w:rFonts w:ascii="宋体" w:hAnsi="宋体" w:cs="宋体" w:eastAsia="宋体" w:hint="default"/>
        </w:rPr>
        <w:t>2</w:t>
      </w:r>
      <w:r>
        <w:rPr/>
        <w:t>）设定受益计划 本公司根据预期累计福利单位法确定的公式将设定受益计划产生的福利义务归属于职工提供服务的</w:t>
      </w:r>
    </w:p>
    <w:p>
      <w:pPr>
        <w:pStyle w:val="Heading4"/>
        <w:spacing w:line="273" w:lineRule="auto"/>
        <w:ind w:left="576" w:right="1300" w:hanging="423"/>
        <w:jc w:val="left"/>
      </w:pPr>
      <w:r>
        <w:rPr/>
        <w:t>期间，并计入当期损益或相关资产成本。 设定受益计划义务现值减去设定受益计划资产公允价值所形成的赤字或盈余确认为一项设定受益计</w:t>
      </w:r>
    </w:p>
    <w:p>
      <w:pPr>
        <w:pStyle w:val="Heading4"/>
        <w:spacing w:line="273" w:lineRule="auto"/>
        <w:ind w:right="967"/>
        <w:jc w:val="left"/>
      </w:pPr>
      <w:r>
        <w:rPr>
          <w:spacing w:val="-1"/>
        </w:rPr>
        <w:t>划净负债或净资产。设定受益计划存在盈余的，本公司以设定受益计划的盈余和资产上限两项的孰低者计</w:t>
      </w:r>
      <w:r>
        <w:rPr>
          <w:spacing w:val="-81"/>
        </w:rPr>
        <w:t> </w:t>
      </w:r>
      <w:r>
        <w:rPr>
          <w:spacing w:val="-81"/>
        </w:rPr>
      </w:r>
      <w:r>
        <w:rPr/>
        <w:t>量设定受益计划净资产。</w:t>
      </w:r>
    </w:p>
    <w:p>
      <w:pPr>
        <w:pStyle w:val="Heading4"/>
        <w:spacing w:line="273" w:lineRule="auto"/>
        <w:ind w:right="1090" w:firstLine="422"/>
        <w:jc w:val="left"/>
      </w:pPr>
      <w:r>
        <w:rPr/>
        <w:t>所有设定受益计划义务，包括预期在职工提供服务的年度报告期间结束后的十二个月内支付的义务， 根据资产负债表日与设定受益计划义务期限和币种相匹配的国债或活跃市场上的高质量公司债券的市场 收益率予以折现。</w:t>
      </w:r>
    </w:p>
    <w:p>
      <w:pPr>
        <w:pStyle w:val="Heading4"/>
        <w:spacing w:line="273" w:lineRule="auto"/>
        <w:ind w:right="1092" w:firstLine="422"/>
        <w:jc w:val="left"/>
      </w:pPr>
      <w:r>
        <w:rPr/>
        <w:t>设定受益计划产生的服务成本和设定受益计划净负债或净资产的利息净额计入当期损益或相关资产 </w:t>
      </w:r>
      <w:r>
        <w:rPr>
          <w:spacing w:val="-1"/>
        </w:rPr>
        <w:t>成本；重新计量设定受益计划净负债或净资产所产生的变动计入其他综合收益，并且在后续会计期间不转</w:t>
      </w:r>
      <w:r>
        <w:rPr>
          <w:spacing w:val="-81"/>
        </w:rPr>
        <w:t> </w:t>
      </w:r>
      <w:r>
        <w:rPr>
          <w:spacing w:val="-81"/>
        </w:rPr>
      </w:r>
      <w:r>
        <w:rPr/>
        <w:t>回至损益，在原设定受益计划终止时在权益范围内将原计入其他综合收益的部分全部结转至未分配利润。</w:t>
      </w:r>
    </w:p>
    <w:p>
      <w:pPr>
        <w:pStyle w:val="Heading4"/>
        <w:spacing w:line="273" w:lineRule="auto"/>
        <w:ind w:right="967" w:firstLine="422"/>
        <w:jc w:val="left"/>
      </w:pPr>
      <w:r>
        <w:rPr>
          <w:spacing w:val="-1"/>
        </w:rPr>
        <w:t>在设定受益计划结算时，按在结算日确定的设定受益计划义务现值和结算价格两者的差额，确认结算</w:t>
      </w:r>
      <w:r>
        <w:rPr/>
        <w:t> 利得或损失。</w:t>
      </w:r>
    </w:p>
    <w:p>
      <w:pPr>
        <w:spacing w:line="590" w:lineRule="atLeast" w:before="10"/>
        <w:ind w:left="576" w:right="967" w:hanging="423"/>
        <w:jc w:val="left"/>
        <w:rPr>
          <w:rFonts w:ascii="宋体" w:hAnsi="宋体" w:cs="宋体" w:eastAsia="宋体" w:hint="default"/>
          <w:sz w:val="21"/>
          <w:szCs w:val="21"/>
        </w:rPr>
      </w:pPr>
      <w:bookmarkStart w:name="（3）辞退福利的会计处理方法" w:id="198"/>
      <w:bookmarkEnd w:id="1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本公司在不能单方面撤回因解除劳动关系计划或裁减建议所提供的辞退福利时，或确认与涉及支付辞</w:t>
      </w:r>
    </w:p>
    <w:p>
      <w:pPr>
        <w:pStyle w:val="Heading4"/>
        <w:spacing w:line="240" w:lineRule="auto" w:before="37"/>
        <w:ind w:right="967"/>
        <w:jc w:val="left"/>
      </w:pPr>
      <w:r>
        <w:rPr/>
        <w:t>退福利的重组相关的成本或费用时（两者孰早），确认辞退福利产生的职工薪酬负债，并计入当期损益。</w:t>
      </w:r>
    </w:p>
    <w:p>
      <w:pPr>
        <w:spacing w:line="240" w:lineRule="auto" w:before="11"/>
        <w:rPr>
          <w:rFonts w:ascii="宋体" w:hAnsi="宋体" w:cs="宋体" w:eastAsia="宋体" w:hint="default"/>
          <w:sz w:val="25"/>
          <w:szCs w:val="25"/>
        </w:rPr>
      </w:pPr>
    </w:p>
    <w:p>
      <w:pPr>
        <w:pStyle w:val="Heading3"/>
        <w:spacing w:line="240" w:lineRule="auto"/>
        <w:ind w:right="967"/>
        <w:jc w:val="left"/>
        <w:rPr>
          <w:b w:val="0"/>
          <w:bCs w:val="0"/>
        </w:rPr>
      </w:pPr>
      <w:bookmarkStart w:name="23、股份支付" w:id="199"/>
      <w:bookmarkEnd w:id="199"/>
      <w:r>
        <w:rPr>
          <w:b w:val="0"/>
          <w:bCs w:val="0"/>
        </w:rPr>
      </w:r>
      <w:r>
        <w:rPr>
          <w:rFonts w:ascii="Times New Roman" w:hAnsi="Times New Roman" w:cs="Times New Roman" w:eastAsia="Times New Roman" w:hint="default"/>
        </w:rPr>
        <w:t>23</w:t>
      </w:r>
      <w:r>
        <w:rPr/>
        <w:t>、股份支付</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right="1300" w:firstLine="422"/>
        <w:jc w:val="left"/>
      </w:pPr>
      <w:r>
        <w:rPr/>
        <w:t>本公司的股份支付是为了获取职工</w:t>
      </w:r>
      <w:r>
        <w:rPr>
          <w:rFonts w:ascii="宋体" w:hAnsi="宋体" w:cs="宋体" w:eastAsia="宋体" w:hint="default"/>
        </w:rPr>
        <w:t>[</w:t>
      </w:r>
      <w:r>
        <w:rPr/>
        <w:t>或其他方</w:t>
      </w:r>
      <w:r>
        <w:rPr>
          <w:rFonts w:ascii="宋体" w:hAnsi="宋体" w:cs="宋体" w:eastAsia="宋体" w:hint="default"/>
        </w:rPr>
        <w:t>]</w:t>
      </w:r>
      <w:r>
        <w:rPr/>
        <w:t>提供服务而授予权益工具或者承担以权益工具为基础 确定的负债的交易。本公司的股份支付分为以权益结算的股份支付和以现金结算的股份支付。</w:t>
      </w:r>
    </w:p>
    <w:p>
      <w:pPr>
        <w:spacing w:line="240" w:lineRule="auto" w:before="6"/>
        <w:rPr>
          <w:rFonts w:ascii="宋体" w:hAnsi="宋体" w:cs="宋体" w:eastAsia="宋体" w:hint="default"/>
          <w:sz w:val="24"/>
          <w:szCs w:val="24"/>
        </w:rPr>
      </w:pPr>
    </w:p>
    <w:p>
      <w:pPr>
        <w:pStyle w:val="Heading4"/>
        <w:spacing w:line="273" w:lineRule="auto" w:before="0"/>
        <w:ind w:right="967" w:firstLine="422"/>
        <w:jc w:val="left"/>
      </w:pPr>
      <w:r>
        <w:rPr>
          <w:spacing w:val="-1"/>
        </w:rPr>
        <w:t>以权益结算的股份支付换取职工提供服务的，以授予职工权益工具的公允价值计量。在等待期内每个</w:t>
      </w:r>
      <w:r>
        <w:rPr/>
        <w:t> 资产负债表日，本公司根据最新取得的</w:t>
      </w:r>
      <w:r>
        <w:rPr>
          <w:rFonts w:ascii="宋体" w:hAnsi="宋体" w:cs="宋体" w:eastAsia="宋体" w:hint="default"/>
        </w:rPr>
        <w:t>[</w:t>
      </w:r>
      <w:r>
        <w:rPr/>
        <w:t>可行权职工人数变动</w:t>
      </w:r>
      <w:r>
        <w:rPr>
          <w:rFonts w:ascii="宋体" w:hAnsi="宋体" w:cs="宋体" w:eastAsia="宋体" w:hint="default"/>
        </w:rPr>
        <w:t>]</w:t>
      </w:r>
      <w:r>
        <w:rPr>
          <w:rFonts w:ascii="宋体" w:hAnsi="宋体" w:cs="宋体" w:eastAsia="宋体" w:hint="default"/>
          <w:spacing w:val="-4"/>
        </w:rPr>
        <w:t> </w:t>
      </w:r>
      <w:r>
        <w:rPr/>
        <w:t>、</w:t>
      </w:r>
      <w:r>
        <w:rPr>
          <w:rFonts w:ascii="宋体" w:hAnsi="宋体" w:cs="宋体" w:eastAsia="宋体" w:hint="default"/>
        </w:rPr>
        <w:t>[</w:t>
      </w:r>
      <w:r>
        <w:rPr/>
        <w:t>是否达到规定业绩条件</w:t>
      </w:r>
      <w:r>
        <w:rPr>
          <w:rFonts w:ascii="宋体" w:hAnsi="宋体" w:cs="宋体" w:eastAsia="宋体" w:hint="default"/>
        </w:rPr>
        <w:t>]</w:t>
      </w:r>
      <w:r>
        <w:rPr/>
        <w:t>等后续信息对 </w:t>
      </w:r>
      <w:r>
        <w:rPr>
          <w:spacing w:val="-1"/>
        </w:rPr>
        <w:t>可行权权益工具数量作出最佳估计，以此为基础，按照授予日的公允价值，将当期取得的服务计入相关成</w:t>
      </w:r>
      <w:r>
        <w:rPr>
          <w:spacing w:val="-83"/>
        </w:rPr>
        <w:t> </w:t>
      </w:r>
      <w:r>
        <w:rPr>
          <w:spacing w:val="-83"/>
        </w:rPr>
      </w:r>
      <w:r>
        <w:rPr>
          <w:spacing w:val="-1"/>
        </w:rPr>
        <w:t>本或费用，相应增加资本公积。在可行权日之后不再对已确认的相关成本或费用和所有者权益总额进行调</w:t>
      </w:r>
      <w:r>
        <w:rPr>
          <w:spacing w:val="-81"/>
        </w:rPr>
        <w:t> </w:t>
      </w:r>
      <w:r>
        <w:rPr>
          <w:spacing w:val="-81"/>
        </w:rPr>
      </w:r>
      <w:r>
        <w:rPr/>
        <w:t>整。但授予后立即可行权的，在授予日按照公允价值计入相关成本或费用，相应增加资本公积。</w:t>
      </w:r>
    </w:p>
    <w:p>
      <w:pPr>
        <w:pStyle w:val="Heading4"/>
        <w:spacing w:line="273" w:lineRule="auto"/>
        <w:ind w:right="967" w:firstLine="422"/>
        <w:jc w:val="left"/>
      </w:pPr>
      <w:r>
        <w:rPr>
          <w:spacing w:val="-1"/>
        </w:rPr>
        <w:t>对于最终未能行权的股份支付，不确认成本或费用，除非行权条件是市场条件或非可行权条件，此时</w:t>
      </w:r>
      <w:r>
        <w:rPr/>
        <w:t> 无论是否满足市场条件或非可行权条件，只要满足所有可行权条件中的非市场条件，即视为可行权。</w:t>
      </w:r>
    </w:p>
    <w:p>
      <w:pPr>
        <w:pStyle w:val="Heading4"/>
        <w:spacing w:line="273" w:lineRule="auto" w:before="8"/>
        <w:ind w:right="1023" w:firstLine="422"/>
        <w:jc w:val="left"/>
      </w:pPr>
      <w:r>
        <w:rPr/>
        <w:t>如果取消了以权益结算的股份支付，则于取消日作为加速行权处理，立即确认尚未确认的金额。职工 </w:t>
      </w:r>
      <w:r>
        <w:rPr>
          <w:spacing w:val="-3"/>
        </w:rPr>
        <w:t>或其他方能够选择满足非可行权条件但在等待期内未满足的，作为取消以权益结算的股份支付处理。但是，</w:t>
      </w:r>
      <w:r>
        <w:rPr>
          <w:spacing w:val="-92"/>
        </w:rPr>
        <w:t> </w:t>
      </w:r>
      <w:r>
        <w:rPr>
          <w:spacing w:val="-92"/>
        </w:rPr>
      </w:r>
      <w:r>
        <w:rPr/>
        <w:t>如果授予新的权益工具，并在新权益工具授予日认定所授予的新权益工具是用于替代被取消的权益工具 的，则以与处理原权益工具条款和条件修改相同的方式，对所授予的替代权益工具进行处理。</w:t>
      </w:r>
    </w:p>
    <w:p>
      <w:pPr>
        <w:spacing w:after="0" w:line="273"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967"/>
        <w:jc w:val="left"/>
        <w:rPr>
          <w:b w:val="0"/>
          <w:bCs w:val="0"/>
        </w:rPr>
      </w:pPr>
      <w:bookmarkStart w:name="24、收入" w:id="200"/>
      <w:bookmarkEnd w:id="200"/>
      <w:r>
        <w:rPr>
          <w:b w:val="0"/>
          <w:bCs w:val="0"/>
        </w:rPr>
      </w:r>
      <w:r>
        <w:rPr>
          <w:rFonts w:ascii="Times New Roman" w:hAnsi="Times New Roman" w:cs="Times New Roman" w:eastAsia="Times New Roman" w:hint="default"/>
        </w:rPr>
        <w:t>24</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9"/>
        <w:ind w:right="967"/>
        <w:jc w:val="left"/>
      </w:pPr>
      <w:r>
        <w:rPr/>
        <w:t>软件与信息技术服务业</w:t>
      </w:r>
    </w:p>
    <w:p>
      <w:pPr>
        <w:pStyle w:val="BodyText"/>
        <w:spacing w:line="240" w:lineRule="auto" w:before="116"/>
        <w:ind w:right="967"/>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tabs>
          <w:tab w:pos="994" w:val="left" w:leader="none"/>
        </w:tabs>
        <w:spacing w:line="273" w:lineRule="auto" w:before="75"/>
        <w:ind w:left="576" w:right="1133" w:firstLine="0"/>
        <w:jc w:val="left"/>
        <w:rPr>
          <w:rFonts w:ascii="宋体" w:hAnsi="宋体" w:cs="宋体" w:eastAsia="宋体" w:hint="default"/>
          <w:sz w:val="21"/>
          <w:szCs w:val="21"/>
        </w:rPr>
      </w:pPr>
      <w:r>
        <w:rPr>
          <w:rFonts w:ascii="宋体" w:hAnsi="宋体" w:cs="宋体" w:eastAsia="宋体" w:hint="default"/>
          <w:sz w:val="21"/>
          <w:szCs w:val="21"/>
        </w:rPr>
        <w:t>·</w:t>
        <w:tab/>
      </w:r>
      <w:r>
        <w:rPr>
          <w:rFonts w:ascii="宋体" w:hAnsi="宋体" w:cs="宋体" w:eastAsia="宋体" w:hint="default"/>
          <w:b/>
          <w:bCs/>
          <w:sz w:val="21"/>
          <w:szCs w:val="21"/>
        </w:rPr>
        <w:t>销售商品收入确认时间的具体原则</w:t>
      </w:r>
      <w:r>
        <w:rPr>
          <w:rFonts w:ascii="宋体" w:hAnsi="宋体" w:cs="宋体" w:eastAsia="宋体" w:hint="default"/>
          <w:b/>
          <w:bCs/>
          <w:w w:val="99"/>
          <w:sz w:val="21"/>
          <w:szCs w:val="21"/>
        </w:rPr>
        <w:t> </w:t>
      </w:r>
      <w:r>
        <w:rPr>
          <w:rFonts w:ascii="宋体" w:hAnsi="宋体" w:cs="宋体" w:eastAsia="宋体" w:hint="default"/>
          <w:spacing w:val="-1"/>
          <w:sz w:val="21"/>
          <w:szCs w:val="21"/>
        </w:rPr>
        <w:t>公司已将商品所有权上的主要风险和报酬转移给购买方；公司既没有保留与所有权相联系的继续管理</w:t>
      </w:r>
    </w:p>
    <w:p>
      <w:pPr>
        <w:pStyle w:val="Heading4"/>
        <w:spacing w:line="273" w:lineRule="auto"/>
        <w:ind w:right="1023"/>
        <w:jc w:val="left"/>
      </w:pPr>
      <w:r>
        <w:rPr>
          <w:spacing w:val="-3"/>
        </w:rPr>
        <w:t>权，也没有对已售出的商品实施有效控制；收入的金额能够可靠地计量；相关的经济利益很可能流入企业；</w:t>
      </w:r>
      <w:r>
        <w:rPr>
          <w:spacing w:val="-90"/>
        </w:rPr>
        <w:t> </w:t>
      </w:r>
      <w:r>
        <w:rPr>
          <w:spacing w:val="-90"/>
        </w:rPr>
      </w:r>
      <w:r>
        <w:rPr/>
        <w:t>相关的已发生或将发生的成本能够可靠地计量时，确认商品销售收入实现。合同或协议价款的收取采用递</w:t>
      </w:r>
      <w:r>
        <w:rPr/>
        <w:t> 延方式，实质上具有融资性质的，按照应收的合同或协议价款的公允价值确定销售商品收入金额。</w:t>
      </w:r>
    </w:p>
    <w:p>
      <w:pPr>
        <w:pStyle w:val="Heading4"/>
        <w:spacing w:line="240" w:lineRule="auto"/>
        <w:ind w:left="576" w:right="967"/>
        <w:jc w:val="left"/>
      </w:pPr>
      <w:r>
        <w:rPr/>
        <w:t>具体地，本公司产品销售收入确认时点，根据合同约定而分为两种：</w:t>
      </w:r>
    </w:p>
    <w:p>
      <w:pPr>
        <w:pStyle w:val="Heading4"/>
        <w:spacing w:line="273" w:lineRule="auto" w:before="37"/>
        <w:ind w:right="1195" w:firstLine="422"/>
        <w:jc w:val="left"/>
      </w:pPr>
      <w:r>
        <w:rPr/>
        <w:t>（</w:t>
      </w:r>
      <w:r>
        <w:rPr>
          <w:rFonts w:ascii="宋体" w:hAnsi="宋体" w:cs="宋体" w:eastAsia="宋体" w:hint="default"/>
        </w:rPr>
        <w:t>1</w:t>
      </w:r>
      <w:r>
        <w:rPr/>
        <w:t>）软件销售合同：指销售软件并附带提供相关培训、安装调试、技术支持和售后服务的合同，软 件销售合同在产品发出并经客户验收合格时确认收入。</w:t>
      </w:r>
    </w:p>
    <w:p>
      <w:pPr>
        <w:pStyle w:val="Heading4"/>
        <w:spacing w:line="273" w:lineRule="auto"/>
        <w:ind w:right="1195" w:firstLine="422"/>
        <w:jc w:val="left"/>
      </w:pPr>
      <w:r>
        <w:rPr/>
        <w:t>（</w:t>
      </w:r>
      <w:r>
        <w:rPr>
          <w:rFonts w:ascii="宋体" w:hAnsi="宋体" w:cs="宋体" w:eastAsia="宋体" w:hint="default"/>
        </w:rPr>
        <w:t>2</w:t>
      </w:r>
      <w:r>
        <w:rPr/>
        <w:t>）硬件销售合同：指销售硬件并附带销售配套软件或者单独销售硬件的合同，硬件销售合同在硬 件或者软硬件组成的系统经客户验收合格后确认收入。</w:t>
      </w:r>
    </w:p>
    <w:p>
      <w:pPr>
        <w:tabs>
          <w:tab w:pos="994" w:val="left" w:leader="none"/>
        </w:tabs>
        <w:spacing w:line="273" w:lineRule="auto" w:before="7"/>
        <w:ind w:left="576" w:right="1131" w:firstLine="0"/>
        <w:jc w:val="left"/>
        <w:rPr>
          <w:rFonts w:ascii="宋体" w:hAnsi="宋体" w:cs="宋体" w:eastAsia="宋体" w:hint="default"/>
          <w:sz w:val="21"/>
          <w:szCs w:val="21"/>
        </w:rPr>
      </w:pPr>
      <w:r>
        <w:rPr>
          <w:rFonts w:ascii="宋体" w:hAnsi="宋体" w:cs="宋体" w:eastAsia="宋体" w:hint="default"/>
          <w:sz w:val="21"/>
          <w:szCs w:val="21"/>
        </w:rPr>
        <w:t>·</w:t>
        <w:tab/>
      </w:r>
      <w:r>
        <w:rPr>
          <w:rFonts w:ascii="宋体" w:hAnsi="宋体" w:cs="宋体" w:eastAsia="宋体" w:hint="default"/>
          <w:b/>
          <w:bCs/>
          <w:sz w:val="21"/>
          <w:szCs w:val="21"/>
        </w:rPr>
        <w:t>劳务收入确认时间的具体判断标准</w:t>
      </w:r>
      <w:r>
        <w:rPr>
          <w:rFonts w:ascii="宋体" w:hAnsi="宋体" w:cs="宋体" w:eastAsia="宋体" w:hint="default"/>
          <w:b/>
          <w:bCs/>
          <w:w w:val="99"/>
          <w:sz w:val="21"/>
          <w:szCs w:val="21"/>
        </w:rPr>
        <w:t> </w:t>
      </w:r>
      <w:r>
        <w:rPr>
          <w:rFonts w:ascii="宋体" w:hAnsi="宋体" w:cs="宋体" w:eastAsia="宋体" w:hint="default"/>
          <w:spacing w:val="-1"/>
          <w:sz w:val="21"/>
          <w:szCs w:val="21"/>
        </w:rPr>
        <w:t>在资产负债表日劳务交易的结果能够可靠估计的，采用完工百分比法确认提供劳务收入。本公司根据</w:t>
      </w:r>
    </w:p>
    <w:p>
      <w:pPr>
        <w:pStyle w:val="Heading4"/>
        <w:spacing w:line="273" w:lineRule="auto"/>
        <w:ind w:left="576" w:right="1195" w:hanging="423"/>
        <w:jc w:val="left"/>
      </w:pPr>
      <w:r>
        <w:rPr/>
        <w:t>已经提供的劳务占应提供劳务总量的比例，确定提供劳务交易的完工进度（完工百分比）。 在资产负债表日提供劳务交易结果不能够可靠估计的，分别下列情况处理： </w:t>
      </w:r>
      <w:r>
        <w:rPr>
          <w:rFonts w:ascii="宋体" w:hAnsi="宋体" w:cs="宋体" w:eastAsia="宋体" w:hint="default"/>
        </w:rPr>
        <w:t>A</w:t>
      </w:r>
      <w:r>
        <w:rPr/>
        <w:t>、已经发生的劳务成本预计能够得到补偿的，按照已经发生的劳务成本金额确认提供劳务收入，并</w:t>
      </w:r>
    </w:p>
    <w:p>
      <w:pPr>
        <w:pStyle w:val="Heading4"/>
        <w:spacing w:line="273" w:lineRule="auto"/>
        <w:ind w:left="576" w:right="1195" w:hanging="423"/>
        <w:jc w:val="left"/>
      </w:pPr>
      <w:r>
        <w:rPr/>
        <w:t>按相同金额结转劳务成本。 </w:t>
      </w:r>
      <w:r>
        <w:rPr>
          <w:rFonts w:ascii="宋体" w:hAnsi="宋体" w:cs="宋体" w:eastAsia="宋体" w:hint="default"/>
        </w:rPr>
        <w:t>B</w:t>
      </w:r>
      <w:r>
        <w:rPr/>
        <w:t>、已经发生的劳务成本预计不能够得到补偿的，将已经发生的劳务成本计入当期损益，不确认提供</w:t>
      </w:r>
    </w:p>
    <w:p>
      <w:pPr>
        <w:pStyle w:val="Heading4"/>
        <w:spacing w:line="240" w:lineRule="auto"/>
        <w:ind w:right="967"/>
        <w:jc w:val="left"/>
      </w:pPr>
      <w:r>
        <w:rPr/>
        <w:t>劳务收入。</w:t>
      </w:r>
    </w:p>
    <w:p>
      <w:pPr>
        <w:pStyle w:val="Heading4"/>
        <w:spacing w:line="240" w:lineRule="auto" w:before="37"/>
        <w:ind w:left="576" w:right="967"/>
        <w:jc w:val="left"/>
      </w:pPr>
      <w:r>
        <w:rPr/>
        <w:t>具体地：</w:t>
      </w:r>
    </w:p>
    <w:p>
      <w:pPr>
        <w:pStyle w:val="Heading4"/>
        <w:spacing w:line="273" w:lineRule="auto" w:before="37"/>
        <w:ind w:right="967" w:firstLine="422"/>
        <w:jc w:val="left"/>
      </w:pPr>
      <w:r>
        <w:rPr/>
        <w:t>（</w:t>
      </w:r>
      <w:r>
        <w:rPr>
          <w:rFonts w:ascii="宋体" w:hAnsi="宋体" w:cs="宋体" w:eastAsia="宋体" w:hint="default"/>
        </w:rPr>
        <w:t>1</w:t>
      </w:r>
      <w:r>
        <w:rPr/>
        <w:t>）增值服务合同：指在公司销售软件的基础上，完成客户特定需求的定制开发合同。增值服务合 </w:t>
      </w:r>
      <w:r>
        <w:rPr>
          <w:spacing w:val="-1"/>
        </w:rPr>
        <w:t>同按照合同约定的时间节点和里程碑，取得经客户确认的相关交付、初验、试运行、终验或者项目进度报</w:t>
      </w:r>
      <w:r>
        <w:rPr>
          <w:spacing w:val="-86"/>
        </w:rPr>
        <w:t> </w:t>
      </w:r>
      <w:r>
        <w:rPr>
          <w:spacing w:val="-86"/>
        </w:rPr>
      </w:r>
      <w:r>
        <w:rPr/>
        <w:t>告等文件时，结合客户付款方式分段确认收入。</w:t>
      </w:r>
    </w:p>
    <w:p>
      <w:pPr>
        <w:pStyle w:val="Heading4"/>
        <w:spacing w:line="273" w:lineRule="auto"/>
        <w:ind w:right="967" w:firstLine="422"/>
        <w:jc w:val="left"/>
      </w:pPr>
      <w:r>
        <w:rPr>
          <w:spacing w:val="-1"/>
        </w:rPr>
        <w:t>（</w:t>
      </w:r>
      <w:r>
        <w:rPr>
          <w:rFonts w:ascii="宋体" w:hAnsi="宋体" w:cs="宋体" w:eastAsia="宋体" w:hint="default"/>
          <w:spacing w:val="-1"/>
        </w:rPr>
        <w:t>2</w:t>
      </w:r>
      <w:r>
        <w:rPr>
          <w:spacing w:val="-1"/>
        </w:rPr>
        <w:t>）网络优化测试及维保和技术服务，合同约定了服务期限、合同总价，以及以“人日”、“人月”</w:t>
      </w:r>
      <w:r>
        <w:rPr/>
        <w:t> 等作为计价结算方式的，按照合同约定的方式按期结算并确认收入；不以“人日”、“人月”等作为计价 结算方式的，根据服务期限按直线法确认收入。如果合同约定按里程碑验收并结算的，则根据客户确认的 里程碑分阶段确认收入。</w:t>
      </w:r>
    </w:p>
    <w:p>
      <w:pPr>
        <w:pStyle w:val="Heading4"/>
        <w:spacing w:line="273" w:lineRule="auto"/>
        <w:ind w:right="1131" w:firstLine="422"/>
        <w:jc w:val="both"/>
      </w:pPr>
      <w:r>
        <w:rPr>
          <w:spacing w:val="-1"/>
        </w:rPr>
        <w:t>本公司与其他企业签订的合同或协议包括销售商品和提供劳务时，销售商品部分和提供劳务部分能够</w:t>
      </w:r>
      <w:r>
        <w:rPr/>
        <w:t> </w:t>
      </w:r>
      <w:r>
        <w:rPr>
          <w:spacing w:val="-1"/>
        </w:rPr>
        <w:t>区分且能够单独计量的，将销售商品的部分作为销售商品处理，将提供劳务的部分作为提供劳务处理。销</w:t>
      </w:r>
      <w:r>
        <w:rPr>
          <w:spacing w:val="-83"/>
        </w:rPr>
        <w:t> </w:t>
      </w:r>
      <w:r>
        <w:rPr>
          <w:spacing w:val="-83"/>
        </w:rPr>
      </w:r>
      <w:r>
        <w:rPr>
          <w:spacing w:val="-1"/>
        </w:rPr>
        <w:t>售商品部分和提供劳务部分不能够区分，或虽能区分但不能够单独计量的，将销售商品部分和提供劳务部</w:t>
      </w:r>
      <w:r>
        <w:rPr>
          <w:spacing w:val="-81"/>
        </w:rPr>
        <w:t> </w:t>
      </w:r>
      <w:r>
        <w:rPr>
          <w:spacing w:val="-81"/>
        </w:rPr>
      </w:r>
      <w:r>
        <w:rPr/>
        <w:t>分全部作为销售商品处理。</w:t>
      </w:r>
    </w:p>
    <w:p>
      <w:pPr>
        <w:spacing w:line="240" w:lineRule="auto" w:before="8"/>
        <w:rPr>
          <w:rFonts w:ascii="宋体" w:hAnsi="宋体" w:cs="宋体" w:eastAsia="宋体" w:hint="default"/>
          <w:sz w:val="23"/>
          <w:szCs w:val="23"/>
        </w:rPr>
      </w:pPr>
    </w:p>
    <w:p>
      <w:pPr>
        <w:pStyle w:val="Heading3"/>
        <w:spacing w:line="240" w:lineRule="auto"/>
        <w:ind w:right="967"/>
        <w:jc w:val="left"/>
        <w:rPr>
          <w:b w:val="0"/>
          <w:bCs w:val="0"/>
        </w:rPr>
      </w:pPr>
      <w:bookmarkStart w:name="25、政府补助" w:id="201"/>
      <w:bookmarkEnd w:id="201"/>
      <w:r>
        <w:rPr>
          <w:b w:val="0"/>
          <w:bCs w:val="0"/>
        </w:rPr>
      </w:r>
      <w:r>
        <w:rPr>
          <w:rFonts w:ascii="Times New Roman" w:hAnsi="Times New Roman" w:cs="Times New Roman" w:eastAsia="Times New Roman" w:hint="default"/>
        </w:rPr>
        <w:t>25</w:t>
      </w:r>
      <w:r>
        <w:rPr/>
        <w:t>、政府补助</w:t>
      </w:r>
      <w:r>
        <w:rPr>
          <w:b w:val="0"/>
          <w:bCs w:val="0"/>
        </w:rPr>
      </w:r>
    </w:p>
    <w:p>
      <w:pPr>
        <w:spacing w:line="240" w:lineRule="auto" w:before="7"/>
        <w:rPr>
          <w:rFonts w:ascii="宋体" w:hAnsi="宋体" w:cs="宋体" w:eastAsia="宋体" w:hint="default"/>
          <w:b/>
          <w:bCs/>
          <w:sz w:val="24"/>
          <w:szCs w:val="24"/>
        </w:rPr>
      </w:pPr>
    </w:p>
    <w:p>
      <w:pPr>
        <w:pStyle w:val="Heading4"/>
        <w:tabs>
          <w:tab w:pos="994" w:val="left" w:leader="none"/>
        </w:tabs>
        <w:spacing w:line="273" w:lineRule="auto" w:before="0"/>
        <w:ind w:left="576" w:right="1131"/>
        <w:jc w:val="left"/>
      </w:pPr>
      <w:r>
        <w:rPr/>
        <w:t>·</w:t>
        <w:tab/>
      </w:r>
      <w:r>
        <w:rPr>
          <w:rFonts w:ascii="宋体" w:hAnsi="宋体" w:cs="宋体" w:eastAsia="宋体" w:hint="default"/>
          <w:b/>
          <w:bCs/>
        </w:rPr>
        <w:t>类型</w:t>
      </w:r>
      <w:r>
        <w:rPr>
          <w:rFonts w:ascii="宋体" w:hAnsi="宋体" w:cs="宋体" w:eastAsia="宋体" w:hint="default"/>
          <w:b/>
          <w:bCs/>
          <w:spacing w:val="1"/>
          <w:w w:val="99"/>
        </w:rPr>
        <w:t> </w:t>
      </w:r>
      <w:r>
        <w:rPr>
          <w:spacing w:val="-1"/>
        </w:rPr>
        <w:t>政府补助，是本公司从政府无偿取得的货币性资产与非货币性资产。分为与资产相关的政府补助和与</w:t>
      </w:r>
    </w:p>
    <w:p>
      <w:pPr>
        <w:pStyle w:val="Heading4"/>
        <w:spacing w:line="273" w:lineRule="auto"/>
        <w:ind w:left="576" w:right="967" w:hanging="423"/>
        <w:jc w:val="left"/>
      </w:pPr>
      <w:r>
        <w:rPr/>
        <w:t>收益相关的政府补助。 </w:t>
      </w:r>
      <w:r>
        <w:rPr>
          <w:spacing w:val="-1"/>
        </w:rPr>
        <w:t>与资产相关的政府补助，是指本公司取得的、用于购建或以其他方式形成长期资产的政府补助。与收</w:t>
      </w:r>
    </w:p>
    <w:p>
      <w:pPr>
        <w:pStyle w:val="Heading4"/>
        <w:spacing w:line="240" w:lineRule="auto"/>
        <w:ind w:right="967"/>
        <w:jc w:val="left"/>
      </w:pPr>
      <w:r>
        <w:rPr/>
        <w:t>益相关的政府补助，是指除与资产相关的政府补助之外的政府补助。</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4"/>
        <w:spacing w:line="273" w:lineRule="auto" w:before="35"/>
        <w:ind w:right="1132" w:firstLine="422"/>
        <w:jc w:val="both"/>
      </w:pPr>
      <w:r>
        <w:rPr>
          <w:spacing w:val="-1"/>
        </w:rPr>
        <w:t>本公司将政府补助划分为与资产相关的具体标准为：政府补助文件中明确约定该补助金额与长期资产</w:t>
      </w:r>
      <w:r>
        <w:rPr/>
        <w:t> 相关。</w:t>
      </w:r>
    </w:p>
    <w:p>
      <w:pPr>
        <w:spacing w:line="240" w:lineRule="auto" w:before="6"/>
        <w:rPr>
          <w:rFonts w:ascii="宋体" w:hAnsi="宋体" w:cs="宋体" w:eastAsia="宋体" w:hint="default"/>
          <w:sz w:val="24"/>
          <w:szCs w:val="24"/>
        </w:rPr>
      </w:pPr>
    </w:p>
    <w:p>
      <w:pPr>
        <w:pStyle w:val="Heading4"/>
        <w:spacing w:line="273" w:lineRule="auto" w:before="0"/>
        <w:ind w:right="1133" w:firstLine="422"/>
        <w:jc w:val="both"/>
      </w:pPr>
      <w:r>
        <w:rPr>
          <w:spacing w:val="-1"/>
        </w:rPr>
        <w:t>本公司将政府补助划分为与收益相关的具体标准为：政府补助文件中除明确约定其补助金额与长期资</w:t>
      </w:r>
      <w:r>
        <w:rPr/>
        <w:t> 产相关外的补助金额，一律作为与收益相关的政府</w:t>
      </w:r>
    </w:p>
    <w:p>
      <w:pPr>
        <w:pStyle w:val="Heading4"/>
        <w:spacing w:line="240" w:lineRule="auto"/>
        <w:ind w:left="576" w:right="967"/>
        <w:jc w:val="left"/>
      </w:pPr>
      <w:r>
        <w:rPr/>
        <w:t>补助。</w:t>
      </w:r>
    </w:p>
    <w:p>
      <w:pPr>
        <w:spacing w:line="240" w:lineRule="auto" w:before="9"/>
        <w:rPr>
          <w:rFonts w:ascii="宋体" w:hAnsi="宋体" w:cs="宋体" w:eastAsia="宋体" w:hint="default"/>
          <w:sz w:val="26"/>
          <w:szCs w:val="26"/>
        </w:rPr>
      </w:pPr>
    </w:p>
    <w:p>
      <w:pPr>
        <w:pStyle w:val="Heading4"/>
        <w:tabs>
          <w:tab w:pos="994" w:val="left" w:leader="none"/>
        </w:tabs>
        <w:spacing w:line="273" w:lineRule="auto" w:before="0"/>
        <w:ind w:left="576" w:right="1027"/>
        <w:jc w:val="left"/>
      </w:pPr>
      <w:r>
        <w:rPr/>
        <w:t>·</w:t>
        <w:tab/>
      </w:r>
      <w:r>
        <w:rPr>
          <w:rFonts w:ascii="宋体" w:hAnsi="宋体" w:cs="宋体" w:eastAsia="宋体" w:hint="default"/>
          <w:b/>
          <w:bCs/>
        </w:rPr>
        <w:t>确认时点</w:t>
      </w:r>
      <w:r>
        <w:rPr>
          <w:rFonts w:ascii="宋体" w:hAnsi="宋体" w:cs="宋体" w:eastAsia="宋体" w:hint="default"/>
          <w:b/>
          <w:bCs/>
          <w:spacing w:val="1"/>
          <w:w w:val="99"/>
        </w:rPr>
        <w:t> </w:t>
      </w:r>
      <w:r>
        <w:rPr>
          <w:spacing w:val="-3"/>
        </w:rPr>
        <w:t>与政府补助相关的递延收益，在收到补助金额时确认。与研发项目相关的递延收益，在长期资产折旧，</w:t>
      </w:r>
    </w:p>
    <w:p>
      <w:pPr>
        <w:pStyle w:val="Heading4"/>
        <w:spacing w:line="273" w:lineRule="auto"/>
        <w:ind w:right="1133"/>
        <w:jc w:val="both"/>
      </w:pPr>
      <w:r>
        <w:rPr>
          <w:spacing w:val="-1"/>
        </w:rPr>
        <w:t>或者摊销时，配比转入营业外收入或其他收益。补偿已发生费用、损失的补助，收到时计入营业外收入或</w:t>
      </w:r>
      <w:r>
        <w:rPr>
          <w:spacing w:val="-86"/>
        </w:rPr>
        <w:t> </w:t>
      </w:r>
      <w:r>
        <w:rPr>
          <w:spacing w:val="-86"/>
        </w:rPr>
      </w:r>
      <w:r>
        <w:rPr/>
        <w:t>其他收益。补偿以后期间的补助，于相关费用、损失发生时计入营业外收入或其他收益。</w:t>
      </w:r>
    </w:p>
    <w:p>
      <w:pPr>
        <w:spacing w:line="240" w:lineRule="auto" w:before="6"/>
        <w:rPr>
          <w:rFonts w:ascii="宋体" w:hAnsi="宋体" w:cs="宋体" w:eastAsia="宋体" w:hint="default"/>
          <w:sz w:val="24"/>
          <w:szCs w:val="24"/>
        </w:rPr>
      </w:pPr>
    </w:p>
    <w:p>
      <w:pPr>
        <w:pStyle w:val="Heading4"/>
        <w:tabs>
          <w:tab w:pos="994" w:val="left" w:leader="none"/>
        </w:tabs>
        <w:spacing w:line="273" w:lineRule="auto" w:before="0"/>
        <w:ind w:left="576" w:right="1132"/>
        <w:jc w:val="left"/>
      </w:pPr>
      <w:r>
        <w:rPr/>
        <w:t>·</w:t>
        <w:tab/>
      </w:r>
      <w:r>
        <w:rPr>
          <w:rFonts w:ascii="宋体" w:hAnsi="宋体" w:cs="宋体" w:eastAsia="宋体" w:hint="default"/>
          <w:b/>
          <w:bCs/>
        </w:rPr>
        <w:t>会计处理</w:t>
      </w:r>
      <w:r>
        <w:rPr>
          <w:rFonts w:ascii="宋体" w:hAnsi="宋体" w:cs="宋体" w:eastAsia="宋体" w:hint="default"/>
          <w:b/>
          <w:bCs/>
          <w:spacing w:val="1"/>
          <w:w w:val="99"/>
        </w:rPr>
        <w:t> </w:t>
      </w:r>
      <w:r>
        <w:rPr>
          <w:spacing w:val="-1"/>
        </w:rPr>
        <w:t>与资产相关的政府补助，冲减相关资产账面价值或确认为递延收益。确认为递延收益的，在相关资产</w:t>
      </w:r>
    </w:p>
    <w:p>
      <w:pPr>
        <w:pStyle w:val="Heading4"/>
        <w:spacing w:line="273" w:lineRule="auto"/>
        <w:ind w:right="1133"/>
        <w:jc w:val="both"/>
      </w:pPr>
      <w:r>
        <w:rPr>
          <w:spacing w:val="-1"/>
        </w:rPr>
        <w:t>使用寿命内按照合理、系统的方法分期计入当期损益（与本公司日常活动相关的，计入其他收益；与本公</w:t>
      </w:r>
      <w:r>
        <w:rPr>
          <w:spacing w:val="-86"/>
        </w:rPr>
        <w:t> </w:t>
      </w:r>
      <w:r>
        <w:rPr>
          <w:spacing w:val="-86"/>
        </w:rPr>
      </w:r>
      <w:r>
        <w:rPr/>
        <w:t>司日常活动无关的，计入营业外收入）；</w:t>
      </w:r>
    </w:p>
    <w:p>
      <w:pPr>
        <w:pStyle w:val="Heading4"/>
        <w:spacing w:line="273" w:lineRule="auto"/>
        <w:ind w:right="1131" w:firstLine="422"/>
        <w:jc w:val="both"/>
      </w:pPr>
      <w:r>
        <w:rPr>
          <w:spacing w:val="-1"/>
        </w:rPr>
        <w:t>与收益相关的政府补助，用于补偿本公司以后期间的相关成本费用或损失的，确认为递延收益，并在</w:t>
      </w:r>
      <w:r>
        <w:rPr/>
        <w:t> </w:t>
      </w:r>
      <w:r>
        <w:rPr>
          <w:spacing w:val="-1"/>
        </w:rPr>
        <w:t>确认相关成本费用或损失的期间，计入当期损益（与本公司日常活动相关的，计入其他收益；与本公司日</w:t>
      </w:r>
      <w:r>
        <w:rPr>
          <w:spacing w:val="-86"/>
        </w:rPr>
        <w:t> </w:t>
      </w:r>
      <w:r>
        <w:rPr>
          <w:spacing w:val="-86"/>
        </w:rPr>
      </w:r>
      <w:r>
        <w:rPr>
          <w:spacing w:val="-1"/>
        </w:rPr>
        <w:t>常活动无关的，计入营业外收入）或冲减相关成本费用或损失；用于补偿本公司已发生的相关成本费用或</w:t>
      </w:r>
      <w:r>
        <w:rPr>
          <w:spacing w:val="-83"/>
        </w:rPr>
        <w:t> </w:t>
      </w:r>
      <w:r>
        <w:rPr>
          <w:spacing w:val="-83"/>
        </w:rPr>
      </w:r>
      <w:r>
        <w:rPr>
          <w:spacing w:val="-1"/>
        </w:rPr>
        <w:t>损失的，直接计入当期损益（与本公司日常活动相关的，计入其他收益；与本公司日常活动无关的，计入</w:t>
      </w:r>
      <w:r>
        <w:rPr>
          <w:spacing w:val="-83"/>
        </w:rPr>
        <w:t> </w:t>
      </w:r>
      <w:r>
        <w:rPr>
          <w:spacing w:val="-83"/>
        </w:rPr>
      </w:r>
      <w:r>
        <w:rPr/>
        <w:t>营业外收入）或冲减相关成本费用或损失。</w:t>
      </w:r>
    </w:p>
    <w:p>
      <w:pPr>
        <w:pStyle w:val="Heading4"/>
        <w:spacing w:line="240" w:lineRule="auto" w:before="8"/>
        <w:ind w:left="576" w:right="967"/>
        <w:jc w:val="left"/>
      </w:pPr>
      <w:r>
        <w:rPr/>
        <w:t>本公司取得的政策性优惠贷款贴息，区分以下两种情况，分别进行会计处理：</w:t>
      </w:r>
    </w:p>
    <w:p>
      <w:pPr>
        <w:pStyle w:val="Heading4"/>
        <w:spacing w:line="273" w:lineRule="auto" w:before="37"/>
        <w:ind w:right="1213" w:firstLine="422"/>
        <w:jc w:val="both"/>
      </w:pPr>
      <w:r>
        <w:rPr/>
        <w:t>（</w:t>
      </w:r>
      <w:r>
        <w:rPr>
          <w:rFonts w:ascii="宋体" w:hAnsi="宋体" w:cs="宋体" w:eastAsia="宋体" w:hint="default"/>
        </w:rPr>
        <w:t>1</w:t>
      </w:r>
      <w:r>
        <w:rPr/>
        <w:t>）财政将贴息资金拨付给贷款银行，由贷款银行以政策性优惠利率向本公司提供贷款的，本公司 以实际收到的借款金额作为借款的入账价值，按照借款本金和该政策性优惠利率计算相关借款费用。</w:t>
      </w:r>
    </w:p>
    <w:p>
      <w:pPr>
        <w:pStyle w:val="Heading4"/>
        <w:spacing w:line="240" w:lineRule="auto"/>
        <w:ind w:left="576" w:right="967"/>
        <w:jc w:val="left"/>
      </w:pPr>
      <w:r>
        <w:rPr/>
        <w:t>（</w:t>
      </w:r>
      <w:r>
        <w:rPr>
          <w:rFonts w:ascii="宋体" w:hAnsi="宋体" w:cs="宋体" w:eastAsia="宋体" w:hint="default"/>
        </w:rPr>
        <w:t>2</w:t>
      </w:r>
      <w:r>
        <w:rPr/>
        <w:t>）财政将贴息资金直接拨付给本公司的，本公司将对应的贴息冲减相关借款费用。</w:t>
      </w:r>
    </w:p>
    <w:p>
      <w:pPr>
        <w:spacing w:line="590" w:lineRule="atLeast" w:before="39"/>
        <w:ind w:left="576" w:right="967" w:hanging="423"/>
        <w:jc w:val="left"/>
        <w:rPr>
          <w:rFonts w:ascii="宋体" w:hAnsi="宋体" w:cs="宋体" w:eastAsia="宋体" w:hint="default"/>
          <w:sz w:val="21"/>
          <w:szCs w:val="21"/>
        </w:rPr>
      </w:pPr>
      <w:bookmarkStart w:name="26、递延所得税资产/递延所得税负债" w:id="202"/>
      <w:bookmarkEnd w:id="202"/>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pacing w:val="-1"/>
          <w:sz w:val="21"/>
          <w:szCs w:val="21"/>
        </w:rPr>
        <w:t>对于可抵扣暂时性差异确认递延所得税资产，以未来期间很可能取得的用来抵扣可抵扣暂时性差异的</w:t>
      </w:r>
    </w:p>
    <w:p>
      <w:pPr>
        <w:pStyle w:val="Heading4"/>
        <w:spacing w:line="273" w:lineRule="auto" w:before="37"/>
        <w:ind w:right="1131"/>
        <w:jc w:val="both"/>
      </w:pPr>
      <w:r>
        <w:rPr>
          <w:spacing w:val="-1"/>
        </w:rPr>
        <w:t>应纳税所得额为限。对于能够结转以后年度的可抵扣亏损和税款抵减，以很可能获得用来抵扣可抵扣亏损</w:t>
      </w:r>
      <w:r>
        <w:rPr>
          <w:spacing w:val="-81"/>
        </w:rPr>
        <w:t> </w:t>
      </w:r>
      <w:r>
        <w:rPr>
          <w:spacing w:val="-81"/>
        </w:rPr>
      </w:r>
      <w:r>
        <w:rPr/>
        <w:t>和税款抵减的未来应纳税所得额为限，确认相应的递延所得税资产。</w:t>
      </w:r>
    </w:p>
    <w:p>
      <w:pPr>
        <w:pStyle w:val="Heading4"/>
        <w:spacing w:line="273" w:lineRule="auto"/>
        <w:ind w:left="576" w:right="967"/>
        <w:jc w:val="left"/>
      </w:pPr>
      <w:r>
        <w:rPr/>
        <w:t>对于应纳税暂时性差异，除特殊情况外，确认递延所得税负债。 </w:t>
      </w:r>
      <w:r>
        <w:rPr>
          <w:spacing w:val="-1"/>
        </w:rPr>
        <w:t>不确认递延所得税资产或递延所得税负债的特殊情况包括：商誉的初始确认；除企业合并以外的发生</w:t>
      </w:r>
    </w:p>
    <w:p>
      <w:pPr>
        <w:pStyle w:val="Heading4"/>
        <w:spacing w:line="273" w:lineRule="auto"/>
        <w:ind w:left="576" w:right="967" w:hanging="423"/>
        <w:jc w:val="left"/>
      </w:pPr>
      <w:r>
        <w:rPr/>
        <w:t>时既不影响会计利润也不影响应纳税所得额（或可抵扣亏损）的其他交易或事项。 </w:t>
      </w:r>
      <w:r>
        <w:rPr>
          <w:spacing w:val="-1"/>
        </w:rPr>
        <w:t>当拥有以净额结算的法定权利，且意图以净额结算或取得资产、清偿负债同时进行时，当期所得税资</w:t>
      </w:r>
    </w:p>
    <w:p>
      <w:pPr>
        <w:pStyle w:val="Heading4"/>
        <w:spacing w:line="273" w:lineRule="auto"/>
        <w:ind w:left="576" w:right="967" w:hanging="423"/>
        <w:jc w:val="left"/>
      </w:pPr>
      <w:r>
        <w:rPr/>
        <w:t>产及当期所得税负债以抵销后的净额列报。 </w:t>
      </w:r>
      <w:r>
        <w:rPr>
          <w:spacing w:val="-1"/>
        </w:rPr>
        <w:t>当拥有以净额结算当期所得税资产及当期所得税负债的法定权利，且递延所得税资产及递延所得税负</w:t>
      </w:r>
    </w:p>
    <w:p>
      <w:pPr>
        <w:pStyle w:val="Heading4"/>
        <w:spacing w:line="273" w:lineRule="auto"/>
        <w:ind w:right="1132"/>
        <w:jc w:val="both"/>
      </w:pPr>
      <w:r>
        <w:rPr>
          <w:spacing w:val="-1"/>
        </w:rPr>
        <w:t>债是与同一税收征管部门对同一纳税主体征收的所得税相关或者是对不同的纳税主体相关，但在未来每一</w:t>
      </w:r>
      <w:r>
        <w:rPr>
          <w:spacing w:val="-81"/>
        </w:rPr>
        <w:t> </w:t>
      </w:r>
      <w:r>
        <w:rPr>
          <w:spacing w:val="-81"/>
        </w:rPr>
      </w:r>
      <w:r>
        <w:rPr>
          <w:spacing w:val="-1"/>
        </w:rPr>
        <w:t>具有重要性的递延所得税资产及负债转回的期间内，涉及的纳税主体意图以净额结算当期所得税资产和负</w:t>
      </w:r>
      <w:r>
        <w:rPr>
          <w:spacing w:val="-81"/>
        </w:rPr>
        <w:t> </w:t>
      </w:r>
      <w:r>
        <w:rPr>
          <w:spacing w:val="-81"/>
        </w:rPr>
      </w:r>
      <w:r>
        <w:rPr/>
        <w:t>债或是同时取得资产、清偿负债时，递延所得税资产及递延所得税负债以抵销后的净额列报。</w:t>
      </w:r>
    </w:p>
    <w:p>
      <w:pPr>
        <w:spacing w:after="0" w:line="273" w:lineRule="auto"/>
        <w:jc w:val="both"/>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967"/>
        <w:jc w:val="left"/>
        <w:rPr>
          <w:b w:val="0"/>
          <w:bCs w:val="0"/>
        </w:rPr>
      </w:pPr>
      <w:bookmarkStart w:name="27、租赁" w:id="203"/>
      <w:bookmarkEnd w:id="203"/>
      <w:r>
        <w:rPr>
          <w:b w:val="0"/>
          <w:bCs w:val="0"/>
        </w:rPr>
      </w:r>
      <w:r>
        <w:rPr>
          <w:rFonts w:ascii="Times New Roman" w:hAnsi="Times New Roman" w:cs="Times New Roman" w:eastAsia="Times New Roman" w:hint="default"/>
        </w:rPr>
        <w:t>27</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67"/>
        <w:jc w:val="left"/>
        <w:rPr>
          <w:b w:val="0"/>
          <w:bCs w:val="0"/>
        </w:rPr>
      </w:pPr>
      <w:bookmarkStart w:name="（1）经营租赁的会计处理方法" w:id="204"/>
      <w:bookmarkEnd w:id="204"/>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8"/>
        <w:rPr>
          <w:rFonts w:ascii="宋体" w:hAnsi="宋体" w:cs="宋体" w:eastAsia="宋体" w:hint="default"/>
          <w:b/>
          <w:bCs/>
          <w:sz w:val="24"/>
          <w:szCs w:val="24"/>
        </w:rPr>
      </w:pPr>
    </w:p>
    <w:p>
      <w:pPr>
        <w:pStyle w:val="Heading4"/>
        <w:spacing w:line="273" w:lineRule="auto" w:before="0"/>
        <w:ind w:right="1132" w:firstLine="422"/>
        <w:jc w:val="both"/>
      </w:pPr>
      <w:r>
        <w:rPr>
          <w:spacing w:val="-1"/>
        </w:rPr>
        <w:t>①公司租入资产所支付的租赁费，在不扣除免租期的整个租赁期内，按直线法进行分摊，计入当期费</w:t>
      </w:r>
      <w:r>
        <w:rPr/>
        <w:t> 用。公司支付的与租赁交易相关的初始直接费用，计入当期费用。</w:t>
      </w:r>
    </w:p>
    <w:p>
      <w:pPr>
        <w:pStyle w:val="Heading4"/>
        <w:spacing w:line="273" w:lineRule="auto"/>
        <w:ind w:right="1131" w:firstLine="422"/>
        <w:jc w:val="both"/>
      </w:pPr>
      <w:r>
        <w:rPr>
          <w:spacing w:val="-1"/>
        </w:rPr>
        <w:t>资产出租方承担了应由公司承担的与租赁相关的费用时，公司将该部分费用从租金总额中扣除，按扣</w:t>
      </w:r>
      <w:r>
        <w:rPr/>
        <w:t> 除后的租金费用在租赁期内分摊，计入当期费用。</w:t>
      </w:r>
    </w:p>
    <w:p>
      <w:pPr>
        <w:pStyle w:val="Heading4"/>
        <w:spacing w:line="273" w:lineRule="auto"/>
        <w:ind w:right="1110" w:firstLine="422"/>
        <w:jc w:val="both"/>
      </w:pPr>
      <w:r>
        <w:rPr>
          <w:spacing w:val="-1"/>
        </w:rPr>
        <w:t>②公司出租资产所收取的租赁费，在不扣除免租期的整个租赁期内，按直线法进行分摊，确认为租赁</w:t>
      </w:r>
      <w:r>
        <w:rPr/>
        <w:t> 相关收入。公司支付的与租赁交易相关的初始直接费用，计入当期费用；如金额较大的，则予以资本化， 在整个租赁期间内按照与租赁相关收入确认相同的基础分期计入当期收益。</w:t>
      </w:r>
    </w:p>
    <w:p>
      <w:pPr>
        <w:pStyle w:val="Heading4"/>
        <w:spacing w:line="273" w:lineRule="auto"/>
        <w:ind w:right="1131" w:firstLine="422"/>
        <w:jc w:val="both"/>
      </w:pPr>
      <w:r>
        <w:rPr>
          <w:spacing w:val="-1"/>
        </w:rPr>
        <w:t>公司承担了应由承租方承担的与租赁相关的费用时，公司将该部分费用从租金收入总额中扣除，按扣</w:t>
      </w:r>
      <w:r>
        <w:rPr/>
        <w:t> 除后的租金费用在租赁期内分配。</w:t>
      </w:r>
    </w:p>
    <w:p>
      <w:pPr>
        <w:spacing w:line="240" w:lineRule="auto" w:before="8"/>
        <w:rPr>
          <w:rFonts w:ascii="宋体" w:hAnsi="宋体" w:cs="宋体" w:eastAsia="宋体" w:hint="default"/>
          <w:sz w:val="23"/>
          <w:szCs w:val="23"/>
        </w:rPr>
      </w:pPr>
    </w:p>
    <w:p>
      <w:pPr>
        <w:pStyle w:val="Heading3"/>
        <w:spacing w:line="240" w:lineRule="auto"/>
        <w:ind w:right="967"/>
        <w:jc w:val="left"/>
        <w:rPr>
          <w:b w:val="0"/>
          <w:bCs w:val="0"/>
        </w:rPr>
      </w:pPr>
      <w:bookmarkStart w:name="28、重要会计政策和会计估计变更" w:id="205"/>
      <w:bookmarkEnd w:id="205"/>
      <w:r>
        <w:rPr>
          <w:b w:val="0"/>
          <w:bCs w:val="0"/>
        </w:rPr>
      </w:r>
      <w:r>
        <w:rPr>
          <w:rFonts w:ascii="Times New Roman" w:hAnsi="Times New Roman" w:cs="Times New Roman" w:eastAsia="Times New Roman" w:hint="default"/>
        </w:rPr>
        <w:t>28</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67"/>
        <w:jc w:val="left"/>
        <w:rPr>
          <w:b w:val="0"/>
          <w:bCs w:val="0"/>
        </w:rPr>
      </w:pPr>
      <w:bookmarkStart w:name="（1）重要会计政策变更" w:id="206"/>
      <w:bookmarkEnd w:id="20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240" w:lineRule="auto" w:before="44"/>
        <w:ind w:left="0" w:right="1139"/>
        <w:jc w:val="right"/>
      </w:pPr>
      <w:r>
        <w:rPr/>
        <w:pict>
          <v:shape style="position:absolute;margin-left:56.459999pt;margin-top:-145.768295pt;width:479.25pt;height:263.6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21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pacing w:val="-4"/>
                            <w:w w:val="100"/>
                            <w:sz w:val="18"/>
                            <w:szCs w:val="18"/>
                          </w:rPr>
                          <w:t>（</w:t>
                        </w:r>
                        <w:r>
                          <w:rPr>
                            <w:rFonts w:ascii="Times New Roman" w:hAnsi="Times New Roman" w:cs="Times New Roman" w:eastAsia="Times New Roman" w:hint="default"/>
                            <w:spacing w:val="-4"/>
                            <w:w w:val="100"/>
                            <w:sz w:val="18"/>
                            <w:szCs w:val="18"/>
                          </w:rPr>
                          <w:t>1</w:t>
                        </w:r>
                        <w:r>
                          <w:rPr>
                            <w:rFonts w:ascii="宋体" w:hAnsi="宋体" w:cs="宋体" w:eastAsia="宋体" w:hint="default"/>
                            <w:spacing w:val="-4"/>
                            <w:w w:val="100"/>
                            <w:sz w:val="18"/>
                            <w:szCs w:val="18"/>
                          </w:rPr>
                          <w:t>）资产负债表中</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应收票据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和</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应收账</w:t>
                        </w:r>
                        <w:r>
                          <w:rPr>
                            <w:rFonts w:ascii="宋体" w:hAnsi="宋体" w:cs="宋体" w:eastAsia="宋体" w:hint="default"/>
                            <w:spacing w:val="-87"/>
                            <w:w w:val="100"/>
                            <w:sz w:val="18"/>
                            <w:szCs w:val="18"/>
                          </w:rPr>
                          <w:t> </w:t>
                        </w: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 </w:t>
                        </w:r>
                        <w:r>
                          <w:rPr>
                            <w:rFonts w:ascii="宋体" w:hAnsi="宋体" w:cs="宋体" w:eastAsia="宋体" w:hint="default"/>
                            <w:spacing w:val="-4"/>
                            <w:sz w:val="18"/>
                            <w:szCs w:val="18"/>
                          </w:rPr>
                          <w:t>付票据及应付账款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应收利息</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w:t>
                        </w:r>
                        <w:r>
                          <w:rPr>
                            <w:rFonts w:ascii="宋体" w:hAnsi="宋体" w:cs="宋体" w:eastAsia="宋体" w:hint="default"/>
                            <w:spacing w:val="-77"/>
                            <w:sz w:val="18"/>
                            <w:szCs w:val="18"/>
                          </w:rPr>
                          <w:t> </w:t>
                        </w:r>
                        <w:r>
                          <w:rPr>
                            <w:rFonts w:ascii="宋体" w:hAnsi="宋体" w:cs="宋体" w:eastAsia="宋体" w:hint="default"/>
                            <w:sz w:val="18"/>
                            <w:szCs w:val="18"/>
                          </w:rPr>
                          <w:t>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应付利 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 示；</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列 </w:t>
                        </w:r>
                        <w:r>
                          <w:rPr>
                            <w:rFonts w:ascii="宋体" w:hAnsi="宋体" w:cs="宋体" w:eastAsia="宋体" w:hint="default"/>
                            <w:spacing w:val="-7"/>
                            <w:w w:val="100"/>
                            <w:sz w:val="18"/>
                            <w:szCs w:val="18"/>
                          </w:rPr>
                          <w:t>示；</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工程物资</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并入</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在建工程</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列示；</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专</w:t>
                        </w:r>
                        <w:r>
                          <w:rPr>
                            <w:rFonts w:ascii="宋体" w:hAnsi="宋体" w:cs="宋体" w:eastAsia="宋体" w:hint="default"/>
                            <w:sz w:val="18"/>
                            <w:szCs w:val="18"/>
                          </w:rPr>
                          <w:t> 项应付款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 数据相应调整。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 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 </w:t>
                        </w:r>
                        <w:r>
                          <w:rPr>
                            <w:rFonts w:ascii="Times New Roman" w:hAnsi="Times New Roman" w:cs="Times New Roman" w:eastAsia="Times New Roman" w:hint="default"/>
                            <w:sz w:val="18"/>
                            <w:szCs w:val="18"/>
                          </w:rPr>
                          <w:t>351,242,758.59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元，上期金额</w:t>
                        </w:r>
                      </w:p>
                      <w:p>
                        <w:pPr>
                          <w:pStyle w:val="TableParagraph"/>
                          <w:spacing w:line="300" w:lineRule="auto" w:before="13"/>
                          <w:ind w:left="22" w:right="23"/>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304,341,678.49</w:t>
                        </w:r>
                        <w:r>
                          <w:rPr>
                            <w:rFonts w:ascii="Times New Roman" w:hAnsi="Times New Roman" w:cs="Times New Roman" w:eastAsia="Times New Roman" w:hint="default"/>
                            <w:spacing w:val="17"/>
                            <w:sz w:val="18"/>
                            <w:szCs w:val="18"/>
                          </w:rPr>
                          <w:t> </w:t>
                        </w:r>
                        <w:r>
                          <w:rPr>
                            <w:rFonts w:ascii="宋体" w:hAnsi="宋体" w:cs="宋体" w:eastAsia="宋体" w:hint="default"/>
                            <w:spacing w:val="-7"/>
                            <w:w w:val="100"/>
                            <w:sz w:val="18"/>
                            <w:szCs w:val="18"/>
                          </w:rPr>
                          <w:t>元；</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应付票据</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和</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应付账</w:t>
                        </w:r>
                        <w:r>
                          <w:rPr>
                            <w:rFonts w:ascii="宋体" w:hAnsi="宋体" w:cs="宋体" w:eastAsia="宋体" w:hint="default"/>
                            <w:spacing w:val="-84"/>
                            <w:w w:val="100"/>
                            <w:sz w:val="18"/>
                            <w:szCs w:val="18"/>
                          </w:rPr>
                          <w:t> </w:t>
                        </w: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 本期金额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55,496,692.40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元，上期金额</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73,581,64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.52 </w:t>
                        </w:r>
                        <w:r>
                          <w:rPr>
                            <w:rFonts w:ascii="宋体" w:hAnsi="宋体" w:cs="宋体" w:eastAsia="宋体" w:hint="default"/>
                            <w:sz w:val="18"/>
                            <w:szCs w:val="18"/>
                          </w:rPr>
                          <w:t>元</w:t>
                        </w:r>
                        <w:r>
                          <w:rPr>
                            <w:rFonts w:ascii="宋体" w:hAnsi="宋体" w:cs="宋体" w:eastAsia="宋体" w:hint="default"/>
                            <w:spacing w:val="-87"/>
                            <w:sz w:val="18"/>
                            <w:szCs w:val="18"/>
                          </w:rPr>
                          <w:t>；</w:t>
                        </w:r>
                        <w:r>
                          <w:rPr>
                            <w:rFonts w:ascii="宋体" w:hAnsi="宋体" w:cs="宋体" w:eastAsia="宋体" w:hint="default"/>
                            <w:sz w:val="18"/>
                            <w:szCs w:val="18"/>
                          </w:rPr>
                          <w:t>调增</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本期</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pacing w:val="-3"/>
                            <w:sz w:val="18"/>
                            <w:szCs w:val="18"/>
                          </w:rPr>
                          <w:t>元，上期金额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2,208,839.45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65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 将原</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中的研发费用重分类至 </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研发费用</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单独列示；在利润表中财务费</w:t>
                        </w:r>
                        <w:r>
                          <w:rPr>
                            <w:rFonts w:ascii="宋体" w:hAnsi="宋体" w:cs="宋体" w:eastAsia="宋体" w:hint="default"/>
                            <w:spacing w:val="-83"/>
                            <w:w w:val="100"/>
                            <w:sz w:val="18"/>
                            <w:szCs w:val="18"/>
                          </w:rPr>
                          <w:t> </w:t>
                        </w:r>
                        <w:r>
                          <w:rPr>
                            <w:rFonts w:ascii="宋体" w:hAnsi="宋体" w:cs="宋体" w:eastAsia="宋体" w:hint="default"/>
                            <w:spacing w:val="-83"/>
                            <w:w w:val="100"/>
                            <w:sz w:val="18"/>
                            <w:szCs w:val="18"/>
                          </w:rPr>
                        </w:r>
                        <w:r>
                          <w:rPr>
                            <w:rFonts w:ascii="宋体" w:hAnsi="宋体" w:cs="宋体" w:eastAsia="宋体" w:hint="default"/>
                            <w:sz w:val="18"/>
                            <w:szCs w:val="18"/>
                          </w:rPr>
                          <w:t>用项下新增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其中：利息费用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 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70,369,152.84</w:t>
                        </w:r>
                      </w:p>
                      <w:p>
                        <w:pPr>
                          <w:pStyle w:val="TableParagraph"/>
                          <w:spacing w:line="302" w:lineRule="auto" w:before="61"/>
                          <w:ind w:left="22" w:right="49"/>
                          <w:jc w:val="left"/>
                          <w:rPr>
                            <w:rFonts w:ascii="宋体" w:hAnsi="宋体" w:cs="宋体" w:eastAsia="宋体" w:hint="default"/>
                            <w:sz w:val="18"/>
                            <w:szCs w:val="18"/>
                          </w:rPr>
                        </w:pPr>
                        <w:r>
                          <w:rPr>
                            <w:rFonts w:ascii="宋体" w:hAnsi="宋体" w:cs="宋体" w:eastAsia="宋体" w:hint="default"/>
                            <w:sz w:val="18"/>
                            <w:szCs w:val="18"/>
                          </w:rPr>
                          <w:t>元，上期金额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62,092,582.36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元，重分类 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4"/>
        <w:spacing w:line="273" w:lineRule="auto" w:before="35"/>
        <w:ind w:left="576" w:right="1195" w:firstLine="106"/>
        <w:jc w:val="left"/>
      </w:pPr>
      <w:r>
        <w:rPr/>
        <w:t>执行《财政部关于修订印发</w:t>
      </w:r>
      <w:r>
        <w:rPr>
          <w:rFonts w:ascii="宋体" w:hAnsi="宋体" w:cs="宋体" w:eastAsia="宋体" w:hint="default"/>
        </w:rPr>
        <w:t>2018</w:t>
      </w:r>
      <w:r>
        <w:rPr/>
        <w:t>年度一般企业财务报表格式的通知》 财政部于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15</w:t>
      </w:r>
      <w:r>
        <w:rPr/>
        <w:t>日发布了《财政部关于修订印发</w:t>
      </w:r>
      <w:r>
        <w:rPr>
          <w:rFonts w:ascii="宋体" w:hAnsi="宋体" w:cs="宋体" w:eastAsia="宋体" w:hint="default"/>
        </w:rPr>
        <w:t>2018</w:t>
      </w:r>
      <w:r>
        <w:rPr/>
        <w:t>年度一般企业财务报表格式的通知》（财</w:t>
      </w:r>
    </w:p>
    <w:p>
      <w:pPr>
        <w:pStyle w:val="Heading4"/>
        <w:spacing w:line="240" w:lineRule="auto"/>
        <w:ind w:right="967"/>
        <w:jc w:val="left"/>
      </w:pPr>
      <w:r>
        <w:rPr/>
        <w:t>会（</w:t>
      </w:r>
      <w:r>
        <w:rPr>
          <w:rFonts w:ascii="宋体" w:hAnsi="宋体" w:cs="宋体" w:eastAsia="宋体" w:hint="default"/>
        </w:rPr>
        <w:t>2018</w:t>
      </w:r>
      <w:r>
        <w:rPr/>
        <w:t>）</w:t>
      </w:r>
      <w:r>
        <w:rPr>
          <w:rFonts w:ascii="宋体" w:hAnsi="宋体" w:cs="宋体" w:eastAsia="宋体" w:hint="default"/>
        </w:rPr>
        <w:t>15</w:t>
      </w:r>
      <w:r>
        <w:rPr/>
        <w:t>号），对一般企业财务报表格式进行了修订。</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3"/>
        <w:spacing w:line="240" w:lineRule="auto"/>
        <w:ind w:right="967"/>
        <w:jc w:val="left"/>
        <w:rPr>
          <w:b w:val="0"/>
          <w:bCs w:val="0"/>
        </w:rPr>
      </w:pPr>
      <w:bookmarkStart w:name="（2）重要会计估计变更" w:id="207"/>
      <w:bookmarkEnd w:id="20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967"/>
        <w:jc w:val="left"/>
        <w:rPr>
          <w:b w:val="0"/>
          <w:bCs w:val="0"/>
        </w:rPr>
      </w:pPr>
      <w:bookmarkStart w:name="六、税项" w:id="208"/>
      <w:bookmarkEnd w:id="208"/>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67"/>
        <w:jc w:val="left"/>
        <w:rPr>
          <w:b w:val="0"/>
          <w:bCs w:val="0"/>
        </w:rPr>
      </w:pPr>
      <w:bookmarkStart w:name="1、主要税种及税率" w:id="209"/>
      <w:bookmarkEnd w:id="209"/>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按实际缴纳的增值税计缴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967"/>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成都东方通科技有限责任公司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上海东方通泰软件科技有限公司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北京惠捷朗科技有限公司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北京微智信业科技有限公司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北京东方通宇技术有限公司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北京数字天堂信息科技有限责任公司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东方通科技无锡有限公司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北京泰策科技有限公司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霍尔果斯泰策科技有限公司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bookmarkStart w:name="2、税收优惠" w:id="210"/>
      <w:bookmarkEnd w:id="210"/>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4"/>
          <w:szCs w:val="24"/>
        </w:rPr>
      </w:pPr>
    </w:p>
    <w:p>
      <w:pPr>
        <w:pStyle w:val="Heading4"/>
        <w:spacing w:line="273" w:lineRule="auto" w:before="0"/>
        <w:ind w:left="576" w:right="967"/>
        <w:jc w:val="left"/>
      </w:pPr>
      <w:r>
        <w:rPr/>
        <w:t>（</w:t>
      </w:r>
      <w:r>
        <w:rPr>
          <w:rFonts w:ascii="宋体" w:hAnsi="宋体" w:cs="宋体" w:eastAsia="宋体" w:hint="default"/>
        </w:rPr>
        <w:t>1</w:t>
      </w:r>
      <w:r>
        <w:rPr/>
        <w:t>）增值税 </w:t>
      </w:r>
      <w:r>
        <w:rPr>
          <w:spacing w:val="-1"/>
        </w:rPr>
        <w:t>根据《国务院关于印发进一步鼓励软件产业和集成电路产业发展若干政策的通知》（国发</w:t>
      </w:r>
      <w:r>
        <w:rPr>
          <w:rFonts w:ascii="宋体" w:hAnsi="宋体" w:cs="宋体" w:eastAsia="宋体" w:hint="default"/>
          <w:spacing w:val="-1"/>
        </w:rPr>
        <w:t>[2011]4</w:t>
      </w:r>
      <w:r>
        <w:rPr>
          <w:spacing w:val="-1"/>
        </w:rPr>
        <w:t>号）</w:t>
      </w:r>
      <w:r>
        <w:rPr/>
      </w:r>
    </w:p>
    <w:p>
      <w:pPr>
        <w:pStyle w:val="Heading4"/>
        <w:spacing w:line="273" w:lineRule="auto"/>
        <w:ind w:right="1213"/>
        <w:jc w:val="both"/>
      </w:pPr>
      <w:r>
        <w:rPr/>
        <w:t>及《财政部、国家税务总局关于软件产品增值税政策的通知》（财税</w:t>
      </w:r>
      <w:r>
        <w:rPr>
          <w:rFonts w:ascii="宋体" w:hAnsi="宋体" w:cs="宋体" w:eastAsia="宋体" w:hint="default"/>
        </w:rPr>
        <w:t>[2011]100</w:t>
      </w:r>
      <w:r>
        <w:rPr/>
        <w:t>号）的规定，本公司及子 公司销售自行开发生产的软件产品，按</w:t>
      </w:r>
      <w:r>
        <w:rPr>
          <w:rFonts w:ascii="宋体" w:hAnsi="宋体" w:cs="宋体" w:eastAsia="宋体" w:hint="default"/>
        </w:rPr>
        <w:t>17%</w:t>
      </w:r>
      <w:r>
        <w:rPr/>
        <w:t>的法定税率征收增值税后，享受增值税实际税负超过</w:t>
      </w:r>
      <w:r>
        <w:rPr>
          <w:rFonts w:ascii="宋体" w:hAnsi="宋体" w:cs="宋体" w:eastAsia="宋体" w:hint="default"/>
        </w:rPr>
        <w:t>3%</w:t>
      </w:r>
      <w:r>
        <w:rPr/>
        <w:t>的部分 即征即退的优惠政策。</w:t>
      </w:r>
    </w:p>
    <w:p>
      <w:pPr>
        <w:spacing w:line="240" w:lineRule="auto" w:before="6"/>
        <w:rPr>
          <w:rFonts w:ascii="宋体" w:hAnsi="宋体" w:cs="宋体" w:eastAsia="宋体" w:hint="default"/>
          <w:sz w:val="24"/>
          <w:szCs w:val="24"/>
        </w:rPr>
      </w:pPr>
    </w:p>
    <w:p>
      <w:pPr>
        <w:pStyle w:val="Heading4"/>
        <w:spacing w:line="273" w:lineRule="auto" w:before="0"/>
        <w:ind w:left="576" w:right="1195"/>
        <w:jc w:val="left"/>
      </w:pPr>
      <w:r>
        <w:rPr/>
        <w:t>（</w:t>
      </w:r>
      <w:r>
        <w:rPr>
          <w:rFonts w:ascii="宋体" w:hAnsi="宋体" w:cs="宋体" w:eastAsia="宋体" w:hint="default"/>
        </w:rPr>
        <w:t>2</w:t>
      </w:r>
      <w:r>
        <w:rPr/>
        <w:t>）</w:t>
      </w:r>
      <w:r>
        <w:rPr>
          <w:spacing w:val="-1"/>
        </w:rPr>
        <w:t> </w:t>
      </w:r>
      <w:r>
        <w:rPr/>
        <w:t>所得税</w:t>
      </w:r>
      <w:r>
        <w:rPr/>
        <w:t> </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10</w:t>
      </w:r>
      <w:r>
        <w:rPr/>
        <w:t>日，本公司被北京市科学技术委员会、北京市财政局、北京市国家税务局、北京市地方</w:t>
      </w:r>
    </w:p>
    <w:p>
      <w:pPr>
        <w:pStyle w:val="Heading4"/>
        <w:spacing w:line="271" w:lineRule="auto"/>
        <w:ind w:left="576" w:right="967" w:hanging="423"/>
        <w:jc w:val="left"/>
      </w:pPr>
      <w:r>
        <w:rPr/>
        <w:t>税务局认定为高新技术企业，有效期三年，自</w:t>
      </w:r>
      <w:r>
        <w:rPr>
          <w:rFonts w:ascii="宋体" w:hAnsi="宋体" w:cs="宋体" w:eastAsia="宋体" w:hint="default"/>
        </w:rPr>
        <w:t>2017</w:t>
      </w:r>
      <w:r>
        <w:rPr/>
        <w:t>年开始减按</w:t>
      </w:r>
      <w:r>
        <w:rPr>
          <w:rFonts w:ascii="宋体" w:hAnsi="宋体" w:cs="宋体" w:eastAsia="宋体" w:hint="default"/>
        </w:rPr>
        <w:t>15%</w:t>
      </w:r>
      <w:r>
        <w:rPr/>
        <w:t>税率征收企业所得税。 </w:t>
      </w:r>
      <w:r>
        <w:rPr>
          <w:spacing w:val="-1"/>
        </w:rPr>
        <w:t>上海东方通泰软件科技有限公司于</w:t>
      </w:r>
      <w:r>
        <w:rPr>
          <w:rFonts w:ascii="宋体" w:hAnsi="宋体" w:cs="宋体" w:eastAsia="宋体" w:hint="default"/>
          <w:spacing w:val="-1"/>
        </w:rPr>
        <w:t>2018</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27</w:t>
      </w:r>
      <w:r>
        <w:rPr>
          <w:spacing w:val="-1"/>
        </w:rPr>
        <w:t>日被上海市科学技术委员会、上海市财政局、上海市</w:t>
      </w:r>
    </w:p>
    <w:p>
      <w:pPr>
        <w:pStyle w:val="Heading4"/>
        <w:spacing w:line="240" w:lineRule="auto" w:before="10"/>
        <w:ind w:right="0"/>
        <w:jc w:val="both"/>
      </w:pPr>
      <w:r>
        <w:rPr/>
        <w:t>国家税务局、上海市地方税务局认定为高新技术企业，有效期三年，自</w:t>
      </w:r>
      <w:r>
        <w:rPr>
          <w:rFonts w:ascii="宋体" w:hAnsi="宋体" w:cs="宋体" w:eastAsia="宋体" w:hint="default"/>
        </w:rPr>
        <w:t>2018</w:t>
      </w:r>
      <w:r>
        <w:rPr/>
        <w:t>年开始减按</w:t>
      </w:r>
      <w:r>
        <w:rPr>
          <w:rFonts w:ascii="宋体" w:hAnsi="宋体" w:cs="宋体" w:eastAsia="宋体" w:hint="default"/>
        </w:rPr>
        <w:t>15%</w:t>
      </w:r>
      <w:r>
        <w:rPr/>
        <w:t>税率征收企业</w:t>
      </w:r>
    </w:p>
    <w:p>
      <w:pPr>
        <w:spacing w:after="0" w:line="240" w:lineRule="auto"/>
        <w:jc w:val="both"/>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967"/>
        <w:jc w:val="left"/>
      </w:pPr>
      <w:r>
        <w:rPr/>
        <w:t>所得税。</w:t>
      </w:r>
    </w:p>
    <w:p>
      <w:pPr>
        <w:pStyle w:val="Heading4"/>
        <w:spacing w:line="273" w:lineRule="auto" w:before="37"/>
        <w:ind w:right="1195" w:firstLine="422"/>
        <w:jc w:val="left"/>
      </w:pPr>
      <w:r>
        <w:rPr/>
        <w:t>北京惠捷朗科技有限公司于</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10</w:t>
      </w:r>
      <w:r>
        <w:rPr/>
        <w:t>日被北京市科学技术委员会、北京市财政局、北京市国家税 务局、北京市地方税务局认定为高新技术企业，有效期三年。自</w:t>
      </w:r>
      <w:r>
        <w:rPr>
          <w:rFonts w:ascii="宋体" w:hAnsi="宋体" w:cs="宋体" w:eastAsia="宋体" w:hint="default"/>
        </w:rPr>
        <w:t>2017</w:t>
      </w:r>
      <w:r>
        <w:rPr/>
        <w:t>年减按</w:t>
      </w:r>
      <w:r>
        <w:rPr>
          <w:rFonts w:ascii="宋体" w:hAnsi="宋体" w:cs="宋体" w:eastAsia="宋体" w:hint="default"/>
        </w:rPr>
        <w:t>15%</w:t>
      </w:r>
      <w:r>
        <w:rPr/>
        <w:t>税率缴纳企业所得税。</w:t>
      </w:r>
    </w:p>
    <w:p>
      <w:pPr>
        <w:pStyle w:val="Heading4"/>
        <w:spacing w:line="273" w:lineRule="auto"/>
        <w:ind w:right="967" w:firstLine="422"/>
        <w:jc w:val="left"/>
      </w:pPr>
      <w:r>
        <w:rPr>
          <w:spacing w:val="-1"/>
        </w:rPr>
        <w:t>北京数字天堂信息科技有限责任公司于</w:t>
      </w:r>
      <w:r>
        <w:rPr>
          <w:rFonts w:ascii="宋体" w:hAnsi="宋体" w:cs="宋体" w:eastAsia="宋体" w:hint="default"/>
          <w:spacing w:val="-1"/>
        </w:rPr>
        <w:t>2018</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31</w:t>
      </w:r>
      <w:r>
        <w:rPr>
          <w:spacing w:val="-1"/>
        </w:rPr>
        <w:t>日被北京市科学技术委员会、北京市财政局、北</w:t>
      </w:r>
      <w:r>
        <w:rPr/>
        <w:t> 京市国家税务局、北京市地方税务局认定为高新技术企业，有效期三年。自</w:t>
      </w:r>
      <w:r>
        <w:rPr>
          <w:rFonts w:ascii="宋体" w:hAnsi="宋体" w:cs="宋体" w:eastAsia="宋体" w:hint="default"/>
        </w:rPr>
        <w:t>2018</w:t>
      </w:r>
      <w:r>
        <w:rPr/>
        <w:t>年减按</w:t>
      </w:r>
      <w:r>
        <w:rPr>
          <w:rFonts w:ascii="宋体" w:hAnsi="宋体" w:cs="宋体" w:eastAsia="宋体" w:hint="default"/>
        </w:rPr>
        <w:t>15%</w:t>
      </w:r>
      <w:r>
        <w:rPr/>
        <w:t>税率缴纳企业 所得税。</w:t>
      </w:r>
    </w:p>
    <w:p>
      <w:pPr>
        <w:pStyle w:val="Heading4"/>
        <w:spacing w:line="273" w:lineRule="auto"/>
        <w:ind w:right="967" w:firstLine="422"/>
        <w:jc w:val="left"/>
      </w:pPr>
      <w:r>
        <w:rPr/>
        <w:t>北京微智信业科技有限公司于</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10</w:t>
      </w:r>
      <w:r>
        <w:rPr/>
        <w:t>日被北京市科学技术委员会、北京市财政局、北京市国家 </w:t>
      </w:r>
      <w:r>
        <w:rPr>
          <w:spacing w:val="-1"/>
        </w:rPr>
        <w:t>税务局、北京市地方税务局认定为高新技术企业，</w:t>
      </w:r>
      <w:r>
        <w:rPr>
          <w:rFonts w:ascii="宋体" w:hAnsi="宋体" w:cs="宋体" w:eastAsia="宋体" w:hint="default"/>
          <w:spacing w:val="-1"/>
        </w:rPr>
        <w:t>2017</w:t>
      </w:r>
      <w:r>
        <w:rPr>
          <w:spacing w:val="-1"/>
        </w:rPr>
        <w:t>年至</w:t>
      </w:r>
      <w:r>
        <w:rPr>
          <w:rFonts w:ascii="宋体" w:hAnsi="宋体" w:cs="宋体" w:eastAsia="宋体" w:hint="default"/>
          <w:spacing w:val="-1"/>
        </w:rPr>
        <w:t>2019</w:t>
      </w:r>
      <w:r>
        <w:rPr>
          <w:spacing w:val="-1"/>
        </w:rPr>
        <w:t>年可减按</w:t>
      </w:r>
      <w:r>
        <w:rPr>
          <w:rFonts w:ascii="宋体" w:hAnsi="宋体" w:cs="宋体" w:eastAsia="宋体" w:hint="default"/>
          <w:spacing w:val="-1"/>
        </w:rPr>
        <w:t>15%</w:t>
      </w:r>
      <w:r>
        <w:rPr>
          <w:spacing w:val="-1"/>
        </w:rPr>
        <w:t>的税率计算缴纳企业所得税。</w:t>
      </w:r>
    </w:p>
    <w:p>
      <w:pPr>
        <w:pStyle w:val="Heading4"/>
        <w:spacing w:line="273" w:lineRule="auto"/>
        <w:ind w:right="1195" w:firstLine="422"/>
        <w:jc w:val="left"/>
      </w:pPr>
      <w:r>
        <w:rPr/>
        <w:t>北京泰策科技有限公司于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6</w:t>
      </w:r>
      <w:r>
        <w:rPr/>
        <w:t>日被北京市科学技术委员会、北京市财政局、北京市国家税务 局、北京市地方税务局认定为高新技术企业，</w:t>
      </w:r>
      <w:r>
        <w:rPr>
          <w:rFonts w:ascii="宋体" w:hAnsi="宋体" w:cs="宋体" w:eastAsia="宋体" w:hint="default"/>
        </w:rPr>
        <w:t>2017</w:t>
      </w:r>
      <w:r>
        <w:rPr/>
        <w:t>年至</w:t>
      </w:r>
      <w:r>
        <w:rPr>
          <w:rFonts w:ascii="宋体" w:hAnsi="宋体" w:cs="宋体" w:eastAsia="宋体" w:hint="default"/>
        </w:rPr>
        <w:t>2019</w:t>
      </w:r>
      <w:r>
        <w:rPr/>
        <w:t>年可减按</w:t>
      </w:r>
      <w:r>
        <w:rPr>
          <w:rFonts w:ascii="宋体" w:hAnsi="宋体" w:cs="宋体" w:eastAsia="宋体" w:hint="default"/>
        </w:rPr>
        <w:t>15%</w:t>
      </w:r>
      <w:r>
        <w:rPr/>
        <w:t>的税率计算缴纳企业所得税。</w:t>
      </w:r>
    </w:p>
    <w:p>
      <w:pPr>
        <w:pStyle w:val="Heading4"/>
        <w:spacing w:line="240" w:lineRule="auto"/>
        <w:ind w:left="576" w:right="967"/>
        <w:jc w:val="left"/>
      </w:pPr>
      <w:r>
        <w:rPr/>
        <w:t>根据《国务院关于支持喀什霍尔果斯经济开发区建设的若干意见》（国发</w:t>
      </w:r>
      <w:r>
        <w:rPr>
          <w:rFonts w:ascii="宋体" w:hAnsi="宋体" w:cs="宋体" w:eastAsia="宋体" w:hint="default"/>
        </w:rPr>
        <w:t>[2011]33</w:t>
      </w:r>
      <w:r>
        <w:rPr/>
        <w:t>号）、</w:t>
      </w:r>
    </w:p>
    <w:p>
      <w:pPr>
        <w:pStyle w:val="Heading4"/>
        <w:spacing w:line="273" w:lineRule="auto" w:before="37"/>
        <w:ind w:right="1132" w:firstLine="422"/>
        <w:jc w:val="both"/>
      </w:pPr>
      <w:r>
        <w:rPr>
          <w:spacing w:val="-1"/>
        </w:rPr>
        <w:t>《关于加快喀什、霍尔果斯经济开发区建设的实施意见》（新政发</w:t>
      </w:r>
      <w:r>
        <w:rPr>
          <w:rFonts w:ascii="宋体" w:hAnsi="宋体" w:cs="宋体" w:eastAsia="宋体" w:hint="default"/>
          <w:spacing w:val="-1"/>
        </w:rPr>
        <w:t>[2012]48</w:t>
      </w:r>
      <w:r>
        <w:rPr>
          <w:spacing w:val="-1"/>
        </w:rPr>
        <w:t>号），霍尔果斯泰策科技</w:t>
      </w:r>
      <w:r>
        <w:rPr/>
        <w:t> </w:t>
      </w:r>
      <w:r>
        <w:rPr>
          <w:spacing w:val="-1"/>
        </w:rPr>
        <w:t>有限公司自成立日至</w:t>
      </w:r>
      <w:r>
        <w:rPr>
          <w:rFonts w:ascii="宋体" w:hAnsi="宋体" w:cs="宋体" w:eastAsia="宋体" w:hint="default"/>
          <w:spacing w:val="-1"/>
        </w:rPr>
        <w:t>2020</w:t>
      </w:r>
      <w:r>
        <w:rPr>
          <w:spacing w:val="-1"/>
        </w:rPr>
        <w:t>年期间，自取得第一笔生产经营收入所属纳税年度起免征企业所得税五年；免税</w:t>
      </w:r>
      <w:r>
        <w:rPr>
          <w:spacing w:val="-81"/>
        </w:rPr>
        <w:t> </w:t>
      </w:r>
      <w:r>
        <w:rPr>
          <w:spacing w:val="-81"/>
        </w:rPr>
      </w:r>
      <w:r>
        <w:rPr/>
        <w:t>期满后，再免征五年企业所得税地方分享部分。</w:t>
      </w:r>
    </w:p>
    <w:p>
      <w:pPr>
        <w:pStyle w:val="BodyText"/>
        <w:spacing w:line="240" w:lineRule="auto" w:before="74"/>
        <w:ind w:right="967"/>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24"/>
          <w:szCs w:val="24"/>
        </w:rPr>
      </w:pPr>
    </w:p>
    <w:p>
      <w:pPr>
        <w:pStyle w:val="Heading2"/>
        <w:spacing w:line="240" w:lineRule="auto"/>
        <w:ind w:right="967"/>
        <w:jc w:val="left"/>
        <w:rPr>
          <w:b w:val="0"/>
          <w:bCs w:val="0"/>
        </w:rPr>
      </w:pPr>
      <w:bookmarkStart w:name="七、合并财务报表项目注释" w:id="211"/>
      <w:bookmarkEnd w:id="211"/>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67"/>
        <w:jc w:val="left"/>
        <w:rPr>
          <w:b w:val="0"/>
          <w:bCs w:val="0"/>
        </w:rPr>
      </w:pPr>
      <w:bookmarkStart w:name="1、货币资金" w:id="212"/>
      <w:bookmarkEnd w:id="212"/>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44,627.68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30,084.66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366,726,665.42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593,649,204.93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3,323,312.99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4,944,842.11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370,094,606.09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598,624,131.70</w:t>
            </w:r>
          </w:p>
        </w:tc>
      </w:tr>
    </w:tbl>
    <w:p>
      <w:pPr>
        <w:pStyle w:val="BodyText"/>
        <w:spacing w:line="240" w:lineRule="auto" w:before="51"/>
        <w:ind w:right="967"/>
        <w:jc w:val="left"/>
      </w:pPr>
      <w:r>
        <w:rPr/>
        <w:t>其他说明</w:t>
      </w:r>
    </w:p>
    <w:p>
      <w:pPr>
        <w:pStyle w:val="Heading4"/>
        <w:spacing w:line="240" w:lineRule="auto" w:before="90"/>
        <w:ind w:left="868" w:right="967"/>
        <w:jc w:val="left"/>
      </w:pPr>
      <w:r>
        <w:rPr/>
        <w:t>受到限制的货币资金明细如下：</w:t>
      </w:r>
    </w:p>
    <w:p>
      <w:pPr>
        <w:spacing w:line="240" w:lineRule="auto" w:before="11"/>
        <w:rPr>
          <w:rFonts w:ascii="宋体" w:hAnsi="宋体" w:cs="宋体" w:eastAsia="宋体" w:hint="default"/>
          <w:sz w:val="27"/>
          <w:szCs w:val="27"/>
        </w:rPr>
      </w:pPr>
    </w:p>
    <w:tbl>
      <w:tblPr>
        <w:tblW w:w="0" w:type="auto"/>
        <w:jc w:val="left"/>
        <w:tblInd w:w="139" w:type="dxa"/>
        <w:tblLayout w:type="fixed"/>
        <w:tblCellMar>
          <w:top w:w="0" w:type="dxa"/>
          <w:left w:w="0" w:type="dxa"/>
          <w:bottom w:w="0" w:type="dxa"/>
          <w:right w:w="0" w:type="dxa"/>
        </w:tblCellMar>
        <w:tblLook w:val="01E0"/>
      </w:tblPr>
      <w:tblGrid>
        <w:gridCol w:w="4126"/>
        <w:gridCol w:w="2766"/>
        <w:gridCol w:w="2766"/>
      </w:tblGrid>
      <w:tr>
        <w:trPr>
          <w:trHeight w:val="342"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846"/>
              <w:jc w:val="right"/>
              <w:rPr>
                <w:rFonts w:ascii="宋体" w:hAnsi="宋体" w:cs="宋体" w:eastAsia="宋体" w:hint="default"/>
                <w:sz w:val="21"/>
                <w:szCs w:val="21"/>
              </w:rPr>
            </w:pPr>
            <w:r>
              <w:rPr>
                <w:rFonts w:ascii="宋体" w:hAnsi="宋体" w:cs="宋体" w:eastAsia="宋体" w:hint="default"/>
                <w:sz w:val="21"/>
                <w:szCs w:val="21"/>
              </w:rPr>
              <w:t>项目</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42"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pacing w:val="-1"/>
                <w:sz w:val="21"/>
              </w:rPr>
              <w:t>3,323,312.99</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pacing w:val="-1"/>
                <w:sz w:val="21"/>
              </w:rPr>
              <w:t>4,944,842.11</w:t>
            </w:r>
          </w:p>
        </w:tc>
      </w:tr>
      <w:tr>
        <w:trPr>
          <w:trHeight w:val="342"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846"/>
              <w:jc w:val="right"/>
              <w:rPr>
                <w:rFonts w:ascii="宋体" w:hAnsi="宋体" w:cs="宋体" w:eastAsia="宋体" w:hint="default"/>
                <w:sz w:val="21"/>
                <w:szCs w:val="21"/>
              </w:rPr>
            </w:pPr>
            <w:r>
              <w:rPr>
                <w:rFonts w:ascii="宋体" w:hAnsi="宋体" w:cs="宋体" w:eastAsia="宋体" w:hint="default"/>
                <w:sz w:val="21"/>
                <w:szCs w:val="21"/>
              </w:rPr>
              <w:t>合计</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pacing w:val="-1"/>
                <w:sz w:val="21"/>
              </w:rPr>
              <w:t>3,323,312.99</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pacing w:val="-1"/>
                <w:sz w:val="21"/>
              </w:rPr>
              <w:t>4,944,842.11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967"/>
        <w:jc w:val="left"/>
        <w:rPr>
          <w:b w:val="0"/>
          <w:bCs w:val="0"/>
        </w:rPr>
      </w:pPr>
      <w:bookmarkStart w:name="2、应收票据及应收账款" w:id="213"/>
      <w:bookmarkEnd w:id="213"/>
      <w:r>
        <w:rPr>
          <w:b w:val="0"/>
          <w:bCs w:val="0"/>
        </w:rPr>
      </w:r>
      <w:r>
        <w:rPr>
          <w:rFonts w:ascii="Times New Roman" w:hAnsi="Times New Roman" w:cs="Times New Roman" w:eastAsia="Times New Roman" w:hint="default"/>
        </w:rPr>
        <w:t>2</w:t>
      </w:r>
      <w:r>
        <w:rPr/>
        <w:t>、应收票据及应收账款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929,920.00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3,308,640.00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350,312,838.59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301,033,038.49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351,242,758.59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304,341,678.49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967"/>
        <w:jc w:val="left"/>
        <w:rPr>
          <w:b w:val="0"/>
          <w:bCs w:val="0"/>
        </w:rPr>
      </w:pPr>
      <w:bookmarkStart w:name="（1）应收票据" w:id="214"/>
      <w:bookmarkEnd w:id="214"/>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67"/>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929,920.00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3,308,640.00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929,920.00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3,308,640.00</w:t>
            </w:r>
          </w:p>
        </w:tc>
      </w:tr>
    </w:tbl>
    <w:p>
      <w:pPr>
        <w:spacing w:line="240" w:lineRule="auto" w:before="2"/>
        <w:rPr>
          <w:rFonts w:ascii="宋体" w:hAnsi="宋体" w:cs="宋体" w:eastAsia="宋体" w:hint="default"/>
          <w:sz w:val="19"/>
          <w:szCs w:val="19"/>
        </w:rPr>
      </w:pPr>
    </w:p>
    <w:p>
      <w:pPr>
        <w:pStyle w:val="Heading3"/>
        <w:spacing w:line="240" w:lineRule="auto" w:before="35"/>
        <w:ind w:right="967"/>
        <w:jc w:val="left"/>
        <w:rPr>
          <w:b w:val="0"/>
          <w:bCs w:val="0"/>
        </w:rPr>
      </w:pPr>
      <w:bookmarkStart w:name="（2）应收账款" w:id="215"/>
      <w:bookmarkEnd w:id="215"/>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67"/>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429,101,</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430.25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78,788,5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91.66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18.36%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350,312,8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38.59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368,342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,289.28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99.50%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67,309,25</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0.79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301,033,03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8.49</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1,834,79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1,834,79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1,834,7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94.45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1,834,794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430,936,</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224.70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80,623,3</w:t>
            </w:r>
          </w:p>
          <w:p>
            <w:pPr>
              <w:pStyle w:val="TableParagraph"/>
              <w:spacing w:line="240" w:lineRule="auto" w:before="105"/>
              <w:ind w:left="329" w:right="0"/>
              <w:jc w:val="left"/>
              <w:rPr>
                <w:rFonts w:ascii="Times New Roman" w:hAnsi="Times New Roman" w:cs="Times New Roman" w:eastAsia="Times New Roman" w:hint="default"/>
                <w:sz w:val="18"/>
                <w:szCs w:val="18"/>
              </w:rPr>
            </w:pPr>
            <w:r>
              <w:rPr>
                <w:rFonts w:ascii="Times New Roman"/>
                <w:sz w:val="18"/>
              </w:rPr>
              <w:t>86.11</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350,312,8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38.59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370,177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,083.73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69,144,04</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5.24</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301,033,03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8.49</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262,432,108.63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13,121,605.43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53,847,491.84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5,384,749.18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34,680,120.59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6,936,024.12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34,529,761.48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13,811,904.59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20,388,196.88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16,310,557.51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23,223,750.83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23,223,750.83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2394"/>
        <w:gridCol w:w="2393"/>
        <w:gridCol w:w="2392"/>
        <w:gridCol w:w="2392"/>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5" w:right="0"/>
              <w:jc w:val="left"/>
              <w:rPr>
                <w:rFonts w:ascii="Times New Roman" w:hAnsi="Times New Roman" w:cs="Times New Roman" w:eastAsia="Times New Roman" w:hint="default"/>
                <w:sz w:val="18"/>
                <w:szCs w:val="18"/>
              </w:rPr>
            </w:pPr>
            <w:r>
              <w:rPr>
                <w:rFonts w:ascii="Times New Roman"/>
                <w:sz w:val="18"/>
              </w:rPr>
              <w:t>429,101,430.25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78,788,591.66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67"/>
        <w:jc w:val="left"/>
      </w:pPr>
      <w:r>
        <w:rPr/>
        <w:t>确定该组合依据的说明：</w:t>
      </w:r>
    </w:p>
    <w:p>
      <w:pPr>
        <w:pStyle w:val="Heading4"/>
        <w:spacing w:line="273" w:lineRule="auto" w:before="90"/>
        <w:ind w:right="1176" w:firstLine="336"/>
        <w:jc w:val="left"/>
      </w:pPr>
      <w:r>
        <w:rPr/>
        <w:t>报告期内本公司无单项金额重大并单项计提坏账准备的应收账款。报告期内本公司单项金额虽不重大 但单项计提坏账准备的应收账款</w:t>
      </w:r>
      <w:r>
        <w:rPr>
          <w:rFonts w:ascii="Times New Roman" w:hAnsi="Times New Roman" w:cs="Times New Roman" w:eastAsia="Times New Roman" w:hint="default"/>
        </w:rPr>
        <w:t>8,151,828.18</w:t>
      </w:r>
      <w:r>
        <w:rPr/>
        <w:t>元。</w:t>
      </w:r>
    </w:p>
    <w:p>
      <w:pPr>
        <w:spacing w:line="240" w:lineRule="auto" w:before="1"/>
        <w:rPr>
          <w:rFonts w:ascii="宋体" w:hAnsi="宋体" w:cs="宋体" w:eastAsia="宋体" w:hint="default"/>
          <w:sz w:val="28"/>
          <w:szCs w:val="28"/>
        </w:rPr>
      </w:pPr>
    </w:p>
    <w:p>
      <w:pPr>
        <w:pStyle w:val="BodyText"/>
        <w:spacing w:line="240" w:lineRule="auto"/>
        <w:ind w:right="967"/>
        <w:jc w:val="left"/>
      </w:pPr>
      <w:r>
        <w:rPr/>
        <w:t>组合中，采用余额百分比法计提坏账准备的应收账款：</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42"/>
        <w:ind w:right="967"/>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3"/>
        <w:ind w:right="967"/>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2"/>
        <w:ind w:right="4861"/>
        <w:jc w:val="left"/>
      </w:pPr>
      <w:r>
        <w:rPr/>
        <w:t>本期计提坏账准备金额</w:t>
      </w:r>
      <w:r>
        <w:rPr>
          <w:spacing w:val="-47"/>
        </w:rPr>
        <w:t> </w:t>
      </w:r>
      <w:r>
        <w:rPr>
          <w:rFonts w:ascii="Times New Roman" w:hAnsi="Times New Roman" w:cs="Times New Roman" w:eastAsia="Times New Roman" w:hint="default"/>
        </w:rPr>
        <w:t>7,956,901.28</w:t>
      </w:r>
      <w:r>
        <w:rPr>
          <w:rFonts w:ascii="Times New Roman" w:hAnsi="Times New Roman" w:cs="Times New Roman" w:eastAsia="Times New Roman" w:hint="default"/>
          <w:spacing w:val="-2"/>
        </w:rPr>
        <w:t> </w:t>
      </w:r>
      <w:r>
        <w:rPr/>
        <w:t>元；本期收回或转回坏账准备金额元。 其中本期坏账准备收回或转回金额重要的：</w:t>
      </w:r>
    </w:p>
    <w:p>
      <w:pPr>
        <w:pStyle w:val="BodyText"/>
        <w:spacing w:line="240" w:lineRule="auto" w:before="4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340" w:lineRule="auto" w:before="51"/>
        <w:ind w:right="6822"/>
        <w:jc w:val="left"/>
      </w:pPr>
      <w:r>
        <w:rPr>
          <w:rFonts w:ascii="Times New Roman" w:hAnsi="Times New Roman" w:cs="Times New Roman" w:eastAsia="Times New Roman" w:hint="default"/>
        </w:rPr>
        <w:t>3)</w:t>
      </w:r>
      <w:r>
        <w:rPr/>
        <w:t>按欠款方归集的期末余额前五名的应收账款情况</w:t>
      </w:r>
      <w:r>
        <w:rPr>
          <w:w w:val="99"/>
        </w:rPr>
        <w:t> </w:t>
      </w:r>
      <w:r>
        <w:rPr/>
        <w:t>公司是否需要遵守特殊行业的披露要求</w:t>
      </w:r>
    </w:p>
    <w:p>
      <w:pPr>
        <w:pStyle w:val="BodyText"/>
        <w:spacing w:line="360" w:lineRule="auto" w:before="40"/>
        <w:ind w:right="8952"/>
        <w:jc w:val="left"/>
      </w:pPr>
      <w:r>
        <w:rPr/>
        <w:t>是 软件与信息技术服务业</w:t>
      </w:r>
    </w:p>
    <w:p>
      <w:pPr>
        <w:spacing w:line="240" w:lineRule="auto" w:before="12"/>
        <w:rPr>
          <w:rFonts w:ascii="宋体" w:hAnsi="宋体" w:cs="宋体" w:eastAsia="宋体" w:hint="default"/>
          <w:sz w:val="24"/>
          <w:szCs w:val="24"/>
        </w:rPr>
      </w:pPr>
    </w:p>
    <w:tbl>
      <w:tblPr>
        <w:tblW w:w="0" w:type="auto"/>
        <w:jc w:val="left"/>
        <w:tblInd w:w="139" w:type="dxa"/>
        <w:tblLayout w:type="fixed"/>
        <w:tblCellMar>
          <w:top w:w="0" w:type="dxa"/>
          <w:left w:w="0" w:type="dxa"/>
          <w:bottom w:w="0" w:type="dxa"/>
          <w:right w:w="0" w:type="dxa"/>
        </w:tblCellMar>
        <w:tblLook w:val="01E0"/>
      </w:tblPr>
      <w:tblGrid>
        <w:gridCol w:w="4154"/>
        <w:gridCol w:w="1975"/>
        <w:gridCol w:w="1766"/>
        <w:gridCol w:w="1764"/>
      </w:tblGrid>
      <w:tr>
        <w:trPr>
          <w:trHeight w:val="342" w:hRule="exact"/>
        </w:trPr>
        <w:tc>
          <w:tcPr>
            <w:tcW w:w="41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55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654" w:hRule="exact"/>
        </w:trPr>
        <w:tc>
          <w:tcPr>
            <w:tcW w:w="4154" w:type="dxa"/>
            <w:vMerge/>
            <w:tcBorders>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56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04" w:right="36" w:hanging="368"/>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占应收账款合计数 的比例</w:t>
            </w:r>
            <w:r>
              <w:rPr>
                <w:rFonts w:ascii="Times New Roman" w:hAnsi="Times New Roman" w:cs="Times New Roman" w:eastAsia="Times New Roman" w:hint="default"/>
                <w:sz w:val="21"/>
                <w:szCs w:val="21"/>
              </w:rPr>
              <w:t>(%)</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5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42"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中国电信集团有限公司江苏分公司</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29,345,961.88</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6.81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1,929,102.16</w:t>
            </w:r>
          </w:p>
        </w:tc>
      </w:tr>
      <w:tr>
        <w:trPr>
          <w:trHeight w:val="342"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中国移动通信集团上海有限公司</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15,165,848.81</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3.52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1,060,864.88</w:t>
            </w:r>
          </w:p>
        </w:tc>
      </w:tr>
      <w:tr>
        <w:trPr>
          <w:trHeight w:val="342"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中移在线服务有限公司</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14,325,725.44</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3.32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716,286.27</w:t>
            </w:r>
          </w:p>
        </w:tc>
      </w:tr>
      <w:tr>
        <w:trPr>
          <w:trHeight w:val="342"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中国移动通信集团江西有限公司</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10,324,008.60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2.40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710,120.43</w:t>
            </w:r>
          </w:p>
        </w:tc>
      </w:tr>
      <w:tr>
        <w:trPr>
          <w:trHeight w:val="342"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中国移动通信集团北京有限公司</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9,814,777.12</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2.28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511,763.76</w:t>
            </w:r>
          </w:p>
        </w:tc>
      </w:tr>
      <w:tr>
        <w:trPr>
          <w:trHeight w:val="342"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78,976,321.85</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18.33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4,928,137.50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3"/>
        <w:spacing w:line="240" w:lineRule="auto" w:before="35"/>
        <w:ind w:right="967"/>
        <w:jc w:val="left"/>
        <w:rPr>
          <w:b w:val="0"/>
          <w:bCs w:val="0"/>
        </w:rPr>
      </w:pPr>
      <w:bookmarkStart w:name="3、预付款项" w:id="216"/>
      <w:bookmarkEnd w:id="216"/>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67"/>
        <w:jc w:val="left"/>
        <w:rPr>
          <w:b w:val="0"/>
          <w:bCs w:val="0"/>
        </w:rPr>
      </w:pPr>
      <w:bookmarkStart w:name="（1）预付款项按账龄列示" w:id="217"/>
      <w:bookmarkEnd w:id="21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3,439,229.50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5,222,592.67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89.85%</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713,131.39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4,732,360.89</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5,812,592.67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67"/>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1"/>
        <w:rPr>
          <w:rFonts w:ascii="宋体" w:hAnsi="宋体" w:cs="宋体" w:eastAsia="宋体" w:hint="default"/>
          <w:sz w:val="25"/>
          <w:szCs w:val="25"/>
        </w:rPr>
      </w:pPr>
    </w:p>
    <w:p>
      <w:pPr>
        <w:pStyle w:val="Heading3"/>
        <w:spacing w:line="240" w:lineRule="auto"/>
        <w:ind w:right="967"/>
        <w:jc w:val="left"/>
        <w:rPr>
          <w:b w:val="0"/>
          <w:bCs w:val="0"/>
        </w:rPr>
      </w:pPr>
      <w:bookmarkStart w:name="（2）按预付对象归集的期末余额前五名的预付款情况" w:id="218"/>
      <w:bookmarkEnd w:id="21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tbl>
      <w:tblPr>
        <w:tblW w:w="0" w:type="auto"/>
        <w:jc w:val="left"/>
        <w:tblInd w:w="139" w:type="dxa"/>
        <w:tblLayout w:type="fixed"/>
        <w:tblCellMar>
          <w:top w:w="0" w:type="dxa"/>
          <w:left w:w="0" w:type="dxa"/>
          <w:bottom w:w="0" w:type="dxa"/>
          <w:right w:w="0" w:type="dxa"/>
        </w:tblCellMar>
        <w:tblLook w:val="01E0"/>
      </w:tblPr>
      <w:tblGrid>
        <w:gridCol w:w="4364"/>
        <w:gridCol w:w="2646"/>
        <w:gridCol w:w="2648"/>
      </w:tblGrid>
      <w:tr>
        <w:trPr>
          <w:trHeight w:val="65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预付对象</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4" w:right="56" w:hanging="945"/>
              <w:jc w:val="left"/>
              <w:rPr>
                <w:rFonts w:ascii="宋体" w:hAnsi="宋体" w:cs="宋体" w:eastAsia="宋体" w:hint="default"/>
                <w:sz w:val="21"/>
                <w:szCs w:val="21"/>
              </w:rPr>
            </w:pPr>
            <w:r>
              <w:rPr>
                <w:rFonts w:ascii="宋体" w:hAnsi="宋体" w:cs="宋体" w:eastAsia="宋体" w:hint="default"/>
                <w:sz w:val="21"/>
                <w:szCs w:val="21"/>
              </w:rPr>
              <w:t>占预付款项期末余额合计数 的比例</w:t>
            </w:r>
          </w:p>
        </w:tc>
      </w:tr>
      <w:tr>
        <w:trPr>
          <w:trHeight w:val="34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中软信息系统工程有限公司</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430,000.00</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9.09</w:t>
            </w:r>
          </w:p>
        </w:tc>
      </w:tr>
      <w:tr>
        <w:trPr>
          <w:trHeight w:val="34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北京腾股网络科技有限公司</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377,562.02</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7.98</w:t>
            </w:r>
          </w:p>
        </w:tc>
      </w:tr>
      <w:tr>
        <w:trPr>
          <w:trHeight w:val="34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北京邮电大学</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353,773.50</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7.48</w:t>
            </w:r>
          </w:p>
        </w:tc>
      </w:tr>
      <w:tr>
        <w:trPr>
          <w:trHeight w:val="34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南昌惠联网络技术有限公司</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352,000.00</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7.44</w:t>
            </w:r>
          </w:p>
        </w:tc>
      </w:tr>
      <w:tr>
        <w:trPr>
          <w:trHeight w:val="34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北京正达凯旋物业管理有限公司</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288,119.69</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6.09</w:t>
            </w:r>
          </w:p>
        </w:tc>
      </w:tr>
      <w:tr>
        <w:trPr>
          <w:trHeight w:val="34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1,801,455.21</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38.08</w:t>
            </w:r>
          </w:p>
        </w:tc>
      </w:tr>
    </w:tbl>
    <w:p>
      <w:pPr>
        <w:spacing w:line="240" w:lineRule="auto" w:before="5"/>
        <w:rPr>
          <w:rFonts w:ascii="宋体" w:hAnsi="宋体" w:cs="宋体" w:eastAsia="宋体" w:hint="default"/>
          <w:b/>
          <w:bCs/>
          <w:sz w:val="24"/>
          <w:szCs w:val="24"/>
        </w:rPr>
      </w:pPr>
    </w:p>
    <w:p>
      <w:pPr>
        <w:pStyle w:val="BodyText"/>
        <w:spacing w:line="240" w:lineRule="auto" w:before="44"/>
        <w:ind w:right="967"/>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67"/>
        <w:jc w:val="left"/>
        <w:rPr>
          <w:b w:val="0"/>
          <w:bCs w:val="0"/>
        </w:rPr>
      </w:pPr>
      <w:bookmarkStart w:name="4、其他应收款" w:id="219"/>
      <w:bookmarkEnd w:id="219"/>
      <w:r>
        <w:rPr>
          <w:b w:val="0"/>
          <w:bCs w:val="0"/>
        </w:rPr>
      </w:r>
      <w:r>
        <w:rPr>
          <w:rFonts w:ascii="Times New Roman" w:hAnsi="Times New Roman" w:cs="Times New Roman" w:eastAsia="Times New Roman" w:hint="default"/>
        </w:rPr>
        <w:t>4</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2,208,839.45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7,179,724.32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5,561,212.15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7,179,724.32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7,770,051.60</w:t>
            </w:r>
          </w:p>
        </w:tc>
      </w:tr>
    </w:tbl>
    <w:p>
      <w:pPr>
        <w:spacing w:line="240" w:lineRule="auto" w:before="2"/>
        <w:rPr>
          <w:rFonts w:ascii="宋体" w:hAnsi="宋体" w:cs="宋体" w:eastAsia="宋体" w:hint="default"/>
          <w:sz w:val="19"/>
          <w:szCs w:val="19"/>
        </w:rPr>
      </w:pPr>
    </w:p>
    <w:p>
      <w:pPr>
        <w:pStyle w:val="Heading3"/>
        <w:spacing w:line="240" w:lineRule="auto" w:before="35"/>
        <w:ind w:right="967"/>
        <w:jc w:val="left"/>
        <w:rPr>
          <w:b w:val="0"/>
          <w:bCs w:val="0"/>
        </w:rPr>
      </w:pPr>
      <w:bookmarkStart w:name="（1）应收利息" w:id="220"/>
      <w:bookmarkEnd w:id="220"/>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67"/>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2,208,839.45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2,208,839.45</w:t>
            </w:r>
          </w:p>
        </w:tc>
      </w:tr>
    </w:tbl>
    <w:p>
      <w:pPr>
        <w:spacing w:line="240" w:lineRule="auto" w:before="2"/>
        <w:rPr>
          <w:rFonts w:ascii="宋体" w:hAnsi="宋体" w:cs="宋体" w:eastAsia="宋体" w:hint="default"/>
          <w:sz w:val="19"/>
          <w:szCs w:val="19"/>
        </w:rPr>
      </w:pPr>
    </w:p>
    <w:p>
      <w:pPr>
        <w:pStyle w:val="Heading3"/>
        <w:spacing w:line="240" w:lineRule="auto" w:before="35"/>
        <w:ind w:right="967"/>
        <w:jc w:val="left"/>
        <w:rPr>
          <w:b w:val="0"/>
          <w:bCs w:val="0"/>
        </w:rPr>
      </w:pPr>
      <w:bookmarkStart w:name="（2）其他应收款" w:id="221"/>
      <w:bookmarkEnd w:id="221"/>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67"/>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1525"/>
        <w:gridCol w:w="1524"/>
        <w:gridCol w:w="790"/>
        <w:gridCol w:w="1416"/>
        <w:gridCol w:w="1745"/>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161"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23" w:type="dxa"/>
            <w:vMerge/>
            <w:tcBorders>
              <w:left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7,179,72</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4.32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97.76%</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7,179,724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5,561,2</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12.15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97.13%</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5,561,212.1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164,189.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164,189.</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164,189</w:t>
            </w:r>
          </w:p>
          <w:p>
            <w:pPr>
              <w:pStyle w:val="TableParagraph"/>
              <w:spacing w:line="240" w:lineRule="auto" w:before="106"/>
              <w:ind w:left="396" w:right="0"/>
              <w:jc w:val="left"/>
              <w:rPr>
                <w:rFonts w:ascii="Times New Roman" w:hAnsi="Times New Roman" w:cs="Times New Roman" w:eastAsia="Times New Roman" w:hint="default"/>
                <w:sz w:val="18"/>
                <w:szCs w:val="18"/>
              </w:rPr>
            </w:pPr>
            <w:r>
              <w:rPr>
                <w:rFonts w:ascii="Times New Roman"/>
                <w:sz w:val="18"/>
              </w:rPr>
              <w:t>.94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164,189.9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7,343,91</w:t>
            </w:r>
          </w:p>
          <w:p>
            <w:pPr>
              <w:pStyle w:val="TableParagraph"/>
              <w:spacing w:line="240" w:lineRule="auto" w:before="106"/>
              <w:ind w:left="408" w:right="0"/>
              <w:jc w:val="left"/>
              <w:rPr>
                <w:rFonts w:ascii="Times New Roman" w:hAnsi="Times New Roman" w:cs="Times New Roman" w:eastAsia="Times New Roman" w:hint="default"/>
                <w:sz w:val="18"/>
                <w:szCs w:val="18"/>
              </w:rPr>
            </w:pPr>
            <w:r>
              <w:rPr>
                <w:rFonts w:ascii="Times New Roman"/>
                <w:sz w:val="18"/>
              </w:rPr>
              <w:t>4.26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164,189.</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94</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7,179,724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5,725,4</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02.09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164,189.9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5,561,212.1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3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338"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40" w:lineRule="auto" w:before="42"/>
        <w:ind w:right="3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rFonts w:ascii="Times New Roman" w:hAnsi="Times New Roman" w:cs="Times New Roman" w:eastAsia="Times New Roman" w:hint="default"/>
        </w:rPr>
        <w:t>2)</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备用金及职工暂借款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1,548,030.14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861,668.44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3,554,054.28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2,573,704.70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2,241,829.84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1,523,559.44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301,720.56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464,748.95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7,343,914.26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5,725,402.09</w:t>
            </w:r>
          </w:p>
        </w:tc>
      </w:tr>
    </w:tbl>
    <w:p>
      <w:pPr>
        <w:pStyle w:val="BodyText"/>
        <w:spacing w:line="240" w:lineRule="auto" w:before="51"/>
        <w:ind w:right="967"/>
        <w:jc w:val="left"/>
      </w:pPr>
      <w:r>
        <w:rPr>
          <w:rFonts w:ascii="Times New Roman" w:hAnsi="Times New Roman" w:cs="Times New Roman" w:eastAsia="Times New Roman" w:hint="default"/>
        </w:rPr>
        <w:t>3)</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中国移动通信集团 天津有限公司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933,952.37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北京信息基础设施 建设股份有限公司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877,283.28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北京东华合创科技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451,900.00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99,000.00</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352,900.00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6.15%</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中信国安信息科技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278,037.25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中国人民银行征信 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2,775,672.90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967"/>
        <w:jc w:val="left"/>
        <w:rPr>
          <w:b w:val="0"/>
          <w:bCs w:val="0"/>
        </w:rPr>
      </w:pPr>
      <w:bookmarkStart w:name="5、存货" w:id="222"/>
      <w:bookmarkEnd w:id="222"/>
      <w:r>
        <w:rPr>
          <w:b w:val="0"/>
          <w:bCs w:val="0"/>
        </w:rPr>
      </w:r>
      <w:r>
        <w:rPr>
          <w:rFonts w:ascii="Times New Roman" w:hAnsi="Times New Roman" w:cs="Times New Roman" w:eastAsia="Times New Roman" w:hint="default"/>
        </w:rPr>
        <w:t>5</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512"/>
        <w:jc w:val="left"/>
      </w:pPr>
      <w:r>
        <w:rPr/>
        <w:t>公司是否需要遵守房地产行业的披露要求 否</w:t>
      </w:r>
    </w:p>
    <w:p>
      <w:pPr>
        <w:spacing w:line="240" w:lineRule="auto" w:before="11"/>
        <w:rPr>
          <w:rFonts w:ascii="宋体" w:hAnsi="宋体" w:cs="宋体" w:eastAsia="宋体" w:hint="default"/>
          <w:sz w:val="19"/>
          <w:szCs w:val="19"/>
        </w:rPr>
      </w:pPr>
    </w:p>
    <w:p>
      <w:pPr>
        <w:pStyle w:val="Heading3"/>
        <w:spacing w:line="240" w:lineRule="auto"/>
        <w:ind w:right="967"/>
        <w:jc w:val="left"/>
        <w:rPr>
          <w:b w:val="0"/>
          <w:bCs w:val="0"/>
        </w:rPr>
      </w:pPr>
      <w:bookmarkStart w:name="（1）存货分类" w:id="223"/>
      <w:bookmarkEnd w:id="223"/>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9,805,064.16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132,587.41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9,672,476.75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4,289,554.54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4,289,554.54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28,905,245.85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28,905,245.85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28,959,268.86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28,959,268.86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38,710,310.01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132,587.41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38,577,722.60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33,248,823.40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33,248,823.40</w:t>
            </w:r>
          </w:p>
        </w:tc>
      </w:tr>
    </w:tbl>
    <w:p>
      <w:pPr>
        <w:pStyle w:val="BodyText"/>
        <w:spacing w:line="340"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0"/>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0"/>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3"/>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1"/>
        <w:rPr>
          <w:rFonts w:ascii="宋体" w:hAnsi="宋体" w:cs="宋体" w:eastAsia="宋体" w:hint="default"/>
          <w:sz w:val="21"/>
          <w:szCs w:val="21"/>
        </w:rPr>
      </w:pPr>
    </w:p>
    <w:p>
      <w:pPr>
        <w:pStyle w:val="Heading3"/>
        <w:spacing w:line="240" w:lineRule="auto"/>
        <w:ind w:right="967"/>
        <w:jc w:val="left"/>
        <w:rPr>
          <w:b w:val="0"/>
          <w:bCs w:val="0"/>
        </w:rPr>
      </w:pPr>
      <w:bookmarkStart w:name="（2）存货跌价准备" w:id="224"/>
      <w:bookmarkEnd w:id="224"/>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132,587.41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132,587.41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132,587.41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132,587.41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967"/>
        <w:jc w:val="left"/>
        <w:rPr>
          <w:b w:val="0"/>
          <w:bCs w:val="0"/>
        </w:rPr>
      </w:pPr>
      <w:bookmarkStart w:name="（3）存货期末余额含有借款费用资本化金额的说明" w:id="225"/>
      <w:bookmarkEnd w:id="225"/>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67"/>
        <w:jc w:val="left"/>
        <w:rPr>
          <w:b w:val="0"/>
          <w:bCs w:val="0"/>
        </w:rPr>
      </w:pPr>
      <w:bookmarkStart w:name="（4）期末建造合同形成的已完工未结算资产情况" w:id="226"/>
      <w:bookmarkEnd w:id="226"/>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right="967"/>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967"/>
        <w:jc w:val="left"/>
        <w:rPr>
          <w:b w:val="0"/>
          <w:bCs w:val="0"/>
        </w:rPr>
      </w:pPr>
      <w:bookmarkStart w:name="6、其他流动资产" w:id="227"/>
      <w:bookmarkEnd w:id="227"/>
      <w:r>
        <w:rPr>
          <w:b w:val="0"/>
          <w:bCs w:val="0"/>
        </w:rPr>
      </w:r>
      <w:r>
        <w:rPr>
          <w:rFonts w:ascii="Times New Roman" w:hAnsi="Times New Roman" w:cs="Times New Roman" w:eastAsia="Times New Roman" w:hint="default"/>
        </w:rPr>
        <w:t>6</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40,851.19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40,890.56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40,851.19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40,890.56</w:t>
            </w:r>
          </w:p>
        </w:tc>
      </w:tr>
    </w:tbl>
    <w:p>
      <w:pPr>
        <w:pStyle w:val="BodyText"/>
        <w:spacing w:line="240" w:lineRule="auto" w:before="51"/>
        <w:ind w:right="967"/>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67"/>
        <w:jc w:val="left"/>
        <w:rPr>
          <w:b w:val="0"/>
          <w:bCs w:val="0"/>
        </w:rPr>
      </w:pPr>
      <w:bookmarkStart w:name="7、可供出售金融资产" w:id="228"/>
      <w:bookmarkEnd w:id="228"/>
      <w:r>
        <w:rPr>
          <w:b w:val="0"/>
          <w:bCs w:val="0"/>
        </w:rPr>
      </w:r>
      <w:r>
        <w:rPr>
          <w:rFonts w:ascii="Times New Roman" w:hAnsi="Times New Roman" w:cs="Times New Roman" w:eastAsia="Times New Roman" w:hint="default"/>
        </w:rPr>
        <w:t>7</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67"/>
        <w:jc w:val="left"/>
        <w:rPr>
          <w:b w:val="0"/>
          <w:bCs w:val="0"/>
        </w:rPr>
      </w:pPr>
      <w:bookmarkStart w:name="（1）可供出售金融资产情况" w:id="229"/>
      <w:bookmarkEnd w:id="229"/>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bl>
    <w:p>
      <w:pPr>
        <w:spacing w:line="240" w:lineRule="auto" w:before="2"/>
        <w:rPr>
          <w:rFonts w:ascii="宋体" w:hAnsi="宋体" w:cs="宋体" w:eastAsia="宋体" w:hint="default"/>
          <w:sz w:val="19"/>
          <w:szCs w:val="19"/>
        </w:rPr>
      </w:pPr>
    </w:p>
    <w:p>
      <w:pPr>
        <w:pStyle w:val="Heading3"/>
        <w:spacing w:line="240" w:lineRule="auto" w:before="35"/>
        <w:ind w:right="967"/>
        <w:jc w:val="left"/>
        <w:rPr>
          <w:b w:val="0"/>
          <w:bCs w:val="0"/>
        </w:rPr>
      </w:pPr>
      <w:bookmarkStart w:name="（2）期末按成本计量的可供出售金融资产" w:id="230"/>
      <w:bookmarkEnd w:id="230"/>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上海软件 产业促进 中心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6"/>
              <w:jc w:val="center"/>
              <w:rPr>
                <w:rFonts w:ascii="Times New Roman" w:hAnsi="Times New Roman" w:cs="Times New Roman" w:eastAsia="Times New Roman" w:hint="default"/>
                <w:sz w:val="18"/>
                <w:szCs w:val="18"/>
              </w:rPr>
            </w:pPr>
            <w:r>
              <w:rPr>
                <w:rFonts w:ascii="Times New Roman"/>
                <w:sz w:val="18"/>
              </w:rPr>
              <w:t>200,000.00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200,000.00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967"/>
        <w:jc w:val="left"/>
        <w:rPr>
          <w:b w:val="0"/>
          <w:bCs w:val="0"/>
        </w:rPr>
      </w:pPr>
      <w:bookmarkStart w:name="（3）可供出售权益工具期末公允价值严重下跌或非暂时性下跌但未计提减值准备的相关说" w:id="231"/>
      <w:bookmarkEnd w:id="231"/>
      <w:r>
        <w:rPr>
          <w:b w:val="0"/>
          <w:bCs w:val="0"/>
        </w:rPr>
      </w:r>
      <w:r>
        <w:rPr/>
        <w:t>（</w:t>
      </w:r>
      <w:r>
        <w:rPr>
          <w:rFonts w:ascii="Times New Roman" w:hAnsi="Times New Roman" w:cs="Times New Roman" w:eastAsia="Times New Roman" w:hint="default"/>
        </w:rPr>
        <w:t>3</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right="967"/>
        <w:jc w:val="left"/>
      </w:pPr>
      <w:r>
        <w:rPr/>
        <w:t>其他说明</w:t>
      </w:r>
    </w:p>
    <w:p>
      <w:pPr>
        <w:pStyle w:val="Heading4"/>
        <w:spacing w:line="256" w:lineRule="auto" w:before="90"/>
        <w:ind w:left="229" w:right="1122" w:firstLine="420"/>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日，上海东方通泰软件科技有限公司向上海软件产业促进中心出资</w:t>
      </w:r>
      <w:r>
        <w:rPr>
          <w:rFonts w:ascii="Times New Roman" w:hAnsi="Times New Roman" w:cs="Times New Roman" w:eastAsia="Times New Roman" w:hint="default"/>
        </w:rPr>
        <w:t>20</w:t>
      </w:r>
      <w:r>
        <w:rPr/>
        <w:t>万元，该出资事项 由上海信光会计师事务所有限公司审验，并出具沪信光会验</w:t>
      </w:r>
      <w:r>
        <w:rPr>
          <w:rFonts w:ascii="Times New Roman" w:hAnsi="Times New Roman" w:cs="Times New Roman" w:eastAsia="Times New Roman" w:hint="default"/>
        </w:rPr>
        <w:t>(2010)</w:t>
      </w:r>
      <w:r>
        <w:rPr/>
        <w:t>第</w:t>
      </w:r>
      <w:r>
        <w:rPr>
          <w:rFonts w:ascii="Times New Roman" w:hAnsi="Times New Roman" w:cs="Times New Roman" w:eastAsia="Times New Roman" w:hint="default"/>
        </w:rPr>
        <w:t>022</w:t>
      </w:r>
      <w:r>
        <w:rPr/>
        <w:t>号验资报告。</w:t>
      </w:r>
    </w:p>
    <w:p>
      <w:pPr>
        <w:pStyle w:val="Heading4"/>
        <w:spacing w:line="261" w:lineRule="auto" w:before="5"/>
        <w:ind w:right="967" w:firstLine="420"/>
        <w:jc w:val="left"/>
      </w:pPr>
      <w:r>
        <w:rPr/>
        <w:t>上海软件产业促进中心于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日在上海市闸北区民政局注册，开办资金</w:t>
      </w:r>
      <w:r>
        <w:rPr>
          <w:rFonts w:ascii="Times New Roman" w:hAnsi="Times New Roman" w:cs="Times New Roman" w:eastAsia="Times New Roman" w:hint="default"/>
        </w:rPr>
        <w:t>160</w:t>
      </w:r>
      <w:r>
        <w:rPr/>
        <w:t>万元，法定代表人 </w:t>
      </w:r>
      <w:r>
        <w:rPr>
          <w:spacing w:val="-1"/>
        </w:rPr>
        <w:t>唐全荣，法定住所上海市闸北区江场三路</w:t>
      </w:r>
      <w:r>
        <w:rPr>
          <w:rFonts w:ascii="Times New Roman" w:hAnsi="Times New Roman" w:cs="Times New Roman" w:eastAsia="Times New Roman" w:hint="default"/>
          <w:spacing w:val="-1"/>
        </w:rPr>
        <w:t>26</w:t>
      </w:r>
      <w:r>
        <w:rPr>
          <w:spacing w:val="-1"/>
        </w:rPr>
        <w:t>、</w:t>
      </w:r>
      <w:r>
        <w:rPr>
          <w:rFonts w:ascii="Times New Roman" w:hAnsi="Times New Roman" w:cs="Times New Roman" w:eastAsia="Times New Roman" w:hint="default"/>
          <w:spacing w:val="-1"/>
        </w:rPr>
        <w:t>28</w:t>
      </w:r>
      <w:r>
        <w:rPr>
          <w:spacing w:val="-1"/>
        </w:rPr>
        <w:t>号</w:t>
      </w:r>
      <w:r>
        <w:rPr>
          <w:rFonts w:ascii="Times New Roman" w:hAnsi="Times New Roman" w:cs="Times New Roman" w:eastAsia="Times New Roman" w:hint="default"/>
          <w:spacing w:val="-1"/>
        </w:rPr>
        <w:t>301</w:t>
      </w:r>
      <w:r>
        <w:rPr>
          <w:spacing w:val="-1"/>
        </w:rPr>
        <w:t>室，业务范围为为软件应用及培训、咨询提供服务，</w:t>
      </w:r>
      <w:r>
        <w:rPr>
          <w:spacing w:val="-83"/>
        </w:rPr>
        <w:t> </w:t>
      </w:r>
      <w:r>
        <w:rPr>
          <w:spacing w:val="-83"/>
        </w:rPr>
      </w:r>
      <w:r>
        <w:rPr/>
        <w:t>加强交流，促进技术创新，承接政府委托项目，为软件产业发展服务。上海软件产业促进中心是从事非营</w:t>
      </w:r>
      <w:r>
        <w:rPr/>
        <w:t> 利性社会服务活动的社会组织。</w:t>
      </w:r>
    </w:p>
    <w:p>
      <w:pPr>
        <w:spacing w:line="240" w:lineRule="auto" w:before="5"/>
        <w:rPr>
          <w:rFonts w:ascii="宋体" w:hAnsi="宋体" w:cs="宋体" w:eastAsia="宋体" w:hint="default"/>
          <w:sz w:val="24"/>
          <w:szCs w:val="24"/>
        </w:rPr>
      </w:pPr>
    </w:p>
    <w:p>
      <w:pPr>
        <w:pStyle w:val="Heading3"/>
        <w:spacing w:line="240" w:lineRule="auto"/>
        <w:ind w:right="967"/>
        <w:jc w:val="left"/>
        <w:rPr>
          <w:b w:val="0"/>
          <w:bCs w:val="0"/>
        </w:rPr>
      </w:pPr>
      <w:bookmarkStart w:name="8、长期股权投资" w:id="232"/>
      <w:bookmarkEnd w:id="232"/>
      <w:r>
        <w:rPr>
          <w:b w:val="0"/>
          <w:bCs w:val="0"/>
        </w:rPr>
      </w:r>
      <w:r>
        <w:rPr>
          <w:rFonts w:ascii="Times New Roman" w:hAnsi="Times New Roman" w:cs="Times New Roman" w:eastAsia="Times New Roman" w:hint="default"/>
        </w:rPr>
        <w:t>8</w:t>
      </w:r>
      <w:r>
        <w:rPr/>
        <w:t>、长期股权投资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北京核高 基软件有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255,069.5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-4,970.56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250,098.9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杭州清响 投资管理 合伙企业</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55,651,17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-295,932.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67,355,24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4.80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55,906,24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-300,903.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67,605,34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3.76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55,906,24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-300,903.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67,605,34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3.76</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67"/>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967"/>
        <w:jc w:val="left"/>
        <w:rPr>
          <w:b w:val="0"/>
          <w:bCs w:val="0"/>
        </w:rPr>
      </w:pPr>
      <w:bookmarkStart w:name="9、固定资产" w:id="233"/>
      <w:bookmarkEnd w:id="233"/>
      <w:r>
        <w:rPr>
          <w:b w:val="0"/>
          <w:bCs w:val="0"/>
        </w:rPr>
      </w:r>
      <w:r>
        <w:rPr>
          <w:rFonts w:ascii="Times New Roman" w:hAnsi="Times New Roman" w:cs="Times New Roman" w:eastAsia="Times New Roman" w:hint="default"/>
        </w:rPr>
        <w:t>9</w:t>
      </w:r>
      <w:r>
        <w:rPr/>
        <w:t>、固定资产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4,050,192.08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3,927,937.46</w:t>
            </w: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4,050,192.08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3,927,937.46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967"/>
        <w:jc w:val="left"/>
        <w:rPr>
          <w:b w:val="0"/>
          <w:bCs w:val="0"/>
        </w:rPr>
      </w:pPr>
      <w:bookmarkStart w:name="（1）固定资产情况" w:id="234"/>
      <w:bookmarkEnd w:id="23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运输工具</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2392"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4,274,348.13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6,862,789.75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11,137,137.88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595,597.64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891,707.13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1,487,304.77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533,402.88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842,734.13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1,376,137.01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62,194.76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48,973.00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111,167.76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375,858.98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554,557.03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930,416.01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375,858.98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554,557.03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930,416.01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4,494,086.79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7,199,939.85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11,694,026.64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2,989,346.28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4,219,854.14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7,209,200.42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444,793.02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833,851.23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1,278,644.25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444,793.02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833,851.23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1,278,644.25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355,487.13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488,522.98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844,010.11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355,487.13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488,522.98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844,010.11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3,078,652.17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4,565,182.39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7,643,834.56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1,415,434.62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2,642,935.61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4,050,192.08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6" w:right="0"/>
              <w:jc w:val="left"/>
              <w:rPr>
                <w:rFonts w:ascii="Times New Roman" w:hAnsi="Times New Roman" w:cs="Times New Roman" w:eastAsia="Times New Roman" w:hint="default"/>
                <w:sz w:val="18"/>
                <w:szCs w:val="18"/>
              </w:rPr>
            </w:pPr>
            <w:r>
              <w:rPr>
                <w:rFonts w:ascii="Times New Roman"/>
                <w:sz w:val="18"/>
              </w:rPr>
              <w:t>1,285,001.85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2,642,935.61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3,927,937.46</w:t>
            </w:r>
          </w:p>
        </w:tc>
      </w:tr>
    </w:tbl>
    <w:p>
      <w:pPr>
        <w:spacing w:line="240" w:lineRule="auto" w:before="2"/>
        <w:rPr>
          <w:rFonts w:ascii="宋体" w:hAnsi="宋体" w:cs="宋体" w:eastAsia="宋体" w:hint="default"/>
          <w:sz w:val="19"/>
          <w:szCs w:val="19"/>
        </w:rPr>
      </w:pPr>
    </w:p>
    <w:p>
      <w:pPr>
        <w:pStyle w:val="Heading3"/>
        <w:spacing w:line="240" w:lineRule="auto" w:before="35"/>
        <w:ind w:right="967"/>
        <w:jc w:val="left"/>
        <w:rPr>
          <w:b w:val="0"/>
          <w:bCs w:val="0"/>
        </w:rPr>
      </w:pPr>
      <w:bookmarkStart w:name="10、在建工程" w:id="235"/>
      <w:bookmarkEnd w:id="235"/>
      <w:r>
        <w:rPr>
          <w:b w:val="0"/>
          <w:bCs w:val="0"/>
        </w:rPr>
      </w:r>
      <w:r>
        <w:rPr>
          <w:rFonts w:ascii="Times New Roman" w:hAnsi="Times New Roman" w:cs="Times New Roman" w:eastAsia="Times New Roman" w:hint="default"/>
        </w:rPr>
        <w:t>10</w:t>
      </w:r>
      <w:r>
        <w:rPr/>
        <w:t>、在建工程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95"/>
        <w:gridCol w:w="3815"/>
        <w:gridCol w:w="3858"/>
      </w:tblGrid>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967"/>
        <w:jc w:val="left"/>
        <w:rPr>
          <w:b w:val="0"/>
          <w:bCs w:val="0"/>
        </w:rPr>
      </w:pPr>
      <w:bookmarkStart w:name="（1）在建工程情况" w:id="236"/>
      <w:bookmarkEnd w:id="236"/>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967"/>
        <w:jc w:val="left"/>
        <w:rPr>
          <w:b w:val="0"/>
          <w:bCs w:val="0"/>
        </w:rPr>
      </w:pPr>
      <w:bookmarkStart w:name="11、无形资产" w:id="237"/>
      <w:bookmarkEnd w:id="237"/>
      <w:r>
        <w:rPr>
          <w:b w:val="0"/>
          <w:bCs w:val="0"/>
        </w:rPr>
      </w:r>
      <w:r>
        <w:rPr>
          <w:rFonts w:ascii="Times New Roman" w:hAnsi="Times New Roman" w:cs="Times New Roman" w:eastAsia="Times New Roman" w:hint="default"/>
        </w:rPr>
        <w:t>11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67"/>
        <w:jc w:val="left"/>
        <w:rPr>
          <w:b w:val="0"/>
          <w:bCs w:val="0"/>
        </w:rPr>
      </w:pPr>
      <w:bookmarkStart w:name="（1）无形资产情况" w:id="238"/>
      <w:bookmarkEnd w:id="23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57,922,793.13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57,922,793.13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8,922,352.12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8,922,352.12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7,309,652.12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7,309,652.12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1,612,700.00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1,612,700.00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66,845,145.25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66,845,145.25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40,993,824.11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40,993,824.11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8,713,063.24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8,713,063.24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36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8,713,063.24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8,713,063.24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49,706,887.35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49,706,887.35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17,138,257.90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17,138,257.90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16,928,969.02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16,928,969.02</w:t>
            </w:r>
          </w:p>
        </w:tc>
      </w:tr>
    </w:tbl>
    <w:p>
      <w:pPr>
        <w:pStyle w:val="BodyText"/>
        <w:spacing w:line="240" w:lineRule="auto" w:before="51"/>
        <w:ind w:right="967"/>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3"/>
        <w:spacing w:line="240" w:lineRule="auto"/>
        <w:ind w:right="967"/>
        <w:jc w:val="left"/>
        <w:rPr>
          <w:b w:val="0"/>
          <w:bCs w:val="0"/>
        </w:rPr>
      </w:pPr>
      <w:bookmarkStart w:name="12、商誉" w:id="239"/>
      <w:bookmarkEnd w:id="239"/>
      <w:r>
        <w:rPr>
          <w:b w:val="0"/>
          <w:bCs w:val="0"/>
        </w:rPr>
      </w:r>
      <w:r>
        <w:rPr>
          <w:rFonts w:ascii="Times New Roman" w:hAnsi="Times New Roman" w:cs="Times New Roman" w:eastAsia="Times New Roman" w:hint="default"/>
        </w:rPr>
        <w:t>12</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67"/>
        <w:jc w:val="left"/>
        <w:rPr>
          <w:b w:val="0"/>
          <w:bCs w:val="0"/>
        </w:rPr>
      </w:pPr>
      <w:bookmarkStart w:name="（1）商誉账面原值" w:id="240"/>
      <w:bookmarkEnd w:id="240"/>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北京惠捷朗科技 有限公司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363,369,417.11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363,369,417.11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北京同德一心科 技有限公司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29,607,378.92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29,607,378.92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北京数字天堂信 息科技有限责任 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34,847,082.00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7" w:right="0"/>
              <w:jc w:val="center"/>
              <w:rPr>
                <w:rFonts w:ascii="Times New Roman" w:hAnsi="Times New Roman" w:cs="Times New Roman" w:eastAsia="Times New Roman" w:hint="default"/>
                <w:sz w:val="18"/>
                <w:szCs w:val="18"/>
              </w:rPr>
            </w:pPr>
            <w:r>
              <w:rPr>
                <w:rFonts w:ascii="Times New Roman"/>
                <w:sz w:val="18"/>
              </w:rPr>
              <w:t>34,847,082.00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北京微智信业科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479,175,592.37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479,175,592.37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北京泰策科技有 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554,871,440.00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554,871,440.00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906,999,470.40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554,871,440.00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1,461,870,910.40</w:t>
            </w:r>
          </w:p>
        </w:tc>
      </w:tr>
    </w:tbl>
    <w:p>
      <w:pPr>
        <w:spacing w:line="240" w:lineRule="auto" w:before="2"/>
        <w:rPr>
          <w:rFonts w:ascii="宋体" w:hAnsi="宋体" w:cs="宋体" w:eastAsia="宋体" w:hint="default"/>
          <w:sz w:val="19"/>
          <w:szCs w:val="19"/>
        </w:rPr>
      </w:pPr>
    </w:p>
    <w:p>
      <w:pPr>
        <w:pStyle w:val="Heading3"/>
        <w:spacing w:line="240" w:lineRule="auto" w:before="35"/>
        <w:ind w:right="967"/>
        <w:jc w:val="left"/>
        <w:rPr>
          <w:b w:val="0"/>
          <w:bCs w:val="0"/>
        </w:rPr>
      </w:pPr>
      <w:bookmarkStart w:name="（2）商誉减值准备" w:id="241"/>
      <w:bookmarkEnd w:id="241"/>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北京惠捷朗科技 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337,929,523.60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337,929,523.60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北京同德一心科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29,607,378.92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29,607,378.92</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北京数字天堂信 息科技有限责任 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17,280,395.46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17,280,395.46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北京微智信业科 技有限公司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384,817,297.98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384,817,297.98</w:t>
            </w:r>
          </w:p>
        </w:tc>
      </w:tr>
    </w:tbl>
    <w:p>
      <w:pPr>
        <w:pStyle w:val="BodyText"/>
        <w:spacing w:line="240" w:lineRule="auto" w:before="51"/>
        <w:ind w:right="967"/>
        <w:jc w:val="left"/>
      </w:pPr>
      <w:r>
        <w:rPr/>
        <w:t>商誉所在资产组或资产组组合的相关信息</w:t>
      </w:r>
    </w:p>
    <w:p>
      <w:pPr>
        <w:pStyle w:val="Heading4"/>
        <w:spacing w:line="256" w:lineRule="auto" w:before="90"/>
        <w:ind w:right="1144" w:firstLine="423"/>
        <w:jc w:val="left"/>
      </w:pPr>
      <w:r>
        <w:rPr/>
        <w:t>（</w:t>
      </w:r>
      <w:r>
        <w:rPr>
          <w:rFonts w:ascii="Times New Roman" w:hAnsi="Times New Roman" w:cs="Times New Roman" w:eastAsia="Times New Roman" w:hint="default"/>
        </w:rPr>
        <w:t>1</w:t>
      </w:r>
      <w:r>
        <w:rPr/>
        <w:t>）关于北京惠捷朗科技有限公司商誉所在资产组或资产组组合的相关信息北京东方通科技股份有 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日以人民币</w:t>
      </w:r>
      <w:r>
        <w:rPr>
          <w:rFonts w:ascii="Times New Roman" w:hAnsi="Times New Roman" w:cs="Times New Roman" w:eastAsia="Times New Roman" w:hint="default"/>
        </w:rPr>
        <w:t>42,000</w:t>
      </w:r>
      <w:r>
        <w:rPr/>
        <w:t>万元为对价，收购非同一控制下的北京惠捷朗科技有限公司（以 下简称</w:t>
      </w:r>
      <w:r>
        <w:rPr>
          <w:rFonts w:ascii="Times New Roman" w:hAnsi="Times New Roman" w:cs="Times New Roman" w:eastAsia="Times New Roman" w:hint="default"/>
        </w:rPr>
        <w:t>“</w:t>
      </w:r>
      <w:r>
        <w:rPr/>
        <w:t>惠捷朗</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的股权，收购取得的惠捷朗以公允价值持续计算可辨认净资产公允价值为 </w:t>
      </w:r>
      <w:r>
        <w:rPr>
          <w:rFonts w:ascii="Times New Roman" w:hAnsi="Times New Roman" w:cs="Times New Roman" w:eastAsia="Times New Roman" w:hint="default"/>
        </w:rPr>
        <w:t>56,630,582.89</w:t>
      </w:r>
      <w:r>
        <w:rPr/>
        <w:t>元，形成商誉人民币</w:t>
      </w:r>
      <w:r>
        <w:rPr>
          <w:rFonts w:ascii="Times New Roman" w:hAnsi="Times New Roman" w:cs="Times New Roman" w:eastAsia="Times New Roman" w:hint="default"/>
        </w:rPr>
        <w:t>363,369,417.11</w:t>
      </w:r>
      <w:r>
        <w:rPr/>
        <w:t>元。</w:t>
      </w:r>
    </w:p>
    <w:p>
      <w:pPr>
        <w:pStyle w:val="Heading4"/>
        <w:spacing w:line="273" w:lineRule="auto" w:before="5"/>
        <w:ind w:right="967" w:firstLine="423"/>
        <w:jc w:val="left"/>
      </w:pPr>
      <w:r>
        <w:rPr>
          <w:spacing w:val="-1"/>
        </w:rPr>
        <w:t>东方通管理层在充分考虑能够受益于企业合并的协同效应后，判断惠捷朗没有与商誉无关的资产和负</w:t>
      </w:r>
      <w:r>
        <w:rPr/>
        <w:t> 债，所有资产负债在一个资产组范围内才可独立产生现金流，因此将惠捷朗划分为一个独立资产组。</w:t>
      </w:r>
    </w:p>
    <w:p>
      <w:pPr>
        <w:pStyle w:val="Heading4"/>
        <w:spacing w:line="256" w:lineRule="auto"/>
        <w:ind w:right="967" w:firstLine="423"/>
        <w:jc w:val="left"/>
        <w:rPr>
          <w:rFonts w:ascii="Times New Roman" w:hAnsi="Times New Roman" w:cs="Times New Roman" w:eastAsia="Times New Roman" w:hint="default"/>
        </w:rPr>
      </w:pPr>
      <w:r>
        <w:rPr>
          <w:spacing w:val="-3"/>
        </w:rPr>
        <w:t>惠捷朗公司经营范围：技术推广</w:t>
      </w:r>
      <w:r>
        <w:rPr>
          <w:rFonts w:ascii="Times New Roman" w:hAnsi="Times New Roman" w:cs="Times New Roman" w:eastAsia="Times New Roman" w:hint="default"/>
          <w:spacing w:val="-3"/>
        </w:rPr>
        <w:t>;</w:t>
      </w:r>
      <w:r>
        <w:rPr>
          <w:spacing w:val="-3"/>
        </w:rPr>
        <w:t>软件服务</w:t>
      </w:r>
      <w:r>
        <w:rPr>
          <w:rFonts w:ascii="Times New Roman" w:hAnsi="Times New Roman" w:cs="Times New Roman" w:eastAsia="Times New Roman" w:hint="default"/>
          <w:spacing w:val="-3"/>
        </w:rPr>
        <w:t>;</w:t>
      </w:r>
      <w:r>
        <w:rPr>
          <w:spacing w:val="-3"/>
        </w:rPr>
        <w:t>销售计算机、软件及辅助设备</w:t>
      </w:r>
      <w:r>
        <w:rPr>
          <w:rFonts w:ascii="Times New Roman" w:hAnsi="Times New Roman" w:cs="Times New Roman" w:eastAsia="Times New Roman" w:hint="default"/>
          <w:spacing w:val="-3"/>
        </w:rPr>
        <w:t>.(</w:t>
      </w:r>
      <w:r>
        <w:rPr>
          <w:spacing w:val="-3"/>
        </w:rPr>
        <w:t>企业依法自主选择经营项目</w:t>
      </w:r>
      <w:r>
        <w:rPr>
          <w:rFonts w:ascii="Times New Roman" w:hAnsi="Times New Roman" w:cs="Times New Roman" w:eastAsia="Times New Roman" w:hint="default"/>
          <w:spacing w:val="-3"/>
        </w:rPr>
        <w:t>,</w:t>
      </w:r>
      <w:r>
        <w:rPr>
          <w:rFonts w:ascii="Times New Roman" w:hAnsi="Times New Roman" w:cs="Times New Roman" w:eastAsia="Times New Roman" w:hint="default"/>
        </w:rPr>
        <w:t> </w:t>
      </w:r>
      <w:r>
        <w:rPr/>
        <w:t>开展经营活动</w:t>
      </w:r>
      <w:r>
        <w:rPr>
          <w:rFonts w:ascii="Times New Roman" w:hAnsi="Times New Roman" w:cs="Times New Roman" w:eastAsia="Times New Roman" w:hint="default"/>
        </w:rPr>
        <w:t>;</w:t>
      </w:r>
      <w:r>
        <w:rPr/>
        <w:t>开展经营活动</w:t>
      </w:r>
      <w:r>
        <w:rPr>
          <w:rFonts w:ascii="Times New Roman" w:hAnsi="Times New Roman" w:cs="Times New Roman" w:eastAsia="Times New Roman" w:hint="default"/>
        </w:rPr>
        <w:t>;</w:t>
      </w:r>
      <w:r>
        <w:rPr/>
        <w:t>依法经批准的项目</w:t>
      </w:r>
      <w:r>
        <w:rPr>
          <w:rFonts w:ascii="Times New Roman" w:hAnsi="Times New Roman" w:cs="Times New Roman" w:eastAsia="Times New Roman" w:hint="default"/>
        </w:rPr>
        <w:t>,</w:t>
      </w:r>
      <w:r>
        <w:rPr/>
        <w:t>经相关部门批准后依批准的内容开展经营活动</w:t>
      </w:r>
      <w:r>
        <w:rPr>
          <w:rFonts w:ascii="Times New Roman" w:hAnsi="Times New Roman" w:cs="Times New Roman" w:eastAsia="Times New Roman" w:hint="default"/>
        </w:rPr>
        <w:t>;</w:t>
      </w:r>
      <w:r>
        <w:rPr/>
        <w:t>不得从事 本市产业政策禁止和限制类项目的经营活动</w:t>
      </w:r>
      <w:r>
        <w:rPr>
          <w:rFonts w:ascii="Times New Roman" w:hAnsi="Times New Roman" w:cs="Times New Roman" w:eastAsia="Times New Roman" w:hint="default"/>
        </w:rPr>
        <w:t>.)</w:t>
      </w:r>
    </w:p>
    <w:p>
      <w:pPr>
        <w:pStyle w:val="Heading4"/>
        <w:spacing w:line="256" w:lineRule="auto" w:before="5"/>
        <w:ind w:left="577" w:right="1141"/>
        <w:jc w:val="left"/>
      </w:pPr>
      <w:r>
        <w:rPr/>
        <w:t>（</w:t>
      </w:r>
      <w:r>
        <w:rPr>
          <w:rFonts w:ascii="Times New Roman" w:hAnsi="Times New Roman" w:cs="Times New Roman" w:eastAsia="Times New Roman" w:hint="default"/>
        </w:rPr>
        <w:t>2</w:t>
      </w:r>
      <w:r>
        <w:rPr/>
        <w:t>）关于北京同德一心科技有限公司商誉所在资产组或资产组组合的相关信息 北京东方通科技股份有限公司于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日以人民币</w:t>
      </w:r>
      <w:r>
        <w:rPr>
          <w:rFonts w:ascii="Times New Roman" w:hAnsi="Times New Roman" w:cs="Times New Roman" w:eastAsia="Times New Roman" w:hint="default"/>
        </w:rPr>
        <w:t>3,000</w:t>
      </w:r>
      <w:r>
        <w:rPr/>
        <w:t>万元为对价，收购非同一控制下的北京</w:t>
      </w:r>
    </w:p>
    <w:p>
      <w:pPr>
        <w:pStyle w:val="Heading4"/>
        <w:spacing w:line="240" w:lineRule="auto" w:before="5"/>
        <w:ind w:right="967"/>
        <w:jc w:val="left"/>
      </w:pPr>
      <w:r>
        <w:rPr/>
        <w:t>同德一心科技有限公司（以下简称</w:t>
      </w:r>
      <w:r>
        <w:rPr>
          <w:rFonts w:ascii="Times New Roman" w:hAnsi="Times New Roman" w:cs="Times New Roman" w:eastAsia="Times New Roman" w:hint="default"/>
        </w:rPr>
        <w:t>“</w:t>
      </w:r>
      <w:r>
        <w:rPr/>
        <w:t>同德一心</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的股权，收购取得的同德一心可辨认净资产为</w:t>
      </w:r>
    </w:p>
    <w:p>
      <w:pPr>
        <w:pStyle w:val="Heading4"/>
        <w:spacing w:line="256" w:lineRule="auto" w:before="21"/>
        <w:ind w:left="577" w:right="967" w:hanging="424"/>
        <w:jc w:val="left"/>
      </w:pPr>
      <w:r>
        <w:rPr>
          <w:rFonts w:ascii="Times New Roman" w:hAnsi="Times New Roman" w:cs="Times New Roman" w:eastAsia="Times New Roman" w:hint="default"/>
        </w:rPr>
        <w:t>392,621.08</w:t>
      </w:r>
      <w:r>
        <w:rPr/>
        <w:t>元，形成商誉人民币</w:t>
      </w:r>
      <w:r>
        <w:rPr>
          <w:rFonts w:ascii="Times New Roman" w:hAnsi="Times New Roman" w:cs="Times New Roman" w:eastAsia="Times New Roman" w:hint="default"/>
        </w:rPr>
        <w:t>29,607,378.92</w:t>
      </w:r>
      <w:r>
        <w:rPr/>
        <w:t>元。 </w:t>
      </w:r>
      <w:r>
        <w:rPr>
          <w:spacing w:val="-1"/>
        </w:rPr>
        <w:t>东方通管理层在充分考虑能够受益于企业合并的协同效应后，判断同德一心没有与商誉无关的资产和</w:t>
      </w:r>
    </w:p>
    <w:p>
      <w:pPr>
        <w:pStyle w:val="Heading4"/>
        <w:spacing w:line="240" w:lineRule="auto" w:before="22"/>
        <w:ind w:right="967"/>
        <w:jc w:val="left"/>
      </w:pPr>
      <w:r>
        <w:rPr/>
        <w:t>负债，所有资产负债在一个资产组范围内才可独立产生现金流，因此将同德一心划分为一个独立资产组。</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73" w:lineRule="auto" w:before="35"/>
        <w:ind w:right="1027" w:firstLine="423"/>
        <w:jc w:val="left"/>
      </w:pPr>
      <w:r>
        <w:rPr/>
        <w:t>同德一心是国内最早专业从事服务器虚拟化软件以及云管理平台系列软件研发的公司，其核心产品 </w:t>
      </w:r>
      <w:r>
        <w:rPr>
          <w:rFonts w:ascii="宋体" w:hAnsi="宋体" w:cs="宋体" w:eastAsia="宋体" w:hint="default"/>
        </w:rPr>
        <w:t>oCloud-</w:t>
      </w:r>
      <w:r>
        <w:rPr/>
        <w:t>奥云虚拟化平。</w:t>
      </w: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14</w:t>
      </w:r>
      <w:r>
        <w:rPr/>
        <w:t>日东方通完成了对北京同德一心科技有限公司的吸收合并后，同德一 </w:t>
      </w:r>
      <w:r>
        <w:rPr>
          <w:spacing w:val="-1"/>
        </w:rPr>
        <w:t>心的商誉</w:t>
      </w:r>
      <w:r>
        <w:rPr>
          <w:rFonts w:ascii="宋体" w:hAnsi="宋体" w:cs="宋体" w:eastAsia="宋体" w:hint="default"/>
          <w:spacing w:val="-1"/>
        </w:rPr>
        <w:t>29,607,378.92</w:t>
      </w:r>
      <w:r>
        <w:rPr>
          <w:spacing w:val="-1"/>
        </w:rPr>
        <w:t>元载入东方通账面。收购完成后，东方通对同德一心的人员、技术、品牌的融合，</w:t>
      </w:r>
      <w:r>
        <w:rPr>
          <w:spacing w:val="-78"/>
        </w:rPr>
        <w:t> </w:t>
      </w:r>
      <w:r>
        <w:rPr>
          <w:spacing w:val="-78"/>
        </w:rPr>
      </w:r>
      <w:r>
        <w:rPr/>
        <w:t>未能达到预期。账面同德一心相关资产仅剩商誉</w:t>
      </w:r>
      <w:r>
        <w:rPr>
          <w:rFonts w:ascii="宋体" w:hAnsi="宋体" w:cs="宋体" w:eastAsia="宋体" w:hint="default"/>
        </w:rPr>
        <w:t>29,607,378.92</w:t>
      </w:r>
      <w:r>
        <w:rPr/>
        <w:t>元，</w:t>
      </w:r>
      <w:r>
        <w:rPr>
          <w:rFonts w:ascii="宋体" w:hAnsi="宋体" w:cs="宋体" w:eastAsia="宋体" w:hint="default"/>
        </w:rPr>
        <w:t>2017</w:t>
      </w:r>
      <w:r>
        <w:rPr/>
        <w:t>年度对商誉全额计提减值准备。</w:t>
      </w:r>
    </w:p>
    <w:p>
      <w:pPr>
        <w:spacing w:line="240" w:lineRule="auto" w:before="6"/>
        <w:rPr>
          <w:rFonts w:ascii="宋体" w:hAnsi="宋体" w:cs="宋体" w:eastAsia="宋体" w:hint="default"/>
          <w:sz w:val="24"/>
          <w:szCs w:val="24"/>
        </w:rPr>
      </w:pPr>
    </w:p>
    <w:p>
      <w:pPr>
        <w:pStyle w:val="Heading4"/>
        <w:spacing w:line="273" w:lineRule="auto" w:before="0"/>
        <w:ind w:left="577" w:right="967"/>
        <w:jc w:val="left"/>
      </w:pPr>
      <w:r>
        <w:rPr/>
        <w:t>（</w:t>
      </w:r>
      <w:r>
        <w:rPr>
          <w:rFonts w:ascii="宋体" w:hAnsi="宋体" w:cs="宋体" w:eastAsia="宋体" w:hint="default"/>
        </w:rPr>
        <w:t>3</w:t>
      </w:r>
      <w:r>
        <w:rPr/>
        <w:t>）关于北京数字天堂信息科技有限责任公司商誉所在资产组或资产组组合的相关信息 </w:t>
      </w:r>
      <w:r>
        <w:rPr>
          <w:spacing w:val="-1"/>
        </w:rPr>
        <w:t>北京东方通科技股份有限公司于</w:t>
      </w:r>
      <w:r>
        <w:rPr>
          <w:rFonts w:ascii="宋体" w:hAnsi="宋体" w:cs="宋体" w:eastAsia="宋体" w:hint="default"/>
          <w:spacing w:val="-1"/>
        </w:rPr>
        <w:t>2015</w:t>
      </w:r>
      <w:r>
        <w:rPr>
          <w:spacing w:val="-1"/>
        </w:rPr>
        <w:t>年</w:t>
      </w:r>
      <w:r>
        <w:rPr>
          <w:rFonts w:ascii="宋体" w:hAnsi="宋体" w:cs="宋体" w:eastAsia="宋体" w:hint="default"/>
          <w:spacing w:val="-1"/>
        </w:rPr>
        <w:t>6</w:t>
      </w:r>
      <w:r>
        <w:rPr>
          <w:spacing w:val="-1"/>
        </w:rPr>
        <w:t>月以人民币</w:t>
      </w:r>
      <w:r>
        <w:rPr>
          <w:rFonts w:ascii="宋体" w:hAnsi="宋体" w:cs="宋体" w:eastAsia="宋体" w:hint="default"/>
          <w:spacing w:val="-1"/>
        </w:rPr>
        <w:t>4,137</w:t>
      </w:r>
      <w:r>
        <w:rPr>
          <w:spacing w:val="-1"/>
        </w:rPr>
        <w:t>万元为对价，收购非同一控制下的北京数字</w:t>
      </w:r>
    </w:p>
    <w:p>
      <w:pPr>
        <w:pStyle w:val="Heading4"/>
        <w:spacing w:line="273" w:lineRule="auto"/>
        <w:ind w:right="967"/>
        <w:jc w:val="left"/>
      </w:pPr>
      <w:r>
        <w:rPr>
          <w:spacing w:val="-1"/>
        </w:rPr>
        <w:t>天堂信息科技有限责任公司（以下简称“数字天堂”）</w:t>
      </w:r>
      <w:r>
        <w:rPr>
          <w:rFonts w:ascii="宋体" w:hAnsi="宋体" w:cs="宋体" w:eastAsia="宋体" w:hint="default"/>
          <w:spacing w:val="-1"/>
        </w:rPr>
        <w:t>100%</w:t>
      </w:r>
      <w:r>
        <w:rPr>
          <w:spacing w:val="-1"/>
        </w:rPr>
        <w:t>的股权，收购取得的数字天堂可辨认的以公允</w:t>
      </w:r>
      <w:r>
        <w:rPr>
          <w:spacing w:val="-81"/>
        </w:rPr>
        <w:t> </w:t>
      </w:r>
      <w:r>
        <w:rPr>
          <w:spacing w:val="-81"/>
        </w:rPr>
      </w:r>
      <w:r>
        <w:rPr/>
        <w:t>价值持续计量的净资产</w:t>
      </w:r>
      <w:r>
        <w:rPr>
          <w:rFonts w:ascii="宋体" w:hAnsi="宋体" w:cs="宋体" w:eastAsia="宋体" w:hint="default"/>
        </w:rPr>
        <w:t>6,522,918.00</w:t>
      </w:r>
      <w:r>
        <w:rPr/>
        <w:t>元，合并时确认商誉</w:t>
      </w:r>
      <w:r>
        <w:rPr>
          <w:rFonts w:ascii="宋体" w:hAnsi="宋体" w:cs="宋体" w:eastAsia="宋体" w:hint="default"/>
        </w:rPr>
        <w:t>34,847,082.00</w:t>
      </w:r>
      <w:r>
        <w:rPr/>
        <w:t>元。</w:t>
      </w:r>
    </w:p>
    <w:p>
      <w:pPr>
        <w:pStyle w:val="Heading4"/>
        <w:spacing w:line="273" w:lineRule="auto"/>
        <w:ind w:right="1092" w:firstLine="423"/>
        <w:jc w:val="left"/>
      </w:pPr>
      <w:r>
        <w:rPr>
          <w:spacing w:val="-1"/>
        </w:rPr>
        <w:t>东方通管理层在充分考虑能够受益于企业合并的协同效应后，判断数字天堂没有与商誉无关的资产和</w:t>
      </w:r>
      <w:r>
        <w:rPr/>
        <w:t> 负债，所有资产负债在一个资产组范围内才可独立产生现金流，因此将数字天堂划分为一个独立资产组。</w:t>
      </w:r>
    </w:p>
    <w:p>
      <w:pPr>
        <w:pStyle w:val="Heading4"/>
        <w:spacing w:line="273" w:lineRule="auto"/>
        <w:ind w:right="1117" w:firstLine="423"/>
        <w:jc w:val="left"/>
      </w:pPr>
      <w:r>
        <w:rPr/>
        <w:t>数字天堂主营业务是移动中间件，其核心产品</w:t>
      </w:r>
      <w:r>
        <w:rPr>
          <w:rFonts w:ascii="宋体" w:hAnsi="宋体" w:cs="宋体" w:eastAsia="宋体" w:hint="default"/>
        </w:rPr>
        <w:t>MKey</w:t>
      </w:r>
      <w:r>
        <w:rPr/>
        <w:t>移动中间件，随着</w:t>
      </w:r>
      <w:r>
        <w:rPr>
          <w:rFonts w:ascii="宋体" w:hAnsi="宋体" w:cs="宋体" w:eastAsia="宋体" w:hint="default"/>
        </w:rPr>
        <w:t>HTML5</w:t>
      </w:r>
      <w:r>
        <w:rPr/>
        <w:t>技术的成熟及应用范围的 扩大，</w:t>
      </w:r>
      <w:r>
        <w:rPr>
          <w:rFonts w:ascii="宋体" w:hAnsi="宋体" w:cs="宋体" w:eastAsia="宋体" w:hint="default"/>
        </w:rPr>
        <w:t>HTML5</w:t>
      </w:r>
      <w:r>
        <w:rPr/>
        <w:t>成为通用技术标准，受其挤压，数字天堂</w:t>
      </w:r>
      <w:r>
        <w:rPr>
          <w:rFonts w:ascii="宋体" w:hAnsi="宋体" w:cs="宋体" w:eastAsia="宋体" w:hint="default"/>
        </w:rPr>
        <w:t>MKey</w:t>
      </w:r>
      <w:r>
        <w:rPr/>
        <w:t>产品销售下滑。基于以上，</w:t>
      </w:r>
      <w:r>
        <w:rPr>
          <w:spacing w:val="-25"/>
        </w:rPr>
        <w:t> </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日时 点管理层对数字天堂整体股权及商誉价值进行了测算并计提商誉减值</w:t>
      </w:r>
      <w:r>
        <w:rPr>
          <w:rFonts w:ascii="宋体" w:hAnsi="宋体" w:cs="宋体" w:eastAsia="宋体" w:hint="default"/>
        </w:rPr>
        <w:t>17,280,395.46</w:t>
      </w:r>
      <w:r>
        <w:rPr/>
        <w:t>元。</w:t>
      </w:r>
    </w:p>
    <w:p>
      <w:pPr>
        <w:pStyle w:val="Heading4"/>
        <w:spacing w:line="273" w:lineRule="auto"/>
        <w:ind w:left="577" w:right="1194"/>
        <w:jc w:val="left"/>
      </w:pPr>
      <w:r>
        <w:rPr/>
        <w:t>（</w:t>
      </w:r>
      <w:r>
        <w:rPr>
          <w:rFonts w:ascii="宋体" w:hAnsi="宋体" w:cs="宋体" w:eastAsia="宋体" w:hint="default"/>
        </w:rPr>
        <w:t>4</w:t>
      </w:r>
      <w:r>
        <w:rPr/>
        <w:t>）关于北京微智信业科技有限公司商誉所在资产组或资产组组合的相关信息 北京东方通科技股份有限公司于</w:t>
      </w:r>
      <w:r>
        <w:rPr>
          <w:rFonts w:ascii="宋体" w:hAnsi="宋体" w:cs="宋体" w:eastAsia="宋体" w:hint="default"/>
        </w:rPr>
        <w:t>2016</w:t>
      </w:r>
      <w:r>
        <w:rPr/>
        <w:t>年</w:t>
      </w:r>
      <w:r>
        <w:rPr>
          <w:rFonts w:ascii="宋体" w:hAnsi="宋体" w:cs="宋体" w:eastAsia="宋体" w:hint="default"/>
        </w:rPr>
        <w:t>5</w:t>
      </w:r>
      <w:r>
        <w:rPr/>
        <w:t>月以人民币</w:t>
      </w:r>
      <w:r>
        <w:rPr>
          <w:rFonts w:ascii="宋体" w:hAnsi="宋体" w:cs="宋体" w:eastAsia="宋体" w:hint="default"/>
        </w:rPr>
        <w:t>58,100</w:t>
      </w:r>
      <w:r>
        <w:rPr/>
        <w:t>万元为对价，收购非同一控制下的北京微</w:t>
      </w:r>
    </w:p>
    <w:p>
      <w:pPr>
        <w:pStyle w:val="Heading4"/>
        <w:spacing w:line="273" w:lineRule="auto"/>
        <w:ind w:right="967"/>
        <w:jc w:val="left"/>
      </w:pPr>
      <w:r>
        <w:rPr>
          <w:spacing w:val="-1"/>
        </w:rPr>
        <w:t>智信业科技有限公司（以下简称“微智信业”）</w:t>
      </w:r>
      <w:r>
        <w:rPr>
          <w:rFonts w:ascii="宋体" w:hAnsi="宋体" w:cs="宋体" w:eastAsia="宋体" w:hint="default"/>
          <w:spacing w:val="-1"/>
        </w:rPr>
        <w:t>100%</w:t>
      </w:r>
      <w:r>
        <w:rPr>
          <w:spacing w:val="-1"/>
        </w:rPr>
        <w:t>的股权，收购取得的微智信业可辨认的以公允价值持</w:t>
      </w:r>
      <w:r>
        <w:rPr>
          <w:spacing w:val="-82"/>
        </w:rPr>
        <w:t> </w:t>
      </w:r>
      <w:r>
        <w:rPr>
          <w:spacing w:val="-82"/>
        </w:rPr>
      </w:r>
      <w:r>
        <w:rPr/>
        <w:t>续计量的净资产</w:t>
      </w:r>
      <w:r>
        <w:rPr>
          <w:rFonts w:ascii="宋体" w:hAnsi="宋体" w:cs="宋体" w:eastAsia="宋体" w:hint="default"/>
        </w:rPr>
        <w:t>101,824,407.63</w:t>
      </w:r>
      <w:r>
        <w:rPr/>
        <w:t>元，合并时确认商誉</w:t>
      </w:r>
      <w:r>
        <w:rPr>
          <w:rFonts w:ascii="宋体" w:hAnsi="宋体" w:cs="宋体" w:eastAsia="宋体" w:hint="default"/>
        </w:rPr>
        <w:t>479,175,592.37</w:t>
      </w:r>
      <w:r>
        <w:rPr/>
        <w:t>元。</w:t>
      </w:r>
    </w:p>
    <w:p>
      <w:pPr>
        <w:pStyle w:val="Heading4"/>
        <w:spacing w:line="273" w:lineRule="auto"/>
        <w:ind w:right="1092" w:firstLine="423"/>
        <w:jc w:val="left"/>
      </w:pPr>
      <w:r>
        <w:rPr>
          <w:spacing w:val="-1"/>
        </w:rPr>
        <w:t>东方通管理层在充分考虑能够受益于企业合并的协同效应后，判断微智信业没有与商誉无关的资产和</w:t>
      </w:r>
      <w:r>
        <w:rPr/>
        <w:t> 负债，所有资产负债在一个资产组范围内才可独立产生现金流，因此将微智信业划分为一个独立资产组。</w:t>
      </w:r>
    </w:p>
    <w:p>
      <w:pPr>
        <w:pStyle w:val="Heading4"/>
        <w:spacing w:line="273" w:lineRule="auto"/>
        <w:ind w:right="1194" w:firstLine="423"/>
        <w:jc w:val="left"/>
      </w:pPr>
      <w:r>
        <w:rPr/>
        <w:t>微智信业是国内专业的网络内容安全管理产品及服务提供商。</w:t>
      </w:r>
      <w:r>
        <w:rPr>
          <w:rFonts w:ascii="宋体" w:hAnsi="宋体" w:cs="宋体" w:eastAsia="宋体" w:hint="default"/>
        </w:rPr>
        <w:t>2015-2017</w:t>
      </w:r>
      <w:r>
        <w:rPr/>
        <w:t>三年均超额完成了业绩承诺 目标。</w:t>
      </w:r>
    </w:p>
    <w:p>
      <w:pPr>
        <w:pStyle w:val="Heading4"/>
        <w:spacing w:line="273" w:lineRule="auto" w:before="8"/>
        <w:ind w:left="577" w:right="967"/>
        <w:jc w:val="left"/>
      </w:pPr>
      <w:r>
        <w:rPr/>
        <w:t>（</w:t>
      </w:r>
      <w:r>
        <w:rPr>
          <w:rFonts w:ascii="宋体" w:hAnsi="宋体" w:cs="宋体" w:eastAsia="宋体" w:hint="default"/>
        </w:rPr>
        <w:t>5</w:t>
      </w:r>
      <w:r>
        <w:rPr/>
        <w:t>）关于北京泰策科技有限公司商誉所在资产组或资产组组合的相关信息 </w:t>
      </w:r>
      <w:r>
        <w:rPr>
          <w:spacing w:val="-1"/>
        </w:rPr>
        <w:t>北京东方通科技股份有限公司于</w:t>
      </w:r>
      <w:r>
        <w:rPr>
          <w:rFonts w:ascii="宋体" w:hAnsi="宋体" w:cs="宋体" w:eastAsia="宋体" w:hint="default"/>
          <w:spacing w:val="-1"/>
        </w:rPr>
        <w:t>2018</w:t>
      </w:r>
      <w:r>
        <w:rPr>
          <w:spacing w:val="-1"/>
        </w:rPr>
        <w:t>年</w:t>
      </w:r>
      <w:r>
        <w:rPr>
          <w:rFonts w:ascii="宋体" w:hAnsi="宋体" w:cs="宋体" w:eastAsia="宋体" w:hint="default"/>
          <w:spacing w:val="-1"/>
        </w:rPr>
        <w:t>11</w:t>
      </w:r>
      <w:r>
        <w:rPr>
          <w:spacing w:val="-1"/>
        </w:rPr>
        <w:t>月以人民币</w:t>
      </w:r>
      <w:r>
        <w:rPr>
          <w:rFonts w:ascii="宋体" w:hAnsi="宋体" w:cs="宋体" w:eastAsia="宋体" w:hint="default"/>
          <w:spacing w:val="-1"/>
        </w:rPr>
        <w:t>60,000</w:t>
      </w:r>
      <w:r>
        <w:rPr>
          <w:spacing w:val="-1"/>
        </w:rPr>
        <w:t>万元为对价，收购非同一控制下的北京泰</w:t>
      </w:r>
    </w:p>
    <w:p>
      <w:pPr>
        <w:pStyle w:val="Heading4"/>
        <w:spacing w:line="273" w:lineRule="auto"/>
        <w:ind w:right="967"/>
        <w:jc w:val="left"/>
      </w:pPr>
      <w:r>
        <w:rPr>
          <w:spacing w:val="-1"/>
        </w:rPr>
        <w:t>策科技有限公司（以下简称“泰策科技”）</w:t>
      </w:r>
      <w:r>
        <w:rPr>
          <w:rFonts w:ascii="宋体" w:hAnsi="宋体" w:cs="宋体" w:eastAsia="宋体" w:hint="default"/>
          <w:spacing w:val="-1"/>
        </w:rPr>
        <w:t>100%</w:t>
      </w:r>
      <w:r>
        <w:rPr>
          <w:spacing w:val="-1"/>
        </w:rPr>
        <w:t>的股权，收购取得的泰策科技可辨认的以公允价值持续计</w:t>
      </w:r>
      <w:r>
        <w:rPr>
          <w:spacing w:val="-81"/>
        </w:rPr>
        <w:t> </w:t>
      </w:r>
      <w:r>
        <w:rPr>
          <w:spacing w:val="-81"/>
        </w:rPr>
      </w:r>
      <w:r>
        <w:rPr/>
        <w:t>量的净资产</w:t>
      </w:r>
      <w:r>
        <w:rPr>
          <w:rFonts w:ascii="宋体" w:hAnsi="宋体" w:cs="宋体" w:eastAsia="宋体" w:hint="default"/>
        </w:rPr>
        <w:t>45,128,560.00 </w:t>
      </w:r>
      <w:r>
        <w:rPr/>
        <w:t>元，合并时确认商誉</w:t>
      </w:r>
      <w:r>
        <w:rPr>
          <w:rFonts w:ascii="宋体" w:hAnsi="宋体" w:cs="宋体" w:eastAsia="宋体" w:hint="default"/>
        </w:rPr>
        <w:t>554,871,440.00</w:t>
      </w:r>
      <w:r>
        <w:rPr>
          <w:rFonts w:ascii="宋体" w:hAnsi="宋体" w:cs="宋体" w:eastAsia="宋体" w:hint="default"/>
          <w:spacing w:val="-5"/>
        </w:rPr>
        <w:t> </w:t>
      </w:r>
      <w:r>
        <w:rPr/>
        <w:t>元。</w:t>
      </w:r>
    </w:p>
    <w:p>
      <w:pPr>
        <w:pStyle w:val="Heading4"/>
        <w:spacing w:line="273" w:lineRule="auto"/>
        <w:ind w:right="1110" w:firstLine="423"/>
        <w:jc w:val="right"/>
      </w:pPr>
      <w:r>
        <w:rPr>
          <w:spacing w:val="-1"/>
        </w:rPr>
        <w:t>东方通管理层在充分考虑能够受益于企业合并的协同效应后，判断泰策科技没有与商誉无关的资产和</w:t>
      </w:r>
      <w:r>
        <w:rPr/>
        <w:t> 负债，所有资产负债在一个资产组范围内才可独立产生现金流，因此将泰策科技划分为一个独立资产组。 </w:t>
      </w:r>
      <w:r>
        <w:rPr>
          <w:spacing w:val="-1"/>
        </w:rPr>
        <w:t>泰策科技是国内领先的数据应用安全和应急安全产品提供商，是高新技术企业和软件企业。泰策科技</w:t>
      </w:r>
    </w:p>
    <w:p>
      <w:pPr>
        <w:pStyle w:val="Heading4"/>
        <w:spacing w:line="240" w:lineRule="auto"/>
        <w:ind w:right="967"/>
        <w:jc w:val="left"/>
      </w:pPr>
      <w:r>
        <w:rPr/>
        <w:t>的主要产品包括域名解析系统（</w:t>
      </w:r>
      <w:r>
        <w:rPr>
          <w:rFonts w:ascii="宋体" w:hAnsi="宋体" w:cs="宋体" w:eastAsia="宋体" w:hint="default"/>
        </w:rPr>
        <w:t>DNS</w:t>
      </w:r>
      <w:r>
        <w:rPr/>
        <w:t>）、应急通信系统和数据安全系统。</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319" w:lineRule="auto"/>
        <w:ind w:right="967"/>
        <w:jc w:val="left"/>
      </w:pP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w:t>
      </w:r>
    </w:p>
    <w:p>
      <w:pPr>
        <w:pStyle w:val="Heading4"/>
        <w:spacing w:line="273" w:lineRule="auto" w:before="30"/>
        <w:ind w:right="1132" w:firstLine="423"/>
        <w:jc w:val="both"/>
      </w:pPr>
      <w:r>
        <w:rPr>
          <w:spacing w:val="-1"/>
        </w:rPr>
        <w:t>资产组的可回收金额是结合管理层编制的五年期预算，采用现金流量预算方法计算。东方通管理层于</w:t>
      </w:r>
      <w:r>
        <w:rPr/>
        <w:t> </w:t>
      </w:r>
      <w:r>
        <w:rPr>
          <w:rFonts w:ascii="宋体" w:hAnsi="宋体" w:cs="宋体" w:eastAsia="宋体" w:hint="default"/>
          <w:spacing w:val="-1"/>
        </w:rPr>
        <w:t>2018</w:t>
      </w:r>
      <w:r>
        <w:rPr>
          <w:spacing w:val="-1"/>
        </w:rPr>
        <w:t>年末分别编制了上述公司未来的现金流量预测，基于减值测试的结果，东方通管理层认为于</w:t>
      </w:r>
      <w:r>
        <w:rPr>
          <w:rFonts w:ascii="宋体" w:hAnsi="宋体" w:cs="宋体" w:eastAsia="宋体" w:hint="default"/>
          <w:spacing w:val="-1"/>
        </w:rPr>
        <w:t>2018</w:t>
      </w:r>
      <w:r>
        <w:rPr>
          <w:spacing w:val="-1"/>
        </w:rPr>
        <w:t>年</w:t>
      </w:r>
      <w:r>
        <w:rPr>
          <w:rFonts w:ascii="宋体" w:hAnsi="宋体" w:cs="宋体" w:eastAsia="宋体" w:hint="default"/>
          <w:spacing w:val="-1"/>
        </w:rPr>
        <w:t>12</w:t>
      </w:r>
      <w:r>
        <w:rPr>
          <w:rFonts w:ascii="宋体" w:hAnsi="宋体" w:cs="宋体" w:eastAsia="宋体" w:hint="default"/>
          <w:spacing w:val="-79"/>
        </w:rPr>
        <w:t> </w:t>
      </w:r>
      <w:r>
        <w:rPr/>
        <w:t>月</w:t>
      </w:r>
      <w:r>
        <w:rPr>
          <w:rFonts w:ascii="宋体" w:hAnsi="宋体" w:cs="宋体" w:eastAsia="宋体" w:hint="default"/>
        </w:rPr>
        <w:t>31</w:t>
      </w:r>
      <w:r>
        <w:rPr/>
        <w:t>日无需对商誉计提减值准备。</w:t>
      </w:r>
    </w:p>
    <w:p>
      <w:pPr>
        <w:pStyle w:val="BodyText"/>
        <w:spacing w:line="360" w:lineRule="auto" w:before="74"/>
        <w:ind w:right="9040"/>
        <w:jc w:val="left"/>
      </w:pPr>
      <w:r>
        <w:rPr/>
        <w:t>商誉减值测试的影响 其他说明</w:t>
      </w:r>
    </w:p>
    <w:p>
      <w:pPr>
        <w:spacing w:line="240" w:lineRule="auto" w:before="12"/>
        <w:rPr>
          <w:rFonts w:ascii="宋体" w:hAnsi="宋体" w:cs="宋体" w:eastAsia="宋体" w:hint="default"/>
          <w:sz w:val="19"/>
          <w:szCs w:val="19"/>
        </w:rPr>
      </w:pPr>
    </w:p>
    <w:p>
      <w:pPr>
        <w:pStyle w:val="Heading3"/>
        <w:spacing w:line="240" w:lineRule="auto"/>
        <w:ind w:right="967"/>
        <w:jc w:val="left"/>
        <w:rPr>
          <w:b w:val="0"/>
          <w:bCs w:val="0"/>
        </w:rPr>
      </w:pPr>
      <w:bookmarkStart w:name="13、长期待摊费用" w:id="242"/>
      <w:bookmarkEnd w:id="242"/>
      <w:r>
        <w:rPr>
          <w:b w:val="0"/>
          <w:bCs w:val="0"/>
        </w:rPr>
      </w:r>
      <w:r>
        <w:rPr>
          <w:rFonts w:ascii="Times New Roman" w:hAnsi="Times New Roman" w:cs="Times New Roman" w:eastAsia="Times New Roman" w:hint="default"/>
        </w:rPr>
        <w:t>13</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311,685.08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170,010.12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141,674.96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311,685.08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170,010.12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141,674.96</w:t>
            </w:r>
          </w:p>
        </w:tc>
      </w:tr>
    </w:tbl>
    <w:p>
      <w:pPr>
        <w:pStyle w:val="BodyText"/>
        <w:spacing w:line="240" w:lineRule="auto" w:before="51"/>
        <w:ind w:right="967"/>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67"/>
        <w:jc w:val="left"/>
        <w:rPr>
          <w:b w:val="0"/>
          <w:bCs w:val="0"/>
        </w:rPr>
      </w:pPr>
      <w:bookmarkStart w:name="14、递延所得税资产/递延所得税负债" w:id="243"/>
      <w:bookmarkEnd w:id="243"/>
      <w:r>
        <w:rPr>
          <w:b w:val="0"/>
          <w:bCs w:val="0"/>
        </w:rPr>
      </w:r>
      <w:r>
        <w:rPr>
          <w:rFonts w:ascii="Times New Roman" w:hAnsi="Times New Roman" w:cs="Times New Roman" w:eastAsia="Times New Roman" w:hint="default"/>
        </w:rPr>
        <w:t>14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67"/>
        <w:jc w:val="left"/>
        <w:rPr>
          <w:b w:val="0"/>
          <w:bCs w:val="0"/>
        </w:rPr>
      </w:pPr>
      <w:bookmarkStart w:name="（1）未经抵销的递延所得税资产" w:id="244"/>
      <w:bookmarkEnd w:id="244"/>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80,920,163.46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13,801,980.88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69,308,235.18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11,391,641.00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5,468,820.00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820,323.00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3,979,724.78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596,958.72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2,965,666.84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741,416.71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4,164,941.14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1,041,235.29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89,354,650.30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15,363,720.59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77,452,901.10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13,029,835.01</w:t>
            </w:r>
          </w:p>
        </w:tc>
      </w:tr>
    </w:tbl>
    <w:p>
      <w:pPr>
        <w:spacing w:line="240" w:lineRule="auto" w:before="2"/>
        <w:rPr>
          <w:rFonts w:ascii="宋体" w:hAnsi="宋体" w:cs="宋体" w:eastAsia="宋体" w:hint="default"/>
          <w:sz w:val="19"/>
          <w:szCs w:val="19"/>
        </w:rPr>
      </w:pPr>
    </w:p>
    <w:p>
      <w:pPr>
        <w:pStyle w:val="Heading3"/>
        <w:spacing w:line="240" w:lineRule="auto" w:before="35"/>
        <w:ind w:right="967"/>
        <w:jc w:val="left"/>
        <w:rPr>
          <w:b w:val="0"/>
          <w:bCs w:val="0"/>
        </w:rPr>
      </w:pPr>
      <w:bookmarkStart w:name="（2）未经抵销的递延所得税负债" w:id="245"/>
      <w:bookmarkEnd w:id="245"/>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2,100,177.80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315,026.67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4,624,485.80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693,672.87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2,100,177.80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315,026.67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4,624,485.80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693,672.87</w:t>
            </w:r>
          </w:p>
        </w:tc>
      </w:tr>
    </w:tbl>
    <w:p>
      <w:pPr>
        <w:spacing w:line="240" w:lineRule="auto" w:before="2"/>
        <w:rPr>
          <w:rFonts w:ascii="宋体" w:hAnsi="宋体" w:cs="宋体" w:eastAsia="宋体" w:hint="default"/>
          <w:sz w:val="19"/>
          <w:szCs w:val="19"/>
        </w:rPr>
      </w:pPr>
    </w:p>
    <w:p>
      <w:pPr>
        <w:pStyle w:val="Heading3"/>
        <w:spacing w:line="240" w:lineRule="auto" w:before="35"/>
        <w:ind w:right="967"/>
        <w:jc w:val="left"/>
        <w:rPr>
          <w:b w:val="0"/>
          <w:bCs w:val="0"/>
        </w:rPr>
      </w:pPr>
      <w:bookmarkStart w:name="（3）以抵销后净额列示的递延所得税资产或负债" w:id="246"/>
      <w:bookmarkEnd w:id="246"/>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15,363,720.59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13,029,835.01</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315,026.67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693,672.87</w:t>
            </w:r>
          </w:p>
        </w:tc>
      </w:tr>
    </w:tbl>
    <w:p>
      <w:pPr>
        <w:spacing w:line="240" w:lineRule="auto" w:before="2"/>
        <w:rPr>
          <w:rFonts w:ascii="宋体" w:hAnsi="宋体" w:cs="宋体" w:eastAsia="宋体" w:hint="default"/>
          <w:sz w:val="19"/>
          <w:szCs w:val="19"/>
        </w:rPr>
      </w:pPr>
    </w:p>
    <w:p>
      <w:pPr>
        <w:pStyle w:val="Heading3"/>
        <w:spacing w:line="240" w:lineRule="auto" w:before="35"/>
        <w:ind w:right="967"/>
        <w:jc w:val="left"/>
        <w:rPr>
          <w:b w:val="0"/>
          <w:bCs w:val="0"/>
        </w:rPr>
      </w:pPr>
      <w:bookmarkStart w:name="15、其他非流动资产" w:id="247"/>
      <w:bookmarkEnd w:id="247"/>
      <w:r>
        <w:rPr>
          <w:b w:val="0"/>
          <w:bCs w:val="0"/>
        </w:rPr>
      </w:r>
      <w:r>
        <w:rPr>
          <w:rFonts w:ascii="Times New Roman" w:hAnsi="Times New Roman" w:cs="Times New Roman" w:eastAsia="Times New Roman" w:hint="default"/>
        </w:rPr>
        <w:t>15</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78,806,592.98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78,806,592.98</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967"/>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967"/>
        <w:jc w:val="left"/>
        <w:rPr>
          <w:b w:val="0"/>
          <w:bCs w:val="0"/>
        </w:rPr>
      </w:pPr>
      <w:bookmarkStart w:name="16、应付票据及应付账款" w:id="248"/>
      <w:bookmarkEnd w:id="248"/>
      <w:r>
        <w:rPr>
          <w:b w:val="0"/>
          <w:bCs w:val="0"/>
        </w:rPr>
      </w:r>
      <w:r>
        <w:rPr>
          <w:rFonts w:ascii="Times New Roman" w:hAnsi="Times New Roman" w:cs="Times New Roman" w:eastAsia="Times New Roman" w:hint="default"/>
        </w:rPr>
        <w:t>16</w:t>
      </w:r>
      <w:r>
        <w:rPr/>
        <w:t>、应付票据及应付账款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55,496,692.40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73,581,640.52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55,496,692.40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73,581,640.52</w:t>
            </w:r>
          </w:p>
        </w:tc>
      </w:tr>
    </w:tbl>
    <w:p>
      <w:pPr>
        <w:spacing w:line="240" w:lineRule="auto" w:before="2"/>
        <w:rPr>
          <w:rFonts w:ascii="宋体" w:hAnsi="宋体" w:cs="宋体" w:eastAsia="宋体" w:hint="default"/>
          <w:sz w:val="19"/>
          <w:szCs w:val="19"/>
        </w:rPr>
      </w:pPr>
    </w:p>
    <w:p>
      <w:pPr>
        <w:pStyle w:val="Heading3"/>
        <w:spacing w:line="240" w:lineRule="auto" w:before="35"/>
        <w:ind w:right="967"/>
        <w:jc w:val="left"/>
        <w:rPr>
          <w:b w:val="0"/>
          <w:bCs w:val="0"/>
        </w:rPr>
      </w:pPr>
      <w:bookmarkStart w:name="（1）应付票据分类列示" w:id="249"/>
      <w:bookmarkEnd w:id="249"/>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967"/>
        <w:jc w:val="left"/>
      </w:pPr>
      <w:r>
        <w:rPr/>
        <w:t>本期末已到期未支付的应付票据总额为元。</w:t>
      </w:r>
    </w:p>
    <w:p>
      <w:pPr>
        <w:spacing w:line="240" w:lineRule="auto" w:before="11"/>
        <w:rPr>
          <w:rFonts w:ascii="宋体" w:hAnsi="宋体" w:cs="宋体" w:eastAsia="宋体" w:hint="default"/>
          <w:sz w:val="26"/>
          <w:szCs w:val="26"/>
        </w:rPr>
      </w:pPr>
    </w:p>
    <w:p>
      <w:pPr>
        <w:pStyle w:val="Heading3"/>
        <w:spacing w:line="240" w:lineRule="auto"/>
        <w:ind w:right="967"/>
        <w:jc w:val="left"/>
        <w:rPr>
          <w:b w:val="0"/>
          <w:bCs w:val="0"/>
        </w:rPr>
      </w:pPr>
      <w:bookmarkStart w:name="（2）应付账款列示" w:id="250"/>
      <w:bookmarkEnd w:id="250"/>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42,712,468.04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51,041,832.31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8,323,509.74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18,448,007.95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425,700.00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1,869,000.00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4,035,014.62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2,222,800.26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55,496,692.40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73,581,640.52</w:t>
            </w:r>
          </w:p>
        </w:tc>
      </w:tr>
    </w:tbl>
    <w:p>
      <w:pPr>
        <w:spacing w:line="240" w:lineRule="auto" w:before="2"/>
        <w:rPr>
          <w:rFonts w:ascii="宋体" w:hAnsi="宋体" w:cs="宋体" w:eastAsia="宋体" w:hint="default"/>
          <w:sz w:val="19"/>
          <w:szCs w:val="19"/>
        </w:rPr>
      </w:pPr>
    </w:p>
    <w:p>
      <w:pPr>
        <w:pStyle w:val="Heading3"/>
        <w:spacing w:line="240" w:lineRule="auto" w:before="35"/>
        <w:ind w:right="967"/>
        <w:jc w:val="left"/>
        <w:rPr>
          <w:b w:val="0"/>
          <w:bCs w:val="0"/>
        </w:rPr>
      </w:pPr>
      <w:bookmarkStart w:name="（3）账龄超过1年的重要应付账款" w:id="251"/>
      <w:bookmarkEnd w:id="251"/>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北京百卓网络技术有限公司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6,601,681.10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中国电信号百信息服务分公司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深圳优特利通信技术有限公司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北京顺景天诚科技有限公司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747,330.77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9,739,011.87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67"/>
        <w:jc w:val="left"/>
      </w:pPr>
      <w:r>
        <w:rPr/>
        <w:t>其他说明：</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967"/>
        <w:jc w:val="left"/>
        <w:rPr>
          <w:b w:val="0"/>
          <w:bCs w:val="0"/>
        </w:rPr>
      </w:pPr>
      <w:bookmarkStart w:name="17、预收款项" w:id="252"/>
      <w:bookmarkEnd w:id="252"/>
      <w:r>
        <w:rPr>
          <w:b w:val="0"/>
          <w:bCs w:val="0"/>
        </w:rPr>
      </w:r>
      <w:r>
        <w:rPr>
          <w:rFonts w:ascii="Times New Roman" w:hAnsi="Times New Roman" w:cs="Times New Roman" w:eastAsia="Times New Roman" w:hint="default"/>
        </w:rPr>
        <w:t>17</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67"/>
        <w:jc w:val="left"/>
        <w:rPr>
          <w:b w:val="0"/>
          <w:bCs w:val="0"/>
        </w:rPr>
      </w:pPr>
      <w:bookmarkStart w:name="（1）预收款项列示" w:id="253"/>
      <w:bookmarkEnd w:id="253"/>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6,276,487.12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4,157,841.02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838,483.02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2,819.26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153,528.31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153,528.31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7,271,317.71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4,369,869.33</w:t>
            </w:r>
          </w:p>
        </w:tc>
      </w:tr>
    </w:tbl>
    <w:p>
      <w:pPr>
        <w:spacing w:line="240" w:lineRule="auto" w:before="2"/>
        <w:rPr>
          <w:rFonts w:ascii="宋体" w:hAnsi="宋体" w:cs="宋体" w:eastAsia="宋体" w:hint="default"/>
          <w:sz w:val="19"/>
          <w:szCs w:val="19"/>
        </w:rPr>
      </w:pPr>
    </w:p>
    <w:p>
      <w:pPr>
        <w:pStyle w:val="Heading3"/>
        <w:spacing w:line="240" w:lineRule="auto" w:before="35"/>
        <w:ind w:right="967"/>
        <w:jc w:val="left"/>
        <w:rPr>
          <w:b w:val="0"/>
          <w:bCs w:val="0"/>
        </w:rPr>
      </w:pPr>
      <w:bookmarkStart w:name="18、应付职工薪酬" w:id="254"/>
      <w:bookmarkEnd w:id="254"/>
      <w:r>
        <w:rPr>
          <w:b w:val="0"/>
          <w:bCs w:val="0"/>
        </w:rPr>
      </w:r>
      <w:r>
        <w:rPr>
          <w:rFonts w:ascii="Times New Roman" w:hAnsi="Times New Roman" w:cs="Times New Roman" w:eastAsia="Times New Roman" w:hint="default"/>
        </w:rPr>
        <w:t>18</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67"/>
        <w:jc w:val="left"/>
        <w:rPr>
          <w:b w:val="0"/>
          <w:bCs w:val="0"/>
        </w:rPr>
      </w:pPr>
      <w:bookmarkStart w:name="（1）应付职工薪酬列示" w:id="255"/>
      <w:bookmarkEnd w:id="255"/>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10,621,170.16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103,739,383.83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99,626,087.26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14,734,466.73</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41,879.95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8,958,832.89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8,905,346.70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95,366.14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1,474,726.85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1,474,726.85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5"/>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6,707.57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6,707.57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10,663,050.11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114,179,651.14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110,012,868.38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14,829,832.87</w:t>
            </w:r>
          </w:p>
        </w:tc>
      </w:tr>
    </w:tbl>
    <w:p>
      <w:pPr>
        <w:spacing w:line="240" w:lineRule="auto" w:before="2"/>
        <w:rPr>
          <w:rFonts w:ascii="宋体" w:hAnsi="宋体" w:cs="宋体" w:eastAsia="宋体" w:hint="default"/>
          <w:sz w:val="19"/>
          <w:szCs w:val="19"/>
        </w:rPr>
      </w:pPr>
    </w:p>
    <w:p>
      <w:pPr>
        <w:pStyle w:val="Heading3"/>
        <w:spacing w:line="240" w:lineRule="auto" w:before="35"/>
        <w:ind w:right="967"/>
        <w:jc w:val="left"/>
        <w:rPr>
          <w:b w:val="0"/>
          <w:bCs w:val="0"/>
        </w:rPr>
      </w:pPr>
      <w:bookmarkStart w:name="（2）短期薪酬列示" w:id="256"/>
      <w:bookmarkEnd w:id="256"/>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1,808,854.74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90,420,446.55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87,375,038.39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4,854,262.90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231,279.74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231,279.74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21,105.25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4,679,161.40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4,638,567.57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61,699.08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19,486.16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4,196,130.95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4,159,689.78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55,927.33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175,662.68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174,508.09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1,493.06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1,280.62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307,367.77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304,369.70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4,278.69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7,097,488.50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6,901,720.02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196,808.48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8,790,170.17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1,311,007.64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479,481.54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9,621,696.27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10,621,170.16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103,739,383.83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99,626,087.26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14,734,466.73</w:t>
            </w:r>
          </w:p>
        </w:tc>
      </w:tr>
    </w:tbl>
    <w:p>
      <w:pPr>
        <w:spacing w:line="240" w:lineRule="auto" w:before="3"/>
        <w:rPr>
          <w:rFonts w:ascii="宋体" w:hAnsi="宋体" w:cs="宋体" w:eastAsia="宋体" w:hint="default"/>
          <w:sz w:val="19"/>
          <w:szCs w:val="19"/>
        </w:rPr>
      </w:pPr>
    </w:p>
    <w:p>
      <w:pPr>
        <w:pStyle w:val="Heading3"/>
        <w:spacing w:line="240" w:lineRule="auto" w:before="35"/>
        <w:ind w:right="967"/>
        <w:jc w:val="left"/>
        <w:rPr>
          <w:b w:val="0"/>
          <w:bCs w:val="0"/>
        </w:rPr>
      </w:pPr>
      <w:bookmarkStart w:name="（3）设定提存计划列示" w:id="257"/>
      <w:bookmarkEnd w:id="257"/>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40,467.41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8,650,754.18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8,599,374.42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91,847.17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1,412.54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308,078.71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305,972.28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3,518.97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41,879.95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8,958,832.89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8,905,346.70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95,366.14</w:t>
            </w:r>
          </w:p>
        </w:tc>
      </w:tr>
    </w:tbl>
    <w:p>
      <w:pPr>
        <w:pStyle w:val="BodyText"/>
        <w:spacing w:line="240" w:lineRule="auto" w:before="51"/>
        <w:ind w:right="967"/>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67"/>
        <w:jc w:val="left"/>
        <w:rPr>
          <w:b w:val="0"/>
          <w:bCs w:val="0"/>
        </w:rPr>
      </w:pPr>
      <w:bookmarkStart w:name="19、应交税费" w:id="258"/>
      <w:bookmarkEnd w:id="258"/>
      <w:r>
        <w:rPr>
          <w:b w:val="0"/>
          <w:bCs w:val="0"/>
        </w:rPr>
      </w:r>
      <w:r>
        <w:rPr>
          <w:rFonts w:ascii="Times New Roman" w:hAnsi="Times New Roman" w:cs="Times New Roman" w:eastAsia="Times New Roman" w:hint="default"/>
        </w:rPr>
        <w:t>19</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14,543,152.69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4,633,482.07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11,038,295.94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13,849,465.60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413,515.88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1,304,713.66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1,170,191.54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450,208.78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492,126.90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192,946.71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355,284.27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16,033.26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337,929.53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128,631.07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28,350,685.64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20,575,670.04</w:t>
            </w:r>
          </w:p>
        </w:tc>
      </w:tr>
    </w:tbl>
    <w:p>
      <w:pPr>
        <w:pStyle w:val="BodyText"/>
        <w:spacing w:line="240" w:lineRule="auto" w:before="51"/>
        <w:ind w:right="967"/>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67"/>
        <w:jc w:val="left"/>
        <w:rPr>
          <w:b w:val="0"/>
          <w:bCs w:val="0"/>
        </w:rPr>
      </w:pPr>
      <w:bookmarkStart w:name="20、其他应付款" w:id="259"/>
      <w:bookmarkEnd w:id="259"/>
      <w:r>
        <w:rPr>
          <w:b w:val="0"/>
          <w:bCs w:val="0"/>
        </w:rPr>
      </w:r>
      <w:r>
        <w:rPr>
          <w:rFonts w:ascii="Times New Roman" w:hAnsi="Times New Roman" w:cs="Times New Roman" w:eastAsia="Times New Roman" w:hint="default"/>
        </w:rPr>
        <w:t>20</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338,177,765.61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1,019,543.04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338,177,765.61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1,019,543.04</w:t>
            </w:r>
          </w:p>
        </w:tc>
      </w:tr>
    </w:tbl>
    <w:p>
      <w:pPr>
        <w:spacing w:line="240" w:lineRule="auto" w:before="3"/>
        <w:rPr>
          <w:rFonts w:ascii="宋体" w:hAnsi="宋体" w:cs="宋体" w:eastAsia="宋体" w:hint="default"/>
          <w:sz w:val="19"/>
          <w:szCs w:val="19"/>
        </w:rPr>
      </w:pPr>
    </w:p>
    <w:p>
      <w:pPr>
        <w:pStyle w:val="Heading3"/>
        <w:spacing w:line="240" w:lineRule="auto" w:before="35"/>
        <w:ind w:right="967"/>
        <w:jc w:val="left"/>
        <w:rPr>
          <w:b w:val="0"/>
          <w:bCs w:val="0"/>
        </w:rPr>
      </w:pPr>
      <w:bookmarkStart w:name="（1）其他应付款" w:id="260"/>
      <w:bookmarkEnd w:id="260"/>
      <w:r>
        <w:rPr>
          <w:b w:val="0"/>
          <w:bCs w:val="0"/>
        </w:rPr>
      </w:r>
      <w:r>
        <w:rPr/>
        <w:t>（</w:t>
      </w:r>
      <w:r>
        <w:rPr>
          <w:rFonts w:ascii="Times New Roman" w:hAnsi="Times New Roman" w:cs="Times New Roman" w:eastAsia="Times New Roman" w:hint="default"/>
        </w:rPr>
        <w:t>1</w:t>
      </w:r>
      <w:r>
        <w:rPr/>
        <w:t>）其他应付款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1)</w:t>
      </w:r>
      <w:r>
        <w:rPr/>
        <w:t>按款项性质列示其他应付款</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、单位往来款项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3,943,297.16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216,540.64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、应付职工个人款项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3,805,501.15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747,970.28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、股权收购款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428,967.30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55,032.12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338,177,765.61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1,019,543.04</w:t>
            </w:r>
          </w:p>
        </w:tc>
      </w:tr>
    </w:tbl>
    <w:p>
      <w:pPr>
        <w:spacing w:line="240" w:lineRule="auto" w:before="2"/>
        <w:rPr>
          <w:rFonts w:ascii="宋体" w:hAnsi="宋体" w:cs="宋体" w:eastAsia="宋体" w:hint="default"/>
          <w:sz w:val="19"/>
          <w:szCs w:val="19"/>
        </w:rPr>
      </w:pPr>
    </w:p>
    <w:p>
      <w:pPr>
        <w:pStyle w:val="Heading3"/>
        <w:spacing w:line="240" w:lineRule="auto" w:before="35"/>
        <w:ind w:right="967"/>
        <w:jc w:val="left"/>
        <w:rPr>
          <w:b w:val="0"/>
          <w:bCs w:val="0"/>
        </w:rPr>
      </w:pPr>
      <w:bookmarkStart w:name="21、一年内到期的非流动负债" w:id="261"/>
      <w:bookmarkEnd w:id="261"/>
      <w:r>
        <w:rPr>
          <w:b w:val="0"/>
          <w:bCs w:val="0"/>
        </w:rPr>
      </w:r>
      <w:r>
        <w:rPr>
          <w:rFonts w:ascii="Times New Roman" w:hAnsi="Times New Roman" w:cs="Times New Roman" w:eastAsia="Times New Roman" w:hint="default"/>
        </w:rPr>
        <w:t>21</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67"/>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67"/>
        <w:jc w:val="left"/>
        <w:rPr>
          <w:b w:val="0"/>
          <w:bCs w:val="0"/>
        </w:rPr>
      </w:pPr>
      <w:bookmarkStart w:name="22、长期借款" w:id="262"/>
      <w:bookmarkEnd w:id="262"/>
      <w:r>
        <w:rPr>
          <w:b w:val="0"/>
          <w:bCs w:val="0"/>
        </w:rPr>
      </w:r>
      <w:r>
        <w:rPr>
          <w:rFonts w:ascii="Times New Roman" w:hAnsi="Times New Roman" w:cs="Times New Roman" w:eastAsia="Times New Roman" w:hint="default"/>
        </w:rPr>
        <w:t>22</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67"/>
        <w:jc w:val="left"/>
        <w:rPr>
          <w:b w:val="0"/>
          <w:bCs w:val="0"/>
        </w:rPr>
      </w:pPr>
      <w:bookmarkStart w:name="（1）长期借款分类" w:id="263"/>
      <w:bookmarkEnd w:id="263"/>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8592"/>
        <w:jc w:val="left"/>
      </w:pPr>
      <w:r>
        <w:rPr/>
        <w:t>长期借款分类的说明： 其他说明，包括利率区间：</w:t>
      </w:r>
    </w:p>
    <w:p>
      <w:pPr>
        <w:spacing w:line="240" w:lineRule="auto" w:before="1"/>
        <w:rPr>
          <w:rFonts w:ascii="宋体" w:hAnsi="宋体" w:cs="宋体" w:eastAsia="宋体" w:hint="default"/>
          <w:sz w:val="20"/>
          <w:szCs w:val="20"/>
        </w:rPr>
      </w:pPr>
    </w:p>
    <w:p>
      <w:pPr>
        <w:pStyle w:val="Heading3"/>
        <w:spacing w:line="240" w:lineRule="auto"/>
        <w:ind w:right="967"/>
        <w:jc w:val="left"/>
        <w:rPr>
          <w:b w:val="0"/>
          <w:bCs w:val="0"/>
        </w:rPr>
      </w:pPr>
      <w:bookmarkStart w:name="23、递延收益" w:id="264"/>
      <w:bookmarkEnd w:id="264"/>
      <w:r>
        <w:rPr>
          <w:b w:val="0"/>
          <w:bCs w:val="0"/>
        </w:rPr>
      </w:r>
      <w:r>
        <w:rPr>
          <w:rFonts w:ascii="Times New Roman" w:hAnsi="Times New Roman" w:cs="Times New Roman" w:eastAsia="Times New Roman" w:hint="default"/>
        </w:rPr>
        <w:t>23</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3,979,724.78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15,468,820.00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13,979,724.78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5,468,820.00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3,979,724.78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15,468,820.00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13,979,724.78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5,468,820.00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67"/>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52"/>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75" w:right="76"/>
              <w:jc w:val="left"/>
              <w:rPr>
                <w:rFonts w:ascii="宋体" w:hAnsi="宋体" w:cs="宋体" w:eastAsia="宋体" w:hint="default"/>
                <w:sz w:val="18"/>
                <w:szCs w:val="18"/>
              </w:rPr>
            </w:pPr>
            <w:r>
              <w:rPr>
                <w:rFonts w:ascii="宋体" w:hAnsi="宋体" w:cs="宋体" w:eastAsia="宋体" w:hint="default"/>
                <w:sz w:val="18"/>
                <w:szCs w:val="18"/>
              </w:rPr>
              <w:t>本期计入营 业外收入金</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38"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after="0" w:line="302"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军用软件特 色开发库与 迁移维护工 具集</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1,827,515.49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1,827,515.49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支持大数据 的政务服务 数据交换平 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2,152,209.29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2,152,209.29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东方通中间 件升级优化 及产业化</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核心电子器 </w:t>
            </w:r>
            <w:r>
              <w:rPr>
                <w:rFonts w:ascii="宋体" w:hAnsi="宋体" w:cs="宋体" w:eastAsia="宋体" w:hint="default"/>
                <w:spacing w:val="-13"/>
                <w:sz w:val="18"/>
                <w:szCs w:val="18"/>
              </w:rPr>
              <w:t>件、高端通用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芯片及基础 软件产品科 技重大专项</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5,468,820.00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5,468,820.00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40" w:lineRule="auto" w:before="51"/>
        <w:ind w:right="967"/>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67"/>
        <w:jc w:val="left"/>
        <w:rPr>
          <w:b w:val="0"/>
          <w:bCs w:val="0"/>
        </w:rPr>
      </w:pPr>
      <w:bookmarkStart w:name="24、股本" w:id="265"/>
      <w:bookmarkEnd w:id="265"/>
      <w:r>
        <w:rPr>
          <w:b w:val="0"/>
          <w:bCs w:val="0"/>
        </w:rPr>
      </w:r>
      <w:r>
        <w:rPr>
          <w:rFonts w:ascii="Times New Roman" w:hAnsi="Times New Roman" w:cs="Times New Roman" w:eastAsia="Times New Roman" w:hint="default"/>
        </w:rPr>
        <w:t>24</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277,031,708.00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277,031,708.00</w:t>
            </w:r>
          </w:p>
        </w:tc>
      </w:tr>
    </w:tbl>
    <w:p>
      <w:pPr>
        <w:pStyle w:val="BodyText"/>
        <w:spacing w:line="240" w:lineRule="auto" w:before="51"/>
        <w:ind w:right="967"/>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67"/>
        <w:jc w:val="left"/>
        <w:rPr>
          <w:b w:val="0"/>
          <w:bCs w:val="0"/>
        </w:rPr>
      </w:pPr>
      <w:bookmarkStart w:name="25、资本公积" w:id="266"/>
      <w:bookmarkEnd w:id="266"/>
      <w:r>
        <w:rPr>
          <w:b w:val="0"/>
          <w:bCs w:val="0"/>
        </w:rPr>
      </w:r>
      <w:r>
        <w:rPr>
          <w:rFonts w:ascii="Times New Roman" w:hAnsi="Times New Roman" w:cs="Times New Roman" w:eastAsia="Times New Roman" w:hint="default"/>
        </w:rPr>
        <w:t>25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1,179,532,266.20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1,179,532,266.20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1,842,538.62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3,036,600.00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325,149.02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4,553,989.60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1,181,374,804.82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3,036,600.00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325,149.02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1,184,086,255.80</w:t>
            </w:r>
          </w:p>
        </w:tc>
      </w:tr>
    </w:tbl>
    <w:p>
      <w:pPr>
        <w:pStyle w:val="BodyText"/>
        <w:spacing w:line="240" w:lineRule="auto" w:before="51"/>
        <w:ind w:right="967"/>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967"/>
        <w:jc w:val="left"/>
        <w:rPr>
          <w:b w:val="0"/>
          <w:bCs w:val="0"/>
        </w:rPr>
      </w:pPr>
      <w:bookmarkStart w:name="26、库存股" w:id="267"/>
      <w:bookmarkEnd w:id="267"/>
      <w:r>
        <w:rPr>
          <w:b w:val="0"/>
          <w:bCs w:val="0"/>
        </w:rPr>
      </w:r>
      <w:r>
        <w:rPr>
          <w:rFonts w:ascii="Times New Roman" w:hAnsi="Times New Roman" w:cs="Times New Roman" w:eastAsia="Times New Roman" w:hint="default"/>
        </w:rPr>
        <w:t>26</w:t>
      </w:r>
      <w:r>
        <w:rPr/>
        <w:t>、库存股</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股份回购</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150,004,584.16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150,004,584.16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150,004,584.16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150,004,584.16</w:t>
            </w:r>
          </w:p>
        </w:tc>
      </w:tr>
    </w:tbl>
    <w:p>
      <w:pPr>
        <w:pStyle w:val="BodyText"/>
        <w:spacing w:line="240" w:lineRule="auto" w:before="51"/>
        <w:ind w:right="967"/>
        <w:jc w:val="left"/>
      </w:pPr>
      <w:r>
        <w:rPr/>
        <w:t>其他说明，包括本期增减变动情况、变动原因说明：</w:t>
      </w:r>
    </w:p>
    <w:p>
      <w:pPr>
        <w:pStyle w:val="Heading4"/>
        <w:spacing w:line="240" w:lineRule="auto" w:before="91"/>
        <w:ind w:left="0" w:right="1131"/>
        <w:jc w:val="right"/>
      </w:pPr>
      <w:r>
        <w:rPr/>
        <w:t>公司于 </w:t>
      </w:r>
      <w:r>
        <w:rPr>
          <w:rFonts w:ascii="Times New Roman" w:hAnsi="Times New Roman" w:cs="Times New Roman" w:eastAsia="Times New Roman" w:hint="default"/>
        </w:rPr>
        <w:t>2018</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17 </w:t>
      </w:r>
      <w:r>
        <w:rPr/>
        <w:t>日召开了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年第三次临时股东大会，会议审议通过了《关于回购公司股份</w:t>
      </w:r>
    </w:p>
    <w:p>
      <w:pPr>
        <w:pStyle w:val="Heading4"/>
        <w:spacing w:line="256" w:lineRule="auto" w:before="21"/>
        <w:ind w:right="967"/>
        <w:jc w:val="left"/>
      </w:pPr>
      <w:r>
        <w:rPr>
          <w:spacing w:val="-6"/>
        </w:rPr>
        <w:t>的议案》。并于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27 </w:t>
      </w:r>
      <w:r>
        <w:rPr>
          <w:spacing w:val="-3"/>
        </w:rPr>
        <w:t>日披露了《关于回购公司股份的报告书》。截止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15</w:t>
      </w:r>
      <w:r>
        <w:rPr>
          <w:rFonts w:ascii="Times New Roman" w:hAnsi="Times New Roman" w:cs="Times New Roman" w:eastAsia="Times New Roman" w:hint="default"/>
          <w:spacing w:val="29"/>
        </w:rPr>
        <w:t> </w:t>
      </w:r>
      <w:r>
        <w:rPr/>
        <w:t>日回 购公司股份实施完毕，累计回购股份 </w:t>
      </w:r>
      <w:r>
        <w:rPr>
          <w:rFonts w:ascii="Times New Roman" w:hAnsi="Times New Roman" w:cs="Times New Roman" w:eastAsia="Times New Roman" w:hint="default"/>
        </w:rPr>
        <w:t>10,336,816 </w:t>
      </w:r>
      <w:r>
        <w:rPr/>
        <w:t>股，占公司总股本的</w:t>
      </w:r>
      <w:r>
        <w:rPr>
          <w:spacing w:val="-64"/>
        </w:rPr>
        <w:t> </w:t>
      </w:r>
      <w:r>
        <w:rPr>
          <w:rFonts w:ascii="Times New Roman" w:hAnsi="Times New Roman" w:cs="Times New Roman" w:eastAsia="Times New Roman" w:hint="default"/>
        </w:rPr>
        <w:t>3.73%</w:t>
      </w:r>
      <w:r>
        <w:rPr/>
        <w:t>，累计支付的总金额为 </w:t>
      </w:r>
      <w:r>
        <w:rPr>
          <w:rFonts w:ascii="Times New Roman" w:hAnsi="Times New Roman" w:cs="Times New Roman" w:eastAsia="Times New Roman" w:hint="default"/>
        </w:rPr>
        <w:t>150,004,584.16</w:t>
      </w:r>
      <w:r>
        <w:rPr>
          <w:rFonts w:ascii="Times New Roman" w:hAnsi="Times New Roman" w:cs="Times New Roman" w:eastAsia="Times New Roman" w:hint="default"/>
          <w:spacing w:val="30"/>
        </w:rPr>
        <w:t> </w:t>
      </w:r>
      <w:r>
        <w:rPr/>
        <w:t>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3"/>
        <w:spacing w:line="240" w:lineRule="auto"/>
        <w:ind w:right="967"/>
        <w:jc w:val="left"/>
        <w:rPr>
          <w:b w:val="0"/>
          <w:bCs w:val="0"/>
        </w:rPr>
      </w:pPr>
      <w:bookmarkStart w:name="27、盈余公积" w:id="268"/>
      <w:bookmarkEnd w:id="268"/>
      <w:r>
        <w:rPr>
          <w:b w:val="0"/>
          <w:bCs w:val="0"/>
        </w:rPr>
      </w:r>
      <w:r>
        <w:rPr>
          <w:rFonts w:ascii="Times New Roman" w:hAnsi="Times New Roman" w:cs="Times New Roman" w:eastAsia="Times New Roman" w:hint="default"/>
        </w:rPr>
        <w:t>27</w:t>
      </w:r>
      <w:r>
        <w:rPr/>
        <w:t>、盈余公积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26,325,950.60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26,325,950.60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26,325,950.60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26,325,950.60</w:t>
            </w:r>
          </w:p>
        </w:tc>
      </w:tr>
    </w:tbl>
    <w:p>
      <w:pPr>
        <w:pStyle w:val="BodyText"/>
        <w:spacing w:line="240" w:lineRule="auto" w:before="51"/>
        <w:ind w:right="967"/>
        <w:jc w:val="left"/>
      </w:pPr>
      <w:r>
        <w:rPr/>
        <w:t>盈余公积说明，包括本期增减变动情况、变动原因说明：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right="967"/>
        <w:jc w:val="left"/>
        <w:rPr>
          <w:b w:val="0"/>
          <w:bCs w:val="0"/>
        </w:rPr>
      </w:pPr>
      <w:bookmarkStart w:name="28、未分配利润" w:id="269"/>
      <w:bookmarkEnd w:id="269"/>
      <w:r>
        <w:rPr>
          <w:b w:val="0"/>
          <w:bCs w:val="0"/>
        </w:rPr>
      </w:r>
      <w:r>
        <w:rPr>
          <w:rFonts w:ascii="Times New Roman" w:hAnsi="Times New Roman" w:cs="Times New Roman" w:eastAsia="Times New Roman" w:hint="default"/>
        </w:rPr>
        <w:t>28</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-37,290,619.88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297,699,259.96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-37,290,619.88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297,699,259.96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122,168,567.11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-307,286,709.04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27,703,170.80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84,877,947.23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-37,290,619.88</w:t>
            </w:r>
          </w:p>
        </w:tc>
      </w:tr>
    </w:tbl>
    <w:p>
      <w:pPr>
        <w:pStyle w:val="BodyText"/>
        <w:spacing w:line="240" w:lineRule="auto" w:before="51"/>
        <w:ind w:right="967"/>
        <w:jc w:val="left"/>
      </w:pPr>
      <w:r>
        <w:rPr/>
        <w:t>调整期初未分配利润明细：</w:t>
      </w:r>
    </w:p>
    <w:p>
      <w:pPr>
        <w:pStyle w:val="BodyText"/>
        <w:spacing w:line="240" w:lineRule="auto" w:before="116"/>
        <w:ind w:right="967"/>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967"/>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right="967"/>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right="967"/>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967"/>
        <w:jc w:val="left"/>
      </w:pPr>
      <w:r>
        <w:rPr>
          <w:rFonts w:ascii="Times New Roman" w:hAnsi="Times New Roman" w:cs="Times New Roman" w:eastAsia="Times New Roman" w:hint="default"/>
        </w:rPr>
        <w:t>5)</w:t>
      </w:r>
      <w:r>
        <w:rPr/>
        <w:t>、其他调整合计影响期初未分配利润元。</w:t>
      </w:r>
    </w:p>
    <w:p>
      <w:pPr>
        <w:spacing w:line="240" w:lineRule="auto" w:before="9"/>
        <w:rPr>
          <w:rFonts w:ascii="宋体" w:hAnsi="宋体" w:cs="宋体" w:eastAsia="宋体" w:hint="default"/>
          <w:sz w:val="25"/>
          <w:szCs w:val="25"/>
        </w:rPr>
      </w:pPr>
    </w:p>
    <w:p>
      <w:pPr>
        <w:pStyle w:val="Heading3"/>
        <w:spacing w:line="240" w:lineRule="auto"/>
        <w:ind w:right="967"/>
        <w:jc w:val="left"/>
        <w:rPr>
          <w:b w:val="0"/>
          <w:bCs w:val="0"/>
        </w:rPr>
      </w:pPr>
      <w:bookmarkStart w:name="29、营业收入和营业成本" w:id="270"/>
      <w:bookmarkEnd w:id="270"/>
      <w:r>
        <w:rPr>
          <w:b w:val="0"/>
          <w:bCs w:val="0"/>
        </w:rPr>
      </w:r>
      <w:r>
        <w:rPr>
          <w:rFonts w:ascii="Times New Roman" w:hAnsi="Times New Roman" w:cs="Times New Roman" w:eastAsia="Times New Roman" w:hint="default"/>
        </w:rPr>
        <w:t>29</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3819"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736" w:right="0"/>
              <w:jc w:val="left"/>
              <w:rPr>
                <w:rFonts w:ascii="Times New Roman" w:hAnsi="Times New Roman" w:cs="Times New Roman" w:eastAsia="Times New Roman" w:hint="default"/>
                <w:sz w:val="18"/>
                <w:szCs w:val="18"/>
              </w:rPr>
            </w:pPr>
            <w:r>
              <w:rPr>
                <w:rFonts w:ascii="Times New Roman"/>
                <w:sz w:val="18"/>
              </w:rPr>
              <w:t>372,052,345.23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91,492,878.91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292,786,400.27</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5" w:right="0"/>
              <w:jc w:val="left"/>
              <w:rPr>
                <w:rFonts w:ascii="Times New Roman" w:hAnsi="Times New Roman" w:cs="Times New Roman" w:eastAsia="Times New Roman" w:hint="default"/>
                <w:sz w:val="18"/>
                <w:szCs w:val="18"/>
              </w:rPr>
            </w:pPr>
            <w:r>
              <w:rPr>
                <w:rFonts w:ascii="Times New Roman"/>
                <w:sz w:val="18"/>
              </w:rPr>
              <w:t>74,034,535.88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9" w:right="0"/>
              <w:jc w:val="left"/>
              <w:rPr>
                <w:rFonts w:ascii="Times New Roman" w:hAnsi="Times New Roman" w:cs="Times New Roman" w:eastAsia="Times New Roman" w:hint="default"/>
                <w:sz w:val="18"/>
                <w:szCs w:val="18"/>
              </w:rPr>
            </w:pPr>
            <w:r>
              <w:rPr>
                <w:rFonts w:ascii="Times New Roman"/>
                <w:sz w:val="18"/>
              </w:rPr>
              <w:t>372,052,345.23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91,492,878.91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292,786,400.27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74,034,535.88</w:t>
            </w:r>
          </w:p>
        </w:tc>
      </w:tr>
    </w:tbl>
    <w:p>
      <w:pPr>
        <w:spacing w:line="240" w:lineRule="auto" w:before="2"/>
        <w:rPr>
          <w:rFonts w:ascii="宋体" w:hAnsi="宋体" w:cs="宋体" w:eastAsia="宋体" w:hint="default"/>
          <w:sz w:val="19"/>
          <w:szCs w:val="19"/>
        </w:rPr>
      </w:pPr>
    </w:p>
    <w:p>
      <w:pPr>
        <w:pStyle w:val="Heading3"/>
        <w:spacing w:line="240" w:lineRule="auto" w:before="35"/>
        <w:ind w:right="967"/>
        <w:jc w:val="left"/>
        <w:rPr>
          <w:b w:val="0"/>
          <w:bCs w:val="0"/>
        </w:rPr>
      </w:pPr>
      <w:bookmarkStart w:name="30、税金及附加" w:id="271"/>
      <w:bookmarkEnd w:id="271"/>
      <w:r>
        <w:rPr>
          <w:b w:val="0"/>
          <w:bCs w:val="0"/>
        </w:rPr>
      </w:r>
      <w:r>
        <w:rPr>
          <w:rFonts w:ascii="Times New Roman" w:hAnsi="Times New Roman" w:cs="Times New Roman" w:eastAsia="Times New Roman" w:hint="default"/>
        </w:rPr>
        <w:t>30</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2,699,382.77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2,186,632.77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1,156,878.33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939,688.71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475,632.06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178,830.26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763,739.91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624,375.08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副食品价格调控基金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-4.20</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6,166.92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5,100,433.07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3,938,889.54</w:t>
            </w:r>
          </w:p>
        </w:tc>
      </w:tr>
    </w:tbl>
    <w:p>
      <w:pPr>
        <w:pStyle w:val="BodyText"/>
        <w:spacing w:line="240" w:lineRule="auto" w:before="51"/>
        <w:ind w:right="967"/>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67"/>
        <w:jc w:val="left"/>
        <w:rPr>
          <w:b w:val="0"/>
          <w:bCs w:val="0"/>
        </w:rPr>
      </w:pPr>
      <w:bookmarkStart w:name="31、销售费用" w:id="272"/>
      <w:bookmarkEnd w:id="272"/>
      <w:r>
        <w:rPr>
          <w:b w:val="0"/>
          <w:bCs w:val="0"/>
        </w:rPr>
      </w:r>
      <w:r>
        <w:rPr>
          <w:rFonts w:ascii="Times New Roman" w:hAnsi="Times New Roman" w:cs="Times New Roman" w:eastAsia="Times New Roman" w:hint="default"/>
        </w:rPr>
        <w:t>31</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29,979,116.42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23,907,326.98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63,027.55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68,758.43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11,579,939.58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7,041,127.54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广告及业务宣传费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181,364.47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560,129.55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4,701,074.31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3,060,983.28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3,663,359.00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3,670,857.23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1,031,904.68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1,019,434.34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569,862.64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405,263.02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1,425,689.72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1,268,167.98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113,993.05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145,363.65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3,053,760.49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2,395,031.90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499,073.06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275,622.30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56,862,164.97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43,818,066.20</w:t>
            </w:r>
          </w:p>
        </w:tc>
      </w:tr>
    </w:tbl>
    <w:p>
      <w:pPr>
        <w:pStyle w:val="BodyText"/>
        <w:spacing w:line="240" w:lineRule="auto" w:before="51"/>
        <w:ind w:right="967"/>
        <w:jc w:val="left"/>
      </w:pPr>
      <w:r>
        <w:rPr/>
        <w:t>其他说明：</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967"/>
        <w:jc w:val="left"/>
        <w:rPr>
          <w:b w:val="0"/>
          <w:bCs w:val="0"/>
        </w:rPr>
      </w:pPr>
      <w:bookmarkStart w:name="32、管理费用" w:id="273"/>
      <w:bookmarkEnd w:id="273"/>
      <w:r>
        <w:rPr>
          <w:b w:val="0"/>
          <w:bCs w:val="0"/>
        </w:rPr>
      </w:r>
      <w:r>
        <w:rPr>
          <w:rFonts w:ascii="Times New Roman" w:hAnsi="Times New Roman" w:cs="Times New Roman" w:eastAsia="Times New Roman" w:hint="default"/>
        </w:rPr>
        <w:t>32</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22,744,175.81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19,128,089.67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625,725.92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855,455.90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7,209,870.88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10,242,910.74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长期待费用摊销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221,423.64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1,879,433.33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1,781,144.08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754,994.60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1,505,496.19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778,783.60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30,802.01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149,111.41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9,256,550.74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6,209,376.29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2,221,457.92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2,551,778.78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1,550,990.16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2,563,055.16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1,057,329.96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809,497.28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450,234.18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516,418.15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117,274.51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113,845.64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3,757,294.93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1,921,197.18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网络服务费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86,811.00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86,163.75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400,842.09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419,463.15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1,225,086.28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2,258,952.81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期权成本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2,711,450.98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264,622.93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人力资源服务费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6,264,837.67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63,218,798.95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51,503,150.37</w:t>
            </w:r>
          </w:p>
        </w:tc>
      </w:tr>
    </w:tbl>
    <w:p>
      <w:pPr>
        <w:pStyle w:val="BodyText"/>
        <w:spacing w:line="240" w:lineRule="auto" w:before="51"/>
        <w:ind w:right="967"/>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967"/>
        <w:jc w:val="left"/>
        <w:rPr>
          <w:b w:val="0"/>
          <w:bCs w:val="0"/>
        </w:rPr>
      </w:pPr>
      <w:bookmarkStart w:name="33、研发费用" w:id="274"/>
      <w:bookmarkEnd w:id="274"/>
      <w:r>
        <w:rPr>
          <w:b w:val="0"/>
          <w:bCs w:val="0"/>
        </w:rPr>
      </w:r>
      <w:r>
        <w:rPr>
          <w:rFonts w:ascii="Times New Roman" w:hAnsi="Times New Roman" w:cs="Times New Roman" w:eastAsia="Times New Roman" w:hint="default"/>
        </w:rPr>
        <w:t>33</w:t>
      </w:r>
      <w:r>
        <w:rPr/>
        <w:t>、研发费用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48,378,929.79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41,404,878.04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1,026,847.38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2,629,886.35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2,196,831.84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2,713,080.74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委外开发费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11,451,133.90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2,378,921.32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502,471.95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763,990.75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1,368,800.69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509,071.55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272,401.33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615,606.35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5,071,685.00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10,943,915.51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100,050.96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133,231.75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70,369,152.84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62,092,582.36</w:t>
            </w:r>
          </w:p>
        </w:tc>
      </w:tr>
    </w:tbl>
    <w:p>
      <w:pPr>
        <w:pStyle w:val="BodyText"/>
        <w:spacing w:line="240" w:lineRule="auto" w:before="51"/>
        <w:ind w:right="967"/>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67"/>
        <w:jc w:val="left"/>
        <w:rPr>
          <w:b w:val="0"/>
          <w:bCs w:val="0"/>
        </w:rPr>
      </w:pPr>
      <w:bookmarkStart w:name="34、财务费用" w:id="275"/>
      <w:bookmarkEnd w:id="275"/>
      <w:r>
        <w:rPr>
          <w:b w:val="0"/>
          <w:bCs w:val="0"/>
        </w:rPr>
      </w:r>
      <w:r>
        <w:rPr>
          <w:rFonts w:ascii="Times New Roman" w:hAnsi="Times New Roman" w:cs="Times New Roman" w:eastAsia="Times New Roman" w:hint="default"/>
        </w:rPr>
        <w:t>34</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2,547,769.46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9,134,700.67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9,286,283.66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202,435.65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129,236.74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-6,384,495.56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-9,157,046.92</w:t>
            </w:r>
          </w:p>
        </w:tc>
      </w:tr>
    </w:tbl>
    <w:p>
      <w:pPr>
        <w:pStyle w:val="BodyText"/>
        <w:spacing w:line="240" w:lineRule="auto" w:before="51"/>
        <w:ind w:right="967"/>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67"/>
        <w:jc w:val="left"/>
        <w:rPr>
          <w:b w:val="0"/>
          <w:bCs w:val="0"/>
        </w:rPr>
      </w:pPr>
      <w:bookmarkStart w:name="35、资产减值损失" w:id="276"/>
      <w:bookmarkEnd w:id="276"/>
      <w:r>
        <w:rPr>
          <w:b w:val="0"/>
          <w:bCs w:val="0"/>
        </w:rPr>
      </w:r>
      <w:r>
        <w:rPr>
          <w:rFonts w:ascii="Times New Roman" w:hAnsi="Times New Roman" w:cs="Times New Roman" w:eastAsia="Times New Roman" w:hint="default"/>
        </w:rPr>
        <w:t>35</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7,956,901.28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21,963,903.12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132,587.41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384,817,297.98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8,089,488.69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406,781,201.10</w:t>
            </w:r>
          </w:p>
        </w:tc>
      </w:tr>
    </w:tbl>
    <w:p>
      <w:pPr>
        <w:pStyle w:val="BodyText"/>
        <w:spacing w:line="240" w:lineRule="auto" w:before="51"/>
        <w:ind w:right="967"/>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67"/>
        <w:jc w:val="left"/>
        <w:rPr>
          <w:b w:val="0"/>
          <w:bCs w:val="0"/>
        </w:rPr>
      </w:pPr>
      <w:bookmarkStart w:name="36、其他收益" w:id="277"/>
      <w:bookmarkEnd w:id="277"/>
      <w:r>
        <w:rPr>
          <w:b w:val="0"/>
          <w:bCs w:val="0"/>
        </w:rPr>
      </w:r>
      <w:r>
        <w:rPr>
          <w:rFonts w:ascii="Times New Roman" w:hAnsi="Times New Roman" w:cs="Times New Roman" w:eastAsia="Times New Roman" w:hint="default"/>
        </w:rPr>
        <w:t>36</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24,316,801.49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26,402,424.89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19,312,366.90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4,619,644.00</w:t>
            </w:r>
          </w:p>
        </w:tc>
      </w:tr>
    </w:tbl>
    <w:p>
      <w:pPr>
        <w:spacing w:line="240" w:lineRule="auto" w:before="2"/>
        <w:rPr>
          <w:rFonts w:ascii="宋体" w:hAnsi="宋体" w:cs="宋体" w:eastAsia="宋体" w:hint="default"/>
          <w:sz w:val="19"/>
          <w:szCs w:val="19"/>
        </w:rPr>
      </w:pPr>
    </w:p>
    <w:p>
      <w:pPr>
        <w:pStyle w:val="Heading3"/>
        <w:spacing w:line="240" w:lineRule="auto" w:before="35"/>
        <w:ind w:right="967"/>
        <w:jc w:val="left"/>
        <w:rPr>
          <w:b w:val="0"/>
          <w:bCs w:val="0"/>
        </w:rPr>
      </w:pPr>
      <w:bookmarkStart w:name="37、投资收益" w:id="278"/>
      <w:bookmarkEnd w:id="278"/>
      <w:r>
        <w:rPr>
          <w:b w:val="0"/>
          <w:bCs w:val="0"/>
        </w:rPr>
      </w:r>
      <w:r>
        <w:rPr>
          <w:rFonts w:ascii="Times New Roman" w:hAnsi="Times New Roman" w:cs="Times New Roman" w:eastAsia="Times New Roman" w:hint="default"/>
        </w:rPr>
        <w:t>37</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-300,903.06</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0" w:right="0"/>
              <w:jc w:val="left"/>
              <w:rPr>
                <w:rFonts w:ascii="Times New Roman" w:hAnsi="Times New Roman" w:cs="Times New Roman" w:eastAsia="Times New Roman" w:hint="default"/>
                <w:sz w:val="18"/>
                <w:szCs w:val="18"/>
              </w:rPr>
            </w:pPr>
            <w:r>
              <w:rPr>
                <w:rFonts w:ascii="Times New Roman"/>
                <w:sz w:val="18"/>
              </w:rPr>
              <w:t>-3,955,010.76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-300,903.06</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0" w:right="0"/>
              <w:jc w:val="left"/>
              <w:rPr>
                <w:rFonts w:ascii="Times New Roman" w:hAnsi="Times New Roman" w:cs="Times New Roman" w:eastAsia="Times New Roman" w:hint="default"/>
                <w:sz w:val="18"/>
                <w:szCs w:val="18"/>
              </w:rPr>
            </w:pPr>
            <w:r>
              <w:rPr>
                <w:rFonts w:ascii="Times New Roman"/>
                <w:sz w:val="18"/>
              </w:rPr>
              <w:t>-3,955,010.76</w:t>
            </w:r>
          </w:p>
        </w:tc>
      </w:tr>
    </w:tbl>
    <w:p>
      <w:pPr>
        <w:pStyle w:val="BodyText"/>
        <w:spacing w:line="240" w:lineRule="auto" w:before="51"/>
        <w:ind w:right="967"/>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67"/>
        <w:jc w:val="left"/>
        <w:rPr>
          <w:b w:val="0"/>
          <w:bCs w:val="0"/>
        </w:rPr>
      </w:pPr>
      <w:bookmarkStart w:name="38、资产处置收益" w:id="279"/>
      <w:bookmarkEnd w:id="279"/>
      <w:r>
        <w:rPr>
          <w:b w:val="0"/>
          <w:bCs w:val="0"/>
        </w:rPr>
      </w:r>
      <w:r>
        <w:rPr>
          <w:rFonts w:ascii="Times New Roman" w:hAnsi="Times New Roman" w:cs="Times New Roman" w:eastAsia="Times New Roman" w:hint="default"/>
        </w:rPr>
        <w:t>38</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-183,484.06</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967"/>
        <w:jc w:val="left"/>
        <w:rPr>
          <w:b w:val="0"/>
          <w:bCs w:val="0"/>
        </w:rPr>
      </w:pPr>
      <w:bookmarkStart w:name="39、营业外收入" w:id="280"/>
      <w:bookmarkEnd w:id="280"/>
      <w:r>
        <w:rPr>
          <w:b w:val="0"/>
          <w:bCs w:val="0"/>
        </w:rPr>
      </w:r>
      <w:r>
        <w:rPr>
          <w:rFonts w:ascii="Times New Roman" w:hAnsi="Times New Roman" w:cs="Times New Roman" w:eastAsia="Times New Roman" w:hint="default"/>
        </w:rPr>
        <w:t>39</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9,170.07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9,170.07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9,310.07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14,170,751.26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9,170.07</w:t>
            </w:r>
          </w:p>
        </w:tc>
      </w:tr>
    </w:tbl>
    <w:p>
      <w:pPr>
        <w:pStyle w:val="BodyText"/>
        <w:spacing w:line="240" w:lineRule="auto" w:before="51"/>
        <w:ind w:right="967"/>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51"/>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38"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51"/>
        <w:ind w:right="967"/>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67"/>
        <w:jc w:val="left"/>
        <w:rPr>
          <w:b w:val="0"/>
          <w:bCs w:val="0"/>
        </w:rPr>
      </w:pPr>
      <w:bookmarkStart w:name="40、营业外支出" w:id="281"/>
      <w:bookmarkEnd w:id="281"/>
      <w:r>
        <w:rPr>
          <w:b w:val="0"/>
          <w:bCs w:val="0"/>
        </w:rPr>
      </w:r>
      <w:r>
        <w:rPr>
          <w:rFonts w:ascii="Times New Roman" w:hAnsi="Times New Roman" w:cs="Times New Roman" w:eastAsia="Times New Roman" w:hint="default"/>
        </w:rPr>
        <w:t>40</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51,431.03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51,431.03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129,852.38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186,510.38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129,852.38</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181,283.41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186,510.38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181,283.41</w:t>
            </w:r>
          </w:p>
        </w:tc>
      </w:tr>
    </w:tbl>
    <w:p>
      <w:pPr>
        <w:pStyle w:val="BodyText"/>
        <w:spacing w:line="240" w:lineRule="auto" w:before="51"/>
        <w:ind w:right="967"/>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967"/>
        <w:jc w:val="left"/>
        <w:rPr>
          <w:b w:val="0"/>
          <w:bCs w:val="0"/>
        </w:rPr>
      </w:pPr>
      <w:bookmarkStart w:name="41、所得税费用" w:id="282"/>
      <w:bookmarkEnd w:id="282"/>
      <w:r>
        <w:rPr>
          <w:b w:val="0"/>
          <w:bCs w:val="0"/>
        </w:rPr>
      </w:r>
      <w:r>
        <w:rPr>
          <w:rFonts w:ascii="Times New Roman" w:hAnsi="Times New Roman" w:cs="Times New Roman" w:eastAsia="Times New Roman" w:hint="default"/>
        </w:rPr>
        <w:t>41</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67"/>
        <w:jc w:val="left"/>
        <w:rPr>
          <w:b w:val="0"/>
          <w:bCs w:val="0"/>
        </w:rPr>
      </w:pPr>
      <w:bookmarkStart w:name="（1）所得税费用表" w:id="283"/>
      <w:bookmarkEnd w:id="28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6,696,510.33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9,498,046.09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-2,404,862.09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-1,568,500.36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4,291,648.24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7,929,545.73</w:t>
            </w:r>
          </w:p>
        </w:tc>
      </w:tr>
    </w:tbl>
    <w:p>
      <w:pPr>
        <w:spacing w:line="240" w:lineRule="auto" w:before="3"/>
        <w:rPr>
          <w:rFonts w:ascii="宋体" w:hAnsi="宋体" w:cs="宋体" w:eastAsia="宋体" w:hint="default"/>
          <w:sz w:val="19"/>
          <w:szCs w:val="19"/>
        </w:rPr>
      </w:pPr>
    </w:p>
    <w:p>
      <w:pPr>
        <w:pStyle w:val="Heading3"/>
        <w:spacing w:line="240" w:lineRule="auto" w:before="35"/>
        <w:ind w:right="967"/>
        <w:jc w:val="left"/>
        <w:rPr>
          <w:b w:val="0"/>
          <w:bCs w:val="0"/>
        </w:rPr>
      </w:pPr>
      <w:bookmarkStart w:name="（2）会计利润与所得税费用调整过程" w:id="284"/>
      <w:bookmarkEnd w:id="28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126,460,215.35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18,969,032.30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-358,558.31</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-9,277,056.24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-1,618,294.50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4,778,489.61</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-973,481.63</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研发加计扣除</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-7,228,482.99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4,291,648.24</w:t>
            </w:r>
          </w:p>
        </w:tc>
      </w:tr>
    </w:tbl>
    <w:p>
      <w:pPr>
        <w:pStyle w:val="BodyText"/>
        <w:spacing w:line="240" w:lineRule="auto" w:before="51"/>
        <w:ind w:right="967"/>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67"/>
        <w:jc w:val="left"/>
        <w:rPr>
          <w:b w:val="0"/>
          <w:bCs w:val="0"/>
        </w:rPr>
      </w:pPr>
      <w:bookmarkStart w:name="42、现金流量表项目" w:id="285"/>
      <w:bookmarkEnd w:id="285"/>
      <w:r>
        <w:rPr>
          <w:b w:val="0"/>
          <w:bCs w:val="0"/>
        </w:rPr>
      </w:r>
      <w:r>
        <w:rPr>
          <w:rFonts w:ascii="Times New Roman" w:hAnsi="Times New Roman" w:cs="Times New Roman" w:eastAsia="Times New Roman" w:hint="default"/>
        </w:rPr>
        <w:t>42</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67"/>
        <w:jc w:val="left"/>
        <w:rPr>
          <w:b w:val="0"/>
          <w:bCs w:val="0"/>
        </w:rPr>
      </w:pPr>
      <w:bookmarkStart w:name="（1）收到的其他与经营活动有关的现金" w:id="286"/>
      <w:bookmarkEnd w:id="286"/>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9,134,700.67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5,123,795.98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或者研发项目经费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20,801,462.12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6,152,065.04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7,215,881.45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10,236,164.51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职工暂借款及备用金返还</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6,626,063.56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6,738,008.21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324,128.50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1,066,982.06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849,549.97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44,887,829.86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29,423,712.21</w:t>
            </w:r>
          </w:p>
        </w:tc>
      </w:tr>
    </w:tbl>
    <w:p>
      <w:pPr>
        <w:pStyle w:val="BodyText"/>
        <w:spacing w:line="240" w:lineRule="auto" w:before="51"/>
        <w:ind w:right="967"/>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967"/>
        <w:jc w:val="left"/>
        <w:rPr>
          <w:b w:val="0"/>
          <w:bCs w:val="0"/>
        </w:rPr>
      </w:pPr>
      <w:bookmarkStart w:name="（2）支付的其他与经营活动有关的现金" w:id="287"/>
      <w:bookmarkEnd w:id="287"/>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202,435.65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129,236.74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22,860.00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5,262,224.23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10,443,405.75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备用金及职工暂借款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6,406,596.27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5,399,603.98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直接付现的销售费用、管理费用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59,717,160.63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45,862,172.92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预付房租、物业费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8,175,820.61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8,429,992.89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449,915.68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1,227,307.39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80,237,013.07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71,491,719.67</w:t>
            </w:r>
          </w:p>
        </w:tc>
      </w:tr>
    </w:tbl>
    <w:p>
      <w:pPr>
        <w:pStyle w:val="BodyText"/>
        <w:spacing w:line="240" w:lineRule="auto" w:before="51"/>
        <w:ind w:right="967"/>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967"/>
        <w:jc w:val="left"/>
        <w:rPr>
          <w:b w:val="0"/>
          <w:bCs w:val="0"/>
        </w:rPr>
      </w:pPr>
      <w:bookmarkStart w:name="（3）支付的其他与筹资活动有关的现金" w:id="288"/>
      <w:bookmarkEnd w:id="288"/>
      <w:r>
        <w:rPr>
          <w:b w:val="0"/>
          <w:bCs w:val="0"/>
        </w:rPr>
      </w: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利润分配时支付的相关费用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221,625.36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非公开发行相关费用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250,937.11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回购股票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150,004,584.16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150,004,584.16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472,562.47</w:t>
            </w:r>
          </w:p>
        </w:tc>
      </w:tr>
    </w:tbl>
    <w:p>
      <w:pPr>
        <w:pStyle w:val="BodyText"/>
        <w:spacing w:line="240" w:lineRule="auto" w:before="51"/>
        <w:ind w:right="967"/>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967"/>
        <w:jc w:val="left"/>
        <w:rPr>
          <w:b w:val="0"/>
          <w:bCs w:val="0"/>
        </w:rPr>
      </w:pPr>
      <w:bookmarkStart w:name="43、现金流量表补充资料" w:id="289"/>
      <w:bookmarkEnd w:id="289"/>
      <w:r>
        <w:rPr>
          <w:b w:val="0"/>
          <w:bCs w:val="0"/>
        </w:rPr>
      </w:r>
      <w:r>
        <w:rPr>
          <w:rFonts w:ascii="Times New Roman" w:hAnsi="Times New Roman" w:cs="Times New Roman" w:eastAsia="Times New Roman" w:hint="default"/>
        </w:rPr>
        <w:t>43</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67"/>
        <w:jc w:val="left"/>
        <w:rPr>
          <w:b w:val="0"/>
          <w:bCs w:val="0"/>
        </w:rPr>
      </w:pPr>
      <w:bookmarkStart w:name="（1）现金流量表补充资料" w:id="290"/>
      <w:bookmarkEnd w:id="290"/>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122,168,567.11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-307,286,709.04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8,089,488.69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406,781,201.10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1,278,644.25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1,688,291.67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8,713,063.24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10,580,729.50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170,010.12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241,350.75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-183,484.06</w:t>
            </w:r>
            <w:r>
              <w:rPr>
                <w:rFonts w:ascii="Times New Roman"/>
                <w:sz w:val="18"/>
              </w:rPr>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2,547,769.46</w:t>
            </w:r>
          </w:p>
        </w:tc>
        <w:tc>
          <w:tcPr>
            <w:tcW w:w="31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r>
        <w:rPr/>
        <w:pict>
          <v:group style="position:absolute;margin-left:223.339996pt;margin-top:92.009979pt;width:151.25pt;height:40.9pt;mso-position-horizontal-relative:page;mso-position-vertical-relative:page;z-index:-1135096" coordorigin="4467,1840" coordsize="3025,818">
            <v:group style="position:absolute;left:4478;top:1852;width:2;height:393" coordorigin="4478,1852" coordsize="2,393">
              <v:shape style="position:absolute;left:4478;top:1852;width:2;height:393" coordorigin="4478,1852" coordsize="0,393" path="m4478,1852l4478,2244e" filled="false" stroked="true" strokeweight="1.140pt" strokecolor="#ffffff">
                <v:path arrowok="t"/>
              </v:shape>
            </v:group>
            <v:group style="position:absolute;left:4490;top:1852;width:3002;height:393" coordorigin="4490,1852" coordsize="3002,393">
              <v:shape style="position:absolute;left:4490;top:1852;width:3002;height:393" coordorigin="4490,1852" coordsize="3002,393" path="m4490,2244l7491,2244,7491,1852,4490,1852,4490,2244xe" filled="true" fillcolor="#ffffff" stroked="false">
                <v:path arrowok="t"/>
                <v:fill type="solid"/>
              </v:shape>
            </v:group>
            <v:group style="position:absolute;left:4478;top:2254;width:2;height:393" coordorigin="4478,2254" coordsize="2,393">
              <v:shape style="position:absolute;left:4478;top:2254;width:2;height:393" coordorigin="4478,2254" coordsize="0,393" path="m4478,2254l4478,2646e" filled="false" stroked="true" strokeweight="1.140pt" strokecolor="#ffffff">
                <v:path arrowok="t"/>
              </v:shape>
            </v:group>
            <v:group style="position:absolute;left:4490;top:2254;width:3002;height:393" coordorigin="4490,2254" coordsize="3002,393">
              <v:shape style="position:absolute;left:4490;top:2254;width:3002;height:393" coordorigin="4490,2254" coordsize="3002,393" path="m4490,2646l7491,2646,7491,2254,4490,2254,4490,2646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300,903.06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3,955,010.76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-2,333,885.58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-563,716.97</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-70,976.51</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-1,004,814.89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-5,328,899.20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-17,169,803.36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-45,230,521.04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20,246,820.13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36,351,413.33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-8,116,336.66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126,655,576.93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109,168,538.93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366,771,293.10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593,679,289.59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593,679,289.59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655,699,374.11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-226,907,996.49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-62,020,084.52</w:t>
            </w:r>
          </w:p>
        </w:tc>
      </w:tr>
    </w:tbl>
    <w:p>
      <w:pPr>
        <w:spacing w:line="240" w:lineRule="auto" w:before="2"/>
        <w:rPr>
          <w:rFonts w:ascii="宋体" w:hAnsi="宋体" w:cs="宋体" w:eastAsia="宋体" w:hint="default"/>
          <w:sz w:val="19"/>
          <w:szCs w:val="19"/>
        </w:rPr>
      </w:pPr>
    </w:p>
    <w:p>
      <w:pPr>
        <w:pStyle w:val="Heading3"/>
        <w:spacing w:line="240" w:lineRule="auto" w:before="35"/>
        <w:ind w:right="967"/>
        <w:jc w:val="left"/>
        <w:rPr>
          <w:b w:val="0"/>
          <w:bCs w:val="0"/>
        </w:rPr>
      </w:pPr>
      <w:bookmarkStart w:name="（2）本期支付的取得子公司的现金净额" w:id="291"/>
      <w:bookmarkEnd w:id="291"/>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北京泰策科技有限公司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1,995,269.79</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268,004,730.21</w:t>
            </w:r>
          </w:p>
        </w:tc>
      </w:tr>
    </w:tbl>
    <w:p>
      <w:pPr>
        <w:pStyle w:val="BodyText"/>
        <w:spacing w:line="240" w:lineRule="auto" w:before="51"/>
        <w:ind w:right="967"/>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67"/>
        <w:jc w:val="left"/>
        <w:rPr>
          <w:b w:val="0"/>
          <w:bCs w:val="0"/>
        </w:rPr>
      </w:pPr>
      <w:bookmarkStart w:name="（3）现金和现金等价物的构成" w:id="292"/>
      <w:bookmarkEnd w:id="292"/>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99"/>
        <w:gridCol w:w="3074"/>
        <w:gridCol w:w="3184"/>
      </w:tblGrid>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366,771,293.10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593,679,289.59</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44,627.68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30,084.66</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366,726,665.42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593,649,204.93</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366,771,293.10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593,679,289.59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967"/>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967"/>
        <w:jc w:val="left"/>
        <w:rPr>
          <w:b w:val="0"/>
          <w:bCs w:val="0"/>
        </w:rPr>
      </w:pPr>
      <w:bookmarkStart w:name="44、政府补助" w:id="293"/>
      <w:bookmarkEnd w:id="293"/>
      <w:r>
        <w:rPr>
          <w:b w:val="0"/>
          <w:bCs w:val="0"/>
        </w:rPr>
      </w:r>
      <w:r>
        <w:rPr>
          <w:rFonts w:ascii="Times New Roman" w:hAnsi="Times New Roman" w:cs="Times New Roman" w:eastAsia="Times New Roman" w:hint="default"/>
        </w:rPr>
        <w:t>44</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67"/>
        <w:jc w:val="left"/>
        <w:rPr>
          <w:b w:val="0"/>
          <w:bCs w:val="0"/>
        </w:rPr>
      </w:pPr>
      <w:bookmarkStart w:name="（1）政府补助基本情况" w:id="294"/>
      <w:bookmarkEnd w:id="294"/>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24,316,801.49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24,316,801.49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19,312,366.90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19,312,366.90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2015ZX01040101-002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军用软</w:t>
            </w:r>
          </w:p>
          <w:p>
            <w:pPr>
              <w:pStyle w:val="TableParagraph"/>
              <w:spacing w:line="319" w:lineRule="auto" w:before="61"/>
              <w:ind w:left="22" w:right="197"/>
              <w:jc w:val="left"/>
              <w:rPr>
                <w:rFonts w:ascii="宋体" w:hAnsi="宋体" w:cs="宋体" w:eastAsia="宋体" w:hint="default"/>
                <w:sz w:val="18"/>
                <w:szCs w:val="18"/>
              </w:rPr>
            </w:pPr>
            <w:r>
              <w:rPr>
                <w:rFonts w:ascii="宋体" w:hAnsi="宋体" w:cs="宋体" w:eastAsia="宋体" w:hint="default"/>
                <w:sz w:val="18"/>
                <w:szCs w:val="18"/>
              </w:rPr>
              <w:t>件特色开 发库与迁移维护 工具集</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1,827,515.49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1,827,515.49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支持大数据的政务服务数据 交换平台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2,152,209.29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2,152,209.29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收中关村企业信用促进会中 介服务资金</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中关村科技园区管理委员会</w:t>
            </w:r>
          </w:p>
          <w:p>
            <w:pPr>
              <w:pStyle w:val="TableParagraph"/>
              <w:spacing w:line="309" w:lineRule="auto" w:before="75"/>
              <w:ind w:left="2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年度第一批中关村企业 改制挂牌上市和并购支持项 目补助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228,400.00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228,400.00</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中国航空综合技术研究所</w:t>
            </w:r>
            <w:r>
              <w:rPr>
                <w:rFonts w:ascii="Times New Roman" w:hAnsi="Times New Roman" w:cs="Times New Roman" w:eastAsia="Times New Roman" w:hint="default"/>
                <w:sz w:val="18"/>
                <w:szCs w:val="18"/>
              </w:rPr>
              <w:t>/</w:t>
            </w:r>
            <w:r>
              <w:rPr>
                <w:rFonts w:ascii="宋体" w:hAnsi="宋体" w:cs="宋体" w:eastAsia="宋体" w:hint="default"/>
                <w:sz w:val="18"/>
                <w:szCs w:val="18"/>
              </w:rPr>
              <w:t>收 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年度中关村技术创新 能力建设专项资金（技术标准 部分）</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北京市质量技术监督局标准 项目补助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北京市丰台区科学技术委员 会</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年度专利授权奖励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37"/>
              <w:jc w:val="left"/>
              <w:rPr>
                <w:rFonts w:ascii="宋体" w:hAnsi="宋体" w:cs="宋体" w:eastAsia="宋体" w:hint="default"/>
                <w:sz w:val="18"/>
                <w:szCs w:val="18"/>
              </w:rPr>
            </w:pPr>
            <w:r>
              <w:rPr>
                <w:rFonts w:ascii="宋体" w:hAnsi="宋体" w:cs="宋体" w:eastAsia="宋体" w:hint="default"/>
                <w:sz w:val="18"/>
                <w:szCs w:val="18"/>
              </w:rPr>
              <w:t>高精尖产业发展资金</w:t>
            </w:r>
            <w:r>
              <w:rPr>
                <w:rFonts w:ascii="Times New Roman" w:hAnsi="Times New Roman" w:cs="Times New Roman" w:eastAsia="Times New Roman" w:hint="default"/>
                <w:sz w:val="18"/>
                <w:szCs w:val="18"/>
              </w:rPr>
              <w:t>-</w:t>
            </w:r>
            <w:r>
              <w:rPr>
                <w:rFonts w:ascii="宋体" w:hAnsi="宋体" w:cs="宋体" w:eastAsia="宋体" w:hint="default"/>
                <w:sz w:val="18"/>
                <w:szCs w:val="18"/>
              </w:rPr>
              <w:t>费用补 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创制标准奖金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中间件升级优化及产业化项 目收入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收首都知识产权服务业协会</w:t>
            </w:r>
          </w:p>
          <w:p>
            <w:pPr>
              <w:pStyle w:val="TableParagraph"/>
              <w:spacing w:line="302" w:lineRule="auto" w:before="75"/>
              <w:ind w:left="2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年度中关村创新能力建 设专项资金（专利部分）</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w:t>
            </w:r>
          </w:p>
        </w:tc>
      </w:tr>
      <w:tr>
        <w:trPr>
          <w:trHeight w:val="1027"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146"/>
              <w:jc w:val="both"/>
              <w:rPr>
                <w:rFonts w:ascii="宋体" w:hAnsi="宋体" w:cs="宋体" w:eastAsia="宋体" w:hint="default"/>
                <w:sz w:val="18"/>
                <w:szCs w:val="18"/>
              </w:rPr>
            </w:pPr>
            <w:r>
              <w:rPr>
                <w:rFonts w:ascii="宋体" w:hAnsi="宋体" w:cs="宋体" w:eastAsia="宋体" w:hint="default"/>
                <w:sz w:val="18"/>
                <w:szCs w:val="18"/>
              </w:rPr>
              <w:t>国家知识产业局专利局北京 代办处</w:t>
            </w:r>
            <w:r>
              <w:rPr>
                <w:rFonts w:ascii="Times New Roman" w:hAnsi="Times New Roman" w:cs="Times New Roman" w:eastAsia="Times New Roman" w:hint="default"/>
                <w:sz w:val="18"/>
                <w:szCs w:val="18"/>
              </w:rPr>
              <w:t>/</w:t>
            </w:r>
            <w:r>
              <w:rPr>
                <w:rFonts w:ascii="宋体" w:hAnsi="宋体" w:cs="宋体" w:eastAsia="宋体" w:hint="default"/>
                <w:sz w:val="18"/>
                <w:szCs w:val="18"/>
              </w:rPr>
              <w:t>北京市专利资助金市 专利资助金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收到中关村科技园区海淀园 管理委员会研发费用专项补 贴款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收到静安区财政局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财政扶持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2,542.12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2,542.12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收到中关村企业信用促进会 中介服务资金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2,200.00</w:t>
            </w:r>
          </w:p>
        </w:tc>
      </w:tr>
    </w:tbl>
    <w:p>
      <w:pPr>
        <w:spacing w:line="240" w:lineRule="auto" w:before="2"/>
        <w:rPr>
          <w:rFonts w:ascii="宋体" w:hAnsi="宋体" w:cs="宋体" w:eastAsia="宋体" w:hint="default"/>
          <w:sz w:val="18"/>
          <w:szCs w:val="18"/>
        </w:rPr>
      </w:pPr>
    </w:p>
    <w:p>
      <w:pPr>
        <w:pStyle w:val="Heading2"/>
        <w:spacing w:line="240" w:lineRule="auto" w:before="26"/>
        <w:ind w:right="967"/>
        <w:jc w:val="left"/>
        <w:rPr>
          <w:b w:val="0"/>
          <w:bCs w:val="0"/>
        </w:rPr>
      </w:pPr>
      <w:bookmarkStart w:name="八、合并范围的变更" w:id="295"/>
      <w:bookmarkEnd w:id="295"/>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67"/>
        <w:jc w:val="left"/>
        <w:rPr>
          <w:b w:val="0"/>
          <w:bCs w:val="0"/>
        </w:rPr>
      </w:pPr>
      <w:bookmarkStart w:name="1、非同一控制下企业合并" w:id="296"/>
      <w:bookmarkEnd w:id="296"/>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67"/>
        <w:jc w:val="left"/>
        <w:rPr>
          <w:b w:val="0"/>
          <w:bCs w:val="0"/>
        </w:rPr>
      </w:pPr>
      <w:bookmarkStart w:name="（1）本期发生的非同一控制下企业合并" w:id="297"/>
      <w:bookmarkEnd w:id="297"/>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北京泰策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现金购买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委派董事并 完成工商变 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36,774,234.3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24,921,130.0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bl>
    <w:p>
      <w:pPr>
        <w:pStyle w:val="BodyText"/>
        <w:spacing w:line="240" w:lineRule="auto" w:before="51"/>
        <w:ind w:right="967"/>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67"/>
        <w:jc w:val="left"/>
        <w:rPr>
          <w:b w:val="0"/>
          <w:bCs w:val="0"/>
        </w:rPr>
      </w:pPr>
      <w:bookmarkStart w:name="（2）合并成本及商誉" w:id="298"/>
      <w:bookmarkEnd w:id="298"/>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487" w:right="0"/>
              <w:jc w:val="left"/>
              <w:rPr>
                <w:rFonts w:ascii="宋体" w:hAnsi="宋体" w:cs="宋体" w:eastAsia="宋体" w:hint="default"/>
                <w:sz w:val="18"/>
                <w:szCs w:val="18"/>
              </w:rPr>
            </w:pPr>
            <w:r>
              <w:rPr>
                <w:rFonts w:ascii="宋体" w:hAnsi="宋体" w:cs="宋体" w:eastAsia="宋体" w:hint="default"/>
                <w:sz w:val="18"/>
                <w:szCs w:val="18"/>
              </w:rPr>
              <w:t>北京泰策科技有限公司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45,128,560.00</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554,871,440.00</w:t>
            </w:r>
          </w:p>
        </w:tc>
      </w:tr>
    </w:tbl>
    <w:p>
      <w:pPr>
        <w:pStyle w:val="BodyText"/>
        <w:spacing w:line="360" w:lineRule="auto" w:before="51"/>
        <w:ind w:right="6072"/>
        <w:jc w:val="left"/>
      </w:pPr>
      <w:r>
        <w:rPr/>
        <w:t>合并成本公允价值的确定方法、或有对价及其变动的说明： 大额商誉形成的主要原因：</w:t>
      </w:r>
    </w:p>
    <w:p>
      <w:pPr>
        <w:pStyle w:val="BodyText"/>
        <w:spacing w:line="240" w:lineRule="auto" w:before="26"/>
        <w:ind w:right="967"/>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67"/>
        <w:jc w:val="left"/>
        <w:rPr>
          <w:b w:val="0"/>
          <w:bCs w:val="0"/>
        </w:rPr>
      </w:pPr>
      <w:bookmarkStart w:name="（3）被购买方于购买日可辨认资产、负债" w:id="299"/>
      <w:bookmarkEnd w:id="299"/>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泰策科技股份有限公司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55,887,233.10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54,453,721.99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2,107,154.39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2,107,154.39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44,684,473.55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44,684,473.55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6,614,533.78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6,614,533.78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518,144.33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518,144.33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1,433,511.11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529,415.94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529,415.94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10,796,750.74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10,581,724.07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9,581,724.07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9,581,724.07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215,026.67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45,128,560.00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43,871,997.92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45,128,560.00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43,871,997.92</w:t>
            </w:r>
          </w:p>
        </w:tc>
      </w:tr>
    </w:tbl>
    <w:p>
      <w:pPr>
        <w:pStyle w:val="BodyText"/>
        <w:spacing w:line="360" w:lineRule="auto" w:before="51"/>
        <w:ind w:right="7530"/>
        <w:jc w:val="both"/>
      </w:pPr>
      <w:r>
        <w:rPr/>
        <w:t>可辨认资产、负债公允价值的确定方法： 企业合并中承担的被购买方的或有负债： 其他说明：</w:t>
      </w:r>
    </w:p>
    <w:p>
      <w:pPr>
        <w:spacing w:line="240" w:lineRule="auto" w:before="2"/>
        <w:rPr>
          <w:rFonts w:ascii="宋体" w:hAnsi="宋体" w:cs="宋体" w:eastAsia="宋体" w:hint="default"/>
          <w:sz w:val="18"/>
          <w:szCs w:val="18"/>
        </w:rPr>
      </w:pPr>
    </w:p>
    <w:p>
      <w:pPr>
        <w:pStyle w:val="Heading2"/>
        <w:spacing w:line="240" w:lineRule="auto"/>
        <w:ind w:right="0"/>
        <w:jc w:val="both"/>
        <w:rPr>
          <w:b w:val="0"/>
          <w:bCs w:val="0"/>
        </w:rPr>
      </w:pPr>
      <w:bookmarkStart w:name="九、在其他主体中的权益" w:id="300"/>
      <w:bookmarkEnd w:id="300"/>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在子公司中的权益" w:id="301"/>
      <w:bookmarkEnd w:id="301"/>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企业集团的构成" w:id="302"/>
      <w:bookmarkEnd w:id="302"/>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7"/>
              <w:jc w:val="left"/>
              <w:rPr>
                <w:rFonts w:ascii="宋体" w:hAnsi="宋体" w:cs="宋体" w:eastAsia="宋体" w:hint="default"/>
                <w:sz w:val="18"/>
                <w:szCs w:val="18"/>
              </w:rPr>
            </w:pPr>
            <w:r>
              <w:rPr>
                <w:rFonts w:ascii="宋体" w:hAnsi="宋体" w:cs="宋体" w:eastAsia="宋体" w:hint="default"/>
                <w:sz w:val="18"/>
                <w:szCs w:val="18"/>
              </w:rPr>
              <w:t>成都东方通科技 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成都高新区天府 大道中段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天府软件园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上海东方通泰软 件科技有限公司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江场三路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宋体" w:hAnsi="宋体" w:cs="宋体" w:eastAsia="宋体" w:hint="default"/>
                <w:sz w:val="18"/>
                <w:szCs w:val="18"/>
              </w:rPr>
              <w:t>、</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7"/>
              <w:jc w:val="left"/>
              <w:rPr>
                <w:rFonts w:ascii="宋体" w:hAnsi="宋体" w:cs="宋体" w:eastAsia="宋体" w:hint="default"/>
                <w:sz w:val="18"/>
                <w:szCs w:val="18"/>
              </w:rPr>
            </w:pPr>
            <w:r>
              <w:rPr>
                <w:rFonts w:ascii="宋体" w:hAnsi="宋体" w:cs="宋体" w:eastAsia="宋体" w:hint="default"/>
                <w:sz w:val="18"/>
                <w:szCs w:val="18"/>
              </w:rPr>
              <w:t>北京东方通宇技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北京市海淀区西 直门北大街</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号楼一层</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B11</w:t>
            </w:r>
            <w:r>
              <w:rPr>
                <w:rFonts w:ascii="Times New Roman" w:hAnsi="Times New Roman" w:cs="Times New Roman" w:eastAsia="Times New Roman" w:hint="default"/>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北京惠捷朗科技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北京市海淀区花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98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中城写字楼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北京数字天堂信 息科技有限责任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北京市海淀区四 道口路皂君庙乙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号院第四幢平 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7"/>
              <w:jc w:val="left"/>
              <w:rPr>
                <w:rFonts w:ascii="宋体" w:hAnsi="宋体" w:cs="宋体" w:eastAsia="宋体" w:hint="default"/>
                <w:sz w:val="18"/>
                <w:szCs w:val="18"/>
              </w:rPr>
            </w:pPr>
            <w:r>
              <w:rPr>
                <w:rFonts w:ascii="宋体" w:hAnsi="宋体" w:cs="宋体" w:eastAsia="宋体" w:hint="default"/>
                <w:sz w:val="18"/>
                <w:szCs w:val="18"/>
              </w:rPr>
              <w:t>东方通科技无锡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无锡市新区震泽 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号无锡软件 园二期</w:t>
            </w:r>
            <w:r>
              <w:rPr>
                <w:rFonts w:ascii="Times New Roman" w:hAnsi="Times New Roman" w:cs="Times New Roman" w:eastAsia="Times New Roman" w:hint="default"/>
                <w:sz w:val="18"/>
                <w:szCs w:val="18"/>
              </w:rPr>
              <w:t>——</w:t>
            </w:r>
            <w:r>
              <w:rPr>
                <w:rFonts w:ascii="宋体" w:hAnsi="宋体" w:cs="宋体" w:eastAsia="宋体" w:hint="default"/>
                <w:sz w:val="18"/>
                <w:szCs w:val="18"/>
              </w:rPr>
              <w:t>巨蟹 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A-507</w:t>
            </w:r>
            <w:r>
              <w:rPr>
                <w:rFonts w:ascii="宋体" w:hAnsi="宋体" w:cs="宋体" w:eastAsia="宋体" w:hint="default"/>
                <w:sz w:val="18"/>
                <w:szCs w:val="18"/>
              </w:rPr>
              <w:t>、</w:t>
            </w:r>
            <w:r>
              <w:rPr>
                <w:rFonts w:ascii="Times New Roman" w:hAnsi="Times New Roman" w:cs="Times New Roman" w:eastAsia="Times New Roman" w:hint="default"/>
                <w:sz w:val="18"/>
                <w:szCs w:val="18"/>
              </w:rPr>
              <w:t>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7"/>
              <w:jc w:val="left"/>
              <w:rPr>
                <w:rFonts w:ascii="宋体" w:hAnsi="宋体" w:cs="宋体" w:eastAsia="宋体" w:hint="default"/>
                <w:sz w:val="18"/>
                <w:szCs w:val="18"/>
              </w:rPr>
            </w:pPr>
            <w:r>
              <w:rPr>
                <w:rFonts w:ascii="宋体" w:hAnsi="宋体" w:cs="宋体" w:eastAsia="宋体" w:hint="default"/>
                <w:sz w:val="18"/>
                <w:szCs w:val="18"/>
              </w:rPr>
              <w:t>北京微智信业科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北京市海淀区龙 翔路甲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号泰翔</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商务楼二层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207</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195" w:lineRule="exact"/>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p>
            <w:pPr>
              <w:pStyle w:val="TableParagraph"/>
              <w:spacing w:line="195"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北京泰策科技有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北京市海淀区中 关村南大街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号楼</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层</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bl>
    <w:p>
      <w:pPr>
        <w:pStyle w:val="BodyText"/>
        <w:spacing w:line="360" w:lineRule="auto" w:before="51"/>
        <w:ind w:right="2832"/>
        <w:jc w:val="left"/>
      </w:pPr>
      <w:r>
        <w:rPr/>
        <w:pict>
          <v:group style="position:absolute;margin-left:262.239990pt;margin-top:-95.38829pt;width:67.9pt;height:43.6pt;mso-position-horizontal-relative:page;mso-position-vertical-relative:paragraph;z-index:-1135072" coordorigin="5245,-1908" coordsize="1358,872">
            <v:group style="position:absolute;left:5256;top:-1896;width:2;height:393" coordorigin="5256,-1896" coordsize="2,393">
              <v:shape style="position:absolute;left:5256;top:-1896;width:2;height:393" coordorigin="5256,-1896" coordsize="0,393" path="m5256,-1896l5256,-1504e" filled="false" stroked="true" strokeweight="1.140pt" strokecolor="#ffffff">
                <v:path arrowok="t"/>
              </v:shape>
            </v:group>
            <v:group style="position:absolute;left:5245;top:-1504;width:1358;height:468" coordorigin="5245,-1504" coordsize="1358,468">
              <v:shape style="position:absolute;left:5245;top:-1504;width:1358;height:468" coordorigin="5245,-1504" coordsize="1358,468" path="m5245,-1036l6602,-1036,6602,-1504,5245,-1504,5245,-1036xe" filled="true" fillcolor="#ffffff" stroked="false">
                <v:path arrowok="t"/>
                <v:fill type="solid"/>
              </v:shape>
            </v:group>
            <v:group style="position:absolute;left:5268;top:-1896;width:1312;height:393" coordorigin="5268,-1896" coordsize="1312,393">
              <v:shape style="position:absolute;left:5268;top:-1896;width:1312;height:393" coordorigin="5268,-1896" coordsize="1312,393" path="m5268,-1504l6579,-1504,6579,-1896,5268,-1896,5268,-1504xe" filled="true" fillcolor="#ffffff" stroked="false">
                <v:path arrowok="t"/>
                <v:fill type="solid"/>
              </v:shape>
            </v:group>
            <w10:wrap type="none"/>
          </v:group>
        </w:pict>
      </w: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right="7692"/>
        <w:jc w:val="left"/>
      </w:pPr>
      <w:r>
        <w:rPr/>
        <w:t>确定公司是代理人还是委托人的依据： 其他说明：</w:t>
      </w:r>
    </w:p>
    <w:p>
      <w:pPr>
        <w:spacing w:line="240" w:lineRule="auto" w:before="11"/>
        <w:rPr>
          <w:rFonts w:ascii="宋体" w:hAnsi="宋体" w:cs="宋体" w:eastAsia="宋体" w:hint="default"/>
          <w:sz w:val="19"/>
          <w:szCs w:val="19"/>
        </w:rPr>
      </w:pPr>
    </w:p>
    <w:p>
      <w:pPr>
        <w:pStyle w:val="Heading3"/>
        <w:spacing w:line="240" w:lineRule="auto"/>
        <w:ind w:right="967"/>
        <w:jc w:val="left"/>
        <w:rPr>
          <w:b w:val="0"/>
          <w:bCs w:val="0"/>
        </w:rPr>
      </w:pPr>
      <w:bookmarkStart w:name="（2）重要的非全资子公司" w:id="303"/>
      <w:bookmarkEnd w:id="303"/>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60" w:lineRule="auto" w:before="51"/>
        <w:ind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right="967"/>
        <w:jc w:val="left"/>
        <w:rPr>
          <w:b w:val="0"/>
          <w:bCs w:val="0"/>
        </w:rPr>
      </w:pPr>
      <w:bookmarkStart w:name="（3）重要非全资子公司的主要财务信息" w:id="304"/>
      <w:bookmarkEnd w:id="304"/>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4253"/>
        <w:gridCol w:w="4244"/>
      </w:tblGrid>
      <w:tr>
        <w:trPr>
          <w:trHeight w:val="402"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2"/>
      </w:tblGrid>
      <w:tr>
        <w:trPr>
          <w:trHeight w:val="714"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2"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51"/>
        <w:ind w:right="967"/>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67"/>
        <w:jc w:val="left"/>
        <w:rPr>
          <w:b w:val="0"/>
          <w:bCs w:val="0"/>
        </w:rPr>
      </w:pPr>
      <w:bookmarkStart w:name="（4）使用企业集团资产和清偿企业集团债务的重大限制" w:id="305"/>
      <w:bookmarkEnd w:id="305"/>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67"/>
        <w:jc w:val="left"/>
        <w:rPr>
          <w:b w:val="0"/>
          <w:bCs w:val="0"/>
        </w:rPr>
      </w:pPr>
      <w:bookmarkStart w:name="（5）向纳入合并财务报表范围的结构化主体提供的财务支持或其他支持" w:id="306"/>
      <w:bookmarkEnd w:id="306"/>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67"/>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967"/>
        <w:jc w:val="left"/>
        <w:rPr>
          <w:b w:val="0"/>
          <w:bCs w:val="0"/>
        </w:rPr>
      </w:pPr>
      <w:bookmarkStart w:name="2、在合营安排或联营企业中的权益" w:id="307"/>
      <w:bookmarkEnd w:id="307"/>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67"/>
        <w:jc w:val="left"/>
        <w:rPr>
          <w:b w:val="0"/>
          <w:bCs w:val="0"/>
        </w:rPr>
      </w:pPr>
      <w:bookmarkStart w:name="（1）重要的合营企业或联营企业" w:id="308"/>
      <w:bookmarkEnd w:id="308"/>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北京核高基软件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北京市海淀区北 四环西路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基础软件应用软 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杭州清响投资管 理合伙企业（有 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杭州市余杭区仓 前街道景兴路 </w:t>
            </w:r>
            <w:r>
              <w:rPr>
                <w:rFonts w:ascii="Times New Roman" w:hAnsi="Times New Roman" w:cs="Times New Roman" w:eastAsia="Times New Roman" w:hint="default"/>
                <w:sz w:val="18"/>
                <w:szCs w:val="18"/>
              </w:rPr>
              <w:t>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967"/>
        <w:jc w:val="left"/>
      </w:pPr>
      <w:r>
        <w:rPr/>
        <w:t>在合营企业或联营企业的持股比例不同于表决权比例的说明：</w:t>
      </w:r>
    </w:p>
    <w:p>
      <w:pPr>
        <w:pStyle w:val="BodyText"/>
        <w:spacing w:line="240" w:lineRule="auto" w:before="117"/>
        <w:ind w:right="967"/>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3"/>
        <w:spacing w:line="240" w:lineRule="auto"/>
        <w:ind w:right="967"/>
        <w:jc w:val="left"/>
        <w:rPr>
          <w:b w:val="0"/>
          <w:bCs w:val="0"/>
        </w:rPr>
      </w:pPr>
      <w:bookmarkStart w:name="（2）重要合营企业的主要财务信息" w:id="309"/>
      <w:bookmarkEnd w:id="309"/>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3"/>
        <w:gridCol w:w="1914"/>
        <w:gridCol w:w="1914"/>
        <w:gridCol w:w="1914"/>
        <w:gridCol w:w="1914"/>
      </w:tblGrid>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1903" w:type="dxa"/>
            <w:tcBorders>
              <w:top w:val="single" w:sz="4" w:space="0" w:color="000000"/>
              <w:left w:val="single" w:sz="4" w:space="0" w:color="000000"/>
              <w:bottom w:val="nil" w:sz="6" w:space="0" w:color="auto"/>
              <w:right w:val="single" w:sz="9" w:space="0" w:color="E0FFFF"/>
            </w:tcBorders>
            <w:shd w:val="clear" w:color="auto" w:fill="D2D2D2"/>
          </w:tcPr>
          <w:p>
            <w:pPr/>
          </w:p>
        </w:tc>
        <w:tc>
          <w:tcPr>
            <w:tcW w:w="1914" w:type="dxa"/>
            <w:vMerge w:val="restart"/>
            <w:tcBorders>
              <w:top w:val="single" w:sz="4" w:space="0" w:color="000000"/>
              <w:left w:val="single" w:sz="9" w:space="0" w:color="D2D2D2"/>
              <w:right w:val="single" w:sz="4" w:space="0" w:color="000000"/>
            </w:tcBorders>
            <w:shd w:val="clear" w:color="auto" w:fill="E0FFFF"/>
          </w:tcPr>
          <w:p>
            <w:pPr>
              <w:pStyle w:val="TableParagraph"/>
              <w:spacing w:line="316" w:lineRule="auto" w:before="52"/>
              <w:ind w:left="855" w:right="51" w:hanging="810"/>
              <w:jc w:val="left"/>
              <w:rPr>
                <w:rFonts w:ascii="宋体" w:hAnsi="宋体" w:cs="宋体" w:eastAsia="宋体" w:hint="default"/>
                <w:sz w:val="18"/>
                <w:szCs w:val="18"/>
              </w:rPr>
            </w:pPr>
            <w:r>
              <w:rPr>
                <w:rFonts w:ascii="宋体" w:hAnsi="宋体" w:cs="宋体" w:eastAsia="宋体" w:hint="default"/>
                <w:sz w:val="18"/>
                <w:szCs w:val="18"/>
              </w:rPr>
              <w:t>北京核高基软件有限公 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231" w:right="50" w:hanging="180"/>
              <w:jc w:val="left"/>
              <w:rPr>
                <w:rFonts w:ascii="宋体" w:hAnsi="宋体" w:cs="宋体" w:eastAsia="宋体" w:hint="default"/>
                <w:sz w:val="18"/>
                <w:szCs w:val="18"/>
              </w:rPr>
            </w:pPr>
            <w:r>
              <w:rPr>
                <w:rFonts w:ascii="宋体" w:hAnsi="宋体" w:cs="宋体" w:eastAsia="宋体" w:hint="default"/>
                <w:sz w:val="18"/>
                <w:szCs w:val="18"/>
              </w:rPr>
              <w:t>杭州清响投资管理合伙 企业（有限合伙）</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861" w:right="51" w:hanging="810"/>
              <w:jc w:val="left"/>
              <w:rPr>
                <w:rFonts w:ascii="宋体" w:hAnsi="宋体" w:cs="宋体" w:eastAsia="宋体" w:hint="default"/>
                <w:sz w:val="18"/>
                <w:szCs w:val="18"/>
              </w:rPr>
            </w:pPr>
            <w:r>
              <w:rPr>
                <w:rFonts w:ascii="宋体" w:hAnsi="宋体" w:cs="宋体" w:eastAsia="宋体" w:hint="default"/>
                <w:sz w:val="18"/>
                <w:szCs w:val="18"/>
              </w:rPr>
              <w:t>北京核高基软件有限公 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231" w:right="50" w:hanging="180"/>
              <w:jc w:val="left"/>
              <w:rPr>
                <w:rFonts w:ascii="宋体" w:hAnsi="宋体" w:cs="宋体" w:eastAsia="宋体" w:hint="default"/>
                <w:sz w:val="18"/>
                <w:szCs w:val="18"/>
              </w:rPr>
            </w:pPr>
            <w:r>
              <w:rPr>
                <w:rFonts w:ascii="宋体" w:hAnsi="宋体" w:cs="宋体" w:eastAsia="宋体" w:hint="default"/>
                <w:sz w:val="18"/>
                <w:szCs w:val="18"/>
              </w:rPr>
              <w:t>杭州清响投资管理合伙 企业（有限合伙）</w:t>
            </w:r>
          </w:p>
        </w:tc>
      </w:tr>
      <w:tr>
        <w:trPr>
          <w:trHeight w:val="391" w:hRule="exact"/>
        </w:trPr>
        <w:tc>
          <w:tcPr>
            <w:tcW w:w="1903" w:type="dxa"/>
            <w:tcBorders>
              <w:top w:val="nil" w:sz="6" w:space="0" w:color="auto"/>
              <w:left w:val="single" w:sz="4" w:space="0" w:color="000000"/>
              <w:bottom w:val="nil" w:sz="6" w:space="0" w:color="auto"/>
              <w:right w:val="single" w:sz="9" w:space="0" w:color="E0FFFF"/>
            </w:tcBorders>
            <w:shd w:val="clear" w:color="auto" w:fill="D2D2D2"/>
          </w:tcPr>
          <w:p>
            <w:pPr/>
          </w:p>
        </w:tc>
        <w:tc>
          <w:tcPr>
            <w:tcW w:w="1914" w:type="dxa"/>
            <w:vMerge/>
            <w:tcBorders>
              <w:left w:val="single" w:sz="9" w:space="0" w:color="D2D2D2"/>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r>
      <w:tr>
        <w:trPr>
          <w:trHeight w:val="161" w:hRule="exact"/>
        </w:trPr>
        <w:tc>
          <w:tcPr>
            <w:tcW w:w="1903" w:type="dxa"/>
            <w:tcBorders>
              <w:top w:val="nil" w:sz="6" w:space="0" w:color="auto"/>
              <w:left w:val="single" w:sz="4" w:space="0" w:color="000000"/>
              <w:bottom w:val="single" w:sz="4" w:space="0" w:color="000000"/>
              <w:right w:val="single" w:sz="9" w:space="0" w:color="E0FFFF"/>
            </w:tcBorders>
            <w:shd w:val="clear" w:color="auto" w:fill="D2D2D2"/>
          </w:tcPr>
          <w:p>
            <w:pPr/>
          </w:p>
        </w:tc>
        <w:tc>
          <w:tcPr>
            <w:tcW w:w="1914" w:type="dxa"/>
            <w:vMerge/>
            <w:tcBorders>
              <w:left w:val="single" w:sz="9" w:space="0" w:color="D2D2D2"/>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250,098.96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67,355,244.80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255,069.52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55,651,177.30</w:t>
            </w:r>
          </w:p>
        </w:tc>
      </w:tr>
      <w:tr>
        <w:trPr>
          <w:trHeight w:val="714" w:hRule="exact"/>
        </w:trPr>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1"/>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-4,970.56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-295,932.50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-6,188.06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-3,948,822.70</w:t>
            </w: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-4,970.56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-295,932.50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-6,188.06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-3,948,822.70</w:t>
            </w:r>
          </w:p>
        </w:tc>
      </w:tr>
    </w:tbl>
    <w:p>
      <w:pPr>
        <w:pStyle w:val="BodyText"/>
        <w:spacing w:line="240" w:lineRule="auto" w:before="51"/>
        <w:ind w:right="967"/>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967"/>
        <w:jc w:val="left"/>
        <w:rPr>
          <w:b w:val="0"/>
          <w:bCs w:val="0"/>
        </w:rPr>
      </w:pPr>
      <w:bookmarkStart w:name="3、重要的共同经营" w:id="310"/>
      <w:bookmarkEnd w:id="310"/>
      <w:r>
        <w:rPr>
          <w:b w:val="0"/>
          <w:bCs w:val="0"/>
        </w:rPr>
      </w:r>
      <w:r>
        <w:rPr>
          <w:rFonts w:ascii="Times New Roman" w:hAnsi="Times New Roman" w:cs="Times New Roman" w:eastAsia="Times New Roman" w:hint="default"/>
        </w:rPr>
        <w:t>3</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3"/>
        <w:rPr>
          <w:rFonts w:ascii="宋体" w:hAnsi="宋体" w:cs="宋体" w:eastAsia="宋体" w:hint="default"/>
          <w:b/>
          <w:bCs/>
          <w:sz w:val="21"/>
          <w:szCs w:val="21"/>
        </w:rPr>
      </w:pPr>
    </w:p>
    <w:p>
      <w:pPr>
        <w:pStyle w:val="BodyText"/>
        <w:spacing w:line="357" w:lineRule="auto" w:before="44"/>
        <w:ind w:right="5532"/>
        <w:jc w:val="left"/>
      </w:pPr>
      <w:r>
        <w:rPr/>
        <w:t>在共同经营中的持股比例或享有的份额不同于表决权比例的说明： 共同经营为单独主体的，分类为共同经营的依据：</w:t>
      </w:r>
    </w:p>
    <w:p>
      <w:pPr>
        <w:pStyle w:val="BodyText"/>
        <w:spacing w:line="240" w:lineRule="auto" w:before="29"/>
        <w:ind w:right="967"/>
        <w:jc w:val="left"/>
      </w:pPr>
      <w:r>
        <w:rPr/>
        <w:t>其他说明</w:t>
      </w:r>
    </w:p>
    <w:p>
      <w:pPr>
        <w:spacing w:line="240" w:lineRule="auto" w:before="0"/>
        <w:rPr>
          <w:rFonts w:ascii="宋体" w:hAnsi="宋体" w:cs="宋体" w:eastAsia="宋体" w:hint="default"/>
          <w:sz w:val="25"/>
          <w:szCs w:val="25"/>
        </w:rPr>
      </w:pPr>
    </w:p>
    <w:p>
      <w:pPr>
        <w:spacing w:line="506" w:lineRule="auto" w:before="0"/>
        <w:ind w:left="154" w:right="6612" w:firstLine="0"/>
        <w:jc w:val="left"/>
        <w:rPr>
          <w:rFonts w:ascii="宋体" w:hAnsi="宋体" w:cs="宋体" w:eastAsia="宋体" w:hint="default"/>
          <w:sz w:val="18"/>
          <w:szCs w:val="18"/>
        </w:rPr>
      </w:pPr>
      <w:bookmarkStart w:name="十、关联方及关联交易" w:id="311"/>
      <w:bookmarkEnd w:id="311"/>
      <w:r>
        <w:rPr/>
      </w:r>
      <w:r>
        <w:rPr>
          <w:rFonts w:ascii="宋体" w:hAnsi="宋体" w:cs="宋体" w:eastAsia="宋体" w:hint="default"/>
          <w:b/>
          <w:bCs/>
          <w:sz w:val="24"/>
          <w:szCs w:val="24"/>
        </w:rPr>
        <w:t>十、关联方及关联交易</w:t>
      </w:r>
      <w:r>
        <w:rPr>
          <w:rFonts w:ascii="宋体" w:hAnsi="宋体" w:cs="宋体" w:eastAsia="宋体" w:hint="default"/>
          <w:b/>
          <w:bCs/>
          <w:w w:val="99"/>
          <w:sz w:val="24"/>
          <w:szCs w:val="24"/>
        </w:rPr>
        <w:t> </w:t>
      </w:r>
      <w:bookmarkStart w:name="1、本企业的子公司情况" w:id="312"/>
      <w:bookmarkEnd w:id="31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本企业子公司的情况详见附注在其他主体中的权益。</w:t>
      </w:r>
    </w:p>
    <w:p>
      <w:pPr>
        <w:pStyle w:val="Heading3"/>
        <w:spacing w:line="240" w:lineRule="auto" w:before="150"/>
        <w:ind w:right="967"/>
        <w:jc w:val="left"/>
        <w:rPr>
          <w:b w:val="0"/>
          <w:bCs w:val="0"/>
        </w:rPr>
      </w:pPr>
      <w:bookmarkStart w:name="2、关联交易情况" w:id="313"/>
      <w:bookmarkEnd w:id="313"/>
      <w:r>
        <w:rPr>
          <w:b w:val="0"/>
          <w:bCs w:val="0"/>
        </w:rPr>
      </w:r>
      <w:r>
        <w:rPr>
          <w:rFonts w:ascii="Times New Roman" w:hAnsi="Times New Roman" w:cs="Times New Roman" w:eastAsia="Times New Roman" w:hint="default"/>
        </w:rPr>
        <w:t>2</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67"/>
        <w:jc w:val="left"/>
        <w:rPr>
          <w:b w:val="0"/>
          <w:bCs w:val="0"/>
        </w:rPr>
      </w:pPr>
      <w:bookmarkStart w:name="（1）关联担保情况" w:id="314"/>
      <w:bookmarkEnd w:id="314"/>
      <w:r>
        <w:rPr>
          <w:b w:val="0"/>
          <w:bCs w:val="0"/>
        </w:rPr>
      </w:r>
      <w:r>
        <w:rPr/>
        <w:t>（</w:t>
      </w:r>
      <w:r>
        <w:rPr>
          <w:rFonts w:ascii="Times New Roman" w:hAnsi="Times New Roman" w:cs="Times New Roman" w:eastAsia="Times New Roman" w:hint="default"/>
        </w:rPr>
        <w:t>1</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67"/>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967"/>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黄永军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967"/>
        <w:jc w:val="left"/>
      </w:pPr>
      <w:r>
        <w:rPr/>
        <w:t>关联担保情况说明</w:t>
      </w:r>
    </w:p>
    <w:p>
      <w:pPr>
        <w:pStyle w:val="Heading4"/>
        <w:spacing w:line="268" w:lineRule="auto" w:before="90"/>
        <w:ind w:right="1118" w:firstLine="420"/>
        <w:jc w:val="left"/>
      </w:pP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19</w:t>
      </w:r>
      <w:r>
        <w:rPr>
          <w:spacing w:val="-5"/>
        </w:rPr>
        <w:t>日，公司召开第三届董事会第二十三次会议、第三届监事会第十八次会议，审议通过《关</w:t>
      </w:r>
      <w:r>
        <w:rPr/>
        <w:t> 于公司实际控制人为公司向银行申请并购贷款授信向担保公司提供反担保连带责任保证暨关联交易的议 </w:t>
      </w:r>
      <w:r>
        <w:rPr>
          <w:spacing w:val="-2"/>
        </w:rPr>
        <w:t>案》，为配合公司收购北京泰策科技有限公司</w:t>
      </w:r>
      <w:r>
        <w:rPr>
          <w:rFonts w:ascii="Times New Roman" w:hAnsi="Times New Roman" w:cs="Times New Roman" w:eastAsia="Times New Roman" w:hint="default"/>
          <w:spacing w:val="-2"/>
        </w:rPr>
        <w:t>100%</w:t>
      </w:r>
      <w:r>
        <w:rPr>
          <w:spacing w:val="-2"/>
        </w:rPr>
        <w:t>股权事项，结合公司资金使用计划，公司向北京银行股</w:t>
      </w:r>
      <w:r>
        <w:rPr>
          <w:spacing w:val="-102"/>
        </w:rPr>
        <w:t> </w:t>
      </w:r>
      <w:r>
        <w:rPr>
          <w:spacing w:val="-102"/>
        </w:rPr>
      </w:r>
      <w:r>
        <w:rPr>
          <w:spacing w:val="-1"/>
        </w:rPr>
        <w:t>份有限公司中关村海淀园支行申请贰亿元人民币的并购贷款授信，期限陆拾个月，由北京中关村科技融资</w:t>
      </w:r>
      <w:r>
        <w:rPr>
          <w:spacing w:val="-81"/>
        </w:rPr>
        <w:t> </w:t>
      </w:r>
      <w:r>
        <w:rPr>
          <w:spacing w:val="-81"/>
        </w:rPr>
      </w:r>
      <w:r>
        <w:rPr>
          <w:spacing w:val="-1"/>
        </w:rPr>
        <w:t>担保有限公司提供保证担保。公司实际控制人黄永军先生就该笔贷款向北京中关村科技融资担保有限公司</w:t>
      </w:r>
      <w:r>
        <w:rPr>
          <w:spacing w:val="-81"/>
        </w:rPr>
        <w:t> </w:t>
      </w:r>
      <w:r>
        <w:rPr>
          <w:spacing w:val="-81"/>
        </w:rPr>
      </w:r>
      <w:r>
        <w:rPr>
          <w:spacing w:val="-1"/>
        </w:rPr>
        <w:t>提供反担保连带责任保证，并向北京市中信公证处申请办理强制执行公证。由于黄永军先生为公司实际控</w:t>
      </w:r>
      <w:r>
        <w:rPr>
          <w:spacing w:val="-81"/>
        </w:rPr>
        <w:t> </w:t>
      </w:r>
      <w:r>
        <w:rPr>
          <w:spacing w:val="-81"/>
        </w:rPr>
      </w:r>
      <w:r>
        <w:rPr>
          <w:spacing w:val="-1"/>
        </w:rPr>
        <w:t>制人、董事长、总经理，根据《深圳证券交易所创业板股票上市规则》的规定，黄永军先生为公司的关联</w:t>
      </w:r>
      <w:r>
        <w:rPr>
          <w:spacing w:val="-83"/>
        </w:rPr>
        <w:t> </w:t>
      </w:r>
      <w:r>
        <w:rPr>
          <w:spacing w:val="-83"/>
        </w:rPr>
      </w:r>
      <w:r>
        <w:rPr/>
        <w:t>方，因此本次反担保连带责任保证事宜构成关联交易。</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3"/>
        <w:spacing w:line="240" w:lineRule="auto"/>
        <w:ind w:right="967"/>
        <w:jc w:val="left"/>
        <w:rPr>
          <w:b w:val="0"/>
          <w:bCs w:val="0"/>
        </w:rPr>
      </w:pPr>
      <w:bookmarkStart w:name="（2）关键管理人员报酬" w:id="315"/>
      <w:bookmarkEnd w:id="315"/>
      <w:r>
        <w:rPr>
          <w:b w:val="0"/>
          <w:bCs w:val="0"/>
        </w:rPr>
      </w:r>
      <w:r>
        <w:rPr/>
        <w:t>（</w:t>
      </w:r>
      <w:r>
        <w:rPr>
          <w:rFonts w:ascii="Times New Roman" w:hAnsi="Times New Roman" w:cs="Times New Roman" w:eastAsia="Times New Roman" w:hint="default"/>
        </w:rPr>
        <w:t>2</w:t>
      </w:r>
      <w:r>
        <w:rPr/>
        <w:t>）关键管理人员报酬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590.31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731.76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967"/>
        <w:jc w:val="left"/>
        <w:rPr>
          <w:b w:val="0"/>
          <w:bCs w:val="0"/>
        </w:rPr>
      </w:pPr>
      <w:bookmarkStart w:name="十一、股份支付" w:id="316"/>
      <w:bookmarkEnd w:id="316"/>
      <w:r>
        <w:rPr>
          <w:b w:val="0"/>
          <w:bCs w:val="0"/>
        </w:rPr>
      </w:r>
      <w:r>
        <w:rPr/>
        <w:t>十一、股份支付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67"/>
        <w:jc w:val="left"/>
        <w:rPr>
          <w:b w:val="0"/>
          <w:bCs w:val="0"/>
        </w:rPr>
      </w:pPr>
      <w:bookmarkStart w:name="1、股份支付总体情况" w:id="317"/>
      <w:bookmarkEnd w:id="317"/>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11,980,000.00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本次授予的股票期权的行权价格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Style w:val="BodyText"/>
        <w:spacing w:line="240" w:lineRule="auto" w:before="51"/>
        <w:ind w:right="0"/>
        <w:jc w:val="both"/>
      </w:pPr>
      <w:r>
        <w:rPr/>
        <w:t>其他说明</w:t>
      </w:r>
    </w:p>
    <w:p>
      <w:pPr>
        <w:pStyle w:val="Heading3"/>
        <w:spacing w:line="240" w:lineRule="auto" w:before="90"/>
        <w:ind w:left="576" w:right="967"/>
        <w:jc w:val="left"/>
        <w:rPr>
          <w:b w:val="0"/>
          <w:bCs w:val="0"/>
        </w:rPr>
      </w:pPr>
      <w:r>
        <w:rPr>
          <w:rFonts w:ascii="Times New Roman" w:hAnsi="Times New Roman" w:cs="Times New Roman" w:eastAsia="Times New Roman" w:hint="default"/>
        </w:rPr>
        <w:t>&lt;</w:t>
      </w:r>
      <w:r>
        <w:rPr/>
        <w:t>第一期股票期权激励计划</w:t>
      </w:r>
      <w:r>
        <w:rPr>
          <w:rFonts w:ascii="Times New Roman" w:hAnsi="Times New Roman" w:cs="Times New Roman" w:eastAsia="Times New Roman" w:hint="default"/>
        </w:rPr>
        <w:t>&gt;</w:t>
      </w:r>
      <w:r>
        <w:rPr/>
        <w:t>：</w:t>
      </w:r>
      <w:r>
        <w:rPr>
          <w:b w:val="0"/>
          <w:bCs w:val="0"/>
        </w:rPr>
      </w:r>
    </w:p>
    <w:p>
      <w:pPr>
        <w:pStyle w:val="Heading4"/>
        <w:spacing w:line="256" w:lineRule="auto" w:before="21"/>
        <w:ind w:right="967" w:firstLine="420"/>
        <w:jc w:val="left"/>
      </w:pPr>
      <w:r>
        <w:rPr>
          <w:rFonts w:ascii="Times New Roman" w:hAnsi="Times New Roman" w:cs="Times New Roman" w:eastAsia="Times New Roman" w:hint="default"/>
          <w:spacing w:val="-2"/>
        </w:rPr>
        <w:t>2015</w:t>
      </w:r>
      <w:r>
        <w:rPr>
          <w:spacing w:val="-2"/>
        </w:rPr>
        <w:t>年度，公司授予的各项权益工具总额：</w:t>
      </w:r>
      <w:r>
        <w:rPr>
          <w:rFonts w:ascii="Times New Roman" w:hAnsi="Times New Roman" w:cs="Times New Roman" w:eastAsia="Times New Roman" w:hint="default"/>
          <w:spacing w:val="-2"/>
        </w:rPr>
        <w:t>433.25</w:t>
      </w:r>
      <w:r>
        <w:rPr>
          <w:spacing w:val="-2"/>
        </w:rPr>
        <w:t>万股；行权的各项权益工具总额：</w:t>
      </w:r>
      <w:r>
        <w:rPr>
          <w:rFonts w:ascii="Times New Roman" w:hAnsi="Times New Roman" w:cs="Times New Roman" w:eastAsia="Times New Roman" w:hint="default"/>
          <w:spacing w:val="-2"/>
        </w:rPr>
        <w:t>0</w:t>
      </w:r>
      <w:r>
        <w:rPr>
          <w:spacing w:val="-2"/>
        </w:rPr>
        <w:t>。失效的各项权</w:t>
      </w:r>
      <w:r>
        <w:rPr/>
        <w:t> 益工具总额：</w:t>
      </w:r>
      <w:r>
        <w:rPr>
          <w:rFonts w:ascii="Times New Roman" w:hAnsi="Times New Roman" w:cs="Times New Roman" w:eastAsia="Times New Roman" w:hint="default"/>
        </w:rPr>
        <w:t>5.85</w:t>
      </w:r>
      <w:r>
        <w:rPr/>
        <w:t>万股。</w:t>
      </w:r>
    </w:p>
    <w:p>
      <w:pPr>
        <w:pStyle w:val="Heading4"/>
        <w:spacing w:line="256" w:lineRule="auto" w:before="5"/>
        <w:ind w:left="574" w:right="1589"/>
        <w:jc w:val="left"/>
      </w:pPr>
      <w:r>
        <w:rPr/>
        <w:t>公司</w:t>
      </w:r>
      <w:r>
        <w:rPr>
          <w:rFonts w:ascii="Times New Roman" w:hAnsi="Times New Roman" w:cs="Times New Roman" w:eastAsia="Times New Roman" w:hint="default"/>
        </w:rPr>
        <w:t>2015</w:t>
      </w:r>
      <w:r>
        <w:rPr/>
        <w:t>年末发行在外的股份期权行权价格的范围：本次授予的股票期权的行权价格</w:t>
      </w:r>
      <w:r>
        <w:rPr>
          <w:rFonts w:ascii="Times New Roman" w:hAnsi="Times New Roman" w:cs="Times New Roman" w:eastAsia="Times New Roman" w:hint="default"/>
        </w:rPr>
        <w:t>63.69</w:t>
      </w:r>
      <w:r>
        <w:rPr>
          <w:rFonts w:ascii="Times New Roman" w:hAnsi="Times New Roman" w:cs="Times New Roman" w:eastAsia="Times New Roman" w:hint="default"/>
          <w:spacing w:val="28"/>
        </w:rPr>
        <w:t> </w:t>
      </w:r>
      <w:r>
        <w:rPr/>
        <w:t>元。</w:t>
      </w:r>
      <w:r>
        <w:rPr>
          <w:spacing w:val="-2"/>
        </w:rPr>
        <w:t> </w:t>
      </w:r>
      <w:r>
        <w:rPr>
          <w:rFonts w:ascii="Times New Roman" w:hAnsi="Times New Roman" w:cs="Times New Roman" w:eastAsia="Times New Roman" w:hint="default"/>
        </w:rPr>
        <w:t>2016</w:t>
      </w:r>
      <w:r>
        <w:rPr/>
        <w:t>年度，公司授予的各项权益工具总额：</w:t>
      </w:r>
      <w:r>
        <w:rPr>
          <w:rFonts w:ascii="Times New Roman" w:hAnsi="Times New Roman" w:cs="Times New Roman" w:eastAsia="Times New Roman" w:hint="default"/>
        </w:rPr>
        <w:t>26.75</w:t>
      </w:r>
      <w:r>
        <w:rPr/>
        <w:t>万股 公司行权的各项权益工具总额：</w:t>
      </w:r>
      <w:r>
        <w:rPr>
          <w:rFonts w:ascii="Times New Roman" w:hAnsi="Times New Roman" w:cs="Times New Roman" w:eastAsia="Times New Roman" w:hint="default"/>
        </w:rPr>
        <w:t>32.0840</w:t>
      </w:r>
      <w:r>
        <w:rPr/>
        <w:t>万股。</w:t>
      </w:r>
    </w:p>
    <w:p>
      <w:pPr>
        <w:pStyle w:val="Heading4"/>
        <w:spacing w:line="256" w:lineRule="auto" w:before="5"/>
        <w:ind w:left="574" w:right="967"/>
        <w:jc w:val="left"/>
      </w:pPr>
      <w:r>
        <w:rPr/>
        <w:t>公司失效的各项权益工具总额：</w:t>
      </w:r>
      <w:r>
        <w:rPr>
          <w:rFonts w:ascii="Times New Roman" w:hAnsi="Times New Roman" w:cs="Times New Roman" w:eastAsia="Times New Roman" w:hint="default"/>
        </w:rPr>
        <w:t>75.9650</w:t>
      </w:r>
      <w:r>
        <w:rPr/>
        <w:t>万股。 </w:t>
      </w:r>
      <w:r>
        <w:rPr>
          <w:spacing w:val="-1"/>
        </w:rPr>
        <w:t>公司期末发行在外的股份期权行权价格的范围：第一期股票期权激励计划授予的股票期权的行权价格</w:t>
      </w:r>
    </w:p>
    <w:p>
      <w:pPr>
        <w:pStyle w:val="Heading4"/>
        <w:spacing w:line="240" w:lineRule="auto" w:before="22"/>
        <w:ind w:right="0"/>
        <w:jc w:val="both"/>
      </w:pPr>
      <w:r>
        <w:rPr>
          <w:rFonts w:ascii="Times New Roman" w:hAnsi="Times New Roman" w:cs="Times New Roman" w:eastAsia="Times New Roman" w:hint="default"/>
        </w:rPr>
        <w:t>63.57</w:t>
      </w:r>
      <w:r>
        <w:rPr>
          <w:rFonts w:ascii="Times New Roman" w:hAnsi="Times New Roman" w:cs="Times New Roman" w:eastAsia="Times New Roman" w:hint="default"/>
          <w:spacing w:val="31"/>
        </w:rPr>
        <w:t> </w:t>
      </w:r>
      <w:r>
        <w:rPr/>
        <w:t>元，第一期股票期权激励计划预留期权授予的股票期权的行权价格</w:t>
      </w:r>
      <w:r>
        <w:rPr>
          <w:rFonts w:ascii="Times New Roman" w:hAnsi="Times New Roman" w:cs="Times New Roman" w:eastAsia="Times New Roman" w:hint="default"/>
        </w:rPr>
        <w:t>69.72</w:t>
      </w:r>
      <w:r>
        <w:rPr/>
        <w:t>元。</w:t>
      </w:r>
    </w:p>
    <w:p>
      <w:pPr>
        <w:pStyle w:val="Heading4"/>
        <w:spacing w:line="240" w:lineRule="auto" w:before="21"/>
        <w:ind w:left="574" w:right="967"/>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5 </w:t>
      </w:r>
      <w:r>
        <w:rPr/>
        <w:t>日公司召开的 </w:t>
      </w:r>
      <w:r>
        <w:rPr>
          <w:rFonts w:ascii="Times New Roman" w:hAnsi="Times New Roman" w:cs="Times New Roman" w:eastAsia="Times New Roman" w:hint="default"/>
        </w:rPr>
        <w:t>2016 </w:t>
      </w:r>
      <w:r>
        <w:rPr/>
        <w:t>年年度股东大会决议，</w:t>
      </w:r>
      <w:r>
        <w:rPr>
          <w:rFonts w:ascii="Times New Roman" w:hAnsi="Times New Roman" w:cs="Times New Roman" w:eastAsia="Times New Roman" w:hint="default"/>
        </w:rPr>
        <w:t>2016</w:t>
      </w:r>
      <w:r>
        <w:rPr>
          <w:rFonts w:ascii="Times New Roman" w:hAnsi="Times New Roman" w:cs="Times New Roman" w:eastAsia="Times New Roman" w:hint="default"/>
          <w:spacing w:val="40"/>
        </w:rPr>
        <w:t> </w:t>
      </w:r>
      <w:r>
        <w:rPr/>
        <w:t>年度公司利润分配方案为：以公司</w:t>
      </w:r>
    </w:p>
    <w:p>
      <w:pPr>
        <w:pStyle w:val="Heading4"/>
        <w:spacing w:line="256" w:lineRule="auto" w:before="21"/>
        <w:ind w:right="1213"/>
        <w:jc w:val="both"/>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29 </w:t>
      </w:r>
      <w:r>
        <w:rPr/>
        <w:t>日收盘的总股本 </w:t>
      </w:r>
      <w:r>
        <w:rPr>
          <w:rFonts w:ascii="Times New Roman" w:hAnsi="Times New Roman" w:cs="Times New Roman" w:eastAsia="Times New Roman" w:hint="default"/>
        </w:rPr>
        <w:t>138,515,854 </w:t>
      </w:r>
      <w:r>
        <w:rPr/>
        <w:t>股为基数，以资本公积金向全体股东每 </w:t>
      </w:r>
      <w:r>
        <w:rPr>
          <w:rFonts w:ascii="Times New Roman" w:hAnsi="Times New Roman" w:cs="Times New Roman" w:eastAsia="Times New Roman" w:hint="default"/>
        </w:rPr>
        <w:t>10 </w:t>
      </w:r>
      <w:r>
        <w:rPr/>
        <w:t>股转增</w:t>
      </w:r>
      <w:r>
        <w:rPr>
          <w:spacing w:val="-59"/>
        </w:rPr>
        <w:t> </w:t>
      </w:r>
      <w:r>
        <w:rPr>
          <w:rFonts w:ascii="Times New Roman" w:hAnsi="Times New Roman" w:cs="Times New Roman" w:eastAsia="Times New Roman" w:hint="default"/>
        </w:rPr>
        <w:t>10</w:t>
      </w:r>
      <w:r>
        <w:rPr/>
        <w:t>股， 首次授予股票期权授予数量</w:t>
      </w:r>
      <w:r>
        <w:rPr>
          <w:rFonts w:ascii="Times New Roman" w:hAnsi="Times New Roman" w:cs="Times New Roman" w:eastAsia="Times New Roman" w:hint="default"/>
        </w:rPr>
        <w:t>433.25</w:t>
      </w:r>
      <w:r>
        <w:rPr>
          <w:rFonts w:ascii="Times New Roman" w:hAnsi="Times New Roman" w:cs="Times New Roman" w:eastAsia="Times New Roman" w:hint="default"/>
          <w:spacing w:val="29"/>
        </w:rPr>
        <w:t> </w:t>
      </w:r>
      <w:r>
        <w:rPr/>
        <w:t>万股调整为</w:t>
      </w:r>
      <w:r>
        <w:rPr>
          <w:rFonts w:ascii="Times New Roman" w:hAnsi="Times New Roman" w:cs="Times New Roman" w:eastAsia="Times New Roman" w:hint="default"/>
        </w:rPr>
        <w:t>866.5</w:t>
      </w:r>
      <w:r>
        <w:rPr/>
        <w:t>万股。第一期股票期权激励计划授予的股票期权的行 权价格</w:t>
      </w:r>
      <w:r>
        <w:rPr>
          <w:rFonts w:ascii="Times New Roman" w:hAnsi="Times New Roman" w:cs="Times New Roman" w:eastAsia="Times New Roman" w:hint="default"/>
        </w:rPr>
        <w:t>31.69</w:t>
      </w:r>
      <w:r>
        <w:rPr/>
        <w:t>元，第一期股票期权激励计划预留期权授予的股票期权的行权价格</w:t>
      </w:r>
      <w:r>
        <w:rPr>
          <w:rFonts w:ascii="Times New Roman" w:hAnsi="Times New Roman" w:cs="Times New Roman" w:eastAsia="Times New Roman" w:hint="default"/>
        </w:rPr>
        <w:t>34.76</w:t>
      </w:r>
      <w:r>
        <w:rPr/>
        <w:t>元。</w:t>
      </w:r>
    </w:p>
    <w:p>
      <w:pPr>
        <w:pStyle w:val="Heading4"/>
        <w:spacing w:line="256" w:lineRule="auto" w:before="5"/>
        <w:ind w:left="574" w:right="967"/>
        <w:jc w:val="left"/>
      </w:pPr>
      <w:r>
        <w:rPr/>
        <w:t>公司本期行权的各项权益工具总额：</w:t>
      </w:r>
      <w:r>
        <w:rPr>
          <w:rFonts w:ascii="Times New Roman" w:hAnsi="Times New Roman" w:cs="Times New Roman" w:eastAsia="Times New Roman" w:hint="default"/>
        </w:rPr>
        <w:t>24.4740</w:t>
      </w:r>
      <w:r>
        <w:rPr/>
        <w:t>万股。 公司本期失效的各项权益工具总额：</w:t>
      </w:r>
      <w:r>
        <w:rPr>
          <w:rFonts w:ascii="Times New Roman" w:hAnsi="Times New Roman" w:cs="Times New Roman" w:eastAsia="Times New Roman" w:hint="default"/>
        </w:rPr>
        <w:t>206.6880</w:t>
      </w:r>
      <w:r>
        <w:rPr/>
        <w:t>万股。 </w:t>
      </w:r>
      <w:r>
        <w:rPr>
          <w:rFonts w:ascii="Times New Roman" w:hAnsi="Times New Roman" w:cs="Times New Roman" w:eastAsia="Times New Roman" w:hint="default"/>
          <w:spacing w:val="-1"/>
        </w:rPr>
        <w:t>2018</w:t>
      </w:r>
      <w:r>
        <w:rPr>
          <w:spacing w:val="-1"/>
        </w:rPr>
        <w:t>年度公司第一期股票期权激励计划第三个行权期业绩考核未达到设定的行权条件，相应股票期权</w:t>
      </w:r>
    </w:p>
    <w:p>
      <w:pPr>
        <w:pStyle w:val="Heading4"/>
        <w:spacing w:line="240" w:lineRule="auto" w:before="5"/>
        <w:ind w:right="0"/>
        <w:jc w:val="both"/>
      </w:pPr>
      <w:r>
        <w:rPr/>
        <w:t>予以注销。</w:t>
      </w:r>
    </w:p>
    <w:p>
      <w:pPr>
        <w:pStyle w:val="Heading4"/>
        <w:spacing w:line="256" w:lineRule="auto" w:before="37"/>
        <w:ind w:left="574" w:right="5554"/>
        <w:jc w:val="left"/>
      </w:pPr>
      <w:r>
        <w:rPr/>
        <w:t>公司本期行权的各项权益工具总额：</w:t>
      </w:r>
      <w:r>
        <w:rPr>
          <w:rFonts w:ascii="Times New Roman" w:hAnsi="Times New Roman" w:cs="Times New Roman" w:eastAsia="Times New Roman" w:hint="default"/>
        </w:rPr>
        <w:t>0</w:t>
      </w:r>
      <w:r>
        <w:rPr/>
        <w:t>股。 公司本期失效的各项权益工具总额：</w:t>
      </w:r>
      <w:r>
        <w:rPr>
          <w:rFonts w:ascii="Times New Roman" w:hAnsi="Times New Roman" w:cs="Times New Roman" w:eastAsia="Times New Roman" w:hint="default"/>
        </w:rPr>
        <w:t>144.7470</w:t>
      </w:r>
      <w:r>
        <w:rPr/>
        <w:t>万股。</w:t>
      </w:r>
    </w:p>
    <w:p>
      <w:pPr>
        <w:pStyle w:val="Heading3"/>
        <w:spacing w:line="240" w:lineRule="auto" w:before="5"/>
        <w:ind w:left="576" w:right="967"/>
        <w:jc w:val="left"/>
        <w:rPr>
          <w:b w:val="0"/>
          <w:bCs w:val="0"/>
        </w:rPr>
      </w:pPr>
      <w:r>
        <w:rPr>
          <w:rFonts w:ascii="Times New Roman" w:hAnsi="Times New Roman" w:cs="Times New Roman" w:eastAsia="Times New Roman" w:hint="default"/>
        </w:rPr>
        <w:t>&lt;</w:t>
      </w:r>
      <w:r>
        <w:rPr/>
        <w:t>第二期股票期权激励计划</w:t>
      </w:r>
      <w:r>
        <w:rPr>
          <w:rFonts w:ascii="Times New Roman" w:hAnsi="Times New Roman" w:cs="Times New Roman" w:eastAsia="Times New Roman" w:hint="default"/>
        </w:rPr>
        <w:t>&gt;</w:t>
      </w:r>
      <w:r>
        <w:rPr/>
        <w:t>：</w:t>
      </w:r>
      <w:r>
        <w:rPr>
          <w:b w:val="0"/>
          <w:bCs w:val="0"/>
        </w:rPr>
      </w:r>
    </w:p>
    <w:p>
      <w:pPr>
        <w:pStyle w:val="Heading4"/>
        <w:spacing w:line="256" w:lineRule="auto" w:before="21"/>
        <w:ind w:right="967" w:firstLine="420"/>
        <w:jc w:val="left"/>
      </w:pPr>
      <w:r>
        <w:rPr>
          <w:rFonts w:ascii="Times New Roman" w:hAnsi="Times New Roman" w:cs="Times New Roman" w:eastAsia="Times New Roman" w:hint="default"/>
          <w:spacing w:val="-1"/>
        </w:rPr>
        <w:t>2018</w:t>
      </w:r>
      <w:r>
        <w:rPr>
          <w:spacing w:val="-1"/>
        </w:rPr>
        <w:t>年度，公司授予的各项权益工具总额：</w:t>
      </w:r>
      <w:r>
        <w:rPr>
          <w:rFonts w:ascii="Times New Roman" w:hAnsi="Times New Roman" w:cs="Times New Roman" w:eastAsia="Times New Roman" w:hint="default"/>
          <w:spacing w:val="-1"/>
        </w:rPr>
        <w:t>1,198.00</w:t>
      </w:r>
      <w:r>
        <w:rPr>
          <w:spacing w:val="-1"/>
        </w:rPr>
        <w:t>万股；行权的各项权益工具总额：</w:t>
      </w:r>
      <w:r>
        <w:rPr>
          <w:rFonts w:ascii="Times New Roman" w:hAnsi="Times New Roman" w:cs="Times New Roman" w:eastAsia="Times New Roman" w:hint="default"/>
          <w:spacing w:val="-1"/>
        </w:rPr>
        <w:t>0</w:t>
      </w:r>
      <w:r>
        <w:rPr>
          <w:spacing w:val="-1"/>
        </w:rPr>
        <w:t>。失效的各项</w:t>
      </w:r>
      <w:r>
        <w:rPr/>
        <w:t> 权益工具总额：</w:t>
      </w:r>
      <w:r>
        <w:rPr>
          <w:rFonts w:ascii="Times New Roman" w:hAnsi="Times New Roman" w:cs="Times New Roman" w:eastAsia="Times New Roman" w:hint="default"/>
        </w:rPr>
        <w:t>0</w:t>
      </w:r>
      <w:r>
        <w:rPr/>
        <w:t>。</w:t>
      </w:r>
    </w:p>
    <w:p>
      <w:pPr>
        <w:pStyle w:val="Heading4"/>
        <w:spacing w:line="240" w:lineRule="auto" w:before="5"/>
        <w:ind w:left="574" w:right="967"/>
        <w:jc w:val="left"/>
      </w:pPr>
      <w:r>
        <w:rPr/>
        <w:t>公司</w:t>
      </w:r>
      <w:r>
        <w:rPr>
          <w:rFonts w:ascii="Times New Roman" w:hAnsi="Times New Roman" w:cs="Times New Roman" w:eastAsia="Times New Roman" w:hint="default"/>
        </w:rPr>
        <w:t>2018</w:t>
      </w:r>
      <w:r>
        <w:rPr/>
        <w:t>年末发行在外的股份期权行权价格的范围：本次授予的股票期权的行权价格</w:t>
      </w:r>
      <w:r>
        <w:rPr>
          <w:rFonts w:ascii="Times New Roman" w:hAnsi="Times New Roman" w:cs="Times New Roman" w:eastAsia="Times New Roman" w:hint="default"/>
        </w:rPr>
        <w:t>15.06</w:t>
      </w:r>
      <w:r>
        <w:rPr/>
        <w:t>元。</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3"/>
        <w:spacing w:line="240" w:lineRule="auto"/>
        <w:ind w:right="0"/>
        <w:jc w:val="both"/>
        <w:rPr>
          <w:b w:val="0"/>
          <w:bCs w:val="0"/>
        </w:rPr>
      </w:pPr>
      <w:bookmarkStart w:name="2、以权益结算的股份支付情况" w:id="318"/>
      <w:bookmarkEnd w:id="318"/>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在等待期的每个资产负债表日，根据最新取得的可行权人</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67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51"/>
              <w:jc w:val="left"/>
              <w:rPr>
                <w:rFonts w:ascii="宋体" w:hAnsi="宋体" w:cs="宋体" w:eastAsia="宋体" w:hint="default"/>
                <w:sz w:val="18"/>
                <w:szCs w:val="18"/>
              </w:rPr>
            </w:pPr>
            <w:r>
              <w:rPr>
                <w:rFonts w:ascii="宋体" w:hAnsi="宋体" w:cs="宋体" w:eastAsia="宋体" w:hint="default"/>
                <w:sz w:val="18"/>
                <w:szCs w:val="18"/>
              </w:rPr>
              <w:t>数变动、业绩指标完成情况等信息，修正预计可行权的股 票期权数量</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3,036,600.00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3,036,600.00</w:t>
            </w:r>
          </w:p>
        </w:tc>
      </w:tr>
    </w:tbl>
    <w:p>
      <w:pPr>
        <w:pStyle w:val="BodyText"/>
        <w:spacing w:line="240" w:lineRule="auto" w:before="51"/>
        <w:ind w:right="967"/>
        <w:jc w:val="left"/>
      </w:pPr>
      <w:r>
        <w:rPr/>
        <w:t>其他说明</w:t>
      </w:r>
    </w:p>
    <w:p>
      <w:pPr>
        <w:pStyle w:val="Heading4"/>
        <w:spacing w:line="256" w:lineRule="auto" w:before="90"/>
        <w:ind w:right="1118" w:firstLine="420"/>
        <w:jc w:val="left"/>
      </w:pPr>
      <w:r>
        <w:rPr/>
        <w:t>根据本公司《关于公司《第一期股票期权激励计划》首次授予期权相关事项的方案》，公司向</w:t>
      </w:r>
      <w:r>
        <w:rPr>
          <w:rFonts w:ascii="Times New Roman" w:hAnsi="Times New Roman" w:cs="Times New Roman" w:eastAsia="Times New Roman" w:hint="default"/>
        </w:rPr>
        <w:t>261</w:t>
      </w:r>
      <w:r>
        <w:rPr/>
        <w:t>名 激励对象获授</w:t>
      </w:r>
      <w:r>
        <w:rPr>
          <w:rFonts w:ascii="Times New Roman" w:hAnsi="Times New Roman" w:cs="Times New Roman" w:eastAsia="Times New Roman" w:hint="default"/>
        </w:rPr>
        <w:t>433.25</w:t>
      </w:r>
      <w:r>
        <w:rPr/>
        <w:t>万份股票期权，授予日为</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8 </w:t>
      </w:r>
      <w:r>
        <w:rPr/>
        <w:t>日。公司选择 </w:t>
      </w:r>
      <w:r>
        <w:rPr>
          <w:rFonts w:ascii="Times New Roman" w:hAnsi="Times New Roman" w:cs="Times New Roman" w:eastAsia="Times New Roman" w:hint="default"/>
        </w:rPr>
        <w:t>Black-Scholes</w:t>
      </w:r>
      <w:r>
        <w:rPr>
          <w:rFonts w:ascii="Times New Roman" w:hAnsi="Times New Roman" w:cs="Times New Roman" w:eastAsia="Times New Roman" w:hint="default"/>
          <w:spacing w:val="46"/>
        </w:rPr>
        <w:t> </w:t>
      </w:r>
      <w:r>
        <w:rPr/>
        <w:t>模型来计算期权 公允价值，授予的</w:t>
      </w:r>
      <w:r>
        <w:rPr>
          <w:rFonts w:ascii="Times New Roman" w:hAnsi="Times New Roman" w:cs="Times New Roman" w:eastAsia="Times New Roman" w:hint="default"/>
        </w:rPr>
        <w:t>433.25</w:t>
      </w:r>
      <w:r>
        <w:rPr/>
        <w:t>万份股票期权总价值为</w:t>
      </w:r>
      <w:r>
        <w:rPr>
          <w:spacing w:val="-26"/>
        </w:rPr>
        <w:t> </w:t>
      </w:r>
      <w:r>
        <w:rPr>
          <w:rFonts w:ascii="Times New Roman" w:hAnsi="Times New Roman" w:cs="Times New Roman" w:eastAsia="Times New Roman" w:hint="default"/>
        </w:rPr>
        <w:t>454.79</w:t>
      </w:r>
      <w:r>
        <w:rPr/>
        <w:t>万元。由于激励对象存在业绩考核不达标或在股票 期权的等待期内离职等情况，</w:t>
      </w:r>
      <w:r>
        <w:rPr>
          <w:rFonts w:ascii="Times New Roman" w:hAnsi="Times New Roman" w:cs="Times New Roman" w:eastAsia="Times New Roman" w:hint="default"/>
        </w:rPr>
        <w:t>2015</w:t>
      </w:r>
      <w:r>
        <w:rPr/>
        <w:t>年分摊期权成本</w:t>
      </w:r>
      <w:r>
        <w:rPr>
          <w:rFonts w:ascii="Times New Roman" w:hAnsi="Times New Roman" w:cs="Times New Roman" w:eastAsia="Times New Roman" w:hint="default"/>
        </w:rPr>
        <w:t>512,400.00</w:t>
      </w:r>
      <w:r>
        <w:rPr/>
        <w:t>元，</w:t>
      </w:r>
      <w:r>
        <w:rPr>
          <w:rFonts w:ascii="Times New Roman" w:hAnsi="Times New Roman" w:cs="Times New Roman" w:eastAsia="Times New Roman" w:hint="default"/>
        </w:rPr>
        <w:t>2016</w:t>
      </w:r>
      <w:r>
        <w:rPr/>
        <w:t>年分摊期权成本</w:t>
      </w:r>
      <w:r>
        <w:rPr>
          <w:rFonts w:ascii="Times New Roman" w:hAnsi="Times New Roman" w:cs="Times New Roman" w:eastAsia="Times New Roman" w:hint="default"/>
        </w:rPr>
        <w:t>1,235,851.59</w:t>
      </w:r>
      <w:r>
        <w:rPr/>
        <w:t>元。</w:t>
      </w:r>
    </w:p>
    <w:p>
      <w:pPr>
        <w:pStyle w:val="Heading4"/>
        <w:spacing w:line="256" w:lineRule="auto" w:before="5"/>
        <w:ind w:right="967" w:firstLine="420"/>
        <w:jc w:val="left"/>
      </w:pPr>
      <w:r>
        <w:rPr/>
        <w:t>根据公司《关于公司</w:t>
      </w:r>
      <w:r>
        <w:rPr>
          <w:rFonts w:ascii="Times New Roman" w:hAnsi="Times New Roman" w:cs="Times New Roman" w:eastAsia="Times New Roman" w:hint="default"/>
        </w:rPr>
        <w:t>&lt;</w:t>
      </w:r>
      <w:r>
        <w:rPr/>
        <w:t>第一期股票期权激励计划</w:t>
      </w:r>
      <w:r>
        <w:rPr>
          <w:rFonts w:ascii="Times New Roman" w:hAnsi="Times New Roman" w:cs="Times New Roman" w:eastAsia="Times New Roman" w:hint="default"/>
        </w:rPr>
        <w:t>&gt;</w:t>
      </w:r>
      <w:r>
        <w:rPr/>
        <w:t>预留股票期权授予相关事项的议案》，向</w:t>
      </w:r>
      <w:r>
        <w:rPr>
          <w:rFonts w:ascii="Times New Roman" w:hAnsi="Times New Roman" w:cs="Times New Roman" w:eastAsia="Times New Roman" w:hint="default"/>
        </w:rPr>
        <w:t>1</w:t>
      </w:r>
      <w:r>
        <w:rPr/>
        <w:t>名激励对 </w:t>
      </w:r>
      <w:r>
        <w:rPr>
          <w:spacing w:val="-2"/>
        </w:rPr>
        <w:t>象授予</w:t>
      </w:r>
      <w:r>
        <w:rPr>
          <w:rFonts w:ascii="Times New Roman" w:hAnsi="Times New Roman" w:cs="Times New Roman" w:eastAsia="Times New Roman" w:hint="default"/>
          <w:spacing w:val="-2"/>
        </w:rPr>
        <w:t>26.75</w:t>
      </w:r>
      <w:r>
        <w:rPr>
          <w:spacing w:val="-2"/>
        </w:rPr>
        <w:t>万份预留股票期权，授予日为</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29</w:t>
      </w:r>
      <w:r>
        <w:rPr>
          <w:spacing w:val="-2"/>
        </w:rPr>
        <w:t>日。授予的</w:t>
      </w:r>
      <w:r>
        <w:rPr>
          <w:rFonts w:ascii="Times New Roman" w:hAnsi="Times New Roman" w:cs="Times New Roman" w:eastAsia="Times New Roman" w:hint="default"/>
          <w:spacing w:val="-2"/>
        </w:rPr>
        <w:t>26.75</w:t>
      </w:r>
      <w:r>
        <w:rPr>
          <w:spacing w:val="-2"/>
        </w:rPr>
        <w:t>万份股票期权总价值为</w:t>
      </w:r>
      <w:r>
        <w:rPr>
          <w:rFonts w:ascii="Times New Roman" w:hAnsi="Times New Roman" w:cs="Times New Roman" w:eastAsia="Times New Roman" w:hint="default"/>
          <w:spacing w:val="-2"/>
        </w:rPr>
        <w:t>166.33</w:t>
      </w:r>
      <w:r>
        <w:rPr>
          <w:spacing w:val="-2"/>
        </w:rPr>
        <w:t>万元，</w:t>
      </w:r>
      <w:r>
        <w:rPr>
          <w:spacing w:val="-69"/>
        </w:rPr>
        <w:t> </w:t>
      </w:r>
      <w:r>
        <w:rPr>
          <w:rFonts w:ascii="Times New Roman" w:hAnsi="Times New Roman" w:cs="Times New Roman" w:eastAsia="Times New Roman" w:hint="default"/>
        </w:rPr>
        <w:t>2016</w:t>
      </w:r>
      <w:r>
        <w:rPr/>
        <w:t>年分摊期权成本</w:t>
      </w:r>
      <w:r>
        <w:rPr>
          <w:rFonts w:ascii="Times New Roman" w:hAnsi="Times New Roman" w:cs="Times New Roman" w:eastAsia="Times New Roman" w:hint="default"/>
        </w:rPr>
        <w:t>295,000.00</w:t>
      </w:r>
      <w:r>
        <w:rPr/>
        <w:t>元。</w:t>
      </w:r>
    </w:p>
    <w:p>
      <w:pPr>
        <w:pStyle w:val="Heading4"/>
        <w:spacing w:line="240" w:lineRule="auto" w:before="5"/>
        <w:ind w:left="574" w:right="967"/>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5 </w:t>
      </w:r>
      <w:r>
        <w:rPr/>
        <w:t>日公司召开的 </w:t>
      </w:r>
      <w:r>
        <w:rPr>
          <w:rFonts w:ascii="Times New Roman" w:hAnsi="Times New Roman" w:cs="Times New Roman" w:eastAsia="Times New Roman" w:hint="default"/>
        </w:rPr>
        <w:t>2016 </w:t>
      </w:r>
      <w:r>
        <w:rPr/>
        <w:t>年年度股东大会决议，</w:t>
      </w:r>
      <w:r>
        <w:rPr>
          <w:rFonts w:ascii="Times New Roman" w:hAnsi="Times New Roman" w:cs="Times New Roman" w:eastAsia="Times New Roman" w:hint="default"/>
        </w:rPr>
        <w:t>2016</w:t>
      </w:r>
      <w:r>
        <w:rPr>
          <w:rFonts w:ascii="Times New Roman" w:hAnsi="Times New Roman" w:cs="Times New Roman" w:eastAsia="Times New Roman" w:hint="default"/>
          <w:spacing w:val="40"/>
        </w:rPr>
        <w:t> </w:t>
      </w:r>
      <w:r>
        <w:rPr/>
        <w:t>年度公司利润分配方案为：以公司</w:t>
      </w:r>
    </w:p>
    <w:p>
      <w:pPr>
        <w:pStyle w:val="Heading4"/>
        <w:spacing w:line="256" w:lineRule="auto" w:before="21"/>
        <w:ind w:right="1122"/>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29 </w:t>
      </w:r>
      <w:r>
        <w:rPr/>
        <w:t>日收盘的总股</w:t>
      </w:r>
      <w:r>
        <w:rPr>
          <w:rFonts w:ascii="Times New Roman" w:hAnsi="Times New Roman" w:cs="Times New Roman" w:eastAsia="Times New Roman" w:hint="default"/>
        </w:rPr>
        <w:t>138,515,854 </w:t>
      </w:r>
      <w:r>
        <w:rPr/>
        <w:t>股为基数，以资本公积金向全体股东每 </w:t>
      </w:r>
      <w:r>
        <w:rPr>
          <w:rFonts w:ascii="Times New Roman" w:hAnsi="Times New Roman" w:cs="Times New Roman" w:eastAsia="Times New Roman" w:hint="default"/>
        </w:rPr>
        <w:t>10 </w:t>
      </w:r>
      <w:r>
        <w:rPr/>
        <w:t>股转增</w:t>
      </w:r>
      <w:r>
        <w:rPr>
          <w:spacing w:val="46"/>
        </w:rPr>
        <w:t> </w:t>
      </w:r>
      <w:r>
        <w:rPr>
          <w:rFonts w:ascii="Times New Roman" w:hAnsi="Times New Roman" w:cs="Times New Roman" w:eastAsia="Times New Roman" w:hint="default"/>
          <w:spacing w:val="-4"/>
        </w:rPr>
        <w:t>10</w:t>
      </w:r>
      <w:r>
        <w:rPr>
          <w:spacing w:val="-4"/>
        </w:rPr>
        <w:t>股，首次</w:t>
      </w:r>
      <w:r>
        <w:rPr/>
        <w:t> 授予股票期权授予数量</w:t>
      </w:r>
      <w:r>
        <w:rPr>
          <w:rFonts w:ascii="Times New Roman" w:hAnsi="Times New Roman" w:cs="Times New Roman" w:eastAsia="Times New Roman" w:hint="default"/>
        </w:rPr>
        <w:t>433.25</w:t>
      </w:r>
      <w:r>
        <w:rPr>
          <w:rFonts w:ascii="Times New Roman" w:hAnsi="Times New Roman" w:cs="Times New Roman" w:eastAsia="Times New Roman" w:hint="default"/>
          <w:spacing w:val="29"/>
        </w:rPr>
        <w:t> </w:t>
      </w:r>
      <w:r>
        <w:rPr/>
        <w:t>万股调整为</w:t>
      </w:r>
      <w:r>
        <w:rPr>
          <w:rFonts w:ascii="Times New Roman" w:hAnsi="Times New Roman" w:cs="Times New Roman" w:eastAsia="Times New Roman" w:hint="default"/>
        </w:rPr>
        <w:t>866.5</w:t>
      </w:r>
      <w:r>
        <w:rPr/>
        <w:t>万股。第一期股票期权激励计划授予的股票期权的行权价 格</w:t>
      </w:r>
      <w:r>
        <w:rPr>
          <w:rFonts w:ascii="Times New Roman" w:hAnsi="Times New Roman" w:cs="Times New Roman" w:eastAsia="Times New Roman" w:hint="default"/>
        </w:rPr>
        <w:t>31.69</w:t>
      </w:r>
      <w:r>
        <w:rPr/>
        <w:t>元，第一期股票期权激励计划预留期权授予的股票期权的行权价格</w:t>
      </w:r>
      <w:r>
        <w:rPr>
          <w:rFonts w:ascii="Times New Roman" w:hAnsi="Times New Roman" w:cs="Times New Roman" w:eastAsia="Times New Roman" w:hint="default"/>
        </w:rPr>
        <w:t>34.76</w:t>
      </w:r>
      <w:r>
        <w:rPr/>
        <w:t>元。</w:t>
      </w:r>
      <w:r>
        <w:rPr>
          <w:rFonts w:ascii="Times New Roman" w:hAnsi="Times New Roman" w:cs="Times New Roman" w:eastAsia="Times New Roman" w:hint="default"/>
        </w:rPr>
        <w:t>2017</w:t>
      </w:r>
      <w:r>
        <w:rPr/>
        <w:t>年分摊期权成本 </w:t>
      </w:r>
      <w:r>
        <w:rPr>
          <w:rFonts w:ascii="Times New Roman" w:hAnsi="Times New Roman" w:cs="Times New Roman" w:eastAsia="Times New Roman" w:hint="default"/>
        </w:rPr>
        <w:t>264,622.93</w:t>
      </w:r>
      <w:r>
        <w:rPr/>
        <w:t>元。</w:t>
      </w:r>
    </w:p>
    <w:p>
      <w:pPr>
        <w:pStyle w:val="Heading4"/>
        <w:spacing w:line="264" w:lineRule="auto" w:before="5"/>
        <w:ind w:right="967" w:firstLine="420"/>
        <w:jc w:val="left"/>
      </w:pPr>
      <w:r>
        <w:rPr/>
        <w:t>公司第一期股票期权激励计划首次授予期权的第二个行权期因放弃行权而失效的股票期权和激励对 </w:t>
      </w:r>
      <w:r>
        <w:rPr>
          <w:spacing w:val="-1"/>
        </w:rPr>
        <w:t>象离职其获授但尚未行权的股票期权，合计注销股票期权</w:t>
      </w:r>
      <w:r>
        <w:rPr>
          <w:rFonts w:ascii="Times New Roman" w:hAnsi="Times New Roman" w:cs="Times New Roman" w:eastAsia="Times New Roman" w:hint="default"/>
          <w:spacing w:val="-1"/>
        </w:rPr>
        <w:t>2,192,000</w:t>
      </w:r>
      <w:r>
        <w:rPr>
          <w:spacing w:val="-1"/>
        </w:rPr>
        <w:t>份。</w:t>
      </w:r>
      <w:r>
        <w:rPr>
          <w:rFonts w:ascii="Times New Roman" w:hAnsi="Times New Roman" w:cs="Times New Roman" w:eastAsia="Times New Roman" w:hint="default"/>
          <w:spacing w:val="-1"/>
        </w:rPr>
        <w:t>2018</w:t>
      </w:r>
      <w:r>
        <w:rPr>
          <w:spacing w:val="-1"/>
        </w:rPr>
        <w:t>年度公司第一期股票期权激励</w:t>
      </w:r>
      <w:r>
        <w:rPr>
          <w:spacing w:val="-76"/>
        </w:rPr>
        <w:t> </w:t>
      </w:r>
      <w:r>
        <w:rPr>
          <w:spacing w:val="-76"/>
        </w:rPr>
      </w:r>
      <w:r>
        <w:rPr/>
        <w:t>计划第三个行权期业绩考核未达到设定的行权条件，相应股票期权予以注销。</w:t>
      </w:r>
    </w:p>
    <w:p>
      <w:pPr>
        <w:spacing w:line="240" w:lineRule="auto" w:before="4"/>
        <w:rPr>
          <w:rFonts w:ascii="宋体" w:hAnsi="宋体" w:cs="宋体" w:eastAsia="宋体" w:hint="default"/>
          <w:sz w:val="24"/>
          <w:szCs w:val="24"/>
        </w:rPr>
      </w:pPr>
    </w:p>
    <w:p>
      <w:pPr>
        <w:pStyle w:val="Heading3"/>
        <w:spacing w:line="240" w:lineRule="auto"/>
        <w:ind w:right="967"/>
        <w:jc w:val="left"/>
        <w:rPr>
          <w:b w:val="0"/>
          <w:bCs w:val="0"/>
        </w:rPr>
      </w:pPr>
      <w:bookmarkStart w:name="3、以现金结算的股份支付情况" w:id="319"/>
      <w:bookmarkEnd w:id="319"/>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590" w:lineRule="atLeast" w:before="37"/>
        <w:ind w:left="574" w:right="1302" w:hanging="420"/>
        <w:jc w:val="left"/>
        <w:rPr>
          <w:rFonts w:ascii="宋体" w:hAnsi="宋体" w:cs="宋体" w:eastAsia="宋体" w:hint="default"/>
          <w:sz w:val="21"/>
          <w:szCs w:val="21"/>
        </w:rPr>
      </w:pPr>
      <w:bookmarkStart w:name="4、股份支付的修改、终止情况" w:id="320"/>
      <w:bookmarkEnd w:id="32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21"/>
          <w:szCs w:val="21"/>
        </w:rPr>
        <w:t>公司第一期股票期权激励计划首次授予期权的第二个行权期因放弃行权而失效的股票期权和激励对</w:t>
      </w:r>
    </w:p>
    <w:p>
      <w:pPr>
        <w:pStyle w:val="Heading4"/>
        <w:spacing w:line="256" w:lineRule="auto" w:before="37"/>
        <w:ind w:right="967"/>
        <w:jc w:val="left"/>
      </w:pPr>
      <w:r>
        <w:rPr>
          <w:spacing w:val="-1"/>
        </w:rPr>
        <w:t>象离职其获授但尚未行权的股票期权，合计注销股票期权</w:t>
      </w:r>
      <w:r>
        <w:rPr>
          <w:rFonts w:ascii="Times New Roman" w:hAnsi="Times New Roman" w:cs="Times New Roman" w:eastAsia="Times New Roman" w:hint="default"/>
          <w:spacing w:val="-1"/>
        </w:rPr>
        <w:t>2,192,000</w:t>
      </w:r>
      <w:r>
        <w:rPr>
          <w:spacing w:val="-1"/>
        </w:rPr>
        <w:t>份。</w:t>
      </w:r>
      <w:r>
        <w:rPr>
          <w:rFonts w:ascii="Times New Roman" w:hAnsi="Times New Roman" w:cs="Times New Roman" w:eastAsia="Times New Roman" w:hint="default"/>
          <w:spacing w:val="-1"/>
        </w:rPr>
        <w:t>2018</w:t>
      </w:r>
      <w:r>
        <w:rPr>
          <w:spacing w:val="-1"/>
        </w:rPr>
        <w:t>年度公司第一期股票期权激励</w:t>
      </w:r>
      <w:r>
        <w:rPr>
          <w:spacing w:val="-77"/>
        </w:rPr>
        <w:t> </w:t>
      </w:r>
      <w:r>
        <w:rPr>
          <w:spacing w:val="-77"/>
        </w:rPr>
      </w:r>
      <w:r>
        <w:rPr/>
        <w:t>计划第三个行权期业绩考核未达到设定的行权条件，相应股票期权予以注销。</w:t>
      </w:r>
    </w:p>
    <w:p>
      <w:pPr>
        <w:spacing w:line="240" w:lineRule="auto" w:before="13"/>
        <w:rPr>
          <w:rFonts w:ascii="宋体" w:hAnsi="宋体" w:cs="宋体" w:eastAsia="宋体" w:hint="default"/>
          <w:sz w:val="22"/>
          <w:szCs w:val="22"/>
        </w:rPr>
      </w:pPr>
    </w:p>
    <w:p>
      <w:pPr>
        <w:pStyle w:val="Heading2"/>
        <w:spacing w:line="240" w:lineRule="auto"/>
        <w:ind w:right="967"/>
        <w:jc w:val="left"/>
        <w:rPr>
          <w:b w:val="0"/>
          <w:bCs w:val="0"/>
        </w:rPr>
      </w:pPr>
      <w:bookmarkStart w:name="十二、承诺及或有事项" w:id="321"/>
      <w:bookmarkEnd w:id="321"/>
      <w:r>
        <w:rPr>
          <w:b w:val="0"/>
          <w:bCs w:val="0"/>
        </w:rPr>
      </w:r>
      <w:r>
        <w:rPr/>
        <w:t>十二、承诺及或有事项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67"/>
        <w:jc w:val="left"/>
        <w:rPr>
          <w:b w:val="0"/>
          <w:bCs w:val="0"/>
        </w:rPr>
      </w:pPr>
      <w:bookmarkStart w:name="1、重要承诺事项" w:id="322"/>
      <w:bookmarkEnd w:id="322"/>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67"/>
        <w:jc w:val="left"/>
      </w:pPr>
      <w:r>
        <w:rPr/>
        <w:t>资产负债表日存在的重要承诺</w:t>
      </w:r>
    </w:p>
    <w:p>
      <w:pPr>
        <w:pStyle w:val="Heading4"/>
        <w:spacing w:line="240" w:lineRule="auto" w:before="89"/>
        <w:ind w:right="967"/>
        <w:jc w:val="left"/>
      </w:pPr>
      <w:r>
        <w:rPr/>
        <w:t>本公司无需披露的重要承诺事项</w:t>
      </w:r>
    </w:p>
    <w:p>
      <w:pPr>
        <w:spacing w:line="240" w:lineRule="auto" w:before="11"/>
        <w:rPr>
          <w:rFonts w:ascii="宋体" w:hAnsi="宋体" w:cs="宋体" w:eastAsia="宋体" w:hint="default"/>
          <w:sz w:val="25"/>
          <w:szCs w:val="25"/>
        </w:rPr>
      </w:pPr>
    </w:p>
    <w:p>
      <w:pPr>
        <w:pStyle w:val="Heading3"/>
        <w:spacing w:line="240" w:lineRule="auto"/>
        <w:ind w:right="967"/>
        <w:jc w:val="left"/>
        <w:rPr>
          <w:b w:val="0"/>
          <w:bCs w:val="0"/>
        </w:rPr>
      </w:pPr>
      <w:bookmarkStart w:name="2、或有事项" w:id="323"/>
      <w:bookmarkEnd w:id="323"/>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9"/>
        <w:rPr>
          <w:rFonts w:ascii="宋体" w:hAnsi="宋体" w:cs="宋体" w:eastAsia="宋体" w:hint="default"/>
          <w:b/>
          <w:bCs/>
          <w:sz w:val="24"/>
          <w:szCs w:val="24"/>
        </w:rPr>
      </w:pPr>
    </w:p>
    <w:p>
      <w:pPr>
        <w:spacing w:line="506" w:lineRule="auto" w:before="0"/>
        <w:ind w:left="154" w:right="7063" w:firstLine="0"/>
        <w:jc w:val="left"/>
        <w:rPr>
          <w:rFonts w:ascii="宋体" w:hAnsi="宋体" w:cs="宋体" w:eastAsia="宋体" w:hint="default"/>
          <w:sz w:val="21"/>
          <w:szCs w:val="21"/>
        </w:rPr>
      </w:pPr>
      <w:bookmarkStart w:name="（1）资产负债表日存在的重要或有事项" w:id="324"/>
      <w:bookmarkEnd w:id="3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本公司无需披露的或有事项</w:t>
      </w:r>
    </w:p>
    <w:p>
      <w:pPr>
        <w:spacing w:after="0" w:line="506"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967"/>
        <w:jc w:val="left"/>
        <w:rPr>
          <w:b w:val="0"/>
          <w:bCs w:val="0"/>
        </w:rPr>
      </w:pPr>
      <w:bookmarkStart w:name="（2）公司没有需要披露的重要或有事项，也应予以说明" w:id="325"/>
      <w:bookmarkEnd w:id="325"/>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67"/>
        <w:jc w:val="left"/>
      </w:pPr>
      <w:r>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54" w:right="8583" w:firstLine="0"/>
        <w:jc w:val="left"/>
        <w:rPr>
          <w:rFonts w:ascii="宋体" w:hAnsi="宋体" w:cs="宋体" w:eastAsia="宋体" w:hint="default"/>
          <w:sz w:val="21"/>
          <w:szCs w:val="21"/>
        </w:rPr>
      </w:pPr>
      <w:bookmarkStart w:name="3、其他" w:id="326"/>
      <w:bookmarkEnd w:id="32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其他重要事项" w:id="327"/>
      <w:bookmarkEnd w:id="327"/>
      <w:r>
        <w:rPr>
          <w:rFonts w:ascii="宋体" w:hAnsi="宋体" w:cs="宋体" w:eastAsia="宋体" w:hint="default"/>
          <w:b/>
          <w:bCs/>
          <w:spacing w:val="1"/>
          <w:w w:val="99"/>
          <w:sz w:val="21"/>
          <w:szCs w:val="21"/>
        </w:rPr>
      </w:r>
      <w:r>
        <w:rPr>
          <w:rFonts w:ascii="宋体" w:hAnsi="宋体" w:cs="宋体" w:eastAsia="宋体" w:hint="default"/>
          <w:b/>
          <w:bCs/>
          <w:sz w:val="24"/>
          <w:szCs w:val="24"/>
        </w:rPr>
        <w:t>十三、其他重要事项</w:t>
      </w:r>
      <w:r>
        <w:rPr>
          <w:rFonts w:ascii="宋体" w:hAnsi="宋体" w:cs="宋体" w:eastAsia="宋体" w:hint="default"/>
          <w:b/>
          <w:bCs/>
          <w:w w:val="99"/>
          <w:sz w:val="24"/>
          <w:szCs w:val="24"/>
        </w:rPr>
        <w:t> </w:t>
      </w:r>
      <w:bookmarkStart w:name="1、其他" w:id="328"/>
      <w:bookmarkEnd w:id="32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w:t>
      </w:r>
      <w:r>
        <w:rPr>
          <w:rFonts w:ascii="宋体" w:hAnsi="宋体" w:cs="宋体" w:eastAsia="宋体" w:hint="default"/>
          <w:sz w:val="21"/>
          <w:szCs w:val="21"/>
        </w:rPr>
      </w:r>
    </w:p>
    <w:p>
      <w:pPr>
        <w:pStyle w:val="Heading4"/>
        <w:spacing w:line="264" w:lineRule="auto" w:before="81"/>
        <w:ind w:right="1045" w:firstLine="423"/>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日召开第三届董事会第二十四次会议，审议通过了《关于全资子公司之间吸收合 并的议案》。为更好地进行内部整合和深度融合，提升管理效能，提升公司在</w:t>
      </w:r>
      <w:r>
        <w:rPr>
          <w:rFonts w:ascii="Times New Roman" w:hAnsi="Times New Roman" w:cs="Times New Roman" w:eastAsia="Times New Roman" w:hint="default"/>
        </w:rPr>
        <w:t>5G</w:t>
      </w:r>
      <w:r>
        <w:rPr/>
        <w:t>时代的网络优化、安全、 运维等方面的综合能力，拟进行内部企业合并。由全资子公司北京微智信业科技有限公司吸收合并全资子 公司北京惠捷朗科技有限公司，惠捷朗全部业务、资产、债权、债务由微智信业依法承继，惠捷朗独立法 人资格依法注销。合并基准日为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w:t>
      </w:r>
    </w:p>
    <w:p>
      <w:pPr>
        <w:pStyle w:val="Heading4"/>
        <w:spacing w:line="289" w:lineRule="exact" w:before="0"/>
        <w:ind w:left="577" w:right="967"/>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日披露了《关于全资子公司之间吸收合并的公告》</w:t>
      </w:r>
    </w:p>
    <w:p>
      <w:pPr>
        <w:spacing w:line="240" w:lineRule="auto" w:before="12"/>
        <w:rPr>
          <w:rFonts w:ascii="宋体" w:hAnsi="宋体" w:cs="宋体" w:eastAsia="宋体" w:hint="default"/>
          <w:sz w:val="22"/>
          <w:szCs w:val="22"/>
        </w:rPr>
      </w:pPr>
    </w:p>
    <w:p>
      <w:pPr>
        <w:pStyle w:val="Heading2"/>
        <w:spacing w:line="240" w:lineRule="auto"/>
        <w:ind w:right="967"/>
        <w:jc w:val="left"/>
        <w:rPr>
          <w:b w:val="0"/>
          <w:bCs w:val="0"/>
        </w:rPr>
      </w:pPr>
      <w:bookmarkStart w:name="十四、母公司财务报表主要项目注释" w:id="329"/>
      <w:bookmarkEnd w:id="329"/>
      <w:r>
        <w:rPr>
          <w:b w:val="0"/>
          <w:bCs w:val="0"/>
        </w:rPr>
      </w:r>
      <w:r>
        <w:rPr/>
        <w:t>十四、母公司财务报表主要项目注释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67"/>
        <w:jc w:val="left"/>
        <w:rPr>
          <w:b w:val="0"/>
          <w:bCs w:val="0"/>
        </w:rPr>
      </w:pPr>
      <w:bookmarkStart w:name="1、应收票据及应收账款" w:id="330"/>
      <w:bookmarkEnd w:id="330"/>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929,920.00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2,097,500.00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111,523,755.75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109,605,719.85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112,453,675.75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111,703,219.85</w:t>
            </w:r>
          </w:p>
        </w:tc>
      </w:tr>
    </w:tbl>
    <w:p>
      <w:pPr>
        <w:spacing w:line="240" w:lineRule="auto" w:before="2"/>
        <w:rPr>
          <w:rFonts w:ascii="宋体" w:hAnsi="宋体" w:cs="宋体" w:eastAsia="宋体" w:hint="default"/>
          <w:sz w:val="19"/>
          <w:szCs w:val="19"/>
        </w:rPr>
      </w:pPr>
    </w:p>
    <w:p>
      <w:pPr>
        <w:pStyle w:val="Heading3"/>
        <w:spacing w:line="240" w:lineRule="auto" w:before="35"/>
        <w:ind w:right="967"/>
        <w:jc w:val="left"/>
        <w:rPr>
          <w:b w:val="0"/>
          <w:bCs w:val="0"/>
        </w:rPr>
      </w:pPr>
      <w:bookmarkStart w:name="（1）应收票据" w:id="331"/>
      <w:bookmarkEnd w:id="331"/>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67"/>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929,920.00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2,097,500.00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929,920.00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2,097,500.00</w:t>
            </w:r>
          </w:p>
        </w:tc>
      </w:tr>
    </w:tbl>
    <w:p>
      <w:pPr>
        <w:pStyle w:val="BodyText"/>
        <w:spacing w:line="240" w:lineRule="auto" w:before="51"/>
        <w:ind w:right="967"/>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2"/>
        <w:ind w:right="967"/>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967"/>
        <w:jc w:val="left"/>
        <w:rPr>
          <w:b w:val="0"/>
          <w:bCs w:val="0"/>
        </w:rPr>
      </w:pPr>
      <w:bookmarkStart w:name="4)期末公司因出票人未履约而将其转应收账款的票据" w:id="332"/>
      <w:bookmarkEnd w:id="332"/>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2"/>
        <w:ind w:right="967"/>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967"/>
        <w:jc w:val="left"/>
        <w:rPr>
          <w:b w:val="0"/>
          <w:bCs w:val="0"/>
        </w:rPr>
      </w:pPr>
      <w:bookmarkStart w:name="（2）应收账款" w:id="333"/>
      <w:bookmarkEnd w:id="333"/>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67"/>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153,707,</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434.29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42,183,6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78.54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27.44%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111,523,7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55.75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150,906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,484.00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41,300,76</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4.15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27.37%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109,605,71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9.85</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153,707,</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434.29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42,183,6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78.54</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111,523,7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55.75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150,906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,484.00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41,300,76</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4.15</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109,605,71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9.85</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68,241,850.21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3,412,092.51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23,274,463.62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2,327,446.36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16,754,010.90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3,350,802.18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15,527,907.82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6,211,163.13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15,135,136.91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12,108,109.53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14,774,064.83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14,774,064.83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153,707,434.29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42,183,678.54</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432"/>
        <w:jc w:val="left"/>
      </w:pPr>
      <w:r>
        <w:rPr/>
        <w:t>确定该组合依据的说明： 组合中，采用余额百分比法计提坏账准备的应收账款：</w:t>
      </w:r>
    </w:p>
    <w:p>
      <w:pPr>
        <w:pStyle w:val="BodyText"/>
        <w:spacing w:line="340" w:lineRule="auto" w:before="26"/>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after="0" w:line="340" w:lineRule="auto"/>
        <w:jc w:val="left"/>
        <w:sectPr>
          <w:type w:val="continuous"/>
          <w:pgSz w:w="11910" w:h="16840"/>
          <w:pgMar w:top="1060" w:bottom="1160" w:left="980" w:right="0"/>
        </w:sect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79" w:top="1100" w:bottom="1160" w:left="980" w:right="0"/>
        </w:sectPr>
      </w:pPr>
    </w:p>
    <w:p>
      <w:pPr>
        <w:pStyle w:val="BodyText"/>
        <w:spacing w:line="240" w:lineRule="auto" w:before="44"/>
        <w:ind w:right="-18"/>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2"/>
        <w:ind w:right="-18"/>
        <w:jc w:val="left"/>
      </w:pPr>
      <w:r>
        <w:rPr/>
        <w:t>本期计提坏账准备金额</w:t>
      </w:r>
      <w:r>
        <w:rPr>
          <w:spacing w:val="-46"/>
        </w:rPr>
        <w:t> </w:t>
      </w:r>
      <w:r>
        <w:rPr>
          <w:rFonts w:ascii="Times New Roman" w:hAnsi="Times New Roman" w:cs="Times New Roman" w:eastAsia="Times New Roman" w:hint="default"/>
        </w:rPr>
        <w:t>882,914.39</w:t>
      </w:r>
      <w:r>
        <w:rPr>
          <w:rFonts w:ascii="Times New Roman" w:hAnsi="Times New Roman" w:cs="Times New Roman" w:eastAsia="Times New Roman" w:hint="default"/>
          <w:spacing w:val="-1"/>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 元</w:t>
      </w:r>
    </w:p>
    <w:p>
      <w:pPr>
        <w:spacing w:after="0" w:line="240" w:lineRule="auto"/>
        <w:jc w:val="left"/>
        <w:sectPr>
          <w:type w:val="continuous"/>
          <w:pgSz w:w="11910" w:h="16840"/>
          <w:pgMar w:top="1060" w:bottom="1160" w:left="980" w:right="0"/>
          <w:cols w:num="2" w:equalWidth="0">
            <w:col w:w="5915" w:space="291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2"/>
        <w:ind w:right="967"/>
        <w:jc w:val="left"/>
      </w:pPr>
      <w:r>
        <w:rPr>
          <w:rFonts w:ascii="Times New Roman" w:hAnsi="Times New Roman" w:cs="Times New Roman" w:eastAsia="Times New Roman" w:hint="default"/>
        </w:rPr>
        <w:t>3)</w:t>
      </w:r>
      <w:r>
        <w:rPr/>
        <w:t>本期实际核销的应收账款情况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967"/>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967"/>
        <w:jc w:val="left"/>
      </w:pPr>
      <w:r>
        <w:rPr/>
        <w:t>应收账款核销说明：</w:t>
      </w:r>
    </w:p>
    <w:p>
      <w:pPr>
        <w:pStyle w:val="BodyText"/>
        <w:spacing w:line="240" w:lineRule="auto" w:before="117"/>
        <w:ind w:right="967"/>
        <w:jc w:val="left"/>
      </w:pPr>
      <w:r>
        <w:rPr>
          <w:rFonts w:ascii="Times New Roman" w:hAnsi="Times New Roman" w:cs="Times New Roman" w:eastAsia="Times New Roman" w:hint="default"/>
        </w:rPr>
        <w:t>4)</w:t>
      </w:r>
      <w:r>
        <w:rPr/>
        <w:t>按欠款方归集的期末余额前五名的应收账款情况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tbl>
      <w:tblPr>
        <w:tblW w:w="0" w:type="auto"/>
        <w:jc w:val="left"/>
        <w:tblInd w:w="139" w:type="dxa"/>
        <w:tblLayout w:type="fixed"/>
        <w:tblCellMar>
          <w:top w:w="0" w:type="dxa"/>
          <w:left w:w="0" w:type="dxa"/>
          <w:bottom w:w="0" w:type="dxa"/>
          <w:right w:w="0" w:type="dxa"/>
        </w:tblCellMar>
        <w:tblLook w:val="01E0"/>
      </w:tblPr>
      <w:tblGrid>
        <w:gridCol w:w="3632"/>
        <w:gridCol w:w="2075"/>
        <w:gridCol w:w="1833"/>
        <w:gridCol w:w="2119"/>
      </w:tblGrid>
      <w:tr>
        <w:trPr>
          <w:trHeight w:val="342" w:hRule="exact"/>
        </w:trPr>
        <w:tc>
          <w:tcPr>
            <w:tcW w:w="363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60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654" w:hRule="exact"/>
        </w:trPr>
        <w:tc>
          <w:tcPr>
            <w:tcW w:w="3632" w:type="dxa"/>
            <w:vMerge/>
            <w:tcBorders>
              <w:left w:val="single" w:sz="4" w:space="0" w:color="000000"/>
              <w:bottom w:val="single" w:sz="4" w:space="0" w:color="000000"/>
              <w:right w:val="single" w:sz="4" w:space="0" w:color="000000"/>
            </w:tcBorders>
          </w:tcPr>
          <w:p>
            <w:pP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6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39" w:right="70" w:hanging="369"/>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占应收账款合计数 的比例</w:t>
            </w:r>
            <w:r>
              <w:rPr>
                <w:rFonts w:ascii="Times New Roman" w:hAnsi="Times New Roman" w:cs="Times New Roman" w:eastAsia="Times New Roman" w:hint="default"/>
                <w:sz w:val="21"/>
                <w:szCs w:val="21"/>
              </w:rPr>
              <w:t>(%)</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63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42"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东华软件股份公司</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8,346,250.00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7.48</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417,312.50</w:t>
            </w:r>
          </w:p>
        </w:tc>
      </w:tr>
      <w:tr>
        <w:trPr>
          <w:trHeight w:val="342"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中国软件与技术服务股份有限公司</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7,844,435.75</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7.03</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2,180,906.46</w:t>
            </w:r>
          </w:p>
        </w:tc>
      </w:tr>
      <w:tr>
        <w:trPr>
          <w:trHeight w:val="342"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东软集团股份有限公司</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5,459,760.00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4.90</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272,988.00</w:t>
            </w:r>
          </w:p>
        </w:tc>
      </w:tr>
      <w:tr>
        <w:trPr>
          <w:trHeight w:val="342"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华建暖星（北京）科技有限公司</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4,468,743.20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4.01</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984,277.28</w:t>
            </w:r>
          </w:p>
        </w:tc>
      </w:tr>
      <w:tr>
        <w:trPr>
          <w:trHeight w:val="342"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北京蓝海讯通科技股份有限公司</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6,000,000.00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5.38</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391,109.43</w:t>
            </w:r>
          </w:p>
        </w:tc>
      </w:tr>
      <w:tr>
        <w:trPr>
          <w:trHeight w:val="34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32,119,188.95</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28.80</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4,246,593.67</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before="44"/>
        <w:ind w:right="967"/>
        <w:jc w:val="left"/>
      </w:pPr>
      <w:r>
        <w:rPr>
          <w:rFonts w:ascii="Times New Roman" w:hAnsi="Times New Roman" w:cs="Times New Roman" w:eastAsia="Times New Roman" w:hint="default"/>
        </w:rPr>
        <w:t>5)</w:t>
      </w:r>
      <w:r>
        <w:rPr/>
        <w:t>因金融资产转移而终止确认的应收账款</w:t>
      </w:r>
    </w:p>
    <w:p>
      <w:pPr>
        <w:pStyle w:val="BodyText"/>
        <w:spacing w:line="340" w:lineRule="auto" w:before="102"/>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12"/>
        <w:rPr>
          <w:rFonts w:ascii="宋体" w:hAnsi="宋体" w:cs="宋体" w:eastAsia="宋体" w:hint="default"/>
          <w:sz w:val="20"/>
          <w:szCs w:val="20"/>
        </w:rPr>
      </w:pPr>
    </w:p>
    <w:p>
      <w:pPr>
        <w:pStyle w:val="Heading3"/>
        <w:spacing w:line="240" w:lineRule="auto"/>
        <w:ind w:right="967"/>
        <w:jc w:val="left"/>
        <w:rPr>
          <w:b w:val="0"/>
          <w:bCs w:val="0"/>
        </w:rPr>
      </w:pPr>
      <w:bookmarkStart w:name="2、其他应收款" w:id="334"/>
      <w:bookmarkEnd w:id="334"/>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2,208,839.45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59,371,218.01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21,885,357.73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59,371,218.01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94,094,197.18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967"/>
        <w:jc w:val="left"/>
        <w:rPr>
          <w:b w:val="0"/>
          <w:bCs w:val="0"/>
        </w:rPr>
      </w:pPr>
      <w:bookmarkStart w:name="（1）应收利息" w:id="335"/>
      <w:bookmarkEnd w:id="335"/>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67"/>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2,208,839.45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2,208,839.45</w:t>
            </w:r>
          </w:p>
        </w:tc>
      </w:tr>
    </w:tbl>
    <w:p>
      <w:pPr>
        <w:pStyle w:val="BodyText"/>
        <w:spacing w:line="240" w:lineRule="auto" w:before="51"/>
        <w:ind w:right="967"/>
        <w:jc w:val="left"/>
      </w:pPr>
      <w:r>
        <w:rPr>
          <w:rFonts w:ascii="Times New Roman" w:hAnsi="Times New Roman" w:cs="Times New Roman" w:eastAsia="Times New Roman" w:hint="default"/>
        </w:rPr>
        <w:t>2)</w:t>
      </w:r>
      <w:r>
        <w:rPr/>
        <w:t>重要逾期利息</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967"/>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67"/>
        <w:jc w:val="left"/>
        <w:rPr>
          <w:b w:val="0"/>
          <w:bCs w:val="0"/>
        </w:rPr>
      </w:pPr>
      <w:bookmarkStart w:name="（2）其他应收款" w:id="336"/>
      <w:bookmarkEnd w:id="336"/>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67"/>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59,371,2</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18.01</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59,371,21</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8.01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21,885,</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357.73</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21,885,357.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73</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59,371,2</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18.01</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59,371,21</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8.01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21,885,</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357.73</w:t>
            </w: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21,885,357.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73</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pStyle w:val="BodyText"/>
        <w:spacing w:line="240" w:lineRule="auto" w:before="51"/>
        <w:ind w:right="340"/>
        <w:jc w:val="left"/>
      </w:pPr>
      <w:r>
        <w:rPr/>
        <w:t>期末单项金额重大并单项计提坏账准备的其他应收款：</w:t>
      </w:r>
    </w:p>
    <w:p>
      <w:pPr>
        <w:pStyle w:val="BodyText"/>
        <w:spacing w:line="340" w:lineRule="auto" w:before="116"/>
        <w:ind w:right="7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338" w:lineRule="auto" w:before="40"/>
        <w:ind w:right="3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38" w:lineRule="auto" w:before="43"/>
        <w:ind w:right="7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right="3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48" w:lineRule="auto" w:before="103"/>
        <w:ind w:right="-20"/>
        <w:jc w:val="left"/>
      </w:pPr>
      <w:r>
        <w:rPr>
          <w:rFonts w:ascii="Times New Roman" w:hAnsi="Times New Roman" w:cs="Times New Roman" w:eastAsia="Times New Roman" w:hint="default"/>
        </w:rPr>
        <w:t>2)</w:t>
      </w:r>
      <w:r>
        <w:rPr/>
        <w:t>本期计提、收回或转回的坏账准备情况</w:t>
      </w:r>
      <w:r>
        <w:rPr>
          <w:w w:val="99"/>
        </w:rPr>
        <w:t> </w:t>
      </w:r>
      <w:r>
        <w:rPr/>
        <w:t>本期计提坏账准备金额元；本期收回或转回坏账准备金额元。</w:t>
      </w:r>
      <w:r>
        <w:rPr>
          <w:w w:val="99"/>
        </w:rPr>
        <w:t> </w:t>
      </w:r>
      <w:r>
        <w:rPr/>
        <w:t>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5"/>
        <w:ind w:left="153" w:right="0"/>
        <w:jc w:val="left"/>
      </w:pPr>
      <w:r>
        <w:rPr/>
        <w:t>单位： 元</w:t>
      </w:r>
    </w:p>
    <w:p>
      <w:pPr>
        <w:spacing w:after="0" w:line="240" w:lineRule="auto"/>
        <w:jc w:val="left"/>
        <w:sectPr>
          <w:type w:val="continuous"/>
          <w:pgSz w:w="11910" w:h="16840"/>
          <w:pgMar w:top="1060" w:bottom="1160" w:left="980" w:right="0"/>
          <w:cols w:num="2" w:equalWidth="0">
            <w:col w:w="5015" w:space="381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967"/>
        <w:jc w:val="left"/>
      </w:pPr>
      <w:r>
        <w:rPr>
          <w:rFonts w:ascii="Times New Roman" w:hAnsi="Times New Roman" w:cs="Times New Roman" w:eastAsia="Times New Roman" w:hint="default"/>
        </w:rPr>
        <w:t>3)</w:t>
      </w:r>
      <w:r>
        <w:rPr/>
        <w:t>其他应收款按款项性质分类情况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备用金及职工暂借款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66,762.00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20,478.50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583,476.00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736,026.00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572,959.15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655,139.83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56,835,692.00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19,788,799.00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其他单位往来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568,779.08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262,104.00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743,549.78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422,810.40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59,371,218.01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21,885,357.73</w:t>
            </w:r>
          </w:p>
        </w:tc>
      </w:tr>
    </w:tbl>
    <w:p>
      <w:pPr>
        <w:pStyle w:val="BodyText"/>
        <w:spacing w:line="240" w:lineRule="auto" w:before="51"/>
        <w:ind w:right="967"/>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北京微智信业科技有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84.22%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9"/>
              <w:jc w:val="left"/>
              <w:rPr>
                <w:rFonts w:ascii="宋体" w:hAnsi="宋体" w:cs="宋体" w:eastAsia="宋体" w:hint="default"/>
                <w:sz w:val="18"/>
                <w:szCs w:val="18"/>
              </w:rPr>
            </w:pPr>
            <w:r>
              <w:rPr>
                <w:rFonts w:ascii="宋体" w:hAnsi="宋体" w:cs="宋体" w:eastAsia="宋体" w:hint="default"/>
                <w:sz w:val="18"/>
                <w:szCs w:val="18"/>
              </w:rPr>
              <w:t>北京数字天堂信息科 技有限责任公司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4,400,000.00</w:t>
            </w:r>
          </w:p>
        </w:tc>
        <w:tc>
          <w:tcPr>
            <w:tcW w:w="1553"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p>
            <w:pPr>
              <w:pStyle w:val="TableParagraph"/>
              <w:spacing w:line="240" w:lineRule="auto" w:before="63"/>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p>
        </w:tc>
        <w:tc>
          <w:tcPr>
            <w:tcW w:w="161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9"/>
              <w:jc w:val="left"/>
              <w:rPr>
                <w:rFonts w:ascii="宋体" w:hAnsi="宋体" w:cs="宋体" w:eastAsia="宋体" w:hint="default"/>
                <w:sz w:val="18"/>
                <w:szCs w:val="18"/>
              </w:rPr>
            </w:pPr>
            <w:r>
              <w:rPr>
                <w:rFonts w:ascii="宋体" w:hAnsi="宋体" w:cs="宋体" w:eastAsia="宋体" w:hint="default"/>
                <w:sz w:val="18"/>
                <w:szCs w:val="18"/>
              </w:rPr>
              <w:t>北京东方通宇技术有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2,435,692.00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2046893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内，</w:t>
            </w:r>
            <w:r>
              <w:rPr>
                <w:rFonts w:ascii="Times New Roman" w:hAnsi="Times New Roman" w:cs="Times New Roman" w:eastAsia="Times New Roman" w:hint="default"/>
                <w:sz w:val="18"/>
                <w:szCs w:val="18"/>
              </w:rPr>
              <w:t>202596 </w:t>
            </w: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186203 </w:t>
            </w: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北京信息基础设施建 设股份有限公司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510,929.74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海关总署物资装备采 购中心</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248,364.91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57,594,986.65</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97.01%</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967"/>
        <w:jc w:val="left"/>
        <w:rPr>
          <w:b w:val="0"/>
          <w:bCs w:val="0"/>
        </w:rPr>
      </w:pPr>
      <w:bookmarkStart w:name="3、长期股权投资" w:id="337"/>
      <w:bookmarkEnd w:id="337"/>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1,795,370,000.00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355,209,919.06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1,440,160,080.94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1,125,370,000.00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355,209,919.06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770,160,080.94</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67,605,343.76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67,605,343.76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55,906,246.82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55,906,246.82</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1,862,975,343.76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355,209,919.06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1,507,765,424.70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1,181,276,246.82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355,209,919.06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826,066,327.76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967"/>
        <w:jc w:val="left"/>
        <w:rPr>
          <w:b w:val="0"/>
          <w:bCs w:val="0"/>
        </w:rPr>
      </w:pPr>
      <w:bookmarkStart w:name="（1）对子公司投资" w:id="338"/>
      <w:bookmarkEnd w:id="338"/>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成都东方通科技 有限责任公司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上海东方通泰软 件科技有限公司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北京东方通宇技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北京惠捷朗科技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337,929,523.60</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both"/>
              <w:rPr>
                <w:rFonts w:ascii="宋体" w:hAnsi="宋体" w:cs="宋体" w:eastAsia="宋体" w:hint="default"/>
                <w:sz w:val="18"/>
                <w:szCs w:val="18"/>
              </w:rPr>
            </w:pPr>
            <w:r>
              <w:rPr>
                <w:rFonts w:ascii="宋体" w:hAnsi="宋体" w:cs="宋体" w:eastAsia="宋体" w:hint="default"/>
                <w:sz w:val="18"/>
                <w:szCs w:val="18"/>
              </w:rPr>
              <w:t>北京数字天堂信 息科技有限责任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41,370,000.00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41,370,000.00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17,280,395.46</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北京微智信业科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641,000,000.00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北京泰策科技有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1,125,370,000.00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1,795,370,000.00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355,209,919.06</w:t>
            </w:r>
          </w:p>
        </w:tc>
      </w:tr>
    </w:tbl>
    <w:p>
      <w:pPr>
        <w:spacing w:line="240" w:lineRule="auto" w:before="2"/>
        <w:rPr>
          <w:rFonts w:ascii="宋体" w:hAnsi="宋体" w:cs="宋体" w:eastAsia="宋体" w:hint="default"/>
          <w:sz w:val="19"/>
          <w:szCs w:val="19"/>
        </w:rPr>
      </w:pPr>
    </w:p>
    <w:p>
      <w:pPr>
        <w:pStyle w:val="Heading3"/>
        <w:spacing w:line="240" w:lineRule="auto" w:before="35"/>
        <w:ind w:right="967"/>
        <w:jc w:val="left"/>
        <w:rPr>
          <w:b w:val="0"/>
          <w:bCs w:val="0"/>
        </w:rPr>
      </w:pPr>
      <w:bookmarkStart w:name="（2）对联营、合营企业投资" w:id="339"/>
      <w:bookmarkEnd w:id="339"/>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北京核高 基软件有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255,069.5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-4,970.56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250,098.9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杭州清响 投资管理 合伙企业</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55,651,17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7.30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-295,932.</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67,355,24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4.80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55,906,24</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6.82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-300,903.</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67,605,34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3.76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785"/>
        <w:gridCol w:w="798"/>
        <w:gridCol w:w="797"/>
        <w:gridCol w:w="798"/>
        <w:gridCol w:w="798"/>
        <w:gridCol w:w="798"/>
        <w:gridCol w:w="798"/>
        <w:gridCol w:w="798"/>
        <w:gridCol w:w="798"/>
        <w:gridCol w:w="798"/>
        <w:gridCol w:w="798"/>
        <w:gridCol w:w="798"/>
      </w:tblGrid>
      <w:tr>
        <w:trPr>
          <w:trHeight w:val="402" w:hRule="exact"/>
        </w:trPr>
        <w:tc>
          <w:tcPr>
            <w:tcW w:w="95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1" w:hRule="exact"/>
        </w:trPr>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55,906,24</w:t>
            </w:r>
          </w:p>
          <w:p>
            <w:pPr>
              <w:pStyle w:val="TableParagraph"/>
              <w:spacing w:line="240" w:lineRule="auto" w:before="106"/>
              <w:ind w:left="444" w:right="0"/>
              <w:jc w:val="left"/>
              <w:rPr>
                <w:rFonts w:ascii="Times New Roman" w:hAnsi="Times New Roman" w:cs="Times New Roman" w:eastAsia="Times New Roman" w:hint="default"/>
                <w:sz w:val="18"/>
                <w:szCs w:val="18"/>
              </w:rPr>
            </w:pPr>
            <w:r>
              <w:rPr>
                <w:rFonts w:ascii="Times New Roman"/>
                <w:sz w:val="18"/>
              </w:rPr>
              <w:t>6.82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-300,903.</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67,605,34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3.76</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967"/>
        <w:jc w:val="left"/>
        <w:rPr>
          <w:b w:val="0"/>
          <w:bCs w:val="0"/>
        </w:rPr>
      </w:pPr>
      <w:bookmarkStart w:name="4、营业收入和营业成本" w:id="340"/>
      <w:bookmarkEnd w:id="34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106,497,983.40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11,059,923.90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94,914,544.88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13,328,476.84</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106,497,983.40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11,059,923.90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94,914,544.88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13,328,476.84</w:t>
            </w:r>
          </w:p>
        </w:tc>
      </w:tr>
    </w:tbl>
    <w:p>
      <w:pPr>
        <w:pStyle w:val="BodyText"/>
        <w:spacing w:line="240" w:lineRule="auto" w:before="51"/>
        <w:ind w:right="967"/>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67"/>
        <w:jc w:val="left"/>
        <w:rPr>
          <w:b w:val="0"/>
          <w:bCs w:val="0"/>
        </w:rPr>
      </w:pPr>
      <w:bookmarkStart w:name="5、投资收益" w:id="341"/>
      <w:bookmarkEnd w:id="34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-300,903.06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-3,955,010.76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19,699,096.94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122,544,989.24</w:t>
            </w:r>
          </w:p>
        </w:tc>
      </w:tr>
    </w:tbl>
    <w:p>
      <w:pPr>
        <w:spacing w:line="240" w:lineRule="auto" w:before="2"/>
        <w:rPr>
          <w:rFonts w:ascii="宋体" w:hAnsi="宋体" w:cs="宋体" w:eastAsia="宋体" w:hint="default"/>
          <w:sz w:val="18"/>
          <w:szCs w:val="18"/>
        </w:rPr>
      </w:pPr>
    </w:p>
    <w:p>
      <w:pPr>
        <w:pStyle w:val="Heading2"/>
        <w:spacing w:line="240" w:lineRule="auto" w:before="26"/>
        <w:ind w:right="967"/>
        <w:jc w:val="left"/>
        <w:rPr>
          <w:b w:val="0"/>
          <w:bCs w:val="0"/>
        </w:rPr>
      </w:pPr>
      <w:bookmarkStart w:name="十五、补充资料" w:id="342"/>
      <w:bookmarkEnd w:id="342"/>
      <w:r>
        <w:rPr>
          <w:b w:val="0"/>
          <w:bCs w:val="0"/>
        </w:rPr>
      </w:r>
      <w:r>
        <w:rPr/>
        <w:t>十五、补充资料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67"/>
        <w:jc w:val="left"/>
        <w:rPr>
          <w:b w:val="0"/>
          <w:bCs w:val="0"/>
        </w:rPr>
      </w:pPr>
      <w:bookmarkStart w:name="1、当期非经常性损益明细表" w:id="343"/>
      <w:bookmarkEnd w:id="34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-42,260.96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19,312,366.90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-129,712.38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2,871,271.96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16,269,121.60</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67"/>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967"/>
        <w:jc w:val="left"/>
        <w:rPr>
          <w:b w:val="0"/>
          <w:bCs w:val="0"/>
        </w:rPr>
      </w:pPr>
      <w:bookmarkStart w:name="2、净资产收益率及每股收益" w:id="344"/>
      <w:bookmarkEnd w:id="34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1"/>
        <w:spacing w:line="240" w:lineRule="auto"/>
        <w:ind w:left="3286" w:right="967"/>
        <w:jc w:val="left"/>
        <w:rPr>
          <w:b w:val="0"/>
          <w:bCs w:val="0"/>
        </w:rPr>
      </w:pPr>
      <w:bookmarkStart w:name="_TOC_250000" w:id="345"/>
      <w:bookmarkStart w:name="第十二节 备查文件目录" w:id="346"/>
      <w:r>
        <w:rPr>
          <w:b w:val="0"/>
          <w:bCs w:val="0"/>
        </w:rPr>
      </w:r>
      <w:r>
        <w:rPr/>
        <w:t>第十二节</w:t>
      </w:r>
      <w:r>
        <w:rPr>
          <w:spacing w:val="-8"/>
        </w:rPr>
        <w:t> </w:t>
      </w:r>
      <w:r>
        <w:rPr/>
        <w:t>备查文件目录</w:t>
      </w:r>
      <w:bookmarkEnd w:id="345"/>
      <w:r>
        <w:rPr>
          <w:b w:val="0"/>
          <w:bCs w:val="0"/>
        </w:rPr>
      </w:r>
    </w:p>
    <w:p>
      <w:pPr>
        <w:spacing w:line="240" w:lineRule="auto" w:before="7"/>
        <w:rPr>
          <w:rFonts w:ascii="宋体" w:hAnsi="宋体" w:cs="宋体" w:eastAsia="宋体" w:hint="default"/>
          <w:b/>
          <w:bCs/>
          <w:sz w:val="42"/>
          <w:szCs w:val="42"/>
        </w:rPr>
      </w:pPr>
    </w:p>
    <w:p>
      <w:pPr>
        <w:pStyle w:val="BodyText"/>
        <w:spacing w:line="316" w:lineRule="auto"/>
        <w:ind w:right="3552"/>
        <w:jc w:val="left"/>
      </w:pPr>
      <w:r>
        <w:rPr/>
        <w:t>一、载有法定代表人、财务负责人、财务报表编制人签名并盖章的会计报表。 二、载有会计师事务所盖章、注册会计师签名并盖章的审计报告原件。 三、报告期内在中国证监会指定信息披露网站上披露的所有公司文件的正本及公告的原稿。 以上备查文件的备置地点：公司董事会秘书办公室。</w:t>
      </w:r>
    </w:p>
    <w:sectPr>
      <w:pgSz w:w="11910" w:h="16840"/>
      <w:pgMar w:header="877"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5816" type="#_x0000_t75" stroked="false">
          <v:imagedata r:id="rId1" o:title=""/>
        </v:shape>
      </w:pict>
    </w:r>
    <w:r>
      <w:rPr/>
      <w:pict>
        <v:shape style="position:absolute;margin-left:533.179993pt;margin-top:795.517944pt;width:6.5pt;height:11pt;mso-position-horizontal-relative:page;mso-position-vertical-relative:page;z-index:-113579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5768" type="#_x0000_t75" stroked="false">
          <v:imagedata r:id="rId1" o:title=""/>
        </v:shape>
      </w:pict>
    </w:r>
    <w:r>
      <w:rPr/>
      <w:pict>
        <v:shape style="position:absolute;margin-left:527.679993pt;margin-top:781.957947pt;width:13pt;height:11pt;mso-position-horizontal-relative:page;mso-position-vertical-relative:page;z-index:-1135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135696" type="#_x0000_t75" stroked="false">
          <v:imagedata r:id="rId1" o:title=""/>
        </v:shape>
      </w:pict>
    </w:r>
    <w:r>
      <w:rPr/>
      <w:pict>
        <v:shape style="position:absolute;margin-left:758.97998pt;margin-top:535.357971pt;width:13pt;height:11pt;mso-position-horizontal-relative:page;mso-position-vertical-relative:page;z-index:-11356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5600" type="#_x0000_t75" stroked="false">
          <v:imagedata r:id="rId1" o:title=""/>
        </v:shape>
      </w:pict>
    </w:r>
    <w:r>
      <w:rPr/>
      <w:pict>
        <v:shape style="position:absolute;margin-left:527.679993pt;margin-top:781.957947pt;width:13pt;height:11pt;mso-position-horizontal-relative:page;mso-position-vertical-relative:page;z-index:-11355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5552" type="#_x0000_t75" stroked="false">
          <v:imagedata r:id="rId1" o:title=""/>
        </v:shape>
      </w:pict>
    </w:r>
    <w:r>
      <w:rPr/>
      <w:pict>
        <v:shape style="position:absolute;margin-left:524.179993pt;margin-top:781.957947pt;width:15.5pt;height:11pt;mso-position-horizontal-relative:page;mso-position-vertical-relative:page;z-index:-113552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5504" type="#_x0000_t75" stroked="false">
          <v:imagedata r:id="rId1" o:title=""/>
        </v:shape>
      </w:pict>
    </w:r>
    <w:r>
      <w:rPr/>
      <w:pict>
        <v:shape style="position:absolute;margin-left:523.179993pt;margin-top:781.957947pt;width:17.5pt;height:11pt;mso-position-horizontal-relative:page;mso-position-vertical-relative:page;z-index:-11354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60004pt;margin-top:36.325607pt;width:204.55pt;height:11.5pt;mso-position-horizontal-relative:page;mso-position-vertical-relative:page;z-index:-1135840" type="#_x0000_t202" filled="false" stroked="false">
          <v:textbox inset="0,0,0,0">
            <w:txbxContent>
              <w:p>
                <w:pPr>
                  <w:pStyle w:val="BodyText"/>
                  <w:spacing w:line="214" w:lineRule="exact"/>
                  <w:ind w:left="20" w:right="0"/>
                  <w:jc w:val="left"/>
                </w:pPr>
                <w:r>
                  <w:rPr/>
                  <w:t>北京东方通科技股份有限公司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60022pt;margin-top:42.865631pt;width:204.55pt;height:11.5pt;mso-position-horizontal-relative:page;mso-position-vertical-relative:page;z-index:-1135720" type="#_x0000_t202" filled="false" stroked="false">
          <v:textbox inset="0,0,0,0">
            <w:txbxContent>
              <w:p>
                <w:pPr>
                  <w:pStyle w:val="BodyText"/>
                  <w:spacing w:line="214" w:lineRule="exact"/>
                  <w:ind w:left="20" w:right="0"/>
                  <w:jc w:val="left"/>
                </w:pPr>
                <w:r>
                  <w:rPr/>
                  <w:t>北京东方通科技股份有限公司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13564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35.160004pt;margin-top:42.865608pt;width:204.55pt;height:11.5pt;mso-position-horizontal-relative:page;mso-position-vertical-relative:page;z-index:-1135624" type="#_x0000_t202" filled="false" stroked="false">
          <v:textbox inset="0,0,0,0">
            <w:txbxContent>
              <w:p>
                <w:pPr>
                  <w:pStyle w:val="BodyText"/>
                  <w:spacing w:line="214" w:lineRule="exact"/>
                  <w:ind w:left="20" w:right="0"/>
                  <w:jc w:val="left"/>
                </w:pPr>
                <w:r>
                  <w:rPr/>
                  <w:t>北京东方通科技股份有限公司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492"/>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spacing w:before="7"/>
      <w:ind w:left="154"/>
      <w:outlineLvl w:val="4"/>
    </w:pPr>
    <w:rPr>
      <w:rFonts w:ascii="宋体" w:hAnsi="宋体" w:eastAsia="宋体"/>
      <w:sz w:val="21"/>
      <w:szCs w:val="21"/>
    </w:rPr>
  </w:style>
  <w:style w:styleId="Heading5" w:type="paragraph">
    <w:name w:val="Heading 5"/>
    <w:basedOn w:val="Normal"/>
    <w:uiPriority w:val="1"/>
    <w:qFormat/>
    <w:pPr>
      <w:ind w:left="154"/>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tongtech.com/" TargetMode="External"/><Relationship Id="rId10" Type="http://schemas.openxmlformats.org/officeDocument/2006/relationships/hyperlink" Target="mailto:tongtech@tongtech.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3.png"/><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image" Target="media/image17.jpeg"/><Relationship Id="rId29" Type="http://schemas.openxmlformats.org/officeDocument/2006/relationships/image" Target="media/image18.jpeg"/><Relationship Id="rId30" Type="http://schemas.openxmlformats.org/officeDocument/2006/relationships/image" Target="media/image19.jpeg"/><Relationship Id="rId31" Type="http://schemas.openxmlformats.org/officeDocument/2006/relationships/image" Target="media/image20.jpeg"/><Relationship Id="rId32" Type="http://schemas.openxmlformats.org/officeDocument/2006/relationships/image" Target="media/image21.jpeg"/><Relationship Id="rId33" Type="http://schemas.openxmlformats.org/officeDocument/2006/relationships/image" Target="media/image22.jpeg"/><Relationship Id="rId34" Type="http://schemas.openxmlformats.org/officeDocument/2006/relationships/image" Target="media/image23.jpeg"/><Relationship Id="rId35" Type="http://schemas.openxmlformats.org/officeDocument/2006/relationships/header" Target="header3.xml"/><Relationship Id="rId36" Type="http://schemas.openxmlformats.org/officeDocument/2006/relationships/footer" Target="footer4.xml"/><Relationship Id="rId37" Type="http://schemas.openxmlformats.org/officeDocument/2006/relationships/image" Target="media/image24.jpeg"/><Relationship Id="rId38" Type="http://schemas.openxmlformats.org/officeDocument/2006/relationships/footer" Target="footer5.xml"/><Relationship Id="rId39"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北京东方通科技股份有限公司</dc:creator>
  <dc:title>北京东方通科技股份有限公司2018年年度报告全文</dc:title>
  <dcterms:created xsi:type="dcterms:W3CDTF">2020-05-05T01:35:02Z</dcterms:created>
  <dcterms:modified xsi:type="dcterms:W3CDTF">2020-05-05T01:35:02Z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2019-04-23T00:00:00Z</vt:filetime>
  </property>
  <property fmtid="{D5CDD505-2E9C-101B-9397-08002B2CF9AE}" pid="3" name="Creator">
    <vt:lpwstr>Microsoft® Office Word 2007</vt:lpwstr>
  </property>
  <property fmtid="{D5CDD505-2E9C-101B-9397-08002B2CF9AE}" pid="4" name="LastSaved">
    <vt:filetime>2020-05-04T00:00:00Z</vt:filetime>
  </property>
</Properties>
</file>