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1929" w:lineRule="exact"/>
        <w:ind w:left="26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889012" cy="122529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889012" cy="1225296"/>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spacing w:line="460" w:lineRule="exact" w:before="0"/>
        <w:ind w:left="2602" w:right="3583" w:firstLine="0"/>
        <w:jc w:val="center"/>
        <w:rPr>
          <w:rFonts w:ascii="宋体" w:hAnsi="宋体" w:cs="宋体" w:eastAsia="宋体" w:hint="default"/>
          <w:sz w:val="36"/>
          <w:szCs w:val="36"/>
        </w:rPr>
      </w:pPr>
      <w:r>
        <w:rPr>
          <w:rFonts w:ascii="宋体" w:hAnsi="宋体" w:cs="宋体" w:eastAsia="宋体" w:hint="default"/>
          <w:b/>
          <w:bCs/>
          <w:sz w:val="36"/>
          <w:szCs w:val="36"/>
        </w:rPr>
        <w:t>北京东方通科技股份有限公司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1"/>
          <w:szCs w:val="31"/>
        </w:rPr>
      </w:pPr>
    </w:p>
    <w:p>
      <w:pPr>
        <w:spacing w:before="0"/>
        <w:ind w:left="2602" w:right="358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29"/>
          <w:szCs w:val="29"/>
        </w:rPr>
      </w:pPr>
    </w:p>
    <w:p>
      <w:pPr>
        <w:spacing w:before="0"/>
        <w:ind w:left="2602" w:right="3575" w:firstLine="0"/>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定</w:t>
      </w:r>
      <w:r>
        <w:rPr>
          <w:rFonts w:ascii="宋体" w:hAnsi="宋体" w:cs="宋体" w:eastAsia="宋体" w:hint="default"/>
          <w:b/>
          <w:bCs/>
          <w:spacing w:val="-52"/>
          <w:sz w:val="22"/>
          <w:szCs w:val="22"/>
        </w:rPr>
        <w:t> </w:t>
      </w:r>
      <w:r>
        <w:rPr>
          <w:rFonts w:ascii="Times New Roman" w:hAnsi="Times New Roman" w:cs="Times New Roman" w:eastAsia="Times New Roman" w:hint="default"/>
          <w:b/>
          <w:bCs/>
          <w:sz w:val="22"/>
          <w:szCs w:val="22"/>
        </w:rPr>
        <w:t>2020-002</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50"/>
        <w:ind w:left="2602" w:right="35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_TOC_250012" w:id="1"/>
      <w:bookmarkStart w:name="第一节重要提示、目录和释义" w:id="2"/>
      <w:r>
        <w:rPr>
          <w:b w:val="0"/>
          <w:bCs w:val="0"/>
        </w:rPr>
      </w:r>
      <w:r>
        <w:rPr/>
        <w:t>第一节重要提示、目录和释义</w:t>
      </w:r>
      <w:bookmarkEnd w:id="1"/>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公司负责人黄永军、主管会计工作负责人徐少璞及会计机构负责人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王巧瑞声明：保证年度报告中财务报告的真实、准确、完整。</w:t>
      </w:r>
      <w:r>
        <w:rPr>
          <w:rFonts w:ascii="宋体" w:hAnsi="宋体" w:cs="宋体" w:eastAsia="宋体" w:hint="default"/>
          <w:spacing w:val="2"/>
          <w:sz w:val="28"/>
          <w:szCs w:val="28"/>
        </w:rPr>
      </w:r>
    </w:p>
    <w:p>
      <w:pPr>
        <w:spacing w:line="475" w:lineRule="auto" w:before="148"/>
        <w:ind w:left="858" w:right="0" w:hanging="144"/>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本报告中如有涉及未来的计划、业绩预测等方面的内容，均不构成本公司</w:t>
      </w:r>
      <w:r>
        <w:rPr>
          <w:rFonts w:ascii="宋体" w:hAnsi="宋体" w:cs="宋体" w:eastAsia="宋体" w:hint="default"/>
          <w:sz w:val="28"/>
          <w:szCs w:val="28"/>
        </w:rPr>
      </w:r>
    </w:p>
    <w:p>
      <w:pPr>
        <w:spacing w:line="350"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对任何投资者及相关人士的承诺，投资者及相关人士均应对此保持足够的风险</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before="0"/>
        <w:ind w:left="153"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认识，并且应当理解计划、预测与承诺之间的差异。</w:t>
      </w:r>
      <w:r>
        <w:rPr>
          <w:rFonts w:ascii="宋体" w:hAnsi="宋体" w:cs="宋体" w:eastAsia="宋体" w:hint="default"/>
          <w:spacing w:val="2"/>
          <w:sz w:val="28"/>
          <w:szCs w:val="28"/>
        </w:rPr>
      </w:r>
    </w:p>
    <w:p>
      <w:pPr>
        <w:spacing w:line="240" w:lineRule="auto" w:before="1"/>
        <w:rPr>
          <w:rFonts w:ascii="宋体" w:hAnsi="宋体" w:cs="宋体" w:eastAsia="宋体" w:hint="default"/>
          <w:b/>
          <w:bCs/>
          <w:sz w:val="27"/>
          <w:szCs w:val="27"/>
        </w:rPr>
      </w:pPr>
    </w:p>
    <w:p>
      <w:pPr>
        <w:spacing w:line="403" w:lineRule="auto" w:before="0"/>
        <w:ind w:left="153" w:right="1133" w:firstLine="561"/>
        <w:jc w:val="both"/>
        <w:rPr>
          <w:rFonts w:ascii="宋体" w:hAnsi="宋体" w:cs="宋体" w:eastAsia="宋体" w:hint="default"/>
          <w:sz w:val="28"/>
          <w:szCs w:val="28"/>
        </w:rPr>
      </w:pPr>
      <w:r>
        <w:rPr>
          <w:rFonts w:ascii="Times New Roman" w:hAnsi="Times New Roman" w:cs="Times New Roman" w:eastAsia="Times New Roman" w:hint="default"/>
          <w:b/>
          <w:bCs/>
          <w:w w:val="95"/>
          <w:sz w:val="28"/>
          <w:szCs w:val="28"/>
        </w:rPr>
        <w:t>1</w:t>
      </w:r>
      <w:r>
        <w:rPr>
          <w:rFonts w:ascii="宋体" w:hAnsi="宋体" w:cs="宋体" w:eastAsia="宋体" w:hint="default"/>
          <w:b/>
          <w:bCs/>
          <w:w w:val="95"/>
          <w:sz w:val="28"/>
          <w:szCs w:val="28"/>
        </w:rPr>
        <w:t>、市场竞争风险。报告期内，基础软件和信息安全业务仍是公司营业收入</w:t>
      </w:r>
      <w:r>
        <w:rPr>
          <w:rFonts w:ascii="宋体" w:hAnsi="宋体" w:cs="宋体" w:eastAsia="宋体" w:hint="default"/>
          <w:b/>
          <w:bCs/>
          <w:w w:val="99"/>
          <w:sz w:val="28"/>
          <w:szCs w:val="28"/>
        </w:rPr>
        <w:t> </w:t>
      </w:r>
      <w:r>
        <w:rPr>
          <w:rFonts w:ascii="宋体" w:hAnsi="宋体" w:cs="宋体" w:eastAsia="宋体" w:hint="default"/>
          <w:b/>
          <w:bCs/>
          <w:sz w:val="28"/>
          <w:szCs w:val="28"/>
        </w:rPr>
        <w:t>的重要组成部分。在国内基础软件中间件领域，</w:t>
      </w:r>
      <w:r>
        <w:rPr>
          <w:rFonts w:ascii="Times New Roman" w:hAnsi="Times New Roman" w:cs="Times New Roman" w:eastAsia="Times New Roman" w:hint="default"/>
          <w:b/>
          <w:bCs/>
          <w:sz w:val="28"/>
          <w:szCs w:val="28"/>
        </w:rPr>
        <w:t>IBM</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Oracle</w:t>
      </w:r>
      <w:r>
        <w:rPr>
          <w:rFonts w:ascii="Times New Roman" w:hAnsi="Times New Roman" w:cs="Times New Roman" w:eastAsia="Times New Roman" w:hint="default"/>
          <w:b/>
          <w:bCs/>
          <w:spacing w:val="36"/>
          <w:sz w:val="28"/>
          <w:szCs w:val="28"/>
        </w:rPr>
        <w:t> </w:t>
      </w:r>
      <w:r>
        <w:rPr>
          <w:rFonts w:ascii="宋体" w:hAnsi="宋体" w:cs="宋体" w:eastAsia="宋体" w:hint="default"/>
          <w:b/>
          <w:bCs/>
          <w:sz w:val="28"/>
          <w:szCs w:val="28"/>
        </w:rPr>
        <w:t>国外软件企业仍</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然所占市场份额最高，其市场占有率高的主要原因在于品牌影响力、技术积累</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及其在数据库、服务器领域良好的配套支持。与国际知名软件厂商相比，公司</w:t>
      </w:r>
      <w:r>
        <w:rPr>
          <w:rFonts w:ascii="宋体" w:hAnsi="宋体" w:cs="宋体" w:eastAsia="宋体" w:hint="default"/>
          <w:b/>
          <w:bCs/>
          <w:spacing w:val="132"/>
          <w:w w:val="95"/>
          <w:sz w:val="28"/>
          <w:szCs w:val="28"/>
        </w:rPr>
        <w:t> </w:t>
      </w:r>
      <w:r>
        <w:rPr>
          <w:rFonts w:ascii="宋体" w:hAnsi="宋体" w:cs="宋体" w:eastAsia="宋体" w:hint="default"/>
          <w:b/>
          <w:bCs/>
          <w:spacing w:val="132"/>
          <w:w w:val="95"/>
          <w:sz w:val="28"/>
          <w:szCs w:val="28"/>
        </w:rPr>
      </w:r>
      <w:r>
        <w:rPr>
          <w:rFonts w:ascii="宋体" w:hAnsi="宋体" w:cs="宋体" w:eastAsia="宋体" w:hint="default"/>
          <w:b/>
          <w:bCs/>
          <w:spacing w:val="4"/>
          <w:w w:val="95"/>
          <w:sz w:val="28"/>
          <w:szCs w:val="28"/>
        </w:rPr>
        <w:t>在技术研发实力、市场培育、产品销售渠道建设等方面仍存在较大差距。随着</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软件国产化及企业信息化的不断推进，软件基础平台市场成长迅速，行业景气</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度的提升使得行业内原有竞争对手的规模和竞争力不断提高，同时市场新进入</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的竞争者会逐步增加。在信息安全领域，行业进入爆发式增长，竞争加剧。随</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着《国家网络空间安全战略》的发布，国家对于网络安全和信息安全的重视程</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度极大提升，安全领域成为局部热点，行业也更加细分，在细分的专业也出现</w:t>
      </w:r>
      <w:r>
        <w:rPr>
          <w:rFonts w:ascii="宋体" w:hAnsi="宋体" w:cs="宋体" w:eastAsia="宋体" w:hint="default"/>
          <w:spacing w:val="4"/>
          <w:sz w:val="28"/>
          <w:szCs w:val="28"/>
        </w:rPr>
      </w:r>
    </w:p>
    <w:p>
      <w:pPr>
        <w:spacing w:after="0" w:line="403" w:lineRule="auto"/>
        <w:jc w:val="both"/>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9"/>
          <w:szCs w:val="29"/>
        </w:rPr>
      </w:pPr>
    </w:p>
    <w:p>
      <w:pPr>
        <w:spacing w:line="408" w:lineRule="auto" w:before="12"/>
        <w:ind w:left="153" w:right="1133"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了一批新型的安全产品和服务提供厂家，竞争将更加激烈。进入大数据时代，</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信息安全技术的滞后于网络形态和数据规模的发展速度，可能影响新技术新业</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务甚至一些新兴行业的发展。信息安全市场的多元化发展趋势渐趋明朗，为行</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业内厂商的差异化定位提供了更大的发展空间，市场将逐渐向较具实力的信息</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安全企业集中。行业中具有一定规模和技术积累的公司，正在努力开拓技术门</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槛及毛利率均较高的新产品或新市场，以期获得市场竞争优势，而解决技术跨</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越，会出现复合型人才、关键技术、基础设施支撑等核心资源的紧张，存在研</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发投入是否准确和有效的风险。若公司不能紧跟行业发展趋势、满足客户需求</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的变化增强产品研发、技术创新和客户服务等方面的实力，或在新的大数据时</w:t>
      </w:r>
      <w:r>
        <w:rPr>
          <w:rFonts w:ascii="宋体" w:hAnsi="宋体" w:cs="宋体" w:eastAsia="宋体" w:hint="default"/>
          <w:b/>
          <w:bCs/>
          <w:spacing w:val="133"/>
          <w:w w:val="95"/>
          <w:sz w:val="28"/>
          <w:szCs w:val="28"/>
        </w:rPr>
        <w:t> </w:t>
      </w:r>
      <w:r>
        <w:rPr>
          <w:rFonts w:ascii="宋体" w:hAnsi="宋体" w:cs="宋体" w:eastAsia="宋体" w:hint="default"/>
          <w:b/>
          <w:bCs/>
          <w:spacing w:val="133"/>
          <w:w w:val="95"/>
          <w:sz w:val="28"/>
          <w:szCs w:val="28"/>
        </w:rPr>
      </w:r>
      <w:r>
        <w:rPr>
          <w:rFonts w:ascii="宋体" w:hAnsi="宋体" w:cs="宋体" w:eastAsia="宋体" w:hint="default"/>
          <w:b/>
          <w:bCs/>
          <w:spacing w:val="4"/>
          <w:w w:val="95"/>
          <w:sz w:val="28"/>
          <w:szCs w:val="28"/>
        </w:rPr>
        <w:t>代不能通过自身的规模和技术、市场优势，去开拓技术门槛和毛利较高的新产</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品和新市场，则未来将面临市场竞争加剧的风险。</w:t>
      </w:r>
      <w:r>
        <w:rPr>
          <w:rFonts w:ascii="宋体" w:hAnsi="宋体" w:cs="宋体" w:eastAsia="宋体" w:hint="default"/>
          <w:spacing w:val="2"/>
          <w:sz w:val="28"/>
          <w:szCs w:val="28"/>
        </w:rPr>
      </w:r>
    </w:p>
    <w:p>
      <w:pPr>
        <w:spacing w:line="403" w:lineRule="auto" w:before="162"/>
        <w:ind w:left="153" w:right="1140" w:firstLine="561"/>
        <w:jc w:val="both"/>
        <w:rPr>
          <w:rFonts w:ascii="宋体" w:hAnsi="宋体" w:cs="宋体" w:eastAsia="宋体" w:hint="default"/>
          <w:sz w:val="28"/>
          <w:szCs w:val="28"/>
        </w:rPr>
      </w:pPr>
      <w:r>
        <w:rPr>
          <w:rFonts w:ascii="Times New Roman" w:hAnsi="Times New Roman" w:cs="Times New Roman" w:eastAsia="Times New Roman" w:hint="default"/>
          <w:b/>
          <w:bCs/>
          <w:w w:val="95"/>
          <w:sz w:val="28"/>
          <w:szCs w:val="28"/>
        </w:rPr>
        <w:t>2</w:t>
      </w:r>
      <w:r>
        <w:rPr>
          <w:rFonts w:ascii="宋体" w:hAnsi="宋体" w:cs="宋体" w:eastAsia="宋体" w:hint="default"/>
          <w:b/>
          <w:bCs/>
          <w:w w:val="95"/>
          <w:sz w:val="28"/>
          <w:szCs w:val="28"/>
        </w:rPr>
        <w:t>、核心技术人员流失风险。软件行业属于智力密集型行业，面临人员流动</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大、知识结构更新快等人力资源管理方面的问题。公司作为软件企业，产品研</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发和技术创新依赖于优秀的研发人员，如果出现核心人员流失、人才结构失衡</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的情况，这将使公司的持续创新能力和市场竞争力受到影响，公司的经营将会</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受到较大的不利影响。</w:t>
      </w:r>
      <w:r>
        <w:rPr>
          <w:rFonts w:ascii="宋体" w:hAnsi="宋体" w:cs="宋体" w:eastAsia="宋体" w:hint="default"/>
          <w:spacing w:val="2"/>
          <w:sz w:val="28"/>
          <w:szCs w:val="28"/>
        </w:rPr>
      </w:r>
    </w:p>
    <w:p>
      <w:pPr>
        <w:spacing w:line="403" w:lineRule="auto" w:before="168"/>
        <w:ind w:left="153" w:right="1139" w:firstLine="561"/>
        <w:jc w:val="both"/>
        <w:rPr>
          <w:rFonts w:ascii="宋体" w:hAnsi="宋体" w:cs="宋体" w:eastAsia="宋体" w:hint="default"/>
          <w:sz w:val="28"/>
          <w:szCs w:val="28"/>
        </w:rPr>
      </w:pPr>
      <w:r>
        <w:rPr>
          <w:rFonts w:ascii="Times New Roman" w:hAnsi="Times New Roman" w:cs="Times New Roman" w:eastAsia="Times New Roman" w:hint="default"/>
          <w:b/>
          <w:bCs/>
          <w:w w:val="95"/>
          <w:sz w:val="28"/>
          <w:szCs w:val="28"/>
        </w:rPr>
        <w:t>3</w:t>
      </w:r>
      <w:r>
        <w:rPr>
          <w:rFonts w:ascii="宋体" w:hAnsi="宋体" w:cs="宋体" w:eastAsia="宋体" w:hint="default"/>
          <w:b/>
          <w:bCs/>
          <w:w w:val="95"/>
          <w:sz w:val="28"/>
          <w:szCs w:val="28"/>
        </w:rPr>
        <w:t>、技术研发风险。基于软件技术的研发规律，新技术、新产品的研发在创</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新成果和开发周期上存在较大的不确定性。一方面，新技术、新产品的技术研</w:t>
      </w:r>
      <w:r>
        <w:rPr>
          <w:rFonts w:ascii="宋体" w:hAnsi="宋体" w:cs="宋体" w:eastAsia="宋体" w:hint="default"/>
          <w:b/>
          <w:bCs/>
          <w:spacing w:val="125"/>
          <w:w w:val="95"/>
          <w:sz w:val="28"/>
          <w:szCs w:val="28"/>
        </w:rPr>
        <w:t> </w:t>
      </w:r>
      <w:r>
        <w:rPr>
          <w:rFonts w:ascii="宋体" w:hAnsi="宋体" w:cs="宋体" w:eastAsia="宋体" w:hint="default"/>
          <w:b/>
          <w:bCs/>
          <w:spacing w:val="125"/>
          <w:w w:val="95"/>
          <w:sz w:val="28"/>
          <w:szCs w:val="28"/>
        </w:rPr>
      </w:r>
      <w:r>
        <w:rPr>
          <w:rFonts w:ascii="宋体" w:hAnsi="宋体" w:cs="宋体" w:eastAsia="宋体" w:hint="default"/>
          <w:b/>
          <w:bCs/>
          <w:spacing w:val="4"/>
          <w:w w:val="95"/>
          <w:sz w:val="28"/>
          <w:szCs w:val="28"/>
        </w:rPr>
        <w:t>发难度较大，研发周期较长，开发环节中的个别难题有可能影响最终产品的研</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发进度，使新产品的推出时间出现滞后；另一方面，即使新技术、新产品顺利</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开发完成并推向市场，也有得不到市场和客户足够认可的风险，导致新技术、</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新产品推出后的经济效益与预期收益存在较大差距。如果公司在技术开发方向</w:t>
      </w:r>
      <w:r>
        <w:rPr>
          <w:rFonts w:ascii="宋体" w:hAnsi="宋体" w:cs="宋体" w:eastAsia="宋体" w:hint="default"/>
          <w:spacing w:val="4"/>
          <w:sz w:val="28"/>
          <w:szCs w:val="28"/>
        </w:rPr>
      </w:r>
    </w:p>
    <w:p>
      <w:pPr>
        <w:spacing w:after="0" w:line="403" w:lineRule="auto"/>
        <w:jc w:val="both"/>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08" w:lineRule="auto" w:before="12"/>
        <w:ind w:left="15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决策上出现失误，未能及时跟上行业技术更新换代的速度，未能正确把握市场</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动向并顺应市场需求变化，或未能及时将最新技术运用于新产品的升级和开发</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等，可能导致公司丧失技术和市场的现有地位。</w:t>
      </w:r>
      <w:r>
        <w:rPr>
          <w:rFonts w:ascii="宋体" w:hAnsi="宋体" w:cs="宋体" w:eastAsia="宋体" w:hint="default"/>
          <w:spacing w:val="2"/>
          <w:sz w:val="28"/>
          <w:szCs w:val="28"/>
        </w:rPr>
      </w:r>
    </w:p>
    <w:p>
      <w:pPr>
        <w:spacing w:line="403" w:lineRule="auto" w:before="162"/>
        <w:ind w:left="153" w:right="0" w:firstLine="56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、重组整合风险。公司和重组、并购的子公司处于软件和信息技术服务业</w:t>
      </w:r>
      <w:r>
        <w:rPr>
          <w:rFonts w:ascii="宋体" w:hAnsi="宋体" w:cs="宋体" w:eastAsia="宋体" w:hint="default"/>
          <w:b/>
          <w:bCs/>
          <w:w w:val="99"/>
          <w:sz w:val="28"/>
          <w:szCs w:val="28"/>
        </w:rPr>
        <w:t> </w:t>
      </w:r>
      <w:r>
        <w:rPr>
          <w:rFonts w:ascii="宋体" w:hAnsi="宋体" w:cs="宋体" w:eastAsia="宋体" w:hint="default"/>
          <w:b/>
          <w:bCs/>
          <w:spacing w:val="4"/>
          <w:sz w:val="28"/>
          <w:szCs w:val="28"/>
        </w:rPr>
        <w:t>内不同的细分行业，业务模式存在一定程度的差异。重组、并购完成后公司间</w:t>
      </w:r>
      <w:r>
        <w:rPr>
          <w:rFonts w:ascii="宋体" w:hAnsi="宋体" w:cs="宋体" w:eastAsia="宋体" w:hint="default"/>
          <w:b/>
          <w:bCs/>
          <w:w w:val="99"/>
          <w:sz w:val="28"/>
          <w:szCs w:val="28"/>
        </w:rPr>
        <w:t> </w:t>
      </w:r>
      <w:r>
        <w:rPr>
          <w:rFonts w:ascii="宋体" w:hAnsi="宋体" w:cs="宋体" w:eastAsia="宋体" w:hint="default"/>
          <w:b/>
          <w:bCs/>
          <w:w w:val="95"/>
          <w:sz w:val="28"/>
          <w:szCs w:val="28"/>
        </w:rPr>
        <w:t>需要在业务体系、组织机构、管理制度、企业文化等方面进行整合，而在研发、</w:t>
      </w:r>
      <w:r>
        <w:rPr>
          <w:rFonts w:ascii="宋体" w:hAnsi="宋体" w:cs="宋体" w:eastAsia="宋体" w:hint="default"/>
          <w:b/>
          <w:bCs/>
          <w:spacing w:val="11"/>
          <w:w w:val="95"/>
          <w:sz w:val="28"/>
          <w:szCs w:val="28"/>
        </w:rPr>
        <w:t> </w:t>
      </w:r>
      <w:r>
        <w:rPr>
          <w:rFonts w:ascii="宋体" w:hAnsi="宋体" w:cs="宋体" w:eastAsia="宋体" w:hint="default"/>
          <w:b/>
          <w:bCs/>
          <w:spacing w:val="11"/>
          <w:w w:val="95"/>
          <w:sz w:val="28"/>
          <w:szCs w:val="28"/>
        </w:rPr>
      </w:r>
      <w:r>
        <w:rPr>
          <w:rFonts w:ascii="宋体" w:hAnsi="宋体" w:cs="宋体" w:eastAsia="宋体" w:hint="default"/>
          <w:b/>
          <w:bCs/>
          <w:spacing w:val="4"/>
          <w:sz w:val="28"/>
          <w:szCs w:val="28"/>
        </w:rPr>
        <w:t>采购、销售和管理等方面的整合到位需要一定时间，因此，东方通与重组并购</w:t>
      </w:r>
      <w:r>
        <w:rPr>
          <w:rFonts w:ascii="宋体" w:hAnsi="宋体" w:cs="宋体" w:eastAsia="宋体" w:hint="default"/>
          <w:b/>
          <w:bCs/>
          <w:w w:val="99"/>
          <w:sz w:val="28"/>
          <w:szCs w:val="28"/>
        </w:rPr>
        <w:t> </w:t>
      </w:r>
      <w:r>
        <w:rPr>
          <w:rFonts w:ascii="宋体" w:hAnsi="宋体" w:cs="宋体" w:eastAsia="宋体" w:hint="default"/>
          <w:b/>
          <w:bCs/>
          <w:spacing w:val="4"/>
          <w:sz w:val="28"/>
          <w:szCs w:val="28"/>
        </w:rPr>
        <w:t>企业之间能否顺利实现整合具有不确定性，整合过程中可能会对各公司的正常</w:t>
      </w:r>
      <w:r>
        <w:rPr>
          <w:rFonts w:ascii="宋体" w:hAnsi="宋体" w:cs="宋体" w:eastAsia="宋体" w:hint="default"/>
          <w:b/>
          <w:bCs/>
          <w:w w:val="99"/>
          <w:sz w:val="28"/>
          <w:szCs w:val="28"/>
        </w:rPr>
        <w:t> </w:t>
      </w:r>
      <w:r>
        <w:rPr>
          <w:rFonts w:ascii="宋体" w:hAnsi="宋体" w:cs="宋体" w:eastAsia="宋体" w:hint="default"/>
          <w:b/>
          <w:bCs/>
          <w:w w:val="95"/>
          <w:sz w:val="28"/>
          <w:szCs w:val="28"/>
        </w:rPr>
        <w:t>业务发展造成一定影响。另外，也存在并购后的子公司业绩达不到预期的风险。</w:t>
      </w:r>
      <w:r>
        <w:rPr>
          <w:rFonts w:ascii="宋体" w:hAnsi="宋体" w:cs="宋体" w:eastAsia="宋体" w:hint="default"/>
          <w:sz w:val="28"/>
          <w:szCs w:val="28"/>
        </w:rPr>
      </w:r>
    </w:p>
    <w:p>
      <w:pPr>
        <w:spacing w:line="400" w:lineRule="auto" w:before="168"/>
        <w:ind w:left="153" w:right="0" w:firstLine="561"/>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、业务规模迅速扩大导致的管理风险。随着公司的资产、业务、机构和人</w:t>
      </w:r>
      <w:r>
        <w:rPr>
          <w:rFonts w:ascii="宋体" w:hAnsi="宋体" w:cs="宋体" w:eastAsia="宋体" w:hint="default"/>
          <w:b/>
          <w:bCs/>
          <w:w w:val="99"/>
          <w:sz w:val="28"/>
          <w:szCs w:val="28"/>
        </w:rPr>
        <w:t> </w:t>
      </w:r>
      <w:r>
        <w:rPr>
          <w:rFonts w:ascii="宋体" w:hAnsi="宋体" w:cs="宋体" w:eastAsia="宋体" w:hint="default"/>
          <w:b/>
          <w:bCs/>
          <w:w w:val="95"/>
          <w:sz w:val="28"/>
          <w:szCs w:val="28"/>
        </w:rPr>
        <w:t>员等进一步扩张，公司目前拥有微智信业、东方通软件、泰策科技、数字天堂、</w:t>
      </w:r>
      <w:r>
        <w:rPr>
          <w:rFonts w:ascii="宋体" w:hAnsi="宋体" w:cs="宋体" w:eastAsia="宋体" w:hint="default"/>
          <w:b/>
          <w:bCs/>
          <w:spacing w:val="15"/>
          <w:w w:val="95"/>
          <w:sz w:val="28"/>
          <w:szCs w:val="28"/>
        </w:rPr>
        <w:t> </w:t>
      </w:r>
      <w:r>
        <w:rPr>
          <w:rFonts w:ascii="宋体" w:hAnsi="宋体" w:cs="宋体" w:eastAsia="宋体" w:hint="default"/>
          <w:b/>
          <w:bCs/>
          <w:spacing w:val="15"/>
          <w:w w:val="95"/>
          <w:sz w:val="28"/>
          <w:szCs w:val="28"/>
        </w:rPr>
      </w:r>
      <w:r>
        <w:rPr>
          <w:rFonts w:ascii="宋体" w:hAnsi="宋体" w:cs="宋体" w:eastAsia="宋体" w:hint="default"/>
          <w:b/>
          <w:bCs/>
          <w:w w:val="95"/>
          <w:sz w:val="28"/>
          <w:szCs w:val="28"/>
        </w:rPr>
        <w:t>东方通宇、东方通泰等多家全资子公司，业务涉及基础软件、大数据信息安全、</w:t>
      </w:r>
      <w:r>
        <w:rPr>
          <w:rFonts w:ascii="宋体" w:hAnsi="宋体" w:cs="宋体" w:eastAsia="宋体" w:hint="default"/>
          <w:b/>
          <w:bCs/>
          <w:spacing w:val="9"/>
          <w:w w:val="95"/>
          <w:sz w:val="28"/>
          <w:szCs w:val="28"/>
        </w:rPr>
        <w:t> </w:t>
      </w:r>
      <w:r>
        <w:rPr>
          <w:rFonts w:ascii="宋体" w:hAnsi="宋体" w:cs="宋体" w:eastAsia="宋体" w:hint="default"/>
          <w:b/>
          <w:bCs/>
          <w:spacing w:val="9"/>
          <w:w w:val="95"/>
          <w:sz w:val="28"/>
          <w:szCs w:val="28"/>
        </w:rPr>
      </w:r>
      <w:r>
        <w:rPr>
          <w:rFonts w:ascii="宋体" w:hAnsi="宋体" w:cs="宋体" w:eastAsia="宋体" w:hint="default"/>
          <w:b/>
          <w:bCs/>
          <w:spacing w:val="-6"/>
          <w:w w:val="95"/>
          <w:sz w:val="28"/>
          <w:szCs w:val="28"/>
        </w:rPr>
        <w:t>网络安全、数据安全、应急安全、</w:t>
      </w:r>
      <w:r>
        <w:rPr>
          <w:rFonts w:ascii="Times New Roman" w:hAnsi="Times New Roman" w:cs="Times New Roman" w:eastAsia="Times New Roman" w:hint="default"/>
          <w:b/>
          <w:bCs/>
          <w:spacing w:val="-6"/>
          <w:w w:val="95"/>
          <w:sz w:val="28"/>
          <w:szCs w:val="28"/>
        </w:rPr>
        <w:t>5G </w:t>
      </w:r>
      <w:r>
        <w:rPr>
          <w:rFonts w:ascii="宋体" w:hAnsi="宋体" w:cs="宋体" w:eastAsia="宋体" w:hint="default"/>
          <w:b/>
          <w:bCs/>
          <w:spacing w:val="-3"/>
          <w:w w:val="95"/>
          <w:sz w:val="28"/>
          <w:szCs w:val="28"/>
        </w:rPr>
        <w:t>应用、工业互联网安全、军工信息化业务，</w:t>
      </w:r>
      <w:r>
        <w:rPr>
          <w:rFonts w:ascii="宋体" w:hAnsi="宋体" w:cs="宋体" w:eastAsia="宋体" w:hint="default"/>
          <w:b/>
          <w:bCs/>
          <w:spacing w:val="-57"/>
          <w:w w:val="95"/>
          <w:sz w:val="28"/>
          <w:szCs w:val="28"/>
        </w:rPr>
        <w:t> </w:t>
      </w:r>
      <w:r>
        <w:rPr>
          <w:rFonts w:ascii="宋体" w:hAnsi="宋体" w:cs="宋体" w:eastAsia="宋体" w:hint="default"/>
          <w:b/>
          <w:bCs/>
          <w:spacing w:val="-57"/>
          <w:w w:val="95"/>
          <w:sz w:val="28"/>
          <w:szCs w:val="28"/>
        </w:rPr>
      </w:r>
      <w:r>
        <w:rPr>
          <w:rFonts w:ascii="宋体" w:hAnsi="宋体" w:cs="宋体" w:eastAsia="宋体" w:hint="default"/>
          <w:b/>
          <w:bCs/>
          <w:spacing w:val="4"/>
          <w:sz w:val="28"/>
          <w:szCs w:val="28"/>
        </w:rPr>
        <w:t>集团化发展趋势已经显现。公司将在制度建设、组织设置、运营管理、资金管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理和内部控制等方面面临更大的挑战。</w:t>
      </w:r>
      <w:r>
        <w:rPr>
          <w:rFonts w:ascii="宋体" w:hAnsi="宋体" w:cs="宋体" w:eastAsia="宋体" w:hint="default"/>
          <w:spacing w:val="2"/>
          <w:sz w:val="28"/>
          <w:szCs w:val="28"/>
        </w:rPr>
      </w:r>
    </w:p>
    <w:p>
      <w:pPr>
        <w:spacing w:line="403" w:lineRule="auto" w:before="166"/>
        <w:ind w:left="153" w:right="1129" w:firstLine="561"/>
        <w:jc w:val="both"/>
        <w:rPr>
          <w:rFonts w:ascii="宋体" w:hAnsi="宋体" w:cs="宋体" w:eastAsia="宋体" w:hint="default"/>
          <w:sz w:val="28"/>
          <w:szCs w:val="28"/>
        </w:rPr>
      </w:pPr>
      <w:r>
        <w:rPr>
          <w:rFonts w:ascii="Times New Roman" w:hAnsi="Times New Roman" w:cs="Times New Roman" w:eastAsia="Times New Roman" w:hint="default"/>
          <w:b/>
          <w:bCs/>
          <w:w w:val="95"/>
          <w:sz w:val="28"/>
          <w:szCs w:val="28"/>
        </w:rPr>
        <w:t>6</w:t>
      </w:r>
      <w:r>
        <w:rPr>
          <w:rFonts w:ascii="宋体" w:hAnsi="宋体" w:cs="宋体" w:eastAsia="宋体" w:hint="default"/>
          <w:b/>
          <w:bCs/>
          <w:w w:val="95"/>
          <w:sz w:val="28"/>
          <w:szCs w:val="28"/>
        </w:rPr>
        <w:t>、业务转型升级导致的经营风险。国内信息安全领域目前处于快速发展的</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阶段中，预期微智信业和泰策科技的安全业务将保持持续发展势头。母公司除</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了始终专注于基础安全产品的研发与销售，也在积极拓展在特定行业解决方案</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的能力，通过多年的产品技术积累，向软件集成方向做有益的尝试。但业务转</w:t>
      </w:r>
      <w:r>
        <w:rPr>
          <w:rFonts w:ascii="宋体" w:hAnsi="宋体" w:cs="宋体" w:eastAsia="宋体" w:hint="default"/>
          <w:b/>
          <w:bCs/>
          <w:spacing w:val="131"/>
          <w:w w:val="95"/>
          <w:sz w:val="28"/>
          <w:szCs w:val="28"/>
        </w:rPr>
        <w:t> </w:t>
      </w:r>
      <w:r>
        <w:rPr>
          <w:rFonts w:ascii="宋体" w:hAnsi="宋体" w:cs="宋体" w:eastAsia="宋体" w:hint="default"/>
          <w:b/>
          <w:bCs/>
          <w:spacing w:val="131"/>
          <w:w w:val="95"/>
          <w:sz w:val="28"/>
          <w:szCs w:val="28"/>
        </w:rPr>
      </w:r>
      <w:r>
        <w:rPr>
          <w:rFonts w:ascii="宋体" w:hAnsi="宋体" w:cs="宋体" w:eastAsia="宋体" w:hint="default"/>
          <w:b/>
          <w:bCs/>
          <w:spacing w:val="2"/>
          <w:sz w:val="28"/>
          <w:szCs w:val="28"/>
        </w:rPr>
        <w:t>型是个渐进的过程，若未把握住发展机会，可能导致出现一定的经营风险。</w:t>
      </w:r>
      <w:r>
        <w:rPr>
          <w:rFonts w:ascii="宋体" w:hAnsi="宋体" w:cs="宋体" w:eastAsia="宋体" w:hint="default"/>
          <w:spacing w:val="2"/>
          <w:sz w:val="28"/>
          <w:szCs w:val="28"/>
        </w:rPr>
      </w:r>
    </w:p>
    <w:p>
      <w:pPr>
        <w:spacing w:before="168"/>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7</w:t>
      </w:r>
      <w:r>
        <w:rPr>
          <w:rFonts w:ascii="宋体" w:hAnsi="宋体" w:cs="宋体" w:eastAsia="宋体" w:hint="default"/>
          <w:b/>
          <w:bCs/>
          <w:sz w:val="28"/>
          <w:szCs w:val="28"/>
        </w:rPr>
        <w:t>、业绩季节性波动风险。公司及子公司客户群体以政府、电信运营商、金</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08" w:lineRule="auto" w:before="12"/>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融、交通等领域客户为主，受其采用的预算管理制度和集中采购制度等影响，</w:t>
      </w:r>
      <w:r>
        <w:rPr>
          <w:rFonts w:ascii="宋体" w:hAnsi="宋体" w:cs="宋体" w:eastAsia="宋体" w:hint="default"/>
          <w:b/>
          <w:bCs/>
          <w:w w:val="99"/>
          <w:sz w:val="28"/>
          <w:szCs w:val="28"/>
        </w:rPr>
        <w:t> </w:t>
      </w:r>
      <w:r>
        <w:rPr>
          <w:rFonts w:ascii="宋体" w:hAnsi="宋体" w:cs="宋体" w:eastAsia="宋体" w:hint="default"/>
          <w:b/>
          <w:bCs/>
          <w:spacing w:val="4"/>
          <w:sz w:val="28"/>
          <w:szCs w:val="28"/>
        </w:rPr>
        <w:t>通常在一季度制定本年度全年的信息技术采购计划和指标；在第二季度及第三</w:t>
      </w:r>
      <w:r>
        <w:rPr>
          <w:rFonts w:ascii="宋体" w:hAnsi="宋体" w:cs="宋体" w:eastAsia="宋体" w:hint="default"/>
          <w:b/>
          <w:bCs/>
          <w:w w:val="99"/>
          <w:sz w:val="28"/>
          <w:szCs w:val="28"/>
        </w:rPr>
        <w:t> </w:t>
      </w:r>
      <w:r>
        <w:rPr>
          <w:rFonts w:ascii="宋体" w:hAnsi="宋体" w:cs="宋体" w:eastAsia="宋体" w:hint="default"/>
          <w:b/>
          <w:bCs/>
          <w:spacing w:val="4"/>
          <w:sz w:val="28"/>
          <w:szCs w:val="28"/>
        </w:rPr>
        <w:t>季度上半段进行相关产品现场调研、邀请相关厂商进行产品测试以及对入围厂</w:t>
      </w:r>
      <w:r>
        <w:rPr>
          <w:rFonts w:ascii="宋体" w:hAnsi="宋体" w:cs="宋体" w:eastAsia="宋体" w:hint="default"/>
          <w:b/>
          <w:bCs/>
          <w:w w:val="99"/>
          <w:sz w:val="28"/>
          <w:szCs w:val="28"/>
        </w:rPr>
        <w:t> </w:t>
      </w:r>
      <w:r>
        <w:rPr>
          <w:rFonts w:ascii="宋体" w:hAnsi="宋体" w:cs="宋体" w:eastAsia="宋体" w:hint="default"/>
          <w:b/>
          <w:bCs/>
          <w:spacing w:val="4"/>
          <w:sz w:val="28"/>
          <w:szCs w:val="28"/>
        </w:rPr>
        <w:t>商进行招标、投标、评标和定标；第三季度下半段及第四季度才正式确定所需</w:t>
      </w:r>
      <w:r>
        <w:rPr>
          <w:rFonts w:ascii="宋体" w:hAnsi="宋体" w:cs="宋体" w:eastAsia="宋体" w:hint="default"/>
          <w:b/>
          <w:bCs/>
          <w:w w:val="99"/>
          <w:sz w:val="28"/>
          <w:szCs w:val="28"/>
        </w:rPr>
        <w:t> </w:t>
      </w:r>
      <w:r>
        <w:rPr>
          <w:rFonts w:ascii="宋体" w:hAnsi="宋体" w:cs="宋体" w:eastAsia="宋体" w:hint="default"/>
          <w:b/>
          <w:bCs/>
          <w:w w:val="95"/>
          <w:sz w:val="28"/>
          <w:szCs w:val="28"/>
        </w:rPr>
        <w:t>采购产品并与中标厂商签订采购合同。因此，公司存在明显的季节性销售特征。</w:t>
      </w:r>
      <w:r>
        <w:rPr>
          <w:rFonts w:ascii="宋体" w:hAnsi="宋体" w:cs="宋体" w:eastAsia="宋体" w:hint="default"/>
          <w:b/>
          <w:bCs/>
          <w:spacing w:val="10"/>
          <w:w w:val="95"/>
          <w:sz w:val="28"/>
          <w:szCs w:val="28"/>
        </w:rPr>
        <w:t> </w:t>
      </w:r>
      <w:r>
        <w:rPr>
          <w:rFonts w:ascii="宋体" w:hAnsi="宋体" w:cs="宋体" w:eastAsia="宋体" w:hint="default"/>
          <w:b/>
          <w:bCs/>
          <w:spacing w:val="10"/>
          <w:w w:val="95"/>
          <w:sz w:val="28"/>
          <w:szCs w:val="28"/>
        </w:rPr>
      </w:r>
      <w:r>
        <w:rPr>
          <w:rFonts w:ascii="宋体" w:hAnsi="宋体" w:cs="宋体" w:eastAsia="宋体" w:hint="default"/>
          <w:b/>
          <w:bCs/>
          <w:spacing w:val="2"/>
          <w:sz w:val="28"/>
          <w:szCs w:val="28"/>
        </w:rPr>
        <w:t>近年公司销售和业绩的季节性特征有所改善，但总体趋势仍不会有大的变化。</w:t>
      </w:r>
      <w:r>
        <w:rPr>
          <w:rFonts w:ascii="宋体" w:hAnsi="宋体" w:cs="宋体" w:eastAsia="宋体" w:hint="default"/>
          <w:spacing w:val="2"/>
          <w:sz w:val="28"/>
          <w:szCs w:val="28"/>
        </w:rPr>
      </w:r>
    </w:p>
    <w:p>
      <w:pPr>
        <w:spacing w:line="405" w:lineRule="auto" w:before="162"/>
        <w:ind w:left="153" w:right="1078" w:firstLine="561"/>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8</w:t>
      </w:r>
      <w:r>
        <w:rPr>
          <w:rFonts w:ascii="宋体" w:hAnsi="宋体" w:cs="宋体" w:eastAsia="宋体" w:hint="default"/>
          <w:b/>
          <w:bCs/>
          <w:spacing w:val="2"/>
          <w:w w:val="95"/>
          <w:sz w:val="28"/>
          <w:szCs w:val="28"/>
        </w:rPr>
        <w:t>、商誉减值风险。公司在进行资产收购的过程中，根据《企业会计准则》</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要求，非同一控制下的企业合并，合并成本大于合并中取得的被购买方可辨认</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净资产公允价值份额的差额，确认为商誉，商誉不做摊销处理，但需在未来年</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度每年年终进行减值测试。如果未来被收购资产所处行业不景气、自身业务下</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降或者其他因素导致未来经营状况和盈利能力未达预期，则上市公司存在商誉</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减值的风险，从而对上市公司当期损益造成不利影响，若一旦集中计提大额的</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商誉减值，将对上市公司盈利水平产生较大的不利影响，提请投资者注意相应</w:t>
      </w:r>
      <w:r>
        <w:rPr>
          <w:rFonts w:ascii="宋体" w:hAnsi="宋体" w:cs="宋体" w:eastAsia="宋体" w:hint="default"/>
          <w:b/>
          <w:bCs/>
          <w:spacing w:val="132"/>
          <w:w w:val="95"/>
          <w:sz w:val="28"/>
          <w:szCs w:val="28"/>
        </w:rPr>
        <w:t> </w:t>
      </w:r>
      <w:r>
        <w:rPr>
          <w:rFonts w:ascii="宋体" w:hAnsi="宋体" w:cs="宋体" w:eastAsia="宋体" w:hint="default"/>
          <w:b/>
          <w:bCs/>
          <w:spacing w:val="132"/>
          <w:w w:val="95"/>
          <w:sz w:val="28"/>
          <w:szCs w:val="28"/>
        </w:rPr>
      </w:r>
      <w:r>
        <w:rPr>
          <w:rFonts w:ascii="宋体" w:hAnsi="宋体" w:cs="宋体" w:eastAsia="宋体" w:hint="default"/>
          <w:b/>
          <w:bCs/>
          <w:spacing w:val="4"/>
          <w:sz w:val="28"/>
          <w:szCs w:val="28"/>
        </w:rPr>
        <w:t>风险。</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39"/>
          <w:szCs w:val="39"/>
        </w:rPr>
      </w:pPr>
    </w:p>
    <w:p>
      <w:pPr>
        <w:spacing w:before="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281,295,708</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全体</w:t>
      </w:r>
      <w:r>
        <w:rPr>
          <w:rFonts w:ascii="宋体" w:hAnsi="宋体" w:cs="宋体" w:eastAsia="宋体" w:hint="default"/>
          <w:b/>
          <w:bCs/>
          <w:w w:val="99"/>
          <w:sz w:val="28"/>
          <w:szCs w:val="28"/>
        </w:rPr>
        <w:t>股东每</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派发</w:t>
      </w:r>
      <w:r>
        <w:rPr>
          <w:rFonts w:ascii="宋体" w:hAnsi="宋体" w:cs="宋体" w:eastAsia="宋体" w:hint="default"/>
          <w:b/>
          <w:bCs/>
          <w:w w:val="99"/>
          <w:sz w:val="28"/>
          <w:szCs w:val="28"/>
        </w:rPr>
        <w:t>现</w:t>
      </w:r>
      <w:r>
        <w:rPr>
          <w:rFonts w:ascii="宋体" w:hAnsi="宋体" w:cs="宋体" w:eastAsia="宋体" w:hint="default"/>
          <w:b/>
          <w:bCs/>
          <w:spacing w:val="4"/>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4"/>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0"/>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4"/>
          <w:w w:val="99"/>
          <w:sz w:val="28"/>
          <w:szCs w:val="28"/>
        </w:rPr>
        <w:t>以</w:t>
      </w:r>
      <w:r>
        <w:rPr>
          <w:rFonts w:ascii="宋体" w:hAnsi="宋体" w:cs="宋体" w:eastAsia="宋体" w:hint="default"/>
          <w:b/>
          <w:bCs/>
          <w:w w:val="99"/>
          <w:sz w:val="28"/>
          <w:szCs w:val="28"/>
        </w:rPr>
        <w:t>资</w:t>
      </w:r>
      <w:r>
        <w:rPr>
          <w:rFonts w:ascii="宋体" w:hAnsi="宋体" w:cs="宋体" w:eastAsia="宋体" w:hint="default"/>
          <w:b/>
          <w:bCs/>
          <w:spacing w:val="4"/>
          <w:w w:val="99"/>
          <w:sz w:val="28"/>
          <w:szCs w:val="28"/>
        </w:rPr>
        <w:t>本</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3"/>
          <w:sz w:val="28"/>
          <w:szCs w:val="28"/>
        </w:rPr>
        <w:t>10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0"/>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2602" w:right="3576"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70"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20"/>
              </w:rPr>
              <w:t> </w:t>
            </w:r>
            <w:r>
              <w:rPr/>
              <w:t>重要提示、目录和释义</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20"/>
              </w:rPr>
              <w:t> </w:t>
            </w:r>
            <w:r>
              <w:rPr/>
              <w:t>公司简介和主要财务指标</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TOC_250010">
            <w:r>
              <w:rPr/>
              <w:t>第三节</w:t>
            </w:r>
            <w:r>
              <w:rPr>
                <w:spacing w:val="-20"/>
              </w:rPr>
              <w:t> </w:t>
            </w:r>
            <w:r>
              <w:rPr/>
              <w:t>公司业务概要</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20"/>
              </w:rPr>
              <w:t> </w:t>
            </w:r>
            <w:r>
              <w:rPr/>
              <w:t>经营情况讨论与分析</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8">
            <w:r>
              <w:rPr/>
              <w:t>第五节</w:t>
            </w:r>
            <w:r>
              <w:rPr>
                <w:spacing w:val="-20"/>
              </w:rPr>
              <w:t> </w:t>
            </w:r>
            <w:r>
              <w:rPr/>
              <w:t>重要事项</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20"/>
              </w:rPr>
              <w:t> </w:t>
            </w:r>
            <w:r>
              <w:rPr/>
              <w:t>股份变动及股东情况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6">
            <w:r>
              <w:rPr/>
              <w:t>第七节</w:t>
            </w:r>
            <w:r>
              <w:rPr>
                <w:spacing w:val="-21"/>
              </w:rPr>
              <w:t> </w:t>
            </w:r>
            <w:r>
              <w:rPr/>
              <w:t>优先股相关情况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20"/>
              </w:rPr>
              <w:t> </w:t>
            </w:r>
            <w:r>
              <w:rPr/>
              <w:t>可转换公司债券相关情况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4">
            <w:r>
              <w:rPr/>
              <w:t>第九节</w:t>
            </w:r>
            <w:r>
              <w:rPr>
                <w:spacing w:val="-21"/>
              </w:rPr>
              <w:t> </w:t>
            </w:r>
            <w:r>
              <w:rPr/>
              <w:t>董事、监事、高级管理人员和员工情况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20"/>
              </w:rPr>
              <w:t> </w:t>
            </w:r>
            <w:r>
              <w:rPr/>
              <w:t>公司治理</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2">
            <w:r>
              <w:rPr/>
              <w:t>第十一节</w:t>
            </w:r>
            <w:r>
              <w:rPr>
                <w:spacing w:val="-20"/>
              </w:rPr>
              <w:t> </w:t>
            </w:r>
            <w:r>
              <w:rPr/>
              <w:t>公司债券相关情况</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20"/>
              </w:rPr>
              <w:t> </w:t>
            </w:r>
            <w:r>
              <w:rPr/>
              <w:t>财务报告</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0">
            <w:r>
              <w:rPr/>
              <w:t>第十三节</w:t>
            </w:r>
            <w:r>
              <w:rPr>
                <w:spacing w:val="-21"/>
              </w:rPr>
              <w:t> </w:t>
            </w:r>
            <w:r>
              <w:rPr/>
              <w:t>备查文件目录</w:t>
            </w:r>
            <w:r>
              <w:rPr>
                <w:rFonts w:ascii="Times New Roman" w:hAnsi="Times New Roman" w:cs="Times New Roman" w:eastAsia="Times New Roman" w:hint="default"/>
              </w:rPr>
              <w:tab/>
              <w:t>105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1" w:footer="979" w:top="1060" w:bottom="1160" w:left="980" w:right="0"/>
        </w:sectPr>
      </w:pPr>
    </w:p>
    <w:p>
      <w:pPr>
        <w:spacing w:before="954"/>
        <w:ind w:left="2602" w:right="35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000"/>
        <w:gridCol w:w="684"/>
        <w:gridCol w:w="6891"/>
      </w:tblGrid>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公司、东方通、本公司</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北京东方通科技股份有限公司</w:t>
            </w:r>
          </w:p>
        </w:tc>
      </w:tr>
      <w:tr>
        <w:trPr>
          <w:trHeight w:val="399"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北京东方通科技股份有限公司章程</w:t>
            </w:r>
          </w:p>
        </w:tc>
      </w:tr>
      <w:tr>
        <w:trPr>
          <w:trHeight w:val="399"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大华、会计师</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大华会计师事务所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东方通泰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上海东方通泰软件科技有限公司</w:t>
            </w:r>
          </w:p>
        </w:tc>
      </w:tr>
      <w:tr>
        <w:trPr>
          <w:trHeight w:val="399"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成都东方通</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成都东方通科技有限责任公司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东方通宇</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北京东方通宇技术有限公司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北京惠捷朗科技有限公司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北京数字天堂信息科技有限责任公司</w:t>
            </w:r>
          </w:p>
        </w:tc>
      </w:tr>
      <w:tr>
        <w:trPr>
          <w:trHeight w:val="399"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北京微智信业科技有限公司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无锡东方通</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东方通科技无锡有限公司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清响基金</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杭州清响投资管理合伙企业（有限合伙）</w:t>
            </w:r>
          </w:p>
        </w:tc>
      </w:tr>
      <w:tr>
        <w:trPr>
          <w:trHeight w:val="398"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北京核高基</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北京核高基软件有限公司</w:t>
            </w:r>
          </w:p>
        </w:tc>
      </w:tr>
      <w:tr>
        <w:trPr>
          <w:trHeight w:val="404"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中华人民共和国工业和信息化部</w:t>
            </w: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电信运营商</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21" w:lineRule="auto" w:before="53"/>
              <w:ind w:left="28" w:right="23"/>
              <w:jc w:val="left"/>
              <w:rPr>
                <w:rFonts w:ascii="宋体" w:hAnsi="宋体" w:cs="宋体" w:eastAsia="宋体" w:hint="default"/>
                <w:sz w:val="18"/>
                <w:szCs w:val="18"/>
              </w:rPr>
            </w:pPr>
            <w:r>
              <w:rPr>
                <w:rFonts w:ascii="宋体" w:hAnsi="宋体" w:cs="宋体" w:eastAsia="宋体" w:hint="default"/>
                <w:spacing w:val="-4"/>
                <w:sz w:val="18"/>
                <w:szCs w:val="18"/>
              </w:rPr>
              <w:t>提供固定电话、移动电话和互联网接入的通信服务公司，中国三大电信运营商分别是中</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国移动、中国联通和中国电信</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399"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中国联合网络通信集团有限公司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中国电信集团有限公司</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z w:val="18"/>
                <w:szCs w:val="18"/>
              </w:rPr>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《深圳证券交易所创业板股票上市规则》</w:t>
            </w:r>
          </w:p>
        </w:tc>
      </w:tr>
      <w:tr>
        <w:trPr>
          <w:trHeight w:val="471"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基础软件</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6" w:lineRule="auto" w:before="54"/>
              <w:ind w:left="28" w:right="23"/>
              <w:jc w:val="both"/>
              <w:rPr>
                <w:rFonts w:ascii="宋体" w:hAnsi="宋体" w:cs="宋体" w:eastAsia="宋体" w:hint="default"/>
                <w:sz w:val="18"/>
                <w:szCs w:val="18"/>
              </w:rPr>
            </w:pPr>
            <w:r>
              <w:rPr>
                <w:rFonts w:ascii="宋体" w:hAnsi="宋体" w:cs="宋体" w:eastAsia="宋体" w:hint="default"/>
                <w:spacing w:val="-4"/>
                <w:sz w:val="18"/>
                <w:szCs w:val="18"/>
              </w:rPr>
              <w:t>计算机系统中最底层、与具体业务逻辑无关的一类软件，其主要作用是为应用软件对系</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统资源、数据和网络资源的访问和管理提供支撑，为应用软件的开发、部署和运行提供</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平台。计算机软件可以分为基础软件和应用软件两大类。基础软件包括操作系统、数据</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库系统、中间件与虚拟化软件等。</w:t>
            </w:r>
          </w:p>
        </w:tc>
      </w:tr>
      <w:tr>
        <w:trPr>
          <w:trHeight w:val="394"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470"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24pt;margin-top:72.019981pt;width:479.5pt;height:690.2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684"/>
                    <w:gridCol w:w="6891"/>
                  </w:tblGrid>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98"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中间件</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位于系统软件之上，用于支持分布式应用软件，连接不同软件实体的支撑软件。</w:t>
                        </w: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核高基</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0" w:lineRule="auto" w:before="58"/>
                          <w:ind w:left="28" w:right="89"/>
                          <w:jc w:val="left"/>
                          <w:rPr>
                            <w:rFonts w:ascii="宋体" w:hAnsi="宋体" w:cs="宋体" w:eastAsia="宋体" w:hint="default"/>
                            <w:sz w:val="18"/>
                            <w:szCs w:val="18"/>
                          </w:rPr>
                        </w:pPr>
                        <w:r>
                          <w:rPr>
                            <w:rFonts w:ascii="宋体" w:hAnsi="宋体" w:cs="宋体" w:eastAsia="宋体" w:hint="default"/>
                            <w:spacing w:val="-3"/>
                            <w:sz w:val="18"/>
                            <w:szCs w:val="18"/>
                          </w:rPr>
                          <w:t>国家对核心电子器件、高端通用芯片及基础软件的简称，是 </w:t>
                        </w:r>
                        <w:r>
                          <w:rPr>
                            <w:rFonts w:ascii="Times New Roman" w:hAnsi="Times New Roman" w:cs="Times New Roman" w:eastAsia="Times New Roman" w:hint="default"/>
                            <w:sz w:val="18"/>
                            <w:szCs w:val="18"/>
                          </w:rPr>
                          <w:t>2006 </w:t>
                        </w:r>
                        <w:r>
                          <w:rPr>
                            <w:rFonts w:ascii="宋体" w:hAnsi="宋体" w:cs="宋体" w:eastAsia="宋体" w:hint="default"/>
                            <w:spacing w:val="-3"/>
                            <w:sz w:val="18"/>
                            <w:szCs w:val="18"/>
                          </w:rPr>
                          <w:t>年国务院发布的《国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w w:val="101"/>
                            <w:sz w:val="18"/>
                            <w:szCs w:val="18"/>
                          </w:rPr>
                          <w:t>家中长期科学和技术发展规划纲要（</w:t>
                        </w:r>
                        <w:r>
                          <w:rPr>
                            <w:rFonts w:ascii="Times New Roman" w:hAnsi="Times New Roman" w:cs="Times New Roman" w:eastAsia="Times New Roman" w:hint="default"/>
                            <w:spacing w:val="-5"/>
                            <w:w w:val="101"/>
                            <w:sz w:val="18"/>
                            <w:szCs w:val="18"/>
                          </w:rPr>
                          <w:t>2006-2020</w:t>
                        </w:r>
                        <w:r>
                          <w:rPr>
                            <w:rFonts w:ascii="宋体" w:hAnsi="宋体" w:cs="宋体" w:eastAsia="宋体" w:hint="default"/>
                            <w:spacing w:val="-5"/>
                            <w:w w:val="101"/>
                            <w:sz w:val="18"/>
                            <w:szCs w:val="18"/>
                          </w:rPr>
                          <w:t>）》中所列的重大科技专项之一。</w:t>
                        </w:r>
                        <w:r>
                          <w:rPr>
                            <w:rFonts w:ascii="宋体" w:hAnsi="宋体" w:cs="宋体" w:eastAsia="宋体" w:hint="default"/>
                            <w:spacing w:val="-5"/>
                            <w:sz w:val="18"/>
                            <w:szCs w:val="18"/>
                          </w:rPr>
                        </w:r>
                      </w:p>
                    </w:tc>
                  </w:tr>
                  <w:tr>
                    <w:trPr>
                      <w:trHeight w:val="394"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58"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75"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SOA</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7" w:lineRule="auto" w:before="53"/>
                          <w:ind w:left="28"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Service-Oriented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Architecture</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的简称，即面向服务的架构，是一种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策略，它将企业应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用中的各种功能重新整理为具有互操作性的标准服务，可以迅速组合和重用这些服务，</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以满足业务需要。</w:t>
                        </w:r>
                        <w:r>
                          <w:rPr>
                            <w:rFonts w:ascii="Times New Roman" w:hAnsi="Times New Roman" w:cs="Times New Roman" w:eastAsia="Times New Roman" w:hint="default"/>
                            <w:spacing w:val="-4"/>
                            <w:sz w:val="18"/>
                            <w:szCs w:val="18"/>
                          </w:rPr>
                          <w:t>SOA </w:t>
                        </w:r>
                        <w:r>
                          <w:rPr>
                            <w:rFonts w:ascii="宋体" w:hAnsi="宋体" w:cs="宋体" w:eastAsia="宋体" w:hint="default"/>
                            <w:spacing w:val="-4"/>
                            <w:sz w:val="18"/>
                            <w:szCs w:val="18"/>
                          </w:rPr>
                          <w:t>提供了一种构建信息系统的标准和方法，并通过建立起合并、可</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重用的服务体系来减少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业务冗余并加快项目开发的进程，使得开发部门效率更高效</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476"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0" w:lineRule="auto" w:before="53"/>
                          <w:ind w:left="28" w:right="22"/>
                          <w:jc w:val="left"/>
                          <w:rPr>
                            <w:rFonts w:ascii="宋体" w:hAnsi="宋体" w:cs="宋体" w:eastAsia="宋体" w:hint="default"/>
                            <w:sz w:val="18"/>
                            <w:szCs w:val="18"/>
                          </w:rPr>
                        </w:pPr>
                        <w:r>
                          <w:rPr>
                            <w:rFonts w:ascii="宋体" w:hAnsi="宋体" w:cs="宋体" w:eastAsia="宋体" w:hint="default"/>
                            <w:spacing w:val="-3"/>
                            <w:sz w:val="18"/>
                            <w:szCs w:val="18"/>
                          </w:rPr>
                          <w:t>分布式计算的一种。通过网络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将巨大的数据计算处理程序分解成无数个小程序，通</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过多部服务器组成的系统进行处理和分析这些小程序得到结果并返回给用户。</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317"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0" w:lineRule="auto" w:before="53"/>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as a Service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的缩写，软件即服务。是一种通过</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Internet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提供软件的模式，用户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不用再购买软件，而改用向提供商租用基于 </w:t>
                        </w:r>
                        <w:r>
                          <w:rPr>
                            <w:rFonts w:ascii="Times New Roman" w:hAnsi="Times New Roman" w:cs="Times New Roman" w:eastAsia="Times New Roman" w:hint="default"/>
                            <w:spacing w:val="-7"/>
                            <w:sz w:val="18"/>
                            <w:szCs w:val="18"/>
                          </w:rPr>
                          <w:t>Web </w:t>
                        </w:r>
                        <w:r>
                          <w:rPr>
                            <w:rFonts w:ascii="宋体" w:hAnsi="宋体" w:cs="宋体" w:eastAsia="宋体" w:hint="default"/>
                            <w:spacing w:val="-6"/>
                            <w:sz w:val="18"/>
                            <w:szCs w:val="18"/>
                          </w:rPr>
                          <w:t>的软件，来管理企业经营活动，且无需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对软件进行维护。</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317"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75"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虚拟化</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6" w:lineRule="auto" w:before="58"/>
                          <w:ind w:left="28" w:right="2"/>
                          <w:jc w:val="both"/>
                          <w:rPr>
                            <w:rFonts w:ascii="宋体" w:hAnsi="宋体" w:cs="宋体" w:eastAsia="宋体" w:hint="default"/>
                            <w:sz w:val="18"/>
                            <w:szCs w:val="18"/>
                          </w:rPr>
                        </w:pPr>
                        <w:r>
                          <w:rPr>
                            <w:rFonts w:ascii="宋体" w:hAnsi="宋体" w:cs="宋体" w:eastAsia="宋体" w:hint="default"/>
                            <w:spacing w:val="-3"/>
                            <w:sz w:val="18"/>
                            <w:szCs w:val="18"/>
                          </w:rPr>
                          <w:t>是一种资源管理技术，是将计算机的各种实体资源，如服务器、网络、内存及存储等，</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予以抽象、转换后呈现出来，打破实体结构间的不可切割的障碍，使用户可以比原本的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配置更好的方式来应用这些资源。这些资源的新虚拟部份是不受现有资源的架设方式，</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地域或物理配置所限制。</w:t>
                        </w:r>
                      </w:p>
                    </w:tc>
                  </w:tr>
                  <w:tr>
                    <w:trPr>
                      <w:trHeight w:val="394"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470"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04"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2G</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second Generation</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缩写，第二代数字通信技术</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3G</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3rd Generation</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缩写，第三代数字通信技术</w:t>
                        </w:r>
                      </w:p>
                    </w:tc>
                  </w:tr>
                  <w:tr>
                    <w:trPr>
                      <w:trHeight w:val="398"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4G</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4th Generation</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缩写，第四代移动通信技术</w:t>
                        </w: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5G</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5th Generation</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缩写，第五代移动通信技术</w:t>
                        </w:r>
                      </w:p>
                    </w:tc>
                  </w:tr>
                  <w:tr>
                    <w:trPr>
                      <w:trHeight w:val="404"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8"/>
                            <w:sz w:val="18"/>
                          </w:rPr>
                          <w:t>LTE</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Long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4"/>
                            <w:sz w:val="18"/>
                            <w:szCs w:val="18"/>
                          </w:rPr>
                          <w:t>Term</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Evolution</w:t>
                        </w:r>
                        <w:r>
                          <w:rPr>
                            <w:rFonts w:ascii="宋体" w:hAnsi="宋体" w:cs="宋体" w:eastAsia="宋体" w:hint="default"/>
                            <w:sz w:val="18"/>
                            <w:szCs w:val="18"/>
                          </w:rPr>
                          <w:t>（长期演进）的英文缩写，是处于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与</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之间的一个过渡技术</w:t>
                        </w: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DNS</w:t>
                        </w:r>
                        <w:r>
                          <w:rPr>
                            <w:rFonts w:ascii="Times New Roman"/>
                            <w:sz w:val="18"/>
                          </w:rPr>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0" w:lineRule="auto" w:before="53"/>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Domain Name </w:t>
                        </w:r>
                        <w:r>
                          <w:rPr>
                            <w:rFonts w:ascii="Times New Roman" w:hAnsi="Times New Roman" w:cs="Times New Roman" w:eastAsia="Times New Roman" w:hint="default"/>
                            <w:spacing w:val="-4"/>
                            <w:sz w:val="18"/>
                            <w:szCs w:val="18"/>
                          </w:rPr>
                          <w:t>System</w:t>
                        </w:r>
                        <w:r>
                          <w:rPr>
                            <w:rFonts w:ascii="宋体" w:hAnsi="宋体" w:cs="宋体" w:eastAsia="宋体" w:hint="default"/>
                            <w:spacing w:val="-4"/>
                            <w:sz w:val="18"/>
                            <w:szCs w:val="18"/>
                          </w:rPr>
                          <w:t>，域名解析系统（服务）协议。是一种分布式网络目录服务，主要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用于域名与 </w:t>
                        </w:r>
                        <w:r>
                          <w:rPr>
                            <w:rFonts w:ascii="Times New Roman" w:hAnsi="Times New Roman" w:cs="Times New Roman" w:eastAsia="Times New Roman" w:hint="default"/>
                            <w:spacing w:val="-5"/>
                            <w:sz w:val="18"/>
                            <w:szCs w:val="18"/>
                          </w:rPr>
                          <w:t>IP   </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地址的相互转换，以及控制因特网的电子邮件的发送。</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317"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CDN</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9" w:lineRule="auto" w:before="53"/>
                          <w:ind w:left="28" w:right="23"/>
                          <w:jc w:val="left"/>
                          <w:rPr>
                            <w:rFonts w:ascii="宋体" w:hAnsi="宋体" w:cs="宋体" w:eastAsia="宋体" w:hint="default"/>
                            <w:sz w:val="18"/>
                            <w:szCs w:val="18"/>
                          </w:rPr>
                        </w:pPr>
                        <w:r>
                          <w:rPr>
                            <w:rFonts w:ascii="宋体" w:hAnsi="宋体" w:cs="宋体" w:eastAsia="宋体" w:hint="default"/>
                            <w:spacing w:val="-4"/>
                            <w:sz w:val="18"/>
                            <w:szCs w:val="18"/>
                          </w:rPr>
                          <w:t>内容分发网络，构建在现有网络基础之上的智能虚拟网络，依靠部署在各地的边缘服务</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6"/>
                            <w:sz w:val="18"/>
                            <w:szCs w:val="18"/>
                          </w:rPr>
                          <w:t>器，通过中心平台的负载均衡、内容分发、调度等功能模块，使用户就近获取所需内容</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降低网络拥塞，提高用户访问响应速度和命中率。</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317"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75"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网优</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2" w:lineRule="auto" w:before="58"/>
                          <w:ind w:left="28" w:right="22"/>
                          <w:jc w:val="both"/>
                          <w:rPr>
                            <w:rFonts w:ascii="宋体" w:hAnsi="宋体" w:cs="宋体" w:eastAsia="宋体" w:hint="default"/>
                            <w:sz w:val="18"/>
                            <w:szCs w:val="18"/>
                          </w:rPr>
                        </w:pPr>
                        <w:r>
                          <w:rPr>
                            <w:rFonts w:ascii="宋体" w:hAnsi="宋体" w:cs="宋体" w:eastAsia="宋体" w:hint="default"/>
                            <w:spacing w:val="-4"/>
                            <w:sz w:val="18"/>
                            <w:szCs w:val="18"/>
                          </w:rPr>
                          <w:t>即网络优化，是通过对现有已运行的网络进行话务数据分析、现场测试数据采集、参数</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分析、硬件检查等手段，找出影响网络质量的原因，并且通过参数的修改、网络结构的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w w:val="101"/>
                            <w:sz w:val="18"/>
                            <w:szCs w:val="18"/>
                          </w:rPr>
                          <w:t>调整、设备配置的调整和采取某些技术手段（采用</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1"/>
                            <w:w w:val="101"/>
                            <w:sz w:val="18"/>
                            <w:szCs w:val="18"/>
                          </w:rPr>
                          <w:t>MRP</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0"/>
                            <w:w w:val="101"/>
                            <w:sz w:val="18"/>
                            <w:szCs w:val="18"/>
                          </w:rPr>
                          <w:t>的规划办法等），确保系统高质</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量的运行，使现有网络资源获得最佳效益</w:t>
                        </w:r>
                      </w:p>
                    </w:tc>
                  </w:tr>
                  <w:tr>
                    <w:trPr>
                      <w:trHeight w:val="394"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470"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629"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路测</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9" w:lineRule="auto" w:before="54"/>
                          <w:ind w:left="28" w:right="4"/>
                          <w:jc w:val="left"/>
                          <w:rPr>
                            <w:rFonts w:ascii="宋体" w:hAnsi="宋体" w:cs="宋体" w:eastAsia="宋体" w:hint="default"/>
                            <w:sz w:val="18"/>
                            <w:szCs w:val="18"/>
                          </w:rPr>
                        </w:pPr>
                        <w:r>
                          <w:rPr>
                            <w:rFonts w:ascii="宋体" w:hAnsi="宋体" w:cs="宋体" w:eastAsia="宋体" w:hint="default"/>
                            <w:w w:val="101"/>
                            <w:sz w:val="18"/>
                            <w:szCs w:val="18"/>
                          </w:rPr>
                          <w:t>又称</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2"/>
                            <w:w w:val="101"/>
                            <w:sz w:val="18"/>
                            <w:szCs w:val="18"/>
                          </w:rPr>
                          <w:t>DT</w:t>
                        </w:r>
                        <w:r>
                          <w:rPr>
                            <w:rFonts w:ascii="宋体" w:hAnsi="宋体" w:cs="宋体" w:eastAsia="宋体" w:hint="default"/>
                            <w:spacing w:val="-2"/>
                            <w:w w:val="101"/>
                            <w:sz w:val="18"/>
                            <w:szCs w:val="18"/>
                          </w:rPr>
                          <w:t>（</w:t>
                        </w:r>
                        <w:r>
                          <w:rPr>
                            <w:rFonts w:ascii="Times New Roman" w:hAnsi="Times New Roman" w:cs="Times New Roman" w:eastAsia="Times New Roman" w:hint="default"/>
                            <w:spacing w:val="-2"/>
                            <w:w w:val="101"/>
                            <w:sz w:val="18"/>
                            <w:szCs w:val="18"/>
                          </w:rPr>
                          <w:t>Drive</w:t>
                        </w:r>
                        <w:r>
                          <w:rPr>
                            <w:rFonts w:ascii="Times New Roman" w:hAnsi="Times New Roman" w:cs="Times New Roman" w:eastAsia="Times New Roman" w:hint="default"/>
                            <w:spacing w:val="1"/>
                            <w:w w:val="101"/>
                            <w:sz w:val="18"/>
                            <w:szCs w:val="18"/>
                          </w:rPr>
                          <w:t> </w:t>
                        </w:r>
                        <w:r>
                          <w:rPr>
                            <w:rFonts w:ascii="Times New Roman" w:hAnsi="Times New Roman" w:cs="Times New Roman" w:eastAsia="Times New Roman" w:hint="default"/>
                            <w:spacing w:val="-6"/>
                            <w:w w:val="101"/>
                            <w:sz w:val="18"/>
                            <w:szCs w:val="18"/>
                          </w:rPr>
                          <w:t>Test</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DT</w:t>
                        </w:r>
                        <w:r>
                          <w:rPr>
                            <w:rFonts w:ascii="宋体" w:hAnsi="宋体" w:cs="宋体" w:eastAsia="宋体" w:hint="default"/>
                            <w:spacing w:val="-6"/>
                            <w:w w:val="101"/>
                            <w:sz w:val="18"/>
                            <w:szCs w:val="18"/>
                          </w:rPr>
                          <w:t>），是无线网络优化的重要组成部分，是对无线网络的下行信</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4"/>
                            <w:sz w:val="18"/>
                            <w:szCs w:val="18"/>
                          </w:rPr>
                          <w:t>号进行测试，主要用于获得以下数据：服务小区信号强度、话音质量、相邻小区的信号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强度指示</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Ec</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以及信号质量指示</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Ec/Io</w:t>
                        </w:r>
                        <w:r>
                          <w:rPr>
                            <w:rFonts w:ascii="宋体" w:hAnsi="宋体" w:cs="宋体" w:eastAsia="宋体" w:hint="default"/>
                            <w:spacing w:val="-7"/>
                            <w:sz w:val="18"/>
                            <w:szCs w:val="18"/>
                          </w:rPr>
                          <w:t>、切换及接入的信令过程、小区识码、区域识别码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业务建立成功率、切换比例、上下行平均吞吐率、手机所处的地理位置信、呼叫管理、</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移动管理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业务建立时延等值。其作用主要在于网络质量的评估和无线网络的优化</w:t>
                        </w:r>
                      </w:p>
                    </w:tc>
                  </w:tr>
                  <w:tr>
                    <w:trPr>
                      <w:trHeight w:val="394"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629"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拨测</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0" w:lineRule="auto" w:before="54"/>
                          <w:ind w:left="28"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Dial </w:t>
                        </w:r>
                        <w:r>
                          <w:rPr>
                            <w:rFonts w:ascii="Times New Roman" w:hAnsi="Times New Roman" w:cs="Times New Roman" w:eastAsia="Times New Roman" w:hint="default"/>
                            <w:spacing w:val="-6"/>
                            <w:sz w:val="18"/>
                            <w:szCs w:val="18"/>
                          </w:rPr>
                          <w:t>test</w:t>
                        </w:r>
                        <w:r>
                          <w:rPr>
                            <w:rFonts w:ascii="宋体" w:hAnsi="宋体" w:cs="宋体" w:eastAsia="宋体" w:hint="default"/>
                            <w:spacing w:val="-6"/>
                            <w:sz w:val="18"/>
                            <w:szCs w:val="18"/>
                          </w:rPr>
                          <w:t>，一种网络链路质量的测试手段。呼叫中心 </w:t>
                        </w:r>
                        <w:r>
                          <w:rPr>
                            <w:rFonts w:ascii="宋体" w:hAnsi="宋体" w:cs="宋体" w:eastAsia="宋体" w:hint="default"/>
                            <w:spacing w:val="-3"/>
                            <w:sz w:val="18"/>
                            <w:szCs w:val="18"/>
                          </w:rPr>
                          <w:t>统一通信 融合通信专业资讯网系统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测试功能。</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信令</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在通信网络中控制协调实际应用信息传输的信号</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spacing w:line="240" w:lineRule="auto" w:before="46"/>
        <w:ind w:left="0" w:right="1132"/>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before="46"/>
        <w:ind w:left="0" w:right="1133"/>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46"/>
        <w:ind w:left="0" w:right="1127"/>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88"/>
        <w:gridCol w:w="696"/>
        <w:gridCol w:w="6891"/>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58"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基站</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12" w:space="0" w:color="D2D2D2"/>
              <w:right w:val="single" w:sz="4" w:space="0" w:color="000000"/>
            </w:tcBorders>
          </w:tcPr>
          <w:p>
            <w:pPr>
              <w:pStyle w:val="TableParagraph"/>
              <w:spacing w:line="316" w:lineRule="auto" w:before="53"/>
              <w:ind w:left="23" w:right="23"/>
              <w:jc w:val="left"/>
              <w:rPr>
                <w:rFonts w:ascii="宋体" w:hAnsi="宋体" w:cs="宋体" w:eastAsia="宋体" w:hint="default"/>
                <w:sz w:val="18"/>
                <w:szCs w:val="18"/>
              </w:rPr>
            </w:pPr>
            <w:r>
              <w:rPr>
                <w:rFonts w:ascii="宋体" w:hAnsi="宋体" w:cs="宋体" w:eastAsia="宋体" w:hint="default"/>
                <w:spacing w:val="-4"/>
                <w:sz w:val="18"/>
                <w:szCs w:val="18"/>
              </w:rPr>
              <w:t>在无线电覆盖区内，通过移动通信交换中心，与移动电话终端之间进行信息传递的无线</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电收发信电台</w:t>
            </w:r>
          </w:p>
        </w:tc>
      </w:tr>
      <w:tr>
        <w:trPr>
          <w:trHeight w:val="394"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12" w:space="0" w:color="D2D2D2"/>
              <w:right w:val="single" w:sz="4" w:space="0" w:color="000000"/>
            </w:tcBorders>
          </w:tcPr>
          <w:p>
            <w:pPr/>
          </w:p>
        </w:tc>
      </w:tr>
      <w:tr>
        <w:trPr>
          <w:trHeight w:val="159"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12" w:space="0" w:color="D2D2D2"/>
              <w:bottom w:val="single" w:sz="4" w:space="0" w:color="000000"/>
              <w:right w:val="single" w:sz="4" w:space="0" w:color="000000"/>
            </w:tcBorders>
          </w:tcPr>
          <w:p>
            <w:pPr/>
          </w:p>
        </w:tc>
      </w:tr>
      <w:tr>
        <w:trPr>
          <w:trHeight w:val="322"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DPI</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9" w:lineRule="auto" w:before="58"/>
              <w:ind w:left="28" w:right="17"/>
              <w:jc w:val="both"/>
              <w:rPr>
                <w:rFonts w:ascii="宋体" w:hAnsi="宋体" w:cs="宋体" w:eastAsia="宋体" w:hint="default"/>
                <w:sz w:val="18"/>
                <w:szCs w:val="18"/>
              </w:rPr>
            </w:pPr>
            <w:r>
              <w:rPr>
                <w:rFonts w:ascii="宋体" w:hAnsi="宋体" w:cs="宋体" w:eastAsia="宋体" w:hint="default"/>
                <w:spacing w:val="-4"/>
                <w:sz w:val="18"/>
                <w:szCs w:val="18"/>
              </w:rPr>
              <w:t>信令采集监测。具备业务数据流识别、业务数据流控制能力，工作在 </w:t>
            </w:r>
            <w:r>
              <w:rPr>
                <w:rFonts w:ascii="Times New Roman" w:hAnsi="Times New Roman" w:cs="Times New Roman" w:eastAsia="Times New Roman" w:hint="default"/>
                <w:sz w:val="18"/>
                <w:szCs w:val="18"/>
              </w:rPr>
              <w:t>OSI </w:t>
            </w:r>
            <w:r>
              <w:rPr>
                <w:rFonts w:ascii="宋体" w:hAnsi="宋体" w:cs="宋体" w:eastAsia="宋体" w:hint="default"/>
                <w:sz w:val="18"/>
                <w:szCs w:val="18"/>
              </w:rPr>
              <w:t>模型传输层到</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应用层，具有高数据处理能力，能够对网络所承载的业务进行识别和流量管理，可部署</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在网络骨干层、城域网和企业内部的网络设备。</w:t>
            </w:r>
          </w:p>
        </w:tc>
      </w:tr>
      <w:tr>
        <w:trPr>
          <w:trHeight w:val="389"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317"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629"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新基建</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7" w:lineRule="auto" w:before="53"/>
              <w:ind w:left="28" w:right="17"/>
              <w:jc w:val="both"/>
              <w:rPr>
                <w:rFonts w:ascii="宋体" w:hAnsi="宋体" w:cs="宋体" w:eastAsia="宋体" w:hint="default"/>
                <w:sz w:val="18"/>
                <w:szCs w:val="18"/>
              </w:rPr>
            </w:pPr>
            <w:r>
              <w:rPr>
                <w:rFonts w:ascii="宋体" w:hAnsi="宋体" w:cs="宋体" w:eastAsia="宋体" w:hint="default"/>
                <w:sz w:val="18"/>
                <w:szCs w:val="18"/>
              </w:rPr>
              <w:t>新型基础设施建设，</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月中央经济工作会议提出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加快</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商用步伐，加强人工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智能、工业互联网、物联网等新型基础设施建设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月中央政治局常委会提出</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加快</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网络、数据中心等新型基础设施建设进度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月国家发改委提出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新型</w:t>
            </w:r>
            <w:r>
              <w:rPr>
                <w:rFonts w:ascii="宋体" w:hAnsi="宋体" w:cs="宋体" w:eastAsia="宋体" w:hint="default"/>
                <w:spacing w:val="-67"/>
                <w:sz w:val="18"/>
                <w:szCs w:val="18"/>
              </w:rPr>
              <w:t> </w:t>
            </w:r>
            <w:r>
              <w:rPr>
                <w:rFonts w:ascii="宋体" w:hAnsi="宋体" w:cs="宋体" w:eastAsia="宋体" w:hint="default"/>
                <w:spacing w:val="-4"/>
                <w:sz w:val="18"/>
                <w:szCs w:val="18"/>
              </w:rPr>
              <w:t>基础设施是以新发展理念为引领，以技术创新为驱动，以信息网络为基础，面向高质量</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发展需要，提供数字转型、智能升级、融合创新等服务的基础设施体系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394"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629"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63"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信息技术应用创新</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6" w:lineRule="auto" w:before="53"/>
              <w:ind w:left="28" w:right="23"/>
              <w:jc w:val="left"/>
              <w:rPr>
                <w:rFonts w:ascii="宋体" w:hAnsi="宋体" w:cs="宋体" w:eastAsia="宋体" w:hint="default"/>
                <w:sz w:val="18"/>
                <w:szCs w:val="18"/>
              </w:rPr>
            </w:pPr>
            <w:r>
              <w:rPr>
                <w:rFonts w:ascii="宋体" w:hAnsi="宋体" w:cs="宋体" w:eastAsia="宋体" w:hint="default"/>
                <w:spacing w:val="-4"/>
                <w:sz w:val="18"/>
                <w:szCs w:val="18"/>
              </w:rPr>
              <w:t>泛指通过对信息技术领域核心技术的创新，持续突破传统的或垄断的应用系统或应用模</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式限制，建设全面满足用户要求的新型产业生态和应用环境。</w:t>
            </w:r>
          </w:p>
        </w:tc>
      </w:tr>
      <w:tr>
        <w:trPr>
          <w:trHeight w:val="389"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4"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58"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工业互联网</w:t>
            </w:r>
            <w:r>
              <w:rPr>
                <w:rFonts w:ascii="宋体" w:hAnsi="宋体" w:cs="宋体" w:eastAsia="宋体" w:hint="default"/>
                <w:sz w:val="18"/>
                <w:szCs w:val="18"/>
              </w:rPr>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12" w:space="0" w:color="D2D2D2"/>
              <w:right w:val="single" w:sz="4" w:space="0" w:color="000000"/>
            </w:tcBorders>
          </w:tcPr>
          <w:p>
            <w:pPr>
              <w:pStyle w:val="TableParagraph"/>
              <w:spacing w:line="316" w:lineRule="auto" w:before="53"/>
              <w:ind w:left="23" w:right="4"/>
              <w:jc w:val="left"/>
              <w:rPr>
                <w:rFonts w:ascii="宋体" w:hAnsi="宋体" w:cs="宋体" w:eastAsia="宋体" w:hint="default"/>
                <w:sz w:val="18"/>
                <w:szCs w:val="18"/>
              </w:rPr>
            </w:pPr>
            <w:r>
              <w:rPr>
                <w:rFonts w:ascii="宋体" w:hAnsi="宋体" w:cs="宋体" w:eastAsia="宋体" w:hint="default"/>
                <w:spacing w:val="-3"/>
                <w:sz w:val="18"/>
                <w:szCs w:val="18"/>
              </w:rPr>
              <w:t>是满足工业智能化发展需求，具有低时延、高可靠、广覆盖特点的关键网络基础设施，</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是新一代信息通信技术与先进制造业深度融合所形成的新兴业态与应用模式。</w:t>
            </w:r>
          </w:p>
        </w:tc>
      </w:tr>
      <w:tr>
        <w:trPr>
          <w:trHeight w:val="394"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12" w:space="0" w:color="D2D2D2"/>
              <w:right w:val="single" w:sz="4" w:space="0" w:color="000000"/>
            </w:tcBorders>
          </w:tcPr>
          <w:p>
            <w:pPr/>
          </w:p>
        </w:tc>
      </w:tr>
      <w:tr>
        <w:trPr>
          <w:trHeight w:val="158"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12" w:space="0" w:color="D2D2D2"/>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IDC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机房</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互联网数据中心</w:t>
            </w:r>
            <w:r>
              <w:rPr>
                <w:rFonts w:ascii="Times New Roman" w:hAnsi="Times New Roman" w:cs="Times New Roman" w:eastAsia="Times New Roman" w:hint="default"/>
                <w:sz w:val="18"/>
                <w:szCs w:val="18"/>
              </w:rPr>
              <w:t>(Internet Data</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3"/>
                <w:sz w:val="18"/>
                <w:szCs w:val="18"/>
              </w:rPr>
              <w:t>Center)</w:t>
            </w:r>
          </w:p>
        </w:tc>
      </w:tr>
      <w:tr>
        <w:trPr>
          <w:trHeight w:val="403"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城域网</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Metropolitan  </w:t>
            </w:r>
            <w:r>
              <w:rPr>
                <w:rFonts w:ascii="Times New Roman" w:hAnsi="Times New Roman" w:cs="Times New Roman" w:eastAsia="Times New Roman" w:hint="default"/>
                <w:spacing w:val="-3"/>
                <w:sz w:val="18"/>
                <w:szCs w:val="18"/>
              </w:rPr>
              <w:t>Area</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3"/>
                <w:sz w:val="18"/>
                <w:szCs w:val="18"/>
              </w:rPr>
              <w:t>Network)</w:t>
            </w:r>
            <w:r>
              <w:rPr>
                <w:rFonts w:ascii="宋体" w:hAnsi="宋体" w:cs="宋体" w:eastAsia="宋体" w:hint="default"/>
                <w:spacing w:val="-3"/>
                <w:sz w:val="18"/>
                <w:szCs w:val="18"/>
              </w:rPr>
              <w:t>是在一个城市范围内所建立的计算机通信网</w:t>
            </w:r>
          </w:p>
        </w:tc>
      </w:tr>
      <w:tr>
        <w:trPr>
          <w:trHeight w:val="404"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骨干网</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(Backbone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3"/>
                <w:sz w:val="18"/>
                <w:szCs w:val="18"/>
              </w:rPr>
              <w:t>Network)</w:t>
            </w:r>
            <w:r>
              <w:rPr>
                <w:rFonts w:ascii="宋体" w:hAnsi="宋体" w:cs="宋体" w:eastAsia="宋体" w:hint="default"/>
                <w:spacing w:val="-3"/>
                <w:sz w:val="18"/>
                <w:szCs w:val="18"/>
              </w:rPr>
              <w:t>是用来连接多个区域或地区的高速网络。</w:t>
            </w:r>
          </w:p>
        </w:tc>
      </w:tr>
      <w:tr>
        <w:trPr>
          <w:trHeight w:val="317"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6" w:lineRule="auto" w:before="53"/>
              <w:ind w:left="28" w:right="21"/>
              <w:jc w:val="both"/>
              <w:rPr>
                <w:rFonts w:ascii="宋体" w:hAnsi="宋体" w:cs="宋体" w:eastAsia="宋体" w:hint="default"/>
                <w:sz w:val="18"/>
                <w:szCs w:val="18"/>
              </w:rPr>
            </w:pPr>
            <w:r>
              <w:rPr>
                <w:rFonts w:ascii="宋体" w:hAnsi="宋体" w:cs="宋体" w:eastAsia="宋体" w:hint="default"/>
                <w:spacing w:val="-3"/>
                <w:sz w:val="18"/>
                <w:szCs w:val="18"/>
              </w:rPr>
              <w:t>智慧城市就是运用信息和通信技术手段感测、分析、整合城市运行核心系统的各项关键</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信息，从而对包括民生、环保、公共安全、城市服务、工商业活动在内的各种需求做出</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智能响应。</w:t>
            </w:r>
          </w:p>
        </w:tc>
      </w:tr>
      <w:tr>
        <w:trPr>
          <w:trHeight w:val="389"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317"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容器云</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云上的容器技术服务</w:t>
            </w:r>
          </w:p>
        </w:tc>
      </w:tr>
      <w:tr>
        <w:trPr>
          <w:trHeight w:val="475"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4" w:lineRule="auto" w:before="53"/>
              <w:ind w:left="28" w:right="23"/>
              <w:jc w:val="left"/>
              <w:rPr>
                <w:rFonts w:ascii="宋体" w:hAnsi="宋体" w:cs="宋体" w:eastAsia="宋体" w:hint="default"/>
                <w:sz w:val="18"/>
                <w:szCs w:val="18"/>
              </w:rPr>
            </w:pPr>
            <w:r>
              <w:rPr>
                <w:rFonts w:ascii="宋体" w:hAnsi="宋体" w:cs="宋体" w:eastAsia="宋体" w:hint="default"/>
                <w:sz w:val="18"/>
                <w:szCs w:val="18"/>
              </w:rPr>
              <w:t>网络安全等级保护</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制度。等级保护标准在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时代标准的基础上，注重主动防御，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从被动防御到事前、事中、事后全流程的安全可信、动态感知和全面审计，实现了对传</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统信息系统、基础信息网络、云计算、大数据、物联网、移动互联网和工业控制信息系</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统等级保护对象的全覆盖。</w:t>
            </w:r>
          </w:p>
        </w:tc>
      </w:tr>
      <w:tr>
        <w:trPr>
          <w:trHeight w:val="389"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475"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IPv6</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Internet </w:t>
            </w:r>
            <w:r>
              <w:rPr>
                <w:rFonts w:ascii="Times New Roman" w:hAnsi="Times New Roman" w:cs="Times New Roman" w:eastAsia="Times New Roman" w:hint="default"/>
                <w:spacing w:val="-3"/>
                <w:sz w:val="18"/>
                <w:szCs w:val="18"/>
              </w:rPr>
              <w:t>Protocol </w:t>
            </w:r>
            <w:r>
              <w:rPr>
                <w:rFonts w:ascii="Times New Roman" w:hAnsi="Times New Roman" w:cs="Times New Roman" w:eastAsia="Times New Roman" w:hint="default"/>
                <w:spacing w:val="-5"/>
                <w:sz w:val="18"/>
                <w:szCs w:val="18"/>
              </w:rPr>
              <w:t>Version </w:t>
            </w:r>
            <w:r>
              <w:rPr>
                <w:rFonts w:ascii="Times New Roman" w:hAnsi="Times New Roman" w:cs="Times New Roman" w:eastAsia="Times New Roman" w:hint="default"/>
                <w:sz w:val="18"/>
                <w:szCs w:val="18"/>
              </w:rPr>
              <w:t>6 </w:t>
            </w:r>
            <w:r>
              <w:rPr>
                <w:rFonts w:ascii="宋体" w:hAnsi="宋体" w:cs="宋体" w:eastAsia="宋体" w:hint="default"/>
                <w:sz w:val="18"/>
                <w:szCs w:val="18"/>
              </w:rPr>
              <w:t>的缩写，互联网协议第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版。</w:t>
            </w:r>
            <w:r>
              <w:rPr>
                <w:rFonts w:ascii="宋体" w:hAnsi="宋体" w:cs="宋体" w:eastAsia="宋体" w:hint="default"/>
                <w:sz w:val="18"/>
                <w:szCs w:val="18"/>
              </w:rPr>
            </w:r>
          </w:p>
        </w:tc>
      </w:tr>
      <w:tr>
        <w:trPr>
          <w:trHeight w:val="398"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IMS</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IP </w:t>
            </w:r>
            <w:r>
              <w:rPr>
                <w:rFonts w:ascii="Times New Roman" w:hAnsi="Times New Roman" w:cs="Times New Roman" w:eastAsia="Times New Roman" w:hint="default"/>
                <w:sz w:val="18"/>
                <w:szCs w:val="18"/>
              </w:rPr>
              <w:t>Multimedia Subsystem, </w:t>
            </w:r>
            <w:r>
              <w:rPr>
                <w:rFonts w:ascii="Times New Roman" w:hAnsi="Times New Roman" w:cs="Times New Roman" w:eastAsia="Times New Roman" w:hint="default"/>
                <w:spacing w:val="-5"/>
                <w:sz w:val="18"/>
                <w:szCs w:val="18"/>
              </w:rPr>
              <w:t>IP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多媒体子系统</w:t>
            </w:r>
            <w:r>
              <w:rPr>
                <w:rFonts w:ascii="Times New Roman" w:hAnsi="Times New Roman" w:cs="Times New Roman" w:eastAsia="Times New Roman" w:hint="default"/>
                <w:sz w:val="18"/>
                <w:szCs w:val="18"/>
              </w:rPr>
              <w:t>,</w:t>
            </w:r>
          </w:p>
        </w:tc>
      </w:tr>
      <w:tr>
        <w:trPr>
          <w:trHeight w:val="163"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AI</w:t>
            </w:r>
            <w:r>
              <w:rPr>
                <w:rFonts w:ascii="Times New Roman"/>
                <w:sz w:val="18"/>
              </w:rPr>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0" w:lineRule="auto" w:before="58"/>
              <w:ind w:left="28"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 </w:t>
            </w:r>
            <w:r>
              <w:rPr>
                <w:rFonts w:ascii="Times New Roman" w:hAnsi="Times New Roman" w:cs="Times New Roman" w:eastAsia="Times New Roman" w:hint="default"/>
                <w:spacing w:val="-3"/>
                <w:sz w:val="18"/>
                <w:szCs w:val="18"/>
              </w:rPr>
              <w:t>Intelligence</w:t>
            </w:r>
            <w:r>
              <w:rPr>
                <w:rFonts w:ascii="宋体" w:hAnsi="宋体" w:cs="宋体" w:eastAsia="宋体" w:hint="default"/>
                <w:spacing w:val="-3"/>
                <w:sz w:val="18"/>
                <w:szCs w:val="18"/>
              </w:rPr>
              <w:t>，即人工智能。是研究、开发用于模拟、延伸和扩展人类智能的理</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论及应用的热点技术领域。</w:t>
            </w:r>
          </w:p>
        </w:tc>
      </w:tr>
      <w:tr>
        <w:trPr>
          <w:trHeight w:val="394"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58"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317"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APM</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2" w:lineRule="auto" w:before="53"/>
              <w:ind w:left="28"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Application Performance </w:t>
            </w:r>
            <w:r>
              <w:rPr>
                <w:rFonts w:ascii="Times New Roman" w:hAnsi="Times New Roman" w:cs="Times New Roman" w:eastAsia="Times New Roman" w:hint="default"/>
                <w:spacing w:val="-3"/>
                <w:sz w:val="18"/>
                <w:szCs w:val="18"/>
              </w:rPr>
              <w:t>Management</w:t>
            </w:r>
            <w:r>
              <w:rPr>
                <w:rFonts w:ascii="宋体" w:hAnsi="宋体" w:cs="宋体" w:eastAsia="宋体" w:hint="default"/>
                <w:spacing w:val="-3"/>
                <w:sz w:val="18"/>
                <w:szCs w:val="18"/>
              </w:rPr>
              <w:t>，应用性能管理。主要指对企业的关键业务应用进</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行监测、优化，提高企业应用的可靠性和质量，保证用户得到良好的服务，降低 </w:t>
            </w:r>
            <w:r>
              <w:rPr>
                <w:rFonts w:ascii="Times New Roman" w:hAnsi="Times New Roman" w:cs="Times New Roman" w:eastAsia="Times New Roman" w:hint="default"/>
                <w:spacing w:val="-4"/>
                <w:sz w:val="18"/>
                <w:szCs w:val="18"/>
              </w:rPr>
              <w:t>IT </w:t>
            </w:r>
            <w:r>
              <w:rPr>
                <w:rFonts w:ascii="宋体" w:hAnsi="宋体" w:cs="宋体" w:eastAsia="宋体" w:hint="default"/>
                <w:sz w:val="18"/>
                <w:szCs w:val="18"/>
              </w:rPr>
              <w:t>总</w:t>
            </w:r>
            <w:r>
              <w:rPr>
                <w:rFonts w:ascii="宋体" w:hAnsi="宋体" w:cs="宋体" w:eastAsia="宋体" w:hint="default"/>
                <w:spacing w:val="-65"/>
                <w:sz w:val="18"/>
                <w:szCs w:val="18"/>
              </w:rPr>
              <w:t> </w:t>
            </w:r>
            <w:r>
              <w:rPr>
                <w:rFonts w:ascii="宋体" w:hAnsi="宋体" w:cs="宋体" w:eastAsia="宋体" w:hint="default"/>
                <w:sz w:val="18"/>
                <w:szCs w:val="18"/>
              </w:rPr>
              <w:t>拥有成本。</w:t>
            </w:r>
          </w:p>
        </w:tc>
      </w:tr>
      <w:tr>
        <w:trPr>
          <w:trHeight w:val="394"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317"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Docker</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开源的应用容器引擎</w:t>
            </w:r>
          </w:p>
        </w:tc>
      </w:tr>
      <w:tr>
        <w:trPr>
          <w:trHeight w:val="158" w:hRule="exact"/>
        </w:trPr>
        <w:tc>
          <w:tcPr>
            <w:tcW w:w="1988"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DevOps</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12" w:space="0" w:color="D2D2D2"/>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Development  </w:t>
            </w:r>
            <w:r>
              <w:rPr>
                <w:rFonts w:ascii="宋体" w:hAnsi="宋体" w:cs="宋体" w:eastAsia="宋体" w:hint="default"/>
                <w:sz w:val="18"/>
                <w:szCs w:val="18"/>
              </w:rPr>
              <w:t>和 </w:t>
            </w:r>
            <w:r>
              <w:rPr>
                <w:rFonts w:ascii="Times New Roman" w:hAnsi="Times New Roman" w:cs="Times New Roman" w:eastAsia="Times New Roman" w:hint="default"/>
                <w:sz w:val="18"/>
                <w:szCs w:val="18"/>
              </w:rPr>
              <w:t>Operations</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的组合词，是一组过程、方法与系统的统称，用于促进开发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用</w:t>
            </w:r>
            <w:r>
              <w:rPr>
                <w:rFonts w:ascii="宋体" w:hAnsi="宋体" w:cs="宋体" w:eastAsia="宋体" w:hint="default"/>
                <w:spacing w:val="-5"/>
                <w:w w:val="101"/>
                <w:sz w:val="18"/>
                <w:szCs w:val="18"/>
              </w:rPr>
              <w:t>程</w:t>
            </w:r>
            <w:r>
              <w:rPr>
                <w:rFonts w:ascii="宋体" w:hAnsi="宋体" w:cs="宋体" w:eastAsia="宋体" w:hint="default"/>
                <w:w w:val="101"/>
                <w:sz w:val="18"/>
                <w:szCs w:val="18"/>
              </w:rPr>
              <w:t>序</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软</w:t>
            </w:r>
            <w:r>
              <w:rPr>
                <w:rFonts w:ascii="宋体" w:hAnsi="宋体" w:cs="宋体" w:eastAsia="宋体" w:hint="default"/>
                <w:spacing w:val="-5"/>
                <w:w w:val="101"/>
                <w:sz w:val="18"/>
                <w:szCs w:val="18"/>
              </w:rPr>
              <w:t>件</w:t>
            </w:r>
            <w:r>
              <w:rPr>
                <w:rFonts w:ascii="宋体" w:hAnsi="宋体" w:cs="宋体" w:eastAsia="宋体" w:hint="default"/>
                <w:w w:val="101"/>
                <w:sz w:val="18"/>
                <w:szCs w:val="18"/>
              </w:rPr>
              <w:t>工程</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技</w:t>
            </w:r>
            <w:r>
              <w:rPr>
                <w:rFonts w:ascii="宋体" w:hAnsi="宋体" w:cs="宋体" w:eastAsia="宋体" w:hint="default"/>
                <w:w w:val="101"/>
                <w:sz w:val="18"/>
                <w:szCs w:val="18"/>
              </w:rPr>
              <w:t>术</w:t>
            </w:r>
            <w:r>
              <w:rPr>
                <w:rFonts w:ascii="宋体" w:hAnsi="宋体" w:cs="宋体" w:eastAsia="宋体" w:hint="default"/>
                <w:spacing w:val="-5"/>
                <w:w w:val="101"/>
                <w:sz w:val="18"/>
                <w:szCs w:val="18"/>
              </w:rPr>
              <w:t>运</w:t>
            </w:r>
            <w:r>
              <w:rPr>
                <w:rFonts w:ascii="宋体" w:hAnsi="宋体" w:cs="宋体" w:eastAsia="宋体" w:hint="default"/>
                <w:w w:val="101"/>
                <w:sz w:val="18"/>
                <w:szCs w:val="18"/>
              </w:rPr>
              <w:t>营</w:t>
            </w:r>
            <w:r>
              <w:rPr>
                <w:rFonts w:ascii="宋体" w:hAnsi="宋体" w:cs="宋体" w:eastAsia="宋体" w:hint="default"/>
                <w:spacing w:val="-5"/>
                <w:w w:val="101"/>
                <w:sz w:val="18"/>
                <w:szCs w:val="18"/>
              </w:rPr>
              <w:t>和</w:t>
            </w:r>
            <w:r>
              <w:rPr>
                <w:rFonts w:ascii="宋体" w:hAnsi="宋体" w:cs="宋体" w:eastAsia="宋体" w:hint="default"/>
                <w:w w:val="101"/>
                <w:sz w:val="18"/>
                <w:szCs w:val="18"/>
              </w:rPr>
              <w:t>质</w:t>
            </w:r>
            <w:r>
              <w:rPr>
                <w:rFonts w:ascii="宋体" w:hAnsi="宋体" w:cs="宋体" w:eastAsia="宋体" w:hint="default"/>
                <w:spacing w:val="-5"/>
                <w:w w:val="101"/>
                <w:sz w:val="18"/>
                <w:szCs w:val="18"/>
              </w:rPr>
              <w:t>量</w:t>
            </w:r>
            <w:r>
              <w:rPr>
                <w:rFonts w:ascii="宋体" w:hAnsi="宋体" w:cs="宋体" w:eastAsia="宋体" w:hint="default"/>
                <w:w w:val="101"/>
                <w:sz w:val="18"/>
                <w:szCs w:val="18"/>
              </w:rPr>
              <w:t>保</w:t>
            </w:r>
            <w:r>
              <w:rPr>
                <w:rFonts w:ascii="宋体" w:hAnsi="宋体" w:cs="宋体" w:eastAsia="宋体" w:hint="default"/>
                <w:spacing w:val="-5"/>
                <w:w w:val="101"/>
                <w:sz w:val="18"/>
                <w:szCs w:val="18"/>
              </w:rPr>
              <w:t>障</w:t>
            </w:r>
            <w:r>
              <w:rPr>
                <w:rFonts w:ascii="宋体" w:hAnsi="宋体" w:cs="宋体" w:eastAsia="宋体" w:hint="default"/>
                <w:w w:val="101"/>
                <w:sz w:val="18"/>
                <w:szCs w:val="18"/>
              </w:rPr>
              <w:t>（</w:t>
            </w:r>
            <w:r>
              <w:rPr>
                <w:rFonts w:ascii="Times New Roman" w:hAnsi="Times New Roman" w:cs="Times New Roman" w:eastAsia="Times New Roman" w:hint="default"/>
                <w:spacing w:val="-3"/>
                <w:w w:val="101"/>
                <w:sz w:val="18"/>
                <w:szCs w:val="18"/>
              </w:rPr>
              <w:t>Q</w:t>
            </w:r>
            <w:r>
              <w:rPr>
                <w:rFonts w:ascii="Times New Roman" w:hAnsi="Times New Roman" w:cs="Times New Roman" w:eastAsia="Times New Roman" w:hint="default"/>
                <w:spacing w:val="-7"/>
                <w:w w:val="101"/>
                <w:sz w:val="18"/>
                <w:szCs w:val="18"/>
              </w:rPr>
              <w:t>A</w:t>
            </w:r>
            <w:r>
              <w:rPr>
                <w:rFonts w:ascii="宋体" w:hAnsi="宋体" w:cs="宋体" w:eastAsia="宋体" w:hint="default"/>
                <w:w w:val="101"/>
                <w:sz w:val="18"/>
                <w:szCs w:val="18"/>
              </w:rPr>
              <w:t>）部</w:t>
            </w:r>
            <w:r>
              <w:rPr>
                <w:rFonts w:ascii="宋体" w:hAnsi="宋体" w:cs="宋体" w:eastAsia="宋体" w:hint="default"/>
                <w:spacing w:val="-5"/>
                <w:w w:val="101"/>
                <w:sz w:val="18"/>
                <w:szCs w:val="18"/>
              </w:rPr>
              <w:t>门</w:t>
            </w:r>
            <w:r>
              <w:rPr>
                <w:rFonts w:ascii="宋体" w:hAnsi="宋体" w:cs="宋体" w:eastAsia="宋体" w:hint="default"/>
                <w:w w:val="101"/>
                <w:sz w:val="18"/>
                <w:szCs w:val="18"/>
              </w:rPr>
              <w:t>之</w:t>
            </w:r>
            <w:r>
              <w:rPr>
                <w:rFonts w:ascii="宋体" w:hAnsi="宋体" w:cs="宋体" w:eastAsia="宋体" w:hint="default"/>
                <w:spacing w:val="-5"/>
                <w:w w:val="101"/>
                <w:sz w:val="18"/>
                <w:szCs w:val="18"/>
              </w:rPr>
              <w:t>间</w:t>
            </w:r>
            <w:r>
              <w:rPr>
                <w:rFonts w:ascii="宋体" w:hAnsi="宋体" w:cs="宋体" w:eastAsia="宋体" w:hint="default"/>
                <w:w w:val="101"/>
                <w:sz w:val="18"/>
                <w:szCs w:val="18"/>
              </w:rPr>
              <w:t>的</w:t>
            </w:r>
            <w:r>
              <w:rPr>
                <w:rFonts w:ascii="宋体" w:hAnsi="宋体" w:cs="宋体" w:eastAsia="宋体" w:hint="default"/>
                <w:spacing w:val="-5"/>
                <w:w w:val="101"/>
                <w:sz w:val="18"/>
                <w:szCs w:val="18"/>
              </w:rPr>
              <w:t>沟</w:t>
            </w:r>
            <w:r>
              <w:rPr>
                <w:rFonts w:ascii="宋体" w:hAnsi="宋体" w:cs="宋体" w:eastAsia="宋体" w:hint="default"/>
                <w:w w:val="101"/>
                <w:sz w:val="18"/>
                <w:szCs w:val="18"/>
              </w:rPr>
              <w:t>通</w:t>
            </w:r>
            <w:r>
              <w:rPr>
                <w:rFonts w:ascii="宋体" w:hAnsi="宋体" w:cs="宋体" w:eastAsia="宋体" w:hint="default"/>
                <w:spacing w:val="-5"/>
                <w:w w:val="101"/>
                <w:sz w:val="18"/>
                <w:szCs w:val="18"/>
              </w:rPr>
              <w:t>、</w:t>
            </w:r>
            <w:r>
              <w:rPr>
                <w:rFonts w:ascii="宋体" w:hAnsi="宋体" w:cs="宋体" w:eastAsia="宋体" w:hint="default"/>
                <w:w w:val="101"/>
                <w:sz w:val="18"/>
                <w:szCs w:val="18"/>
              </w:rPr>
              <w:t>协</w:t>
            </w:r>
            <w:r>
              <w:rPr>
                <w:rFonts w:ascii="宋体" w:hAnsi="宋体" w:cs="宋体" w:eastAsia="宋体" w:hint="default"/>
                <w:spacing w:val="-5"/>
                <w:w w:val="101"/>
                <w:sz w:val="18"/>
                <w:szCs w:val="18"/>
              </w:rPr>
              <w:t>作</w:t>
            </w:r>
            <w:r>
              <w:rPr>
                <w:rFonts w:ascii="宋体" w:hAnsi="宋体" w:cs="宋体" w:eastAsia="宋体" w:hint="default"/>
                <w:w w:val="101"/>
                <w:sz w:val="18"/>
                <w:szCs w:val="18"/>
              </w:rPr>
              <w:t>与</w:t>
            </w:r>
            <w:r>
              <w:rPr>
                <w:rFonts w:ascii="宋体" w:hAnsi="宋体" w:cs="宋体" w:eastAsia="宋体" w:hint="default"/>
                <w:spacing w:val="-5"/>
                <w:w w:val="101"/>
                <w:sz w:val="18"/>
                <w:szCs w:val="18"/>
              </w:rPr>
              <w:t>整</w:t>
            </w:r>
            <w:r>
              <w:rPr>
                <w:rFonts w:ascii="宋体" w:hAnsi="宋体" w:cs="宋体" w:eastAsia="宋体" w:hint="default"/>
                <w:w w:val="101"/>
                <w:sz w:val="18"/>
                <w:szCs w:val="18"/>
              </w:rPr>
              <w:t>合。</w:t>
            </w:r>
            <w:r>
              <w:rPr>
                <w:rFonts w:ascii="宋体" w:hAnsi="宋体" w:cs="宋体" w:eastAsia="宋体" w:hint="default"/>
                <w:sz w:val="18"/>
                <w:szCs w:val="18"/>
              </w:rPr>
            </w:r>
          </w:p>
        </w:tc>
      </w:tr>
      <w:tr>
        <w:trPr>
          <w:trHeight w:val="394" w:hRule="exact"/>
        </w:trPr>
        <w:tc>
          <w:tcPr>
            <w:tcW w:w="1988" w:type="dxa"/>
            <w:vMerge/>
            <w:tcBorders>
              <w:left w:val="single" w:sz="4" w:space="0" w:color="000000"/>
              <w:right w:val="single" w:sz="10" w:space="0" w:color="D2D2D2"/>
            </w:tcBorders>
          </w:tcPr>
          <w:p>
            <w:pPr/>
          </w:p>
        </w:tc>
        <w:tc>
          <w:tcPr>
            <w:tcW w:w="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12" w:space="0" w:color="D2D2D2"/>
              <w:right w:val="single" w:sz="4" w:space="0" w:color="000000"/>
            </w:tcBorders>
          </w:tcPr>
          <w:p>
            <w:pPr/>
          </w:p>
        </w:tc>
      </w:tr>
      <w:tr>
        <w:trPr>
          <w:trHeight w:val="158" w:hRule="exact"/>
        </w:trPr>
        <w:tc>
          <w:tcPr>
            <w:tcW w:w="1988" w:type="dxa"/>
            <w:vMerge/>
            <w:tcBorders>
              <w:left w:val="single" w:sz="4" w:space="0" w:color="000000"/>
              <w:bottom w:val="single" w:sz="4" w:space="0" w:color="000000"/>
              <w:right w:val="single" w:sz="10" w:space="0" w:color="D2D2D2"/>
            </w:tcBorders>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12" w:space="0" w:color="D2D2D2"/>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pacing w:val="-11"/>
                <w:sz w:val="18"/>
              </w:rPr>
              <w:t>VoLTE</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Voice  </w:t>
            </w:r>
            <w:r>
              <w:rPr>
                <w:rFonts w:ascii="Times New Roman" w:hAnsi="Times New Roman" w:cs="Times New Roman" w:eastAsia="Times New Roman" w:hint="default"/>
                <w:sz w:val="18"/>
                <w:szCs w:val="18"/>
              </w:rPr>
              <w:t>over </w:t>
            </w:r>
            <w:r>
              <w:rPr>
                <w:rFonts w:ascii="Times New Roman" w:hAnsi="Times New Roman" w:cs="Times New Roman" w:eastAsia="Times New Roman" w:hint="default"/>
                <w:spacing w:val="-4"/>
                <w:sz w:val="18"/>
                <w:szCs w:val="18"/>
              </w:rPr>
              <w:t>Long-Term</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Evolution</w:t>
            </w:r>
            <w:r>
              <w:rPr>
                <w:rFonts w:ascii="宋体" w:hAnsi="宋体" w:cs="宋体" w:eastAsia="宋体" w:hint="default"/>
                <w:sz w:val="18"/>
                <w:szCs w:val="18"/>
              </w:rPr>
              <w:t>，长期演进语音承载</w:t>
            </w:r>
          </w:p>
        </w:tc>
      </w:tr>
      <w:tr>
        <w:trPr>
          <w:trHeight w:val="403" w:hRule="exact"/>
        </w:trPr>
        <w:tc>
          <w:tcPr>
            <w:tcW w:w="198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9"/>
                <w:sz w:val="18"/>
              </w:rPr>
              <w:t>VoNR</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voice </w:t>
            </w:r>
            <w:r>
              <w:rPr>
                <w:rFonts w:ascii="Times New Roman" w:hAnsi="Times New Roman" w:cs="Times New Roman" w:eastAsia="Times New Roman" w:hint="default"/>
                <w:spacing w:val="-3"/>
                <w:sz w:val="18"/>
                <w:szCs w:val="18"/>
              </w:rPr>
              <w:t>over </w:t>
            </w:r>
            <w:r>
              <w:rPr>
                <w:rFonts w:ascii="Times New Roman" w:hAnsi="Times New Roman" w:cs="Times New Roman" w:eastAsia="Times New Roman" w:hint="default"/>
                <w:sz w:val="18"/>
                <w:szCs w:val="18"/>
              </w:rPr>
              <w:t>New Radio</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语音承载新空口</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pStyle w:val="BodyText"/>
        <w:spacing w:line="240" w:lineRule="auto" w:before="46"/>
        <w:ind w:left="0" w:right="1128"/>
        <w:jc w:val="right"/>
      </w:pPr>
      <w:r>
        <w:rPr/>
        <w:pict>
          <v:shape style="position:absolute;margin-left:56.424pt;margin-top:-168.438263pt;width:479.5pt;height:366.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684"/>
                    <w:gridCol w:w="6891"/>
                  </w:tblGrid>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98"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1DAY</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探测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刚公布后的漏洞探测</w:t>
                        </w:r>
                      </w:p>
                    </w:tc>
                  </w:tr>
                  <w:tr>
                    <w:trPr>
                      <w:trHeight w:val="404"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漏洞检测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Proof  of</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
                            <w:sz w:val="18"/>
                            <w:szCs w:val="18"/>
                          </w:rPr>
                          <w:t>Concept</w:t>
                        </w:r>
                        <w:r>
                          <w:rPr>
                            <w:rFonts w:ascii="宋体" w:hAnsi="宋体" w:cs="宋体" w:eastAsia="宋体" w:hint="default"/>
                            <w:spacing w:val="-3"/>
                            <w:sz w:val="18"/>
                            <w:szCs w:val="18"/>
                          </w:rPr>
                          <w:t>，漏洞检测过程中的一段说明或一个攻击样例。</w:t>
                        </w: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DDoS</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攻击</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21" w:lineRule="auto" w:before="53"/>
                          <w:ind w:left="28" w:right="4"/>
                          <w:jc w:val="left"/>
                          <w:rPr>
                            <w:rFonts w:ascii="宋体" w:hAnsi="宋体" w:cs="宋体" w:eastAsia="宋体" w:hint="default"/>
                            <w:sz w:val="18"/>
                            <w:szCs w:val="18"/>
                          </w:rPr>
                        </w:pPr>
                        <w:r>
                          <w:rPr>
                            <w:rFonts w:ascii="宋体" w:hAnsi="宋体" w:cs="宋体" w:eastAsia="宋体" w:hint="default"/>
                            <w:spacing w:val="-4"/>
                            <w:sz w:val="18"/>
                            <w:szCs w:val="18"/>
                          </w:rPr>
                          <w:t>分布式拒绝服务攻击。处于不同位置的多个攻击者同时向一个或数个目标发动攻击，或</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者一个攻击者控制了位于不同位置的多台机器并利用这些机器对受害者同时实施攻击。</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NB-IoT</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窄带物联网。支持低功耗设备在广域网的蜂窝数据连接，也被叫作低功耗广域网</w:t>
                        </w:r>
                      </w:p>
                      <w:p>
                        <w:pPr>
                          <w:pStyle w:val="TableParagraph"/>
                          <w:spacing w:line="240" w:lineRule="auto" w:before="76"/>
                          <w:ind w:left="28"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(LPWAN)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NB-IoT  </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支持待机时间长、对网络连接要求较高设备的高效连接。</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59"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边缘计算</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12" w:space="0" w:color="D2D2D2"/>
                          <w:right w:val="single" w:sz="4" w:space="0" w:color="000000"/>
                        </w:tcBorders>
                      </w:tcPr>
                      <w:p>
                        <w:pPr>
                          <w:pStyle w:val="TableParagraph"/>
                          <w:spacing w:line="316" w:lineRule="auto" w:before="54"/>
                          <w:ind w:left="23" w:right="23"/>
                          <w:jc w:val="left"/>
                          <w:rPr>
                            <w:rFonts w:ascii="宋体" w:hAnsi="宋体" w:cs="宋体" w:eastAsia="宋体" w:hint="default"/>
                            <w:sz w:val="18"/>
                            <w:szCs w:val="18"/>
                          </w:rPr>
                        </w:pPr>
                        <w:r>
                          <w:rPr>
                            <w:rFonts w:ascii="宋体" w:hAnsi="宋体" w:cs="宋体" w:eastAsia="宋体" w:hint="default"/>
                            <w:spacing w:val="-4"/>
                            <w:sz w:val="18"/>
                            <w:szCs w:val="18"/>
                          </w:rPr>
                          <w:t>一种靠近数据源和业务前端的分布式计算模式，一般能够就近提供更快的信息处理和网</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络服务，满足某些应用对快速性、预处理、隐私保护等方面的基本计算需求。</w:t>
                        </w:r>
                      </w:p>
                    </w:tc>
                  </w:tr>
                  <w:tr>
                    <w:trPr>
                      <w:trHeight w:val="394"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12" w:space="0" w:color="D2D2D2"/>
                          <w:right w:val="single" w:sz="4" w:space="0" w:color="000000"/>
                        </w:tcBorders>
                      </w:tcPr>
                      <w:p>
                        <w:pPr/>
                      </w:p>
                    </w:tc>
                  </w:tr>
                  <w:tr>
                    <w:trPr>
                      <w:trHeight w:val="158"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12" w:space="0" w:color="D2D2D2"/>
                          <w:bottom w:val="single" w:sz="4" w:space="0" w:color="000000"/>
                          <w:right w:val="single" w:sz="4" w:space="0" w:color="000000"/>
                        </w:tcBorders>
                      </w:tcPr>
                      <w:p>
                        <w:pPr/>
                      </w:p>
                    </w:tc>
                  </w:tr>
                  <w:tr>
                    <w:trPr>
                      <w:trHeight w:val="322"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核心网仿真</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16" w:lineRule="auto" w:before="58"/>
                          <w:ind w:left="28" w:right="23"/>
                          <w:jc w:val="left"/>
                          <w:rPr>
                            <w:rFonts w:ascii="宋体" w:hAnsi="宋体" w:cs="宋体" w:eastAsia="宋体" w:hint="default"/>
                            <w:sz w:val="18"/>
                            <w:szCs w:val="18"/>
                          </w:rPr>
                        </w:pPr>
                        <w:r>
                          <w:rPr>
                            <w:rFonts w:ascii="宋体" w:hAnsi="宋体" w:cs="宋体" w:eastAsia="宋体" w:hint="default"/>
                            <w:spacing w:val="-6"/>
                            <w:sz w:val="18"/>
                            <w:szCs w:val="18"/>
                          </w:rPr>
                          <w:t>以软硬件方式仿真各协议栈处理能力，实现网元功能及协议栈仿真；通过信令协议交互</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4"/>
                            <w:sz w:val="18"/>
                            <w:szCs w:val="18"/>
                          </w:rPr>
                          <w:t>模拟手机业务应用主动测试，实现业务可用情况、网元承载性能、路由畅通性、业务感</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知等指标的周期性测试。</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317"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64"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eMBB</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21" w:lineRule="auto" w:before="54"/>
                          <w:ind w:left="28" w:right="90"/>
                          <w:jc w:val="left"/>
                          <w:rPr>
                            <w:rFonts w:ascii="宋体" w:hAnsi="宋体" w:cs="宋体" w:eastAsia="宋体" w:hint="default"/>
                            <w:sz w:val="18"/>
                            <w:szCs w:val="18"/>
                          </w:rPr>
                        </w:pPr>
                        <w:r>
                          <w:rPr>
                            <w:rFonts w:ascii="宋体" w:hAnsi="宋体" w:cs="宋体" w:eastAsia="宋体" w:hint="default"/>
                            <w:spacing w:val="-5"/>
                            <w:w w:val="101"/>
                            <w:sz w:val="18"/>
                            <w:szCs w:val="18"/>
                          </w:rPr>
                          <w:t>海量机器类通信（大规模物联网）。是指在现有移动宽带业务场景的基础上，对于用户</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3"/>
                            <w:sz w:val="18"/>
                            <w:szCs w:val="18"/>
                          </w:rPr>
                          <w:t>体验等性能的进一步提升，应用场景侧重于追求人与人之间极致的通信体验。</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uRLLC</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移动宽带增强。应用场景侧重于物与物之间的通信需求。</w:t>
                        </w:r>
                      </w:p>
                    </w:tc>
                  </w:tr>
                  <w:tr>
                    <w:trPr>
                      <w:trHeight w:val="398" w:hRule="exact"/>
                    </w:trPr>
                    <w:tc>
                      <w:tcPr>
                        <w:tcW w:w="20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mMTC</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超高可靠低时延通信。应用场景侧重于人与物之间的信息交互。</w:t>
                        </w: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5G</w:t>
                        </w:r>
                        <w:r>
                          <w:rPr>
                            <w:rFonts w:ascii="Times New Roman"/>
                            <w:spacing w:val="4"/>
                            <w:sz w:val="18"/>
                          </w:rPr>
                          <w:t> </w:t>
                        </w:r>
                        <w:r>
                          <w:rPr>
                            <w:rFonts w:ascii="Times New Roman"/>
                            <w:sz w:val="18"/>
                          </w:rPr>
                          <w:t>NR</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0" w:lineRule="auto" w:before="59"/>
                          <w:ind w:left="28" w:right="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OFDM</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的全新空口设计的全球性</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标准，也是下一代非常重要的蜂窝移动技术基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础，</w:t>
                        </w:r>
                        <w:r>
                          <w:rPr>
                            <w:rFonts w:ascii="Times New Roman" w:hAnsi="Times New Roman" w:cs="Times New Roman" w:eastAsia="Times New Roman" w:hint="default"/>
                            <w:sz w:val="18"/>
                            <w:szCs w:val="18"/>
                          </w:rPr>
                          <w:t>5G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技术将实现超低时延、高可靠性。</w:t>
                        </w:r>
                      </w:p>
                    </w:tc>
                  </w:tr>
                  <w:tr>
                    <w:trPr>
                      <w:trHeight w:val="394"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58"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r>
                    <w:trPr>
                      <w:trHeight w:val="163" w:hRule="exact"/>
                    </w:trPr>
                    <w:tc>
                      <w:tcPr>
                        <w:tcW w:w="200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eMTC</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1" w:type="dxa"/>
                        <w:vMerge w:val="restart"/>
                        <w:tcBorders>
                          <w:top w:val="single" w:sz="4" w:space="0" w:color="000000"/>
                          <w:left w:val="single" w:sz="8" w:space="0" w:color="D2D2D2"/>
                          <w:right w:val="single" w:sz="4" w:space="0" w:color="000000"/>
                        </w:tcBorders>
                      </w:tcPr>
                      <w:p>
                        <w:pPr>
                          <w:pStyle w:val="TableParagraph"/>
                          <w:spacing w:line="304" w:lineRule="auto" w:before="53"/>
                          <w:ind w:left="28" w:right="55"/>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LTE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enhanced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MTO</w:t>
                        </w:r>
                        <w:r>
                          <w:rPr>
                            <w:rFonts w:ascii="宋体" w:hAnsi="宋体" w:cs="宋体" w:eastAsia="宋体" w:hint="default"/>
                            <w:sz w:val="18"/>
                            <w:szCs w:val="18"/>
                          </w:rPr>
                          <w:t>，是基于</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LTE</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演进的物联网技术。旨在基于现有的</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LTE</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载波满足物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联网设备需求。</w:t>
                        </w:r>
                      </w:p>
                    </w:tc>
                  </w:tr>
                  <w:tr>
                    <w:trPr>
                      <w:trHeight w:val="389" w:hRule="exact"/>
                    </w:trPr>
                    <w:tc>
                      <w:tcPr>
                        <w:tcW w:w="2000" w:type="dxa"/>
                        <w:vMerge/>
                        <w:tcBorders>
                          <w:left w:val="single" w:sz="4" w:space="0" w:color="000000"/>
                          <w:right w:val="single" w:sz="10" w:space="0" w:color="D2D2D2"/>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891" w:type="dxa"/>
                        <w:vMerge/>
                        <w:tcBorders>
                          <w:left w:val="single" w:sz="8" w:space="0" w:color="D2D2D2"/>
                          <w:right w:val="single" w:sz="4" w:space="0" w:color="000000"/>
                        </w:tcBorders>
                      </w:tcPr>
                      <w:p>
                        <w:pPr/>
                      </w:p>
                    </w:tc>
                  </w:tr>
                  <w:tr>
                    <w:trPr>
                      <w:trHeight w:val="163" w:hRule="exact"/>
                    </w:trPr>
                    <w:tc>
                      <w:tcPr>
                        <w:tcW w:w="2000" w:type="dxa"/>
                        <w:vMerge/>
                        <w:tcBorders>
                          <w:left w:val="single" w:sz="4" w:space="0" w:color="000000"/>
                          <w:bottom w:val="single" w:sz="4" w:space="0" w:color="000000"/>
                          <w:right w:val="single" w:sz="10" w:space="0" w:color="D2D2D2"/>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1" w:type="dxa"/>
                        <w:vMerge/>
                        <w:tcBorders>
                          <w:left w:val="single" w:sz="8" w:space="0" w:color="D2D2D2"/>
                          <w:bottom w:val="single" w:sz="4" w:space="0" w:color="000000"/>
                          <w:right w:val="single" w:sz="4" w:space="0" w:color="000000"/>
                        </w:tcBorders>
                      </w:tcPr>
                      <w:p>
                        <w:pP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_TOC_250011" w:id="3"/>
      <w:bookmarkStart w:name="第二节公司简介和主要财务指标" w:id="4"/>
      <w:r>
        <w:rPr>
          <w:b w:val="0"/>
          <w:bCs w:val="0"/>
        </w:rPr>
      </w:r>
      <w:r>
        <w:rPr/>
        <w:t>第二节公司简介和主要财务指标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161424"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300379</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北京东方通科技股份有限公司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4"/>
                <w:sz w:val="18"/>
              </w:rPr>
              <w:t>Tongtech </w:t>
            </w:r>
            <w:r>
              <w:rPr>
                <w:rFonts w:ascii="Times New Roman"/>
                <w:sz w:val="18"/>
              </w:rPr>
              <w:t>Co.,</w:t>
            </w:r>
            <w:r>
              <w:rPr>
                <w:rFonts w:ascii="Times New Roman"/>
                <w:spacing w:val="12"/>
                <w:sz w:val="18"/>
              </w:rPr>
              <w:t> </w:t>
            </w:r>
            <w:r>
              <w:rPr>
                <w:rFonts w:ascii="Times New Roman"/>
                <w:sz w:val="18"/>
              </w:rPr>
              <w:t>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4"/>
                <w:sz w:val="18"/>
              </w:rPr>
              <w:t>Tongtech</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黄永军</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北京市丰台区丰台路口 </w:t>
            </w:r>
            <w:r>
              <w:rPr>
                <w:rFonts w:ascii="Times New Roman" w:hAnsi="Times New Roman" w:cs="Times New Roman" w:eastAsia="Times New Roman" w:hint="default"/>
                <w:sz w:val="18"/>
                <w:szCs w:val="18"/>
              </w:rPr>
              <w:t>139 </w:t>
            </w:r>
            <w:r>
              <w:rPr>
                <w:rFonts w:ascii="宋体" w:hAnsi="宋体" w:cs="宋体" w:eastAsia="宋体" w:hint="default"/>
                <w:sz w:val="18"/>
                <w:szCs w:val="18"/>
              </w:rPr>
              <w:t>号主楼</w:t>
            </w:r>
            <w:r>
              <w:rPr>
                <w:rFonts w:ascii="宋体" w:hAnsi="宋体" w:cs="宋体" w:eastAsia="宋体" w:hint="default"/>
                <w:spacing w:val="-72"/>
                <w:sz w:val="18"/>
                <w:szCs w:val="18"/>
              </w:rPr>
              <w:t> </w:t>
            </w:r>
            <w:r>
              <w:rPr>
                <w:rFonts w:ascii="Times New Roman" w:hAnsi="Times New Roman" w:cs="Times New Roman" w:eastAsia="Times New Roman" w:hint="default"/>
                <w:spacing w:val="-3"/>
                <w:sz w:val="18"/>
                <w:szCs w:val="18"/>
              </w:rPr>
              <w:t>311</w:t>
            </w:r>
            <w:r>
              <w:rPr>
                <w:rFonts w:ascii="宋体" w:hAnsi="宋体" w:cs="宋体" w:eastAsia="宋体" w:hint="default"/>
                <w:spacing w:val="-3"/>
                <w:sz w:val="18"/>
                <w:szCs w:val="18"/>
              </w:rPr>
              <w:t>（园区）</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100071</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100080</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www.tongtech.com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964"/>
        <w:gridCol w:w="3839"/>
        <w:gridCol w:w="3760"/>
      </w:tblGrid>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7"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韩静</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010-82652668</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010-82652668</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010-82652226</w:t>
            </w:r>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010-82652226</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c>
          <w:tcPr>
            <w:tcW w:w="3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公司董秘办公室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大华会计师事务所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北京市丰台区西四环中路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号院首汇广场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刘文豪、徐文博</w:t>
            </w:r>
          </w:p>
        </w:tc>
      </w:tr>
    </w:tbl>
    <w:p>
      <w:pPr>
        <w:pStyle w:val="BodyText"/>
        <w:spacing w:line="240" w:lineRule="auto" w:before="53"/>
        <w:ind w:right="0"/>
        <w:jc w:val="left"/>
      </w:pPr>
      <w:r>
        <w:rPr>
          <w:spacing w:val="-3"/>
        </w:rPr>
        <w:t>公司聘请的报告期内履行持续督导职责的保荐机构</w:t>
      </w:r>
    </w:p>
    <w:p>
      <w:pPr>
        <w:pStyle w:val="BodyText"/>
        <w:spacing w:line="338" w:lineRule="auto" w:before="119"/>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2984"/>
        <w:gridCol w:w="1715"/>
        <w:gridCol w:w="1700"/>
        <w:gridCol w:w="1700"/>
        <w:gridCol w:w="1590"/>
      </w:tblGrid>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1"/>
                <w:sz w:val="18"/>
              </w:rPr>
              <w:t>499,969,903.75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8"/>
              <w:jc w:val="right"/>
              <w:rPr>
                <w:rFonts w:ascii="Times New Roman" w:hAnsi="Times New Roman" w:cs="Times New Roman" w:eastAsia="Times New Roman" w:hint="default"/>
                <w:sz w:val="18"/>
                <w:szCs w:val="18"/>
              </w:rPr>
            </w:pPr>
            <w:r>
              <w:rPr>
                <w:rFonts w:ascii="Times New Roman"/>
                <w:spacing w:val="-1"/>
                <w:sz w:val="18"/>
              </w:rPr>
              <w:t>372,052,345.23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8" w:right="0"/>
              <w:jc w:val="left"/>
              <w:rPr>
                <w:rFonts w:ascii="Times New Roman" w:hAnsi="Times New Roman" w:cs="Times New Roman" w:eastAsia="Times New Roman" w:hint="default"/>
                <w:sz w:val="18"/>
                <w:szCs w:val="18"/>
              </w:rPr>
            </w:pPr>
            <w:r>
              <w:rPr>
                <w:rFonts w:ascii="Times New Roman"/>
                <w:sz w:val="18"/>
              </w:rPr>
              <w:t>34.38%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1"/>
                <w:sz w:val="18"/>
              </w:rPr>
              <w:t>292,786,400.27</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归属于上市公司股东的净利润（元）</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1"/>
                <w:sz w:val="18"/>
              </w:rPr>
              <w:t>141,291,862.35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9"/>
              <w:jc w:val="right"/>
              <w:rPr>
                <w:rFonts w:ascii="Times New Roman" w:hAnsi="Times New Roman" w:cs="Times New Roman" w:eastAsia="Times New Roman" w:hint="default"/>
                <w:sz w:val="18"/>
                <w:szCs w:val="18"/>
              </w:rPr>
            </w:pPr>
            <w:r>
              <w:rPr>
                <w:rFonts w:ascii="Times New Roman"/>
                <w:spacing w:val="-2"/>
                <w:sz w:val="18"/>
              </w:rPr>
              <w:t>122,168,567.11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8" w:right="0"/>
              <w:jc w:val="left"/>
              <w:rPr>
                <w:rFonts w:ascii="Times New Roman" w:hAnsi="Times New Roman" w:cs="Times New Roman" w:eastAsia="Times New Roman" w:hint="default"/>
                <w:sz w:val="18"/>
                <w:szCs w:val="18"/>
              </w:rPr>
            </w:pPr>
            <w:r>
              <w:rPr>
                <w:rFonts w:ascii="Times New Roman"/>
                <w:sz w:val="18"/>
              </w:rPr>
              <w:t>15.65%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1"/>
                <w:sz w:val="18"/>
              </w:rPr>
              <w:t>-307,286,709.04</w:t>
            </w: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归属于上市公司股东的扣除非经常性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损益的净利润（元）</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2"/>
                <w:sz w:val="18"/>
              </w:rPr>
              <w:t>119,274,546.89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1"/>
                <w:sz w:val="18"/>
              </w:rPr>
              <w:t>105,899,445.51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8" w:right="0"/>
              <w:jc w:val="left"/>
              <w:rPr>
                <w:rFonts w:ascii="Times New Roman" w:hAnsi="Times New Roman" w:cs="Times New Roman" w:eastAsia="Times New Roman" w:hint="default"/>
                <w:sz w:val="18"/>
                <w:szCs w:val="18"/>
              </w:rPr>
            </w:pPr>
            <w:r>
              <w:rPr>
                <w:rFonts w:ascii="Times New Roman"/>
                <w:sz w:val="18"/>
              </w:rPr>
              <w:t>12.63%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1"/>
                <w:sz w:val="18"/>
              </w:rPr>
              <w:t>-322,944,790.02</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经营活动产生的现金流量净额（元）</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1"/>
                <w:sz w:val="18"/>
              </w:rPr>
              <w:t>87,587,633.51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8"/>
              <w:jc w:val="right"/>
              <w:rPr>
                <w:rFonts w:ascii="Times New Roman" w:hAnsi="Times New Roman" w:cs="Times New Roman" w:eastAsia="Times New Roman" w:hint="default"/>
                <w:sz w:val="18"/>
                <w:szCs w:val="18"/>
              </w:rPr>
            </w:pPr>
            <w:r>
              <w:rPr>
                <w:rFonts w:ascii="Times New Roman"/>
                <w:spacing w:val="-1"/>
                <w:sz w:val="18"/>
              </w:rPr>
              <w:t>126,655,576.93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1" w:right="0"/>
              <w:jc w:val="left"/>
              <w:rPr>
                <w:rFonts w:ascii="Times New Roman" w:hAnsi="Times New Roman" w:cs="Times New Roman" w:eastAsia="Times New Roman" w:hint="default"/>
                <w:sz w:val="18"/>
                <w:szCs w:val="18"/>
              </w:rPr>
            </w:pPr>
            <w:r>
              <w:rPr>
                <w:rFonts w:ascii="Times New Roman"/>
                <w:sz w:val="18"/>
              </w:rPr>
              <w:t>-30.85%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1"/>
                <w:sz w:val="18"/>
              </w:rPr>
              <w:t>109,168,538.93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z w:val="18"/>
              </w:rPr>
              <w:t>0.53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7"/>
              <w:jc w:val="right"/>
              <w:rPr>
                <w:rFonts w:ascii="Times New Roman" w:hAnsi="Times New Roman" w:cs="Times New Roman" w:eastAsia="Times New Roman" w:hint="default"/>
                <w:sz w:val="18"/>
                <w:szCs w:val="18"/>
              </w:rPr>
            </w:pPr>
            <w:r>
              <w:rPr>
                <w:rFonts w:ascii="Times New Roman"/>
                <w:sz w:val="18"/>
              </w:rPr>
              <w:t>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8" w:right="0"/>
              <w:jc w:val="left"/>
              <w:rPr>
                <w:rFonts w:ascii="Times New Roman" w:hAnsi="Times New Roman" w:cs="Times New Roman" w:eastAsia="Times New Roman" w:hint="default"/>
                <w:sz w:val="18"/>
                <w:szCs w:val="18"/>
              </w:rPr>
            </w:pPr>
            <w:r>
              <w:rPr>
                <w:rFonts w:ascii="Times New Roman"/>
                <w:sz w:val="18"/>
              </w:rPr>
              <w:t>20.45%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z w:val="18"/>
              </w:rPr>
              <w:t>0.52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7"/>
              <w:jc w:val="right"/>
              <w:rPr>
                <w:rFonts w:ascii="Times New Roman" w:hAnsi="Times New Roman" w:cs="Times New Roman" w:eastAsia="Times New Roman" w:hint="default"/>
                <w:sz w:val="18"/>
                <w:szCs w:val="18"/>
              </w:rPr>
            </w:pPr>
            <w:r>
              <w:rPr>
                <w:rFonts w:ascii="Times New Roman"/>
                <w:sz w:val="18"/>
              </w:rPr>
              <w:t>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8" w:right="0"/>
              <w:jc w:val="left"/>
              <w:rPr>
                <w:rFonts w:ascii="Times New Roman" w:hAnsi="Times New Roman" w:cs="Times New Roman" w:eastAsia="Times New Roman" w:hint="default"/>
                <w:sz w:val="18"/>
                <w:szCs w:val="18"/>
              </w:rPr>
            </w:pPr>
            <w:r>
              <w:rPr>
                <w:rFonts w:ascii="Times New Roman"/>
                <w:sz w:val="18"/>
              </w:rPr>
              <w:t>18.18%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4"/>
              <w:jc w:val="right"/>
              <w:rPr>
                <w:rFonts w:ascii="Times New Roman" w:hAnsi="Times New Roman" w:cs="Times New Roman" w:eastAsia="Times New Roman" w:hint="default"/>
                <w:sz w:val="18"/>
                <w:szCs w:val="18"/>
              </w:rPr>
            </w:pPr>
            <w:r>
              <w:rPr>
                <w:rFonts w:ascii="Times New Roman"/>
                <w:spacing w:val="-1"/>
                <w:sz w:val="18"/>
              </w:rPr>
              <w:t>9.37%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9"/>
              <w:jc w:val="right"/>
              <w:rPr>
                <w:rFonts w:ascii="Times New Roman" w:hAnsi="Times New Roman" w:cs="Times New Roman" w:eastAsia="Times New Roman" w:hint="default"/>
                <w:sz w:val="18"/>
                <w:szCs w:val="18"/>
              </w:rPr>
            </w:pPr>
            <w:r>
              <w:rPr>
                <w:rFonts w:ascii="Times New Roman"/>
                <w:spacing w:val="-1"/>
                <w:sz w:val="18"/>
              </w:rPr>
              <w:t>8.10%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0" w:right="0"/>
              <w:jc w:val="left"/>
              <w:rPr>
                <w:rFonts w:ascii="Times New Roman" w:hAnsi="Times New Roman" w:cs="Times New Roman" w:eastAsia="Times New Roman" w:hint="default"/>
                <w:sz w:val="18"/>
                <w:szCs w:val="18"/>
              </w:rPr>
            </w:pPr>
            <w:r>
              <w:rPr>
                <w:rFonts w:ascii="Times New Roman"/>
                <w:sz w:val="18"/>
              </w:rPr>
              <w:t>1.27%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4"/>
              <w:jc w:val="right"/>
              <w:rPr>
                <w:rFonts w:ascii="Times New Roman" w:hAnsi="Times New Roman" w:cs="Times New Roman" w:eastAsia="Times New Roman" w:hint="default"/>
                <w:sz w:val="18"/>
                <w:szCs w:val="18"/>
              </w:rPr>
            </w:pPr>
            <w:r>
              <w:rPr>
                <w:rFonts w:ascii="Times New Roman"/>
                <w:spacing w:val="-1"/>
                <w:sz w:val="18"/>
              </w:rPr>
              <w:t>-18.88%</w:t>
            </w: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3" w:right="0"/>
              <w:jc w:val="lef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2"/>
                <w:sz w:val="18"/>
              </w:rPr>
              <w:t>2,156,223,097.44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8"/>
              <w:jc w:val="right"/>
              <w:rPr>
                <w:rFonts w:ascii="Times New Roman" w:hAnsi="Times New Roman" w:cs="Times New Roman" w:eastAsia="Times New Roman" w:hint="default"/>
                <w:sz w:val="18"/>
                <w:szCs w:val="18"/>
              </w:rPr>
            </w:pPr>
            <w:r>
              <w:rPr>
                <w:rFonts w:ascii="Times New Roman"/>
                <w:spacing w:val="-2"/>
                <w:sz w:val="18"/>
              </w:rPr>
              <w:t>2,032,227,418.37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0" w:right="0"/>
              <w:jc w:val="left"/>
              <w:rPr>
                <w:rFonts w:ascii="Times New Roman" w:hAnsi="Times New Roman" w:cs="Times New Roman" w:eastAsia="Times New Roman" w:hint="default"/>
                <w:sz w:val="18"/>
                <w:szCs w:val="18"/>
              </w:rPr>
            </w:pPr>
            <w:r>
              <w:rPr>
                <w:rFonts w:ascii="Times New Roman"/>
                <w:sz w:val="18"/>
              </w:rPr>
              <w:t>6.10%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2"/>
                <w:sz w:val="18"/>
              </w:rPr>
              <w:t>1,562,325,014.23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归属于上市公司股东的净资产（元）</w:t>
            </w:r>
          </w:p>
        </w:tc>
        <w:tc>
          <w:tcPr>
            <w:tcW w:w="17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2"/>
                <w:sz w:val="18"/>
              </w:rPr>
              <w:t>1,655,302,099.49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8"/>
              <w:jc w:val="right"/>
              <w:rPr>
                <w:rFonts w:ascii="Times New Roman" w:hAnsi="Times New Roman" w:cs="Times New Roman" w:eastAsia="Times New Roman" w:hint="default"/>
                <w:sz w:val="18"/>
                <w:szCs w:val="18"/>
              </w:rPr>
            </w:pPr>
            <w:r>
              <w:rPr>
                <w:rFonts w:ascii="Times New Roman"/>
                <w:spacing w:val="-2"/>
                <w:sz w:val="18"/>
              </w:rPr>
              <w:t>1,422,317,277.47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8" w:right="0"/>
              <w:jc w:val="left"/>
              <w:rPr>
                <w:rFonts w:ascii="Times New Roman" w:hAnsi="Times New Roman" w:cs="Times New Roman" w:eastAsia="Times New Roman" w:hint="default"/>
                <w:sz w:val="18"/>
                <w:szCs w:val="18"/>
              </w:rPr>
            </w:pPr>
            <w:r>
              <w:rPr>
                <w:rFonts w:ascii="Times New Roman"/>
                <w:sz w:val="18"/>
              </w:rPr>
              <w:t>16.38%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3"/>
              <w:jc w:val="right"/>
              <w:rPr>
                <w:rFonts w:ascii="Times New Roman" w:hAnsi="Times New Roman" w:cs="Times New Roman" w:eastAsia="Times New Roman" w:hint="default"/>
                <w:sz w:val="18"/>
                <w:szCs w:val="18"/>
              </w:rPr>
            </w:pPr>
            <w:r>
              <w:rPr>
                <w:rFonts w:ascii="Times New Roman"/>
                <w:spacing w:val="-2"/>
                <w:sz w:val="18"/>
              </w:rPr>
              <w:t>1,447,441,843.54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636"/>
        <w:gridCol w:w="1774"/>
        <w:gridCol w:w="1762"/>
        <w:gridCol w:w="1762"/>
        <w:gridCol w:w="1753"/>
      </w:tblGrid>
      <w:tr>
        <w:trPr>
          <w:trHeight w:val="398" w:hRule="exact"/>
        </w:trPr>
        <w:tc>
          <w:tcPr>
            <w:tcW w:w="26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90,298,561.61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87,992,367.40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73,854,405.63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247,824,569.11</w:t>
            </w:r>
          </w:p>
        </w:tc>
      </w:tr>
      <w:tr>
        <w:trPr>
          <w:trHeight w:val="404" w:hRule="exact"/>
        </w:trPr>
        <w:tc>
          <w:tcPr>
            <w:tcW w:w="2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15,102,327.49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29,454,458.48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3,858,329.50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92,876,746.88</w:t>
            </w:r>
          </w:p>
        </w:tc>
      </w:tr>
      <w:tr>
        <w:trPr>
          <w:trHeight w:val="715" w:hRule="exact"/>
        </w:trPr>
        <w:tc>
          <w:tcPr>
            <w:tcW w:w="2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87"/>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15,102,837.49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24,704,742.91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-5,487,997.65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84,954,964.14</w:t>
            </w:r>
          </w:p>
        </w:tc>
      </w:tr>
      <w:tr>
        <w:trPr>
          <w:trHeight w:val="398" w:hRule="exact"/>
        </w:trPr>
        <w:tc>
          <w:tcPr>
            <w:tcW w:w="2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-56,267,067.67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7,381,430.91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-10,357,598.01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146,830,868.28</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2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47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47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318"/>
        <w:gridCol w:w="1553"/>
        <w:gridCol w:w="1541"/>
        <w:gridCol w:w="1541"/>
        <w:gridCol w:w="1734"/>
      </w:tblGrid>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49"/>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-48,150.94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-42,260.96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-183,484.06</w:t>
            </w:r>
          </w:p>
        </w:tc>
        <w:tc>
          <w:tcPr>
            <w:tcW w:w="173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49"/>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26,050,269.05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19,312,366.90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4,619,644.00</w:t>
            </w:r>
          </w:p>
        </w:tc>
        <w:tc>
          <w:tcPr>
            <w:tcW w:w="173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-97,687.63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-129,712.38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13,984,240.88</w:t>
            </w:r>
          </w:p>
        </w:tc>
        <w:tc>
          <w:tcPr>
            <w:tcW w:w="173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3,887,115.02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2,871,271.96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2,762,319.84</w:t>
            </w:r>
          </w:p>
        </w:tc>
        <w:tc>
          <w:tcPr>
            <w:tcW w:w="17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22,017,315.46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16,269,121.60</w:t>
            </w:r>
          </w:p>
        </w:tc>
        <w:tc>
          <w:tcPr>
            <w:tcW w:w="15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15,658,080.98</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123"/>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7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6"/>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571"/>
        <w:jc w:val="center"/>
        <w:rPr>
          <w:b w:val="0"/>
          <w:bCs w:val="0"/>
        </w:rPr>
      </w:pPr>
      <w:bookmarkStart w:name="_TOC_250010" w:id="15"/>
      <w:bookmarkStart w:name="第三节公司业务概要" w:id="16"/>
      <w:r>
        <w:rPr>
          <w:b w:val="0"/>
          <w:bCs w:val="0"/>
        </w:rPr>
      </w:r>
      <w:r>
        <w:rPr/>
        <w:t>第三节公司业务概要</w:t>
      </w:r>
      <w:bookmarkEnd w:id="15"/>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333" w:lineRule="auto"/>
        <w:ind w:left="513" w:right="0" w:hanging="360"/>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11"/>
        </w:rPr>
        <w:t> </w:t>
      </w:r>
      <w:r>
        <w:rPr>
          <w:spacing w:val="11"/>
        </w:rPr>
      </w:r>
      <w:r>
        <w:rPr>
          <w:spacing w:val="-3"/>
        </w:rPr>
        <w:t>本公司创始业务是为企业级用户提供基础软件中的中间件产品及相关技术服务，于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月在深圳证券交易所创业板</w:t>
      </w:r>
    </w:p>
    <w:p>
      <w:pPr>
        <w:pStyle w:val="BodyText"/>
        <w:spacing w:line="221" w:lineRule="exact"/>
        <w:ind w:right="0"/>
        <w:jc w:val="left"/>
      </w:pPr>
      <w:r>
        <w:rPr>
          <w:spacing w:val="-4"/>
        </w:rPr>
        <w:t>上市。公司上市以来，一方面继续在传统中间件产品领域深挖市场需求，改善产品性能，提升用户体验，巩固国产中间件行</w:t>
      </w:r>
    </w:p>
    <w:p>
      <w:pPr>
        <w:pStyle w:val="BodyText"/>
        <w:spacing w:line="309" w:lineRule="auto" w:before="76"/>
        <w:ind w:right="0"/>
        <w:jc w:val="left"/>
      </w:pPr>
      <w:r>
        <w:rPr>
          <w:spacing w:val="-5"/>
        </w:rPr>
        <w:t>业领先地位；另一方面，通过新设投资、收购等资本市场手段，拓展新业务，完善在网络信息安全、大数据、人工智能、</w:t>
      </w:r>
      <w:r>
        <w:rPr>
          <w:rFonts w:ascii="Times New Roman" w:hAnsi="Times New Roman" w:cs="Times New Roman" w:eastAsia="Times New Roman" w:hint="default"/>
          <w:spacing w:val="-5"/>
        </w:rPr>
        <w:t>5G</w:t>
      </w:r>
      <w:r>
        <w:rPr>
          <w:rFonts w:ascii="Times New Roman" w:hAnsi="Times New Roman" w:cs="Times New Roman" w:eastAsia="Times New Roman" w:hint="default"/>
          <w:spacing w:val="27"/>
        </w:rPr>
        <w:t> </w:t>
      </w:r>
      <w:r>
        <w:rPr>
          <w:spacing w:val="-6"/>
        </w:rPr>
        <w:t>通信等新技术、新业态、新模式的布局，坚持</w:t>
      </w:r>
      <w:r>
        <w:rPr>
          <w:rFonts w:ascii="Times New Roman" w:hAnsi="Times New Roman" w:cs="Times New Roman" w:eastAsia="Times New Roman" w:hint="default"/>
          <w:spacing w:val="-6"/>
        </w:rPr>
        <w:t>“</w:t>
      </w:r>
      <w:r>
        <w:rPr>
          <w:spacing w:val="-6"/>
        </w:rPr>
        <w:t>自主可控，安全创新</w:t>
      </w:r>
      <w:r>
        <w:rPr>
          <w:rFonts w:ascii="Times New Roman" w:hAnsi="Times New Roman" w:cs="Times New Roman" w:eastAsia="Times New Roman" w:hint="default"/>
          <w:spacing w:val="-6"/>
        </w:rPr>
        <w:t>”</w:t>
      </w:r>
      <w:r>
        <w:rPr>
          <w:spacing w:val="-6"/>
        </w:rPr>
        <w:t>的核心发展理念，依托基础软件的技术积累，拓展政务、</w:t>
      </w:r>
      <w:r>
        <w:rPr>
          <w:spacing w:val="6"/>
        </w:rPr>
        <w:t> </w:t>
      </w:r>
      <w:r>
        <w:rPr>
          <w:spacing w:val="6"/>
        </w:rPr>
      </w:r>
      <w:r>
        <w:rPr>
          <w:spacing w:val="-3"/>
        </w:rPr>
        <w:t>金融等特定行业解决方案，为用户提供基础安全产品及解决方案，同时继续为电信运营商等传统用户提供领先的信息安全、</w:t>
      </w:r>
      <w:r>
        <w:rPr>
          <w:spacing w:val="66"/>
        </w:rPr>
        <w:t> </w:t>
      </w:r>
      <w:r>
        <w:rPr>
          <w:spacing w:val="66"/>
        </w:rPr>
      </w:r>
      <w:r>
        <w:rPr>
          <w:spacing w:val="-4"/>
        </w:rPr>
        <w:t>网络安全、数据安全、应急安全等产品及解决方案。至本报告期末，公司主要业务已覆盖基础软件安全、通信网络安全、信</w:t>
      </w:r>
      <w:r>
        <w:rPr>
          <w:spacing w:val="40"/>
        </w:rPr>
        <w:t> </w:t>
      </w:r>
      <w:r>
        <w:rPr>
          <w:spacing w:val="40"/>
        </w:rPr>
      </w:r>
      <w:r>
        <w:rPr>
          <w:spacing w:val="-3"/>
        </w:rPr>
        <w:t>息安全、数据安全、应急安全、军工信息化等领域。</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312" w:lineRule="auto"/>
        <w:ind w:right="1123" w:firstLine="360"/>
        <w:jc w:val="left"/>
      </w:pPr>
      <w:r>
        <w:rPr>
          <w:spacing w:val="-3"/>
        </w:rPr>
        <w:t>母公司报告期内仍专注于基础软件</w:t>
      </w:r>
      <w:r>
        <w:rPr>
          <w:rFonts w:ascii="Times New Roman" w:hAnsi="Times New Roman" w:cs="Times New Roman" w:eastAsia="Times New Roman" w:hint="default"/>
          <w:spacing w:val="-3"/>
        </w:rPr>
        <w:t>Tong</w:t>
      </w:r>
      <w:r>
        <w:rPr>
          <w:spacing w:val="-3"/>
        </w:rPr>
        <w:t>系列中间件的研发、销售与相关服务。公司是中国中间件的开拓者和领导者，</w:t>
      </w:r>
      <w:r>
        <w:rPr>
          <w:w w:val="101"/>
        </w:rPr>
        <w:t> </w:t>
      </w:r>
      <w:r>
        <w:rPr/>
        <w:t>凭借 </w:t>
      </w:r>
      <w:r>
        <w:rPr>
          <w:rFonts w:ascii="Times New Roman" w:hAnsi="Times New Roman" w:cs="Times New Roman" w:eastAsia="Times New Roman" w:hint="default"/>
        </w:rPr>
        <w:t>20 </w:t>
      </w:r>
      <w:r>
        <w:rPr>
          <w:spacing w:val="-4"/>
        </w:rPr>
        <w:t>余年的技术与市场积累，多年来保持中间件市场占有率国内厂商第一，在国内市场继续保持领导者象限，且是该象</w:t>
      </w:r>
      <w:r>
        <w:rPr>
          <w:spacing w:val="26"/>
        </w:rPr>
        <w:t> </w:t>
      </w:r>
      <w:r>
        <w:rPr>
          <w:spacing w:val="26"/>
        </w:rPr>
      </w:r>
      <w:r>
        <w:rPr>
          <w:spacing w:val="-5"/>
        </w:rPr>
        <w:t>限唯一国产厂商。公司采取最终用户直销与渠道销售模式相结合的经营模式。产品在政府、交通、金融、电信、军工等行业</w:t>
      </w:r>
      <w:r>
        <w:rPr>
          <w:spacing w:val="4"/>
        </w:rPr>
        <w:t> </w:t>
      </w:r>
      <w:r>
        <w:rPr>
          <w:spacing w:val="4"/>
        </w:rPr>
      </w:r>
      <w:r>
        <w:rPr>
          <w:spacing w:val="-4"/>
        </w:rPr>
        <w:t>树立了众多典型应用案例，并且，依托基础软件的技术积累，在国家及省级政务共享交换平台建设中持续培育行业解决方案</w:t>
      </w:r>
      <w:r>
        <w:rPr>
          <w:spacing w:val="38"/>
        </w:rPr>
        <w:t> </w:t>
      </w:r>
      <w:r>
        <w:rPr>
          <w:spacing w:val="38"/>
        </w:rPr>
      </w:r>
      <w:r>
        <w:rPr>
          <w:spacing w:val="-3"/>
        </w:rPr>
        <w:t>能力。东方通是国家规划布局内重点软件企业，不断引领中国中间件的发展与创新，荣获国家科技进步二等奖等多项荣誉，</w:t>
      </w:r>
      <w:r>
        <w:rPr>
          <w:spacing w:val="66"/>
        </w:rPr>
        <w:t> </w:t>
      </w:r>
      <w:r>
        <w:rPr>
          <w:spacing w:val="66"/>
        </w:rPr>
      </w:r>
      <w:r>
        <w:rPr>
          <w:spacing w:val="-3"/>
        </w:rPr>
        <w:t>并承担多项国家重大科技专项的研制任务。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19" w:lineRule="auto"/>
        <w:ind w:right="1122" w:firstLine="360"/>
        <w:jc w:val="both"/>
      </w:pPr>
      <w:r>
        <w:rPr>
          <w:spacing w:val="-3"/>
        </w:rPr>
        <w:t>全资子公司微智信业</w:t>
      </w:r>
      <w:r>
        <w:rPr>
          <w:spacing w:val="12"/>
        </w:rPr>
        <w:t> </w:t>
      </w:r>
      <w:r>
        <w:rPr>
          <w:spacing w:val="-4"/>
        </w:rPr>
        <w:t>专注于网络安全、信息安全和通信业务安全领域的研究和应用，同时在数据安全、工业互联网等</w:t>
      </w:r>
      <w:r>
        <w:rPr>
          <w:w w:val="101"/>
        </w:rPr>
        <w:t> </w:t>
      </w:r>
      <w:r>
        <w:rPr>
          <w:spacing w:val="-4"/>
        </w:rPr>
        <w:t>新兴领域内进行拓展。公司主要采用最终用户直销的经营模式。微智信业充分发挥自身技术特长，以业内领先的网络数据采</w:t>
      </w:r>
      <w:r>
        <w:rPr>
          <w:spacing w:val="43"/>
        </w:rPr>
        <w:t> </w:t>
      </w:r>
      <w:r>
        <w:rPr>
          <w:spacing w:val="43"/>
        </w:rPr>
      </w:r>
      <w:r>
        <w:rPr>
          <w:spacing w:val="-4"/>
        </w:rPr>
        <w:t>集分析能力为基础，结合网络安全新技术，深入研究网络空间中各种安全事件的特征、演变及传播形态，遵循国家有关法律</w:t>
      </w:r>
      <w:r>
        <w:rPr>
          <w:spacing w:val="40"/>
        </w:rPr>
        <w:t> </w:t>
      </w:r>
      <w:r>
        <w:rPr>
          <w:spacing w:val="40"/>
        </w:rPr>
      </w:r>
      <w:r>
        <w:rPr>
          <w:spacing w:val="-3"/>
        </w:rPr>
        <w:t>法规要求，在安全事件研判、分析、预警、处置等方面积累了丰富的技术手段，形成了多样化、多场景的解决方案。</w:t>
      </w:r>
    </w:p>
    <w:p>
      <w:pPr>
        <w:pStyle w:val="BodyText"/>
        <w:spacing w:line="312" w:lineRule="auto" w:before="55"/>
        <w:ind w:right="1122" w:firstLine="360"/>
        <w:jc w:val="both"/>
      </w:pPr>
      <w:r>
        <w:rPr>
          <w:spacing w:val="-3"/>
        </w:rPr>
        <w:t>网络安全方面，目前公司产品已经可以覆盖电信运营商的</w:t>
      </w:r>
      <w:r>
        <w:rPr>
          <w:rFonts w:ascii="Times New Roman" w:hAnsi="Times New Roman" w:cs="Times New Roman" w:eastAsia="Times New Roman" w:hint="default"/>
          <w:spacing w:val="-3"/>
        </w:rPr>
        <w:t>IDC</w:t>
      </w:r>
      <w:r>
        <w:rPr>
          <w:spacing w:val="-3"/>
        </w:rPr>
        <w:t>机房、城域网、骨干网的网络攻击检测和防护、</w:t>
      </w:r>
      <w:r>
        <w:rPr>
          <w:rFonts w:ascii="Times New Roman" w:hAnsi="Times New Roman" w:cs="Times New Roman" w:eastAsia="Times New Roman" w:hint="default"/>
          <w:spacing w:val="-3"/>
        </w:rPr>
        <w:t>2/3/4/5G</w:t>
      </w:r>
      <w:r>
        <w:rPr>
          <w:rFonts w:ascii="Times New Roman" w:hAnsi="Times New Roman" w:cs="Times New Roman" w:eastAsia="Times New Roman" w:hint="default"/>
          <w:w w:val="101"/>
        </w:rPr>
        <w:t> </w:t>
      </w:r>
      <w:r>
        <w:rPr>
          <w:spacing w:val="-4"/>
        </w:rPr>
        <w:t>手机恶意软件的检测和治理、互联网僵木蠕病毒的检测和阻断，并应用人工智能、大数据分析技术实现网络异常的发现和处</w:t>
      </w:r>
      <w:r>
        <w:rPr>
          <w:spacing w:val="44"/>
        </w:rPr>
        <w:t> </w:t>
      </w:r>
      <w:r>
        <w:rPr>
          <w:spacing w:val="44"/>
        </w:rPr>
      </w:r>
      <w:r>
        <w:rPr>
          <w:spacing w:val="-3"/>
        </w:rPr>
        <w:t>置。产品同时支持运营商以外行业用户，如政府、企事业单位、金融等。</w:t>
      </w:r>
    </w:p>
    <w:p>
      <w:pPr>
        <w:pStyle w:val="BodyText"/>
        <w:spacing w:line="319" w:lineRule="auto" w:before="56"/>
        <w:ind w:right="1124" w:firstLine="360"/>
        <w:jc w:val="both"/>
      </w:pPr>
      <w:r>
        <w:rPr>
          <w:spacing w:val="-4"/>
        </w:rPr>
        <w:t>信息安全方面，目前公司具备业界领先的网络内容审计产品，已获得权威机构的检测认证，能够针对互联网流量中的文</w:t>
      </w:r>
      <w:r>
        <w:rPr>
          <w:w w:val="101"/>
        </w:rPr>
        <w:t> </w:t>
      </w:r>
      <w:r>
        <w:rPr>
          <w:spacing w:val="-4"/>
        </w:rPr>
        <w:t>本、图片、视频等内容，及时发现包括淫秽、暴恐、欺诈、钓鱼等非法网络信息的监测和管控，已广泛应用在国内电信运营</w:t>
      </w:r>
      <w:r>
        <w:rPr>
          <w:spacing w:val="40"/>
        </w:rPr>
        <w:t> </w:t>
      </w:r>
      <w:r>
        <w:rPr>
          <w:spacing w:val="40"/>
        </w:rPr>
      </w:r>
      <w:r>
        <w:rPr>
          <w:spacing w:val="-3"/>
        </w:rPr>
        <w:t>商的</w:t>
      </w:r>
      <w:r>
        <w:rPr>
          <w:rFonts w:ascii="Times New Roman" w:hAnsi="Times New Roman" w:cs="Times New Roman" w:eastAsia="Times New Roman" w:hint="default"/>
          <w:spacing w:val="-3"/>
        </w:rPr>
        <w:t>IDC</w:t>
      </w:r>
      <w:r>
        <w:rPr>
          <w:spacing w:val="-3"/>
        </w:rPr>
        <w:t>、城域网、</w:t>
      </w:r>
      <w:r>
        <w:rPr>
          <w:rFonts w:ascii="Times New Roman" w:hAnsi="Times New Roman" w:cs="Times New Roman" w:eastAsia="Times New Roman" w:hint="default"/>
          <w:spacing w:val="-3"/>
        </w:rPr>
        <w:t>2/3/4/5G</w:t>
      </w:r>
      <w:r>
        <w:rPr>
          <w:spacing w:val="-3"/>
        </w:rPr>
        <w:t>移动互联网等场景，也可应用于政府、电力、金融及互联网等企业的网络安全管理部门。</w:t>
      </w:r>
    </w:p>
    <w:p>
      <w:pPr>
        <w:pStyle w:val="BodyText"/>
        <w:spacing w:line="321" w:lineRule="auto" w:before="30"/>
        <w:ind w:right="1122" w:firstLine="360"/>
        <w:jc w:val="both"/>
      </w:pPr>
      <w:r>
        <w:rPr>
          <w:spacing w:val="-4"/>
        </w:rPr>
        <w:t>通信业务安全方面，提供领先的电信运营商专线语音管控、骚扰电话综合治理、诈骗电话防治以及传统通信业务安全应</w:t>
      </w:r>
      <w:r>
        <w:rPr>
          <w:w w:val="101"/>
        </w:rPr>
        <w:t> </w:t>
      </w:r>
      <w:r>
        <w:rPr>
          <w:spacing w:val="-3"/>
        </w:rPr>
        <w:t>用解决方案等，主要应用于电信运营商和相关政府监管部门。</w:t>
      </w:r>
    </w:p>
    <w:p>
      <w:pPr>
        <w:pStyle w:val="BodyText"/>
        <w:spacing w:line="319" w:lineRule="auto" w:before="54"/>
        <w:ind w:right="1124" w:firstLine="360"/>
        <w:jc w:val="both"/>
      </w:pPr>
      <w:r>
        <w:rPr>
          <w:spacing w:val="-4"/>
        </w:rPr>
        <w:t>数据安全方面，公司针对日益受到重视的数据安全保护需求，基于核心流量监测分析技术，提供各种数据安全监测和控</w:t>
      </w:r>
      <w:r>
        <w:rPr>
          <w:w w:val="101"/>
        </w:rPr>
        <w:t> </w:t>
      </w:r>
      <w:r>
        <w:rPr>
          <w:spacing w:val="-4"/>
        </w:rPr>
        <w:t>制产品和方案，同时提供数据安全管控平台，实现数据安全的集约化管理，可有效支撑电信运营商、工业企业等的数据安全</w:t>
      </w:r>
      <w:r>
        <w:rPr>
          <w:spacing w:val="40"/>
        </w:rPr>
        <w:t> </w:t>
      </w:r>
      <w:r>
        <w:rPr>
          <w:spacing w:val="40"/>
        </w:rPr>
      </w:r>
      <w:r>
        <w:rPr>
          <w:spacing w:val="-3"/>
        </w:rPr>
        <w:t>管控能力，降低数据泄露风险。</w:t>
      </w:r>
    </w:p>
    <w:p>
      <w:pPr>
        <w:pStyle w:val="BodyText"/>
        <w:spacing w:line="321" w:lineRule="auto" w:before="50"/>
        <w:ind w:right="1047" w:firstLine="360"/>
        <w:jc w:val="both"/>
      </w:pPr>
      <w:r>
        <w:rPr>
          <w:spacing w:val="-3"/>
        </w:rPr>
        <w:t>工业互联网安全方面，公司根据已有技术储备，结合工业互联网安全需求，进行了有关工业敏感数据检测方面的开发，</w:t>
      </w:r>
      <w:r>
        <w:rPr>
          <w:w w:val="101"/>
        </w:rPr>
        <w:t> </w:t>
      </w:r>
      <w:r>
        <w:rPr>
          <w:spacing w:val="-3"/>
        </w:rPr>
        <w:t>产品已经实现现场验证和部署，为工业互联网数据安全提供有效保障。</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00" w:lineRule="auto"/>
        <w:ind w:right="1122" w:firstLine="360"/>
        <w:jc w:val="both"/>
      </w:pPr>
      <w:r>
        <w:rPr>
          <w:spacing w:val="-3"/>
        </w:rPr>
        <w:t>全资子公司泰策科技</w:t>
      </w:r>
      <w:r>
        <w:rPr>
          <w:spacing w:val="73"/>
        </w:rPr>
        <w:t> </w:t>
      </w:r>
      <w:r>
        <w:rPr>
          <w:spacing w:val="-3"/>
        </w:rPr>
        <w:t>是业界领先的</w:t>
      </w:r>
      <w:r>
        <w:rPr>
          <w:rFonts w:ascii="Times New Roman" w:hAnsi="Times New Roman" w:cs="Times New Roman" w:eastAsia="Times New Roman" w:hint="default"/>
          <w:spacing w:val="-3"/>
        </w:rPr>
        <w:t>DNS</w:t>
      </w:r>
      <w:r>
        <w:rPr>
          <w:spacing w:val="-3"/>
        </w:rPr>
        <w:t>系统、应急管理信息化及工业互联网标识解析的产品及服务提供商。公司主要</w:t>
      </w:r>
      <w:r>
        <w:rPr>
          <w:w w:val="101"/>
        </w:rPr>
        <w:t> </w:t>
      </w:r>
      <w:r>
        <w:rPr>
          <w:spacing w:val="-4"/>
        </w:rPr>
        <w:t>以渠道销售为主要经营模式。作为直接推动了中国</w:t>
      </w:r>
      <w:r>
        <w:rPr>
          <w:rFonts w:ascii="Times New Roman" w:hAnsi="Times New Roman" w:cs="Times New Roman" w:eastAsia="Times New Roman" w:hint="default"/>
          <w:spacing w:val="-4"/>
        </w:rPr>
        <w:t>DNS</w:t>
      </w:r>
      <w:r>
        <w:rPr>
          <w:spacing w:val="-4"/>
        </w:rPr>
        <w:t>解决方案商业化进程的厂商，泰策科技在</w:t>
      </w:r>
      <w:r>
        <w:rPr>
          <w:rFonts w:ascii="Times New Roman" w:hAnsi="Times New Roman" w:cs="Times New Roman" w:eastAsia="Times New Roman" w:hint="default"/>
          <w:spacing w:val="-4"/>
        </w:rPr>
        <w:t>DNS</w:t>
      </w:r>
      <w:r>
        <w:rPr>
          <w:spacing w:val="-4"/>
        </w:rPr>
        <w:t>领域有着较高的行业影</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21" w:lineRule="auto" w:before="46"/>
        <w:ind w:right="0"/>
        <w:jc w:val="left"/>
      </w:pPr>
      <w:r>
        <w:rPr>
          <w:spacing w:val="-4"/>
        </w:rPr>
        <w:t>响力，并将产品方向从消费互联网的域名解析逐步延展到工业互联网的标识解析，从而形成了完整的全互联网标识解析解决</w:t>
      </w:r>
      <w:r>
        <w:rPr>
          <w:spacing w:val="44"/>
        </w:rPr>
        <w:t> </w:t>
      </w:r>
      <w:r>
        <w:rPr>
          <w:spacing w:val="44"/>
        </w:rPr>
      </w:r>
      <w:r>
        <w:rPr>
          <w:spacing w:val="-3"/>
        </w:rPr>
        <w:t>方案。此外，泰策科技提前布局应急行业，在应急管理信息化领域，推出了应急通信、应急管理一张图等解决方案。</w:t>
      </w:r>
    </w:p>
    <w:p>
      <w:pPr>
        <w:pStyle w:val="BodyText"/>
        <w:spacing w:line="309" w:lineRule="auto" w:before="49"/>
        <w:ind w:right="1122" w:firstLine="360"/>
        <w:jc w:val="both"/>
      </w:pPr>
      <w:r>
        <w:rPr>
          <w:spacing w:val="-4"/>
        </w:rPr>
        <w:t>在消费互联网标识（域名）解析（</w:t>
      </w:r>
      <w:r>
        <w:rPr>
          <w:rFonts w:ascii="Times New Roman" w:hAnsi="Times New Roman" w:cs="Times New Roman" w:eastAsia="Times New Roman" w:hint="default"/>
          <w:spacing w:val="-4"/>
        </w:rPr>
        <w:t>DNS</w:t>
      </w:r>
      <w:r>
        <w:rPr>
          <w:spacing w:val="-4"/>
        </w:rPr>
        <w:t>）领域，泰策科技继续为电信运营商及政企、高校等客户提供稳定的域名解析产</w:t>
      </w:r>
      <w:r>
        <w:rPr>
          <w:w w:val="101"/>
        </w:rPr>
        <w:t> </w:t>
      </w:r>
      <w:r>
        <w:rPr>
          <w:spacing w:val="-4"/>
        </w:rPr>
        <w:t>品和系统管理、大数据分析等配套系统。在工业互联网标识解析领域，泰策科技积极进行技术研究和示范试点，东方通作为</w:t>
      </w:r>
      <w:r>
        <w:rPr>
          <w:spacing w:val="40"/>
        </w:rPr>
        <w:t> </w:t>
      </w:r>
      <w:r>
        <w:rPr>
          <w:spacing w:val="40"/>
        </w:rPr>
      </w:r>
      <w:r>
        <w:rPr>
          <w:spacing w:val="-4"/>
        </w:rPr>
        <w:t>联合体成员之一，中标工信部</w:t>
      </w:r>
      <w:r>
        <w:rPr>
          <w:rFonts w:ascii="Times New Roman" w:hAnsi="Times New Roman" w:cs="Times New Roman" w:eastAsia="Times New Roman" w:hint="default"/>
          <w:spacing w:val="-4"/>
        </w:rPr>
        <w:t>2019</w:t>
      </w:r>
      <w:r>
        <w:rPr>
          <w:spacing w:val="-4"/>
        </w:rPr>
        <w:t>年工业互联网创新发展工程中的工业</w:t>
      </w:r>
      <w:r>
        <w:rPr>
          <w:rFonts w:ascii="Times New Roman" w:hAnsi="Times New Roman" w:cs="Times New Roman" w:eastAsia="Times New Roman" w:hint="default"/>
          <w:spacing w:val="-4"/>
        </w:rPr>
        <w:t>APP</w:t>
      </w:r>
      <w:r>
        <w:rPr>
          <w:spacing w:val="-4"/>
        </w:rPr>
        <w:t>标识管理服务系统项目，泰策科技是该项目的研</w:t>
      </w:r>
      <w:r>
        <w:rPr>
          <w:spacing w:val="-1"/>
        </w:rPr>
        <w:t> </w:t>
      </w:r>
      <w:r>
        <w:rPr>
          <w:spacing w:val="-1"/>
        </w:rPr>
      </w:r>
      <w:r>
        <w:rPr>
          <w:spacing w:val="-4"/>
        </w:rPr>
        <w:t>发和实施主体；泰策科技参与了部分工业互联网二级节点的建设；同时，泰策科技还积极参与该领域的国家、行业标准等制</w:t>
      </w:r>
      <w:r>
        <w:rPr>
          <w:spacing w:val="40"/>
        </w:rPr>
        <w:t> </w:t>
      </w:r>
      <w:r>
        <w:rPr>
          <w:spacing w:val="40"/>
        </w:rPr>
      </w:r>
      <w:r>
        <w:rPr/>
        <w:t>定工作。</w:t>
      </w:r>
    </w:p>
    <w:p>
      <w:pPr>
        <w:pStyle w:val="BodyText"/>
        <w:spacing w:line="307" w:lineRule="auto" w:before="62"/>
        <w:ind w:right="1124" w:firstLine="360"/>
        <w:jc w:val="both"/>
      </w:pPr>
      <w:r>
        <w:rPr>
          <w:spacing w:val="-3"/>
        </w:rPr>
        <w:t>在应急管理信息化领域，一方面，泰策结合行业特点和自身技术积累，提出</w:t>
      </w:r>
      <w:r>
        <w:rPr>
          <w:rFonts w:ascii="Times New Roman" w:hAnsi="Times New Roman" w:cs="Times New Roman" w:eastAsia="Times New Roman" w:hint="default"/>
          <w:spacing w:val="-3"/>
        </w:rPr>
        <w:t>“</w:t>
      </w:r>
      <w:r>
        <w:rPr>
          <w:spacing w:val="-3"/>
        </w:rPr>
        <w:t>应急管理综合应用系统、基础支撑系统和</w:t>
      </w:r>
      <w:r>
        <w:rPr>
          <w:w w:val="101"/>
        </w:rPr>
        <w:t> </w:t>
      </w:r>
      <w:r>
        <w:rPr>
          <w:spacing w:val="-3"/>
        </w:rPr>
        <w:t>应急指挥场所</w:t>
      </w:r>
      <w:r>
        <w:rPr>
          <w:rFonts w:ascii="Times New Roman" w:hAnsi="Times New Roman" w:cs="Times New Roman" w:eastAsia="Times New Roman" w:hint="default"/>
          <w:spacing w:val="-3"/>
        </w:rPr>
        <w:t>”</w:t>
      </w:r>
      <w:r>
        <w:rPr>
          <w:spacing w:val="-3"/>
        </w:rPr>
        <w:t>三个板块的应急安全管理解决方案，助力政府和行业用户应急管理工作创新；另一方面，泰策科技确立应急</w:t>
      </w:r>
      <w:r>
        <w:rPr>
          <w:spacing w:val="66"/>
        </w:rPr>
        <w:t> </w:t>
      </w:r>
      <w:r>
        <w:rPr>
          <w:spacing w:val="66"/>
        </w:rPr>
      </w:r>
      <w:r>
        <w:rPr>
          <w:spacing w:val="-4"/>
        </w:rPr>
        <w:t>管理数据融合与应用业务服务为主要方案，重点开发应急管理业务一张图产品，以应急管理数据资源目录治理为核心服务内</w:t>
      </w:r>
      <w:r>
        <w:rPr>
          <w:spacing w:val="43"/>
        </w:rPr>
        <w:t> </w:t>
      </w:r>
      <w:r>
        <w:rPr>
          <w:spacing w:val="43"/>
        </w:rPr>
      </w:r>
      <w:r>
        <w:rPr/>
        <w:t>容。</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43"/>
        <w:gridCol w:w="7015"/>
      </w:tblGrid>
      <w:tr>
        <w:trPr>
          <w:trHeight w:val="182" w:hRule="exact"/>
        </w:trPr>
        <w:tc>
          <w:tcPr>
            <w:tcW w:w="2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5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2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2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5"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报告期内对杭州清响投资管理合伙企业（有限合伙）追加投资 </w:t>
            </w:r>
            <w:r>
              <w:rPr>
                <w:rFonts w:ascii="Times New Roman" w:hAnsi="Times New Roman" w:cs="Times New Roman" w:eastAsia="Times New Roman" w:hint="default"/>
                <w:sz w:val="18"/>
                <w:szCs w:val="18"/>
              </w:rPr>
              <w:t>2,000 </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万元，对北京海资联</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pacing w:val="-3"/>
                <w:sz w:val="18"/>
                <w:szCs w:val="18"/>
              </w:rPr>
              <w:t>动创新股权投资管理中心（有限合伙）投资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p>
        </w:tc>
      </w:tr>
      <w:tr>
        <w:trPr>
          <w:trHeight w:val="394" w:hRule="exact"/>
        </w:trPr>
        <w:tc>
          <w:tcPr>
            <w:tcW w:w="25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015" w:type="dxa"/>
            <w:vMerge/>
            <w:tcBorders>
              <w:left w:val="single" w:sz="10" w:space="0" w:color="D2D2D2"/>
              <w:right w:val="single" w:sz="4" w:space="0" w:color="000000"/>
            </w:tcBorders>
          </w:tcPr>
          <w:p>
            <w:pPr/>
          </w:p>
        </w:tc>
      </w:tr>
      <w:tr>
        <w:trPr>
          <w:trHeight w:val="163" w:hRule="exact"/>
        </w:trPr>
        <w:tc>
          <w:tcPr>
            <w:tcW w:w="25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5" w:type="dxa"/>
            <w:vMerge/>
            <w:tcBorders>
              <w:left w:val="single" w:sz="10" w:space="0" w:color="D2D2D2"/>
              <w:bottom w:val="single" w:sz="4" w:space="0" w:color="000000"/>
              <w:right w:val="single" w:sz="4" w:space="0" w:color="000000"/>
            </w:tcBorders>
          </w:tcPr>
          <w:p>
            <w:pPr/>
          </w:p>
        </w:tc>
      </w:tr>
      <w:tr>
        <w:trPr>
          <w:trHeight w:val="398"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0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主要原因是本报告期子公司微智信业购买办公用房由其他流动资产转入固定资产。</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pStyle w:val="BodyText"/>
        <w:spacing w:line="302" w:lineRule="auto"/>
        <w:ind w:right="1123" w:firstLine="360"/>
        <w:jc w:val="both"/>
      </w:pPr>
      <w:r>
        <w:rPr>
          <w:spacing w:val="-4"/>
        </w:rPr>
        <w:t>公司是国家高新技术企业、国家规划布局内重点软件企业、</w:t>
      </w:r>
      <w:r>
        <w:rPr>
          <w:rFonts w:ascii="Times New Roman" w:hAnsi="Times New Roman" w:cs="Times New Roman" w:eastAsia="Times New Roman" w:hint="default"/>
          <w:spacing w:val="-4"/>
        </w:rPr>
        <w:t>“</w:t>
      </w:r>
      <w:r>
        <w:rPr>
          <w:spacing w:val="-4"/>
        </w:rPr>
        <w:t>核高基</w:t>
      </w:r>
      <w:r>
        <w:rPr>
          <w:rFonts w:ascii="Times New Roman" w:hAnsi="Times New Roman" w:cs="Times New Roman" w:eastAsia="Times New Roman" w:hint="default"/>
          <w:spacing w:val="-4"/>
        </w:rPr>
        <w:t>”</w:t>
      </w:r>
      <w:r>
        <w:rPr>
          <w:spacing w:val="-4"/>
        </w:rPr>
        <w:t>等多项国家重大科技计划项目的承担单位、国务院</w:t>
      </w:r>
      <w:r>
        <w:rPr>
          <w:w w:val="101"/>
        </w:rPr>
        <w:t> </w:t>
      </w:r>
      <w:r>
        <w:rPr>
          <w:spacing w:val="-4"/>
        </w:rPr>
        <w:t>颁发的</w:t>
      </w:r>
      <w:r>
        <w:rPr>
          <w:rFonts w:ascii="Times New Roman" w:hAnsi="Times New Roman" w:cs="Times New Roman" w:eastAsia="Times New Roman" w:hint="default"/>
          <w:spacing w:val="-4"/>
        </w:rPr>
        <w:t>“</w:t>
      </w:r>
      <w:r>
        <w:rPr>
          <w:spacing w:val="-4"/>
        </w:rPr>
        <w:t>国家科技进步二等奖</w:t>
      </w:r>
      <w:r>
        <w:rPr>
          <w:rFonts w:ascii="Times New Roman" w:hAnsi="Times New Roman" w:cs="Times New Roman" w:eastAsia="Times New Roman" w:hint="default"/>
          <w:spacing w:val="-4"/>
        </w:rPr>
        <w:t>”</w:t>
      </w:r>
      <w:r>
        <w:rPr>
          <w:spacing w:val="-4"/>
        </w:rPr>
        <w:t>获得者。子公司微智信业、泰策科技、数字天堂等均为国家高新技术企业，享受国家相关优惠</w:t>
      </w:r>
      <w:r>
        <w:rPr>
          <w:spacing w:val="63"/>
        </w:rPr>
        <w:t> </w:t>
      </w:r>
      <w:r>
        <w:rPr>
          <w:spacing w:val="63"/>
        </w:rPr>
      </w:r>
      <w:r>
        <w:rPr/>
        <w:t>政策。</w:t>
      </w:r>
    </w:p>
    <w:p>
      <w:pPr>
        <w:pStyle w:val="BodyText"/>
        <w:spacing w:line="304" w:lineRule="auto" w:before="63"/>
        <w:ind w:right="1123" w:firstLine="360"/>
        <w:jc w:val="left"/>
      </w:pPr>
      <w:r>
        <w:rPr>
          <w:spacing w:val="-3"/>
        </w:rPr>
        <w:t>子公司微智信业除取得多个</w:t>
      </w:r>
      <w:r>
        <w:rPr>
          <w:rFonts w:ascii="Times New Roman" w:hAnsi="Times New Roman" w:cs="Times New Roman" w:eastAsia="Times New Roman" w:hint="default"/>
          <w:spacing w:val="-3"/>
        </w:rPr>
        <w:t>ISO</w:t>
      </w:r>
      <w:r>
        <w:rPr>
          <w:spacing w:val="-3"/>
        </w:rPr>
        <w:t>管理体系认证资质和行业认证外，还取得中国电子信息行业联合会颁发的《计算机信息</w:t>
      </w:r>
      <w:r>
        <w:rPr>
          <w:w w:val="101"/>
        </w:rPr>
        <w:t> </w:t>
      </w:r>
      <w:r>
        <w:rPr>
          <w:spacing w:val="-3"/>
        </w:rPr>
        <w:t>系统集成及服务资质二级》、中国网络安全审查技术与认证中心颁发的《信息安全服务资质认证证书</w:t>
      </w:r>
      <w:r>
        <w:rPr>
          <w:rFonts w:ascii="Times New Roman" w:hAnsi="Times New Roman" w:cs="Times New Roman" w:eastAsia="Times New Roman" w:hint="default"/>
          <w:spacing w:val="-3"/>
        </w:rPr>
        <w:t>-</w:t>
      </w:r>
      <w:r>
        <w:rPr>
          <w:spacing w:val="-3"/>
        </w:rPr>
        <w:t>信息系统安全集成二</w:t>
      </w:r>
      <w:r>
        <w:rPr>
          <w:spacing w:val="66"/>
        </w:rPr>
        <w:t> </w:t>
      </w:r>
      <w:r>
        <w:rPr>
          <w:spacing w:val="66"/>
        </w:rPr>
      </w:r>
      <w:r>
        <w:rPr>
          <w:spacing w:val="-3"/>
        </w:rPr>
        <w:t>级服务》和《信息安全服务资质认证证书</w:t>
      </w:r>
      <w:r>
        <w:rPr>
          <w:rFonts w:ascii="Times New Roman" w:hAnsi="Times New Roman" w:cs="Times New Roman" w:eastAsia="Times New Roman" w:hint="default"/>
          <w:spacing w:val="-3"/>
        </w:rPr>
        <w:t>-</w:t>
      </w:r>
      <w:r>
        <w:rPr>
          <w:spacing w:val="-3"/>
        </w:rPr>
        <w:t>信息安全应急处理三级服务》、软件开发</w:t>
      </w:r>
      <w:r>
        <w:rPr>
          <w:rFonts w:ascii="Times New Roman" w:hAnsi="Times New Roman" w:cs="Times New Roman" w:eastAsia="Times New Roman" w:hint="default"/>
          <w:spacing w:val="-3"/>
        </w:rPr>
        <w:t>CMMI</w:t>
      </w:r>
      <w:r>
        <w:rPr>
          <w:spacing w:val="-3"/>
        </w:rPr>
        <w:t>能力成熟度模型集成五级、中国</w:t>
      </w:r>
      <w:r>
        <w:rPr>
          <w:spacing w:val="69"/>
        </w:rPr>
        <w:t> </w:t>
      </w:r>
      <w:r>
        <w:rPr>
          <w:spacing w:val="69"/>
        </w:rPr>
      </w:r>
      <w:r>
        <w:rPr>
          <w:spacing w:val="-3"/>
        </w:rPr>
        <w:t>通信企业协会颁发的《网络安全服务能力评定证书</w:t>
      </w:r>
      <w:r>
        <w:rPr>
          <w:rFonts w:ascii="Times New Roman" w:hAnsi="Times New Roman" w:cs="Times New Roman" w:eastAsia="Times New Roman" w:hint="default"/>
          <w:spacing w:val="-3"/>
        </w:rPr>
        <w:t>-</w:t>
      </w:r>
      <w:r>
        <w:rPr>
          <w:spacing w:val="-3"/>
        </w:rPr>
        <w:t>网络安全设计与集成一级》等证书。公司在网络安全应急服务支撑领域</w:t>
      </w:r>
      <w:r>
        <w:rPr>
          <w:spacing w:val="65"/>
        </w:rPr>
        <w:t> </w:t>
      </w:r>
      <w:r>
        <w:rPr>
          <w:spacing w:val="65"/>
        </w:rPr>
      </w:r>
      <w:r>
        <w:rPr>
          <w:spacing w:val="-4"/>
        </w:rPr>
        <w:t>继续耕耘，先后成为福建、浙江等省份的网络安全应急服务支撑单位，为公司在全国开展网络安全业务提供了技术和政策支</w:t>
      </w:r>
      <w:r>
        <w:rPr>
          <w:spacing w:val="43"/>
        </w:rPr>
        <w:t> </w:t>
      </w:r>
      <w:r>
        <w:rPr>
          <w:spacing w:val="43"/>
        </w:rPr>
      </w:r>
      <w:r>
        <w:rPr/>
        <w:t>撑。</w:t>
      </w:r>
    </w:p>
    <w:p>
      <w:pPr>
        <w:pStyle w:val="BodyText"/>
        <w:spacing w:line="319" w:lineRule="auto" w:before="66"/>
        <w:ind w:right="1124" w:firstLine="360"/>
        <w:jc w:val="both"/>
      </w:pPr>
      <w:r>
        <w:rPr>
          <w:spacing w:val="-5"/>
        </w:rPr>
        <w:t>创新是东方通的发展源泉，也是公司的核心竞争力。公司除了通过整合业务板块、优化管理结构、加强内控管理、提高</w:t>
      </w:r>
      <w:r>
        <w:rPr>
          <w:w w:val="101"/>
        </w:rPr>
        <w:t> </w:t>
      </w:r>
      <w:r>
        <w:rPr>
          <w:spacing w:val="-4"/>
        </w:rPr>
        <w:t>品牌建设、拓宽营销产品线等举措提升公司竞争力以外，主要通过持续的商业模式及管理模式的创新不断发展前进，立志成</w:t>
      </w:r>
      <w:r>
        <w:rPr>
          <w:spacing w:val="43"/>
        </w:rPr>
        <w:t> </w:t>
      </w:r>
      <w:r>
        <w:rPr>
          <w:spacing w:val="43"/>
        </w:rPr>
      </w:r>
      <w:r>
        <w:rPr>
          <w:spacing w:val="-3"/>
        </w:rPr>
        <w:t>为一家</w:t>
      </w:r>
      <w:r>
        <w:rPr>
          <w:rFonts w:ascii="Times New Roman" w:hAnsi="Times New Roman" w:cs="Times New Roman" w:eastAsia="Times New Roman" w:hint="default"/>
          <w:spacing w:val="-3"/>
        </w:rPr>
        <w:t>“</w:t>
      </w:r>
      <w:r>
        <w:rPr>
          <w:spacing w:val="-3"/>
        </w:rPr>
        <w:t>自主可控，安全创新</w:t>
      </w:r>
      <w:r>
        <w:rPr>
          <w:rFonts w:ascii="Times New Roman" w:hAnsi="Times New Roman" w:cs="Times New Roman" w:eastAsia="Times New Roman" w:hint="default"/>
          <w:spacing w:val="-3"/>
        </w:rPr>
        <w:t>”</w:t>
      </w:r>
      <w:r>
        <w:rPr>
          <w:spacing w:val="-3"/>
        </w:rPr>
        <w:t>的创新型企业。</w:t>
      </w:r>
    </w:p>
    <w:p>
      <w:pPr>
        <w:spacing w:line="240" w:lineRule="auto" w:before="0"/>
        <w:rPr>
          <w:rFonts w:ascii="宋体" w:hAnsi="宋体" w:cs="宋体" w:eastAsia="宋体" w:hint="default"/>
          <w:sz w:val="18"/>
          <w:szCs w:val="18"/>
        </w:rPr>
      </w:pPr>
    </w:p>
    <w:p>
      <w:pPr>
        <w:pStyle w:val="Heading6"/>
        <w:spacing w:line="240" w:lineRule="auto" w:before="151"/>
        <w:ind w:right="0"/>
        <w:jc w:val="left"/>
        <w:rPr>
          <w:b w:val="0"/>
          <w:bCs w:val="0"/>
        </w:rPr>
      </w:pPr>
      <w:r>
        <w:rPr/>
        <w:t>（一）技术创新优势</w:t>
      </w:r>
      <w:r>
        <w:rPr>
          <w:b w:val="0"/>
          <w:bCs w:val="0"/>
        </w:rPr>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b/>
          <w:bCs/>
          <w:sz w:val="26"/>
          <w:szCs w:val="26"/>
        </w:rPr>
      </w:pPr>
    </w:p>
    <w:p>
      <w:pPr>
        <w:pStyle w:val="BodyText"/>
        <w:spacing w:line="240" w:lineRule="auto" w:before="46"/>
        <w:ind w:left="513" w:right="0"/>
        <w:jc w:val="left"/>
      </w:pPr>
      <w:r>
        <w:rPr>
          <w:spacing w:val="-3"/>
        </w:rPr>
        <w:t>公司一直高度重视产品研发和技术进步，并致力于不断的技术创新提升公司的竞争力。</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333" w:lineRule="auto"/>
        <w:ind w:left="513" w:right="0"/>
        <w:jc w:val="left"/>
      </w:pPr>
      <w:r>
        <w:rPr>
          <w:rFonts w:ascii="Times New Roman" w:hAnsi="Times New Roman" w:cs="Times New Roman" w:eastAsia="Times New Roman" w:hint="default"/>
          <w:spacing w:val="-3"/>
        </w:rPr>
        <w:t>1</w:t>
      </w:r>
      <w:r>
        <w:rPr>
          <w:spacing w:val="-3"/>
        </w:rPr>
        <w:t>、核心技术自主研发能力强，产品转化率高</w:t>
      </w:r>
      <w:r>
        <w:rPr>
          <w:spacing w:val="-29"/>
        </w:rPr>
        <w:t> </w:t>
      </w:r>
      <w:r>
        <w:rPr>
          <w:spacing w:val="-29"/>
        </w:rPr>
      </w:r>
      <w:r>
        <w:rPr>
          <w:spacing w:val="-5"/>
        </w:rPr>
        <w:t>公司拥有一支优秀的核心技术研究与软件开发团队，人员本科及以上学历占比</w:t>
      </w:r>
      <w:r>
        <w:rPr>
          <w:rFonts w:ascii="Times New Roman" w:hAnsi="Times New Roman" w:cs="Times New Roman" w:eastAsia="Times New Roman" w:hint="default"/>
          <w:spacing w:val="-5"/>
        </w:rPr>
        <w:t>90%</w:t>
      </w:r>
      <w:r>
        <w:rPr>
          <w:spacing w:val="-5"/>
        </w:rPr>
        <w:t>以上，除北京总部外，在成都、武汉、</w:t>
      </w:r>
    </w:p>
    <w:p>
      <w:pPr>
        <w:pStyle w:val="BodyText"/>
        <w:spacing w:line="221" w:lineRule="exact"/>
        <w:ind w:right="0"/>
        <w:jc w:val="left"/>
      </w:pPr>
      <w:r>
        <w:rPr>
          <w:spacing w:val="-4"/>
        </w:rPr>
        <w:t>郑州、广州分别建有研发基地。公司拥有自主研发的多项软件著作权及产品证书，并取得多件国家专利授权证书，近年来多</w:t>
      </w:r>
    </w:p>
    <w:p>
      <w:pPr>
        <w:pStyle w:val="BodyText"/>
        <w:spacing w:line="240" w:lineRule="auto" w:before="81"/>
        <w:ind w:right="0"/>
        <w:jc w:val="left"/>
      </w:pPr>
      <w:r>
        <w:rPr>
          <w:spacing w:val="-3"/>
        </w:rPr>
        <w:t>次获得国家、北京市的成果转化、创新基金等方面的资金支持。</w:t>
      </w:r>
    </w:p>
    <w:p>
      <w:pPr>
        <w:pStyle w:val="BodyText"/>
        <w:spacing w:line="338" w:lineRule="auto" w:before="115"/>
        <w:ind w:left="513" w:right="0"/>
        <w:jc w:val="left"/>
      </w:pPr>
      <w:r>
        <w:rPr/>
        <w:t>（</w:t>
      </w:r>
      <w:r>
        <w:rPr>
          <w:rFonts w:ascii="Times New Roman" w:hAnsi="Times New Roman" w:cs="Times New Roman" w:eastAsia="Times New Roman" w:hint="default"/>
        </w:rPr>
        <w:t>1</w:t>
      </w:r>
      <w:r>
        <w:rPr/>
        <w:t>）基础安全方面</w:t>
      </w:r>
      <w:r>
        <w:rPr>
          <w:spacing w:val="-85"/>
        </w:rPr>
        <w:t> </w:t>
      </w:r>
      <w:r>
        <w:rPr>
          <w:spacing w:val="-85"/>
        </w:rPr>
      </w:r>
      <w:r>
        <w:rPr>
          <w:spacing w:val="-3"/>
        </w:rPr>
        <w:t>持续多年的积累与努力，公司在中间件核心技术上积累丰厚，技术和产品创新不断。公司主导或参与制定了中间件、</w:t>
      </w:r>
    </w:p>
    <w:p>
      <w:pPr>
        <w:pStyle w:val="BodyText"/>
        <w:spacing w:line="304" w:lineRule="auto" w:before="3"/>
        <w:ind w:right="0"/>
        <w:jc w:val="left"/>
      </w:pPr>
      <w:r>
        <w:rPr>
          <w:rFonts w:ascii="Times New Roman" w:hAnsi="Times New Roman" w:cs="Times New Roman" w:eastAsia="Times New Roman" w:hint="default"/>
          <w:spacing w:val="-4"/>
        </w:rPr>
        <w:t>SOA</w:t>
      </w:r>
      <w:r>
        <w:rPr>
          <w:spacing w:val="-4"/>
        </w:rPr>
        <w:t>、云计算与智慧城市相关国家和行业标准</w:t>
      </w:r>
      <w:r>
        <w:rPr>
          <w:rFonts w:ascii="Times New Roman" w:hAnsi="Times New Roman" w:cs="Times New Roman" w:eastAsia="Times New Roman" w:hint="default"/>
          <w:spacing w:val="-4"/>
        </w:rPr>
        <w:t>40</w:t>
      </w:r>
      <w:r>
        <w:rPr>
          <w:spacing w:val="-4"/>
        </w:rPr>
        <w:t>余项，积极承担多项国家重大科技专项课题任务，并参与国家政务信息资源</w:t>
      </w:r>
      <w:r>
        <w:rPr>
          <w:spacing w:val="51"/>
        </w:rPr>
        <w:t> </w:t>
      </w:r>
      <w:r>
        <w:rPr>
          <w:spacing w:val="51"/>
        </w:rPr>
      </w:r>
      <w:r>
        <w:rPr>
          <w:spacing w:val="-3"/>
        </w:rPr>
        <w:t>交换体系标准的编制；在基础中间件、数据共享和服务平台、容器云产品，以及行业领域平台等方面累计发布</w:t>
      </w:r>
      <w:r>
        <w:rPr>
          <w:rFonts w:ascii="Times New Roman" w:hAnsi="Times New Roman" w:cs="Times New Roman" w:eastAsia="Times New Roman" w:hint="default"/>
          <w:spacing w:val="-3"/>
        </w:rPr>
        <w:t>50</w:t>
      </w:r>
      <w:r>
        <w:rPr>
          <w:spacing w:val="-3"/>
        </w:rPr>
        <w:t>余款产品，</w:t>
      </w:r>
      <w:r>
        <w:rPr>
          <w:spacing w:val="70"/>
        </w:rPr>
        <w:t> </w:t>
      </w:r>
      <w:r>
        <w:rPr>
          <w:spacing w:val="70"/>
        </w:rPr>
      </w:r>
      <w:r>
        <w:rPr>
          <w:spacing w:val="-3"/>
        </w:rPr>
        <w:t>并持续迭代升级，</w:t>
      </w:r>
      <w:r>
        <w:rPr>
          <w:rFonts w:ascii="Times New Roman" w:hAnsi="Times New Roman" w:cs="Times New Roman" w:eastAsia="Times New Roman" w:hint="default"/>
          <w:spacing w:val="-3"/>
        </w:rPr>
        <w:t>2019</w:t>
      </w:r>
      <w:r>
        <w:rPr>
          <w:spacing w:val="-3"/>
        </w:rPr>
        <w:t>年新增专利</w:t>
      </w:r>
      <w:r>
        <w:rPr>
          <w:rFonts w:ascii="Times New Roman" w:hAnsi="Times New Roman" w:cs="Times New Roman" w:eastAsia="Times New Roman" w:hint="default"/>
          <w:spacing w:val="-3"/>
        </w:rPr>
        <w:t>2</w:t>
      </w:r>
      <w:r>
        <w:rPr>
          <w:spacing w:val="-3"/>
        </w:rPr>
        <w:t>项，保持了产品在本领域的竞争优势和领先优势；与优秀行业客户和上下游优势厂商深</w:t>
      </w:r>
      <w:r>
        <w:rPr>
          <w:spacing w:val="76"/>
        </w:rPr>
        <w:t> </w:t>
      </w:r>
      <w:r>
        <w:rPr>
          <w:spacing w:val="76"/>
        </w:rPr>
      </w:r>
      <w:r>
        <w:rPr>
          <w:spacing w:val="-4"/>
        </w:rPr>
        <w:t>度技术合作，针对中间件、云计算，完善与孵化产品，完成产业链上下游</w:t>
      </w:r>
      <w:r>
        <w:rPr>
          <w:rFonts w:ascii="Times New Roman" w:hAnsi="Times New Roman" w:cs="Times New Roman" w:eastAsia="Times New Roman" w:hint="default"/>
          <w:spacing w:val="-4"/>
        </w:rPr>
        <w:t>200</w:t>
      </w:r>
      <w:r>
        <w:rPr>
          <w:spacing w:val="-4"/>
        </w:rPr>
        <w:t>多个产品兼容适配认证，以更好支撑市场需求。</w:t>
      </w:r>
      <w:r>
        <w:rPr>
          <w:spacing w:val="49"/>
        </w:rPr>
        <w:t> </w:t>
      </w:r>
      <w:r>
        <w:rPr>
          <w:spacing w:val="49"/>
        </w:rPr>
      </w:r>
      <w:r>
        <w:rPr>
          <w:spacing w:val="-3"/>
        </w:rPr>
        <w:t>同时，产品研发在安全及云计算方向发力，启动各产品安全加固，按等保</w:t>
      </w:r>
      <w:r>
        <w:rPr>
          <w:rFonts w:ascii="Times New Roman" w:hAnsi="Times New Roman" w:cs="Times New Roman" w:eastAsia="Times New Roman" w:hint="default"/>
          <w:spacing w:val="-3"/>
        </w:rPr>
        <w:t>2.0</w:t>
      </w:r>
      <w:r>
        <w:rPr>
          <w:spacing w:val="-3"/>
        </w:rPr>
        <w:t>要求进行产品改造升级；启动各产品容器化版</w:t>
      </w:r>
      <w:r>
        <w:rPr>
          <w:spacing w:val="70"/>
        </w:rPr>
        <w:t> </w:t>
      </w:r>
      <w:r>
        <w:rPr>
          <w:spacing w:val="70"/>
        </w:rPr>
      </w:r>
      <w:r>
        <w:rPr>
          <w:spacing w:val="-4"/>
        </w:rPr>
        <w:t>本研发，并推出容器云相关解决方案。此外，基于公司数据共享交换的技术积累，在现有系列中间件平台产品的基础上，加</w:t>
      </w:r>
      <w:r>
        <w:rPr>
          <w:spacing w:val="40"/>
        </w:rPr>
        <w:t> </w:t>
      </w:r>
      <w:r>
        <w:rPr>
          <w:spacing w:val="40"/>
        </w:rPr>
      </w:r>
      <w:r>
        <w:rPr>
          <w:spacing w:val="-3"/>
        </w:rPr>
        <w:t>速在算力融合、流批融合、</w:t>
      </w:r>
      <w:r>
        <w:rPr>
          <w:rFonts w:ascii="Times New Roman" w:hAnsi="Times New Roman" w:cs="Times New Roman" w:eastAsia="Times New Roman" w:hint="default"/>
          <w:spacing w:val="-3"/>
        </w:rPr>
        <w:t>TA</w:t>
      </w:r>
      <w:r>
        <w:rPr>
          <w:spacing w:val="-3"/>
        </w:rPr>
        <w:t>融合、模块融合、云融合方面的布局，发展出具备数据治理、数据分析、数仓、数据模型、</w:t>
      </w:r>
      <w:r>
        <w:rPr>
          <w:spacing w:val="65"/>
        </w:rPr>
        <w:t> </w:t>
      </w:r>
      <w:r>
        <w:rPr>
          <w:spacing w:val="65"/>
        </w:rPr>
      </w:r>
      <w:r>
        <w:rPr>
          <w:spacing w:val="-4"/>
        </w:rPr>
        <w:t>数据计算、数据服务化、数据安全、数据展现等一系列能力的数据中台产品。数据中台是东方通数据产品发展体系的一次升</w:t>
      </w:r>
      <w:r>
        <w:rPr>
          <w:spacing w:val="40"/>
        </w:rPr>
        <w:t> </w:t>
      </w:r>
      <w:r>
        <w:rPr>
          <w:spacing w:val="40"/>
        </w:rPr>
      </w:r>
      <w:r>
        <w:rPr>
          <w:spacing w:val="-3"/>
        </w:rPr>
        <w:t>华，是公司数据线产品发展的新阶段即</w:t>
      </w:r>
      <w:r>
        <w:rPr>
          <w:rFonts w:ascii="Times New Roman" w:hAnsi="Times New Roman" w:cs="Times New Roman" w:eastAsia="Times New Roman" w:hint="default"/>
          <w:spacing w:val="-3"/>
        </w:rPr>
        <w:t>“</w:t>
      </w:r>
      <w:r>
        <w:rPr>
          <w:spacing w:val="-3"/>
        </w:rPr>
        <w:t>数据</w:t>
      </w:r>
      <w:r>
        <w:rPr>
          <w:rFonts w:ascii="Times New Roman" w:hAnsi="Times New Roman" w:cs="Times New Roman" w:eastAsia="Times New Roman" w:hint="default"/>
          <w:spacing w:val="-3"/>
        </w:rPr>
        <w:t>+”</w:t>
      </w:r>
      <w:r>
        <w:rPr>
          <w:spacing w:val="-3"/>
        </w:rPr>
        <w:t>战略。</w:t>
      </w:r>
    </w:p>
    <w:p>
      <w:pPr>
        <w:pStyle w:val="BodyText"/>
        <w:spacing w:line="333" w:lineRule="auto" w:before="47"/>
        <w:ind w:left="513" w:right="0"/>
        <w:jc w:val="left"/>
      </w:pPr>
      <w:r>
        <w:rPr/>
        <w:t>（</w:t>
      </w:r>
      <w:r>
        <w:rPr>
          <w:rFonts w:ascii="Times New Roman" w:hAnsi="Times New Roman" w:cs="Times New Roman" w:eastAsia="Times New Roman" w:hint="default"/>
        </w:rPr>
        <w:t>2</w:t>
      </w:r>
      <w:r>
        <w:rPr/>
        <w:t>）行业安全方面</w:t>
      </w:r>
      <w:r>
        <w:rPr>
          <w:spacing w:val="-85"/>
        </w:rPr>
        <w:t> </w:t>
      </w:r>
      <w:r>
        <w:rPr>
          <w:spacing w:val="-85"/>
        </w:rPr>
      </w:r>
      <w:r>
        <w:rPr>
          <w:spacing w:val="-5"/>
        </w:rPr>
        <w:t>信息安全方面，公司以自主研发为核心，打造了高性能数据采集及处理技术、安全大数据分析处理技术、文字图片及视</w:t>
      </w:r>
    </w:p>
    <w:p>
      <w:pPr>
        <w:pStyle w:val="BodyText"/>
        <w:spacing w:line="309" w:lineRule="auto" w:before="6"/>
        <w:ind w:right="0"/>
        <w:jc w:val="left"/>
      </w:pPr>
      <w:r>
        <w:rPr>
          <w:spacing w:val="-4"/>
        </w:rPr>
        <w:t>频识别深度学习技术、网络病毒检测等多种核心技术。依托自主研发技术体系，在信息安全领域和内容风控领域形成了独特</w:t>
      </w:r>
      <w:r>
        <w:rPr>
          <w:spacing w:val="43"/>
        </w:rPr>
        <w:t> </w:t>
      </w:r>
      <w:r>
        <w:rPr>
          <w:spacing w:val="43"/>
        </w:rPr>
      </w:r>
      <w:r>
        <w:rPr>
          <w:spacing w:val="-4"/>
        </w:rPr>
        <w:t>的解决方案，包括互联网安全管控解决方案、不良内容管控解决方案、互联网僵木蠕病毒管控平台、移动互联网恶意程序管</w:t>
      </w:r>
      <w:r>
        <w:rPr>
          <w:spacing w:val="40"/>
        </w:rPr>
        <w:t> </w:t>
      </w:r>
      <w:r>
        <w:rPr>
          <w:spacing w:val="40"/>
        </w:rPr>
      </w:r>
      <w:r>
        <w:rPr>
          <w:spacing w:val="-4"/>
        </w:rPr>
        <w:t>控平台、</w:t>
      </w:r>
      <w:r>
        <w:rPr>
          <w:rFonts w:ascii="Times New Roman" w:hAnsi="Times New Roman" w:cs="Times New Roman" w:eastAsia="Times New Roman" w:hint="default"/>
          <w:spacing w:val="-4"/>
        </w:rPr>
        <w:t>IDC/CDN</w:t>
      </w:r>
      <w:r>
        <w:rPr>
          <w:spacing w:val="-4"/>
        </w:rPr>
        <w:t>安全管理平台、</w:t>
      </w:r>
      <w:r>
        <w:rPr>
          <w:rFonts w:ascii="Times New Roman" w:hAnsi="Times New Roman" w:cs="Times New Roman" w:eastAsia="Times New Roman" w:hint="default"/>
          <w:spacing w:val="-4"/>
        </w:rPr>
        <w:t>IPv6</w:t>
      </w:r>
      <w:r>
        <w:rPr>
          <w:spacing w:val="-4"/>
        </w:rPr>
        <w:t>监测平台等。凭借着公司在信息安全和内容安全领域的深厚技术实力，顺利通过了中</w:t>
      </w:r>
      <w:r>
        <w:rPr>
          <w:spacing w:val="57"/>
        </w:rPr>
        <w:t> </w:t>
      </w:r>
      <w:r>
        <w:rPr>
          <w:spacing w:val="57"/>
        </w:rPr>
      </w:r>
      <w:r>
        <w:rPr>
          <w:spacing w:val="-3"/>
        </w:rPr>
        <w:t>国信息通信研究院</w:t>
      </w:r>
      <w:r>
        <w:rPr>
          <w:rFonts w:ascii="Times New Roman" w:hAnsi="Times New Roman" w:cs="Times New Roman" w:eastAsia="Times New Roman" w:hint="default"/>
          <w:spacing w:val="-3"/>
        </w:rPr>
        <w:t>/</w:t>
      </w:r>
      <w:r>
        <w:rPr>
          <w:spacing w:val="-3"/>
        </w:rPr>
        <w:t>数据中心联盟组织的内容识别服务系统的测试，在文字图片及视频识别技术上，得到了行业的认可，成</w:t>
      </w:r>
      <w:r>
        <w:rPr>
          <w:spacing w:val="72"/>
        </w:rPr>
        <w:t> </w:t>
      </w:r>
      <w:r>
        <w:rPr>
          <w:spacing w:val="72"/>
        </w:rPr>
      </w:r>
      <w:r>
        <w:rPr>
          <w:spacing w:val="-3"/>
        </w:rPr>
        <w:t>为网信技术委员会的成员之一。针对诈骗犯罪行为的日益猖獗，配合国家政府部门提供反诈骗技术手段的研究和开发工作，</w:t>
      </w:r>
      <w:r>
        <w:rPr>
          <w:spacing w:val="66"/>
        </w:rPr>
        <w:t> </w:t>
      </w:r>
      <w:r>
        <w:rPr>
          <w:spacing w:val="66"/>
        </w:rPr>
      </w:r>
      <w:r>
        <w:rPr>
          <w:spacing w:val="-4"/>
        </w:rPr>
        <w:t>先后在</w:t>
      </w:r>
      <w:r>
        <w:rPr>
          <w:rFonts w:ascii="Times New Roman" w:hAnsi="Times New Roman" w:cs="Times New Roman" w:eastAsia="Times New Roman" w:hint="default"/>
          <w:spacing w:val="-4"/>
        </w:rPr>
        <w:t>IMS</w:t>
      </w:r>
      <w:r>
        <w:rPr>
          <w:spacing w:val="-4"/>
        </w:rPr>
        <w:t>领域和互联网领域实现基于行为分析的大数据算法发现诈骗行为，并及时控制诈骗事件的发生，获得由中国信息</w:t>
      </w:r>
      <w:r>
        <w:rPr>
          <w:spacing w:val="-2"/>
        </w:rPr>
        <w:t> </w:t>
      </w:r>
      <w:r>
        <w:rPr>
          <w:spacing w:val="-2"/>
        </w:rPr>
      </w:r>
      <w:r>
        <w:rPr>
          <w:spacing w:val="-3"/>
        </w:rPr>
        <w:t>通信研究院电信网络诈骗治理支撑与服务中心颁发的《电信网络诈骗治理支撑与服务单位奖牌》。</w:t>
      </w:r>
    </w:p>
    <w:p>
      <w:pPr>
        <w:pStyle w:val="BodyText"/>
        <w:spacing w:line="312" w:lineRule="auto" w:before="62"/>
        <w:ind w:right="0" w:firstLine="360"/>
        <w:jc w:val="left"/>
      </w:pPr>
      <w:r>
        <w:rPr>
          <w:spacing w:val="-3"/>
        </w:rPr>
        <w:t>网络安全方面，基于公司具备的大数据安全分析能力，与</w:t>
      </w:r>
      <w:r>
        <w:rPr>
          <w:rFonts w:ascii="Times New Roman" w:hAnsi="Times New Roman" w:cs="Times New Roman" w:eastAsia="Times New Roman" w:hint="default"/>
          <w:spacing w:val="-3"/>
        </w:rPr>
        <w:t>AI</w:t>
      </w:r>
      <w:r>
        <w:rPr>
          <w:spacing w:val="-3"/>
        </w:rPr>
        <w:t>结合，实现人工智能在网络安全的全新应用，除了面向公</w:t>
      </w:r>
      <w:r>
        <w:rPr>
          <w:w w:val="101"/>
        </w:rPr>
        <w:t> </w:t>
      </w:r>
      <w:r>
        <w:rPr>
          <w:spacing w:val="-4"/>
        </w:rPr>
        <w:t>众互联网，还可以面向内网、物联网、工业互联网等专网，设计定制化网络安全解决方案，包括视频日志审计、态势感知平</w:t>
      </w:r>
      <w:r>
        <w:rPr>
          <w:spacing w:val="41"/>
        </w:rPr>
        <w:t> </w:t>
      </w:r>
      <w:r>
        <w:rPr>
          <w:spacing w:val="41"/>
        </w:rPr>
      </w:r>
      <w:r>
        <w:rPr>
          <w:spacing w:val="-3"/>
        </w:rPr>
        <w:t>台、资产管理平台、安全管理平台（</w:t>
      </w:r>
      <w:r>
        <w:rPr>
          <w:rFonts w:ascii="Times New Roman" w:hAnsi="Times New Roman" w:cs="Times New Roman" w:eastAsia="Times New Roman" w:hint="default"/>
          <w:spacing w:val="-3"/>
        </w:rPr>
        <w:t>SMP</w:t>
      </w:r>
      <w:r>
        <w:rPr>
          <w:spacing w:val="-3"/>
        </w:rPr>
        <w:t>），统一安全管理平台（</w:t>
      </w:r>
      <w:r>
        <w:rPr>
          <w:rFonts w:ascii="Times New Roman" w:hAnsi="Times New Roman" w:cs="Times New Roman" w:eastAsia="Times New Roman" w:hint="default"/>
          <w:spacing w:val="-3"/>
        </w:rPr>
        <w:t>4A</w:t>
      </w:r>
      <w:r>
        <w:rPr>
          <w:spacing w:val="-3"/>
        </w:rPr>
        <w:t>），安全合规管理平台等一系列产品和解决方案。</w:t>
      </w:r>
    </w:p>
    <w:p>
      <w:pPr>
        <w:pStyle w:val="BodyText"/>
        <w:spacing w:line="319" w:lineRule="auto" w:before="37"/>
        <w:ind w:right="0" w:firstLine="360"/>
        <w:jc w:val="left"/>
      </w:pPr>
      <w:r>
        <w:rPr>
          <w:spacing w:val="-6"/>
        </w:rPr>
        <w:t>数据安全方面，根据工业和信息化部办公厅关于印发《电信和互联网行业网络数据安全保护能力专项行动方案》的通知，</w:t>
      </w:r>
      <w:r>
        <w:rPr>
          <w:w w:val="101"/>
        </w:rPr>
        <w:t> </w:t>
      </w:r>
      <w:r>
        <w:rPr>
          <w:spacing w:val="-4"/>
        </w:rPr>
        <w:t>公司结合自身在信息安全和网络安全领域的技术优势，组织核心研发力量进行攻坚，在数据分级分类、数据使用管理、风险</w:t>
      </w:r>
      <w:r>
        <w:rPr>
          <w:spacing w:val="40"/>
        </w:rPr>
        <w:t> </w:t>
      </w:r>
      <w:r>
        <w:rPr>
          <w:spacing w:val="40"/>
        </w:rPr>
      </w:r>
      <w:r>
        <w:rPr>
          <w:spacing w:val="-4"/>
        </w:rPr>
        <w:t>评估与处置、支撑平台建设等方面加大投入力度，陆续完成数据安全管理平台的架构设计，以及数据加密、数据脱敏、防泄</w:t>
      </w:r>
      <w:r>
        <w:rPr>
          <w:spacing w:val="40"/>
        </w:rPr>
        <w:t> </w:t>
      </w:r>
      <w:r>
        <w:rPr>
          <w:spacing w:val="40"/>
        </w:rPr>
      </w:r>
      <w:r>
        <w:rPr>
          <w:spacing w:val="-3"/>
        </w:rPr>
        <w:t>漏、日志审计等相关工具和技术开发工作。</w:t>
      </w:r>
    </w:p>
    <w:p>
      <w:pPr>
        <w:pStyle w:val="BodyText"/>
        <w:spacing w:line="319" w:lineRule="auto" w:before="50"/>
        <w:ind w:right="1123" w:firstLine="360"/>
        <w:jc w:val="both"/>
      </w:pPr>
      <w:r>
        <w:rPr>
          <w:spacing w:val="-5"/>
        </w:rPr>
        <w:t>报告期内，公司研发基于图形堡垒的视频智能审计产品，通过对视频样本标注，实现对海量视频威胁样本的分类，为深</w:t>
      </w:r>
      <w:r>
        <w:rPr>
          <w:w w:val="101"/>
        </w:rPr>
        <w:t> </w:t>
      </w:r>
      <w:r>
        <w:rPr>
          <w:spacing w:val="-4"/>
        </w:rPr>
        <w:t>度学习准备训练数据集，使用神经网络进行训练，获得威胁检测模型，使用多模型融合，实现了对图形堡垒机录屏视频的全</w:t>
      </w:r>
      <w:r>
        <w:rPr>
          <w:spacing w:val="40"/>
        </w:rPr>
        <w:t> </w:t>
      </w:r>
      <w:r>
        <w:rPr>
          <w:spacing w:val="40"/>
        </w:rPr>
      </w:r>
      <w:r>
        <w:rPr>
          <w:spacing w:val="-4"/>
        </w:rPr>
        <w:t>方位威胁检测、威胁告警、用户行为画像、审计报告等功能。该产品填补了国内视频智能审计技术的空白，体现了公司较强</w:t>
      </w:r>
      <w:r>
        <w:rPr>
          <w:spacing w:val="40"/>
        </w:rPr>
        <w:t> </w:t>
      </w:r>
      <w:r>
        <w:rPr>
          <w:spacing w:val="40"/>
        </w:rPr>
      </w:r>
      <w:r>
        <w:rPr/>
        <w:t>的技术创新能力。</w:t>
      </w:r>
    </w:p>
    <w:p>
      <w:pPr>
        <w:pStyle w:val="BodyText"/>
        <w:spacing w:line="333" w:lineRule="auto" w:before="60"/>
        <w:ind w:left="513" w:right="0"/>
        <w:jc w:val="left"/>
      </w:pPr>
      <w:r>
        <w:rPr>
          <w:spacing w:val="-3"/>
        </w:rPr>
        <w:t>（</w:t>
      </w:r>
      <w:r>
        <w:rPr>
          <w:rFonts w:ascii="Times New Roman" w:hAnsi="Times New Roman" w:cs="Times New Roman" w:eastAsia="Times New Roman" w:hint="default"/>
          <w:spacing w:val="-3"/>
        </w:rPr>
        <w:t>3</w:t>
      </w:r>
      <w:r>
        <w:rPr>
          <w:spacing w:val="-3"/>
        </w:rPr>
        <w:t>）在基础通信安全领域和应急管理领域核心技术增强</w:t>
      </w:r>
      <w:r>
        <w:rPr>
          <w:spacing w:val="-12"/>
        </w:rPr>
        <w:t> </w:t>
      </w:r>
      <w:r>
        <w:rPr>
          <w:spacing w:val="-12"/>
        </w:rPr>
      </w:r>
      <w:r>
        <w:rPr>
          <w:spacing w:val="-4"/>
        </w:rPr>
        <w:t>基于在自主产权和安全领域的全面布局，</w:t>
      </w:r>
      <w:r>
        <w:rPr>
          <w:rFonts w:ascii="Times New Roman" w:hAnsi="Times New Roman" w:cs="Times New Roman" w:eastAsia="Times New Roman" w:hint="default"/>
          <w:spacing w:val="-4"/>
        </w:rPr>
        <w:t>2018</w:t>
      </w:r>
      <w:r>
        <w:rPr>
          <w:spacing w:val="-4"/>
        </w:rPr>
        <w:t>年第四季度完成了对泰策科技的并购工作，进一步巩固和加强了在基础通</w:t>
      </w:r>
    </w:p>
    <w:p>
      <w:pPr>
        <w:pStyle w:val="BodyText"/>
        <w:spacing w:line="235" w:lineRule="exact"/>
        <w:ind w:right="0"/>
        <w:jc w:val="left"/>
      </w:pPr>
      <w:r>
        <w:rPr>
          <w:spacing w:val="-6"/>
        </w:rPr>
        <w:t>信和应急安全领域的竞争力。泰策科技的解决方案主要包括域名解析系统（</w:t>
      </w:r>
      <w:r>
        <w:rPr>
          <w:rFonts w:ascii="Times New Roman" w:hAnsi="Times New Roman" w:cs="Times New Roman" w:eastAsia="Times New Roman" w:hint="default"/>
          <w:spacing w:val="-6"/>
        </w:rPr>
        <w:t>DNS</w:t>
      </w:r>
      <w:r>
        <w:rPr>
          <w:spacing w:val="-6"/>
        </w:rPr>
        <w:t>）、应急管理信息化和工业互联网标识解析。</w:t>
      </w:r>
    </w:p>
    <w:p>
      <w:pPr>
        <w:pStyle w:val="BodyText"/>
        <w:spacing w:line="300" w:lineRule="auto" w:before="63"/>
        <w:ind w:right="1122"/>
        <w:jc w:val="both"/>
      </w:pPr>
      <w:r>
        <w:rPr>
          <w:spacing w:val="-4"/>
        </w:rPr>
        <w:t>作为国内首家商用</w:t>
      </w:r>
      <w:r>
        <w:rPr>
          <w:rFonts w:ascii="Times New Roman" w:hAnsi="Times New Roman" w:cs="Times New Roman" w:eastAsia="Times New Roman" w:hint="default"/>
          <w:spacing w:val="-4"/>
        </w:rPr>
        <w:t>DNS</w:t>
      </w:r>
      <w:r>
        <w:rPr>
          <w:spacing w:val="-4"/>
        </w:rPr>
        <w:t>解决方案提供商，</w:t>
      </w:r>
      <w:r>
        <w:rPr>
          <w:rFonts w:ascii="Times New Roman" w:hAnsi="Times New Roman" w:cs="Times New Roman" w:eastAsia="Times New Roman" w:hint="default"/>
          <w:spacing w:val="-4"/>
        </w:rPr>
        <w:t>2005</w:t>
      </w:r>
      <w:r>
        <w:rPr>
          <w:spacing w:val="-4"/>
        </w:rPr>
        <w:t>年就开始进入了</w:t>
      </w:r>
      <w:r>
        <w:rPr>
          <w:rFonts w:ascii="Times New Roman" w:hAnsi="Times New Roman" w:cs="Times New Roman" w:eastAsia="Times New Roman" w:hint="default"/>
          <w:spacing w:val="-4"/>
        </w:rPr>
        <w:t>DNS</w:t>
      </w:r>
      <w:r>
        <w:rPr>
          <w:spacing w:val="-4"/>
        </w:rPr>
        <w:t>市场，推动了国内</w:t>
      </w:r>
      <w:r>
        <w:rPr>
          <w:rFonts w:ascii="Times New Roman" w:hAnsi="Times New Roman" w:cs="Times New Roman" w:eastAsia="Times New Roman" w:hint="default"/>
          <w:spacing w:val="-4"/>
        </w:rPr>
        <w:t>DNS</w:t>
      </w:r>
      <w:r>
        <w:rPr>
          <w:spacing w:val="-4"/>
        </w:rPr>
        <w:t>系统的商业化进程，改变了国内主</w:t>
      </w:r>
      <w:r>
        <w:rPr>
          <w:spacing w:val="57"/>
        </w:rPr>
        <w:t> </w:t>
      </w:r>
      <w:r>
        <w:rPr>
          <w:spacing w:val="57"/>
        </w:rPr>
      </w:r>
      <w:r>
        <w:rPr>
          <w:spacing w:val="-3"/>
        </w:rPr>
        <w:t>要依靠开源免费的</w:t>
      </w:r>
      <w:r>
        <w:rPr>
          <w:rFonts w:ascii="Times New Roman" w:hAnsi="Times New Roman" w:cs="Times New Roman" w:eastAsia="Times New Roman" w:hint="default"/>
          <w:spacing w:val="-3"/>
        </w:rPr>
        <w:t>DNS</w:t>
      </w:r>
      <w:r>
        <w:rPr>
          <w:spacing w:val="-3"/>
        </w:rPr>
        <w:t>产品的局面。同时</w:t>
      </w:r>
      <w:r>
        <w:rPr>
          <w:rFonts w:ascii="Times New Roman" w:hAnsi="Times New Roman" w:cs="Times New Roman" w:eastAsia="Times New Roman" w:hint="default"/>
          <w:spacing w:val="-3"/>
        </w:rPr>
        <w:t>,</w:t>
      </w:r>
      <w:r>
        <w:rPr>
          <w:spacing w:val="-3"/>
        </w:rPr>
        <w:t>深入研究应急管理信息化业务，确立应急管理数据融合与应用业务服务为主要业</w:t>
      </w:r>
      <w:r>
        <w:rPr>
          <w:spacing w:val="73"/>
        </w:rPr>
        <w:t> </w:t>
      </w:r>
      <w:r>
        <w:rPr>
          <w:spacing w:val="73"/>
        </w:rPr>
      </w:r>
      <w:r>
        <w:rPr>
          <w:spacing w:val="-4"/>
        </w:rPr>
        <w:t>务方向，结合东方通既有的自主基础软件技术优势，重点开发应急管理业务一张图产品，以应急管理数据资源目录治理为核</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0"/>
        <w:jc w:val="left"/>
      </w:pPr>
      <w:r>
        <w:rPr>
          <w:spacing w:val="-3"/>
        </w:rPr>
        <w:t>心服务内容。此外，从消费互联网的域名解析（</w:t>
      </w:r>
      <w:r>
        <w:rPr>
          <w:rFonts w:ascii="Times New Roman" w:hAnsi="Times New Roman" w:cs="Times New Roman" w:eastAsia="Times New Roman" w:hint="default"/>
          <w:spacing w:val="-3"/>
        </w:rPr>
        <w:t>DNS</w:t>
      </w:r>
      <w:r>
        <w:rPr>
          <w:spacing w:val="-3"/>
        </w:rPr>
        <w:t>）逐步进入工业互联网的标识解析领域，是公司的另一重要战略布局。</w:t>
      </w:r>
      <w:r>
        <w:rPr>
          <w:spacing w:val="67"/>
        </w:rPr>
        <w:t> </w:t>
      </w:r>
      <w:r>
        <w:rPr>
          <w:spacing w:val="67"/>
        </w:rPr>
      </w:r>
      <w:r>
        <w:rPr>
          <w:spacing w:val="-3"/>
        </w:rPr>
        <w:t>在该领域，作为联合体成员之一，成功中标工信部</w:t>
      </w:r>
      <w:r>
        <w:rPr>
          <w:rFonts w:ascii="Times New Roman" w:hAnsi="Times New Roman" w:cs="Times New Roman" w:eastAsia="Times New Roman" w:hint="default"/>
          <w:spacing w:val="-3"/>
        </w:rPr>
        <w:t>2019</w:t>
      </w:r>
      <w:r>
        <w:rPr>
          <w:spacing w:val="-3"/>
        </w:rPr>
        <w:t>年工业互联网创新发展工程中的工业</w:t>
      </w:r>
      <w:r>
        <w:rPr>
          <w:rFonts w:ascii="Times New Roman" w:hAnsi="Times New Roman" w:cs="Times New Roman" w:eastAsia="Times New Roman" w:hint="default"/>
          <w:spacing w:val="-3"/>
        </w:rPr>
        <w:t>APP</w:t>
      </w:r>
      <w:r>
        <w:rPr>
          <w:spacing w:val="-3"/>
        </w:rPr>
        <w:t>标识管理服务系统项目。</w:t>
      </w:r>
    </w:p>
    <w:p>
      <w:pPr>
        <w:pStyle w:val="BodyText"/>
        <w:spacing w:line="338" w:lineRule="auto" w:before="47"/>
        <w:ind w:left="513" w:right="0"/>
        <w:jc w:val="left"/>
      </w:pPr>
      <w:r>
        <w:rPr>
          <w:rFonts w:ascii="Times New Roman" w:hAnsi="Times New Roman" w:cs="Times New Roman" w:eastAsia="Times New Roman" w:hint="default"/>
          <w:spacing w:val="-3"/>
        </w:rPr>
        <w:t>2</w:t>
      </w:r>
      <w:r>
        <w:rPr>
          <w:spacing w:val="-3"/>
        </w:rPr>
        <w:t>、与国内知名研究机构开展深度合作，推进产学研和人才培养机制</w:t>
      </w:r>
      <w:r>
        <w:rPr/>
        <w:t> </w:t>
      </w:r>
      <w:r>
        <w:rPr/>
      </w:r>
      <w:r>
        <w:rPr>
          <w:spacing w:val="-4"/>
        </w:rPr>
        <w:t>围绕公司技术发展方向及产品研发需要，公司与四川大学、清华大学共同开展软件代码分析与监测技术的研发，并申请</w:t>
      </w:r>
    </w:p>
    <w:p>
      <w:pPr>
        <w:pStyle w:val="BodyText"/>
        <w:spacing w:line="321" w:lineRule="auto" w:before="2"/>
        <w:ind w:right="0"/>
        <w:jc w:val="left"/>
      </w:pPr>
      <w:r>
        <w:rPr>
          <w:spacing w:val="-3"/>
        </w:rPr>
        <w:t>相关知识产权。针对中间件相关技术研究与产品研发，与中国科学院软件所等科研机构在集群、内存计算等方面进行合作，</w:t>
      </w:r>
      <w:r>
        <w:rPr>
          <w:spacing w:val="66"/>
        </w:rPr>
        <w:t> </w:t>
      </w:r>
      <w:r>
        <w:rPr>
          <w:spacing w:val="66"/>
        </w:rPr>
      </w:r>
      <w:r>
        <w:rPr>
          <w:spacing w:val="-3"/>
        </w:rPr>
        <w:t>为后续产品完善升级提供技术准备。</w:t>
      </w:r>
    </w:p>
    <w:p>
      <w:pPr>
        <w:pStyle w:val="BodyText"/>
        <w:spacing w:line="321" w:lineRule="auto" w:before="49"/>
        <w:ind w:right="0" w:firstLine="360"/>
        <w:jc w:val="left"/>
      </w:pPr>
      <w:r>
        <w:rPr>
          <w:spacing w:val="-4"/>
        </w:rPr>
        <w:t>公司与北京邮电大学共建联合实验室，以信息安全领域的相关研究作为重点。主要研究领域包括基于人工智能的文本分</w:t>
      </w:r>
      <w:r>
        <w:rPr>
          <w:w w:val="101"/>
        </w:rPr>
        <w:t> </w:t>
      </w:r>
      <w:r>
        <w:rPr>
          <w:spacing w:val="-3"/>
        </w:rPr>
        <w:t>析与语义挖掘，图像处理、分析与识别，以及信息内容安全技术等。</w:t>
      </w:r>
    </w:p>
    <w:p>
      <w:pPr>
        <w:spacing w:after="0" w:line="321" w:lineRule="auto"/>
        <w:jc w:val="lef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70.584pt;margin-top:55.580013pt;width:701pt;height:.1pt;mso-position-horizontal-relative:page;mso-position-vertical-relative:page;z-index:1168" coordorigin="1412,1112" coordsize="14020,2">
            <v:shape style="position:absolute;left:1412;top:1112;width:14020;height:2" coordorigin="1412,1112" coordsize="14020,0" path="m1412,1112l15431,1112e" filled="false" stroked="true" strokeweight=".72pt" strokecolor="#000000">
              <v:path arrowok="t"/>
            </v:shape>
            <w10:wrap type="none"/>
          </v:group>
        </w:pict>
      </w:r>
    </w:p>
    <w:p>
      <w:pPr>
        <w:spacing w:line="240" w:lineRule="auto" w:before="6"/>
        <w:rPr>
          <w:rFonts w:ascii="Times New Roman" w:hAnsi="Times New Roman" w:cs="Times New Roman" w:eastAsia="Times New Roman"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58" w:hRule="exact"/>
        </w:trPr>
        <w:tc>
          <w:tcPr>
            <w:tcW w:w="523"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319"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6"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2002SR4206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TongWeb</w:t>
            </w:r>
            <w:r>
              <w:rPr>
                <w:rFonts w:ascii="宋体" w:hAnsi="宋体" w:cs="宋体" w:eastAsia="宋体" w:hint="default"/>
                <w:spacing w:val="-2"/>
                <w:sz w:val="18"/>
                <w:szCs w:val="18"/>
              </w:rPr>
              <w:t>应用服务器软件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:TongWeb]</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V3.3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2002/4/11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2002SR4207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TongBroker</w:t>
            </w:r>
            <w:r>
              <w:rPr>
                <w:rFonts w:ascii="宋体" w:hAnsi="宋体" w:cs="宋体" w:eastAsia="宋体" w:hint="default"/>
                <w:spacing w:val="-2"/>
                <w:sz w:val="18"/>
                <w:szCs w:val="18"/>
              </w:rPr>
              <w:t>对象中间件软件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:TongBroker]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2001/10/2</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left"/>
              <w:rPr>
                <w:rFonts w:ascii="Times New Roman" w:hAnsi="Times New Roman" w:cs="Times New Roman" w:eastAsia="Times New Roman" w:hint="default"/>
                <w:sz w:val="18"/>
                <w:szCs w:val="18"/>
              </w:rPr>
            </w:pPr>
            <w:r>
              <w:rPr>
                <w:rFonts w:ascii="Times New Roman"/>
                <w:sz w:val="18"/>
              </w:rPr>
              <w:t>2002SR4208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TongEASY</w:t>
            </w:r>
            <w:r>
              <w:rPr>
                <w:rFonts w:ascii="宋体" w:hAnsi="宋体" w:cs="宋体" w:eastAsia="宋体" w:hint="default"/>
                <w:spacing w:val="-3"/>
                <w:sz w:val="18"/>
                <w:szCs w:val="18"/>
              </w:rPr>
              <w:t>交易中间件软件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:TongEASY] </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V5.1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2002/6/18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004209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2002SR4209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TongLINK/Q</w:t>
            </w:r>
            <w:r>
              <w:rPr>
                <w:rFonts w:ascii="宋体" w:hAnsi="宋体" w:cs="宋体" w:eastAsia="宋体" w:hint="default"/>
                <w:spacing w:val="-3"/>
                <w:sz w:val="18"/>
                <w:szCs w:val="18"/>
              </w:rPr>
              <w:t>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2002/7/20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013060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2003SR7969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:TongIntegrator]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2003/5/8</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BJ1066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left"/>
              <w:rPr>
                <w:rFonts w:ascii="Times New Roman" w:hAnsi="Times New Roman" w:cs="Times New Roman" w:eastAsia="Times New Roman" w:hint="default"/>
                <w:sz w:val="18"/>
                <w:szCs w:val="18"/>
              </w:rPr>
            </w:pPr>
            <w:r>
              <w:rPr>
                <w:rFonts w:ascii="Times New Roman"/>
                <w:sz w:val="18"/>
              </w:rPr>
              <w:t>2004SRBJ0720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东方通通用数据传输平台软件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GTP]</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2004/6/15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BJ2037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2005SRBJ0340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TongWeb</w:t>
            </w:r>
            <w:r>
              <w:rPr>
                <w:rFonts w:ascii="宋体" w:hAnsi="宋体" w:cs="宋体" w:eastAsia="宋体" w:hint="default"/>
                <w:spacing w:val="-3"/>
                <w:sz w:val="18"/>
                <w:szCs w:val="18"/>
              </w:rPr>
              <w:t>应用服务器软件</w:t>
            </w:r>
            <w:r>
              <w:rPr>
                <w:rFonts w:ascii="Times New Roman" w:hAnsi="Times New Roman" w:cs="Times New Roman" w:eastAsia="Times New Roman" w:hint="default"/>
                <w:spacing w:val="-3"/>
                <w:sz w:val="18"/>
                <w:szCs w:val="18"/>
              </w:rPr>
              <w:t>V4.0[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2005/1/4</w:t>
            </w:r>
          </w:p>
        </w:tc>
      </w:tr>
      <w:tr>
        <w:trPr>
          <w:trHeight w:val="65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BJ3150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2005SRBJ1452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9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w:t>
            </w:r>
            <w:r>
              <w:rPr>
                <w:rFonts w:ascii="Times New Roman" w:hAnsi="Times New Roman" w:cs="Times New Roman" w:eastAsia="Times New Roman" w:hint="default"/>
                <w:spacing w:val="-2"/>
                <w:sz w:val="18"/>
                <w:szCs w:val="18"/>
              </w:rPr>
              <w:t>TongIntegrator</w:t>
            </w:r>
            <w:r>
              <w:rPr>
                <w:rFonts w:ascii="宋体" w:hAnsi="宋体" w:cs="宋体" w:eastAsia="宋体" w:hint="default"/>
                <w:spacing w:val="-2"/>
                <w:sz w:val="18"/>
                <w:szCs w:val="18"/>
              </w:rPr>
              <w:t>集成组件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库</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软件</w:t>
            </w:r>
            <w:r>
              <w:rPr>
                <w:rFonts w:ascii="Times New Roman" w:hAnsi="Times New Roman" w:cs="Times New Roman" w:eastAsia="Times New Roman" w:hint="default"/>
                <w:spacing w:val="-2"/>
                <w:sz w:val="18"/>
                <w:szCs w:val="18"/>
              </w:rPr>
              <w:t>V1.0[</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:TongIntegrator</w:t>
            </w:r>
            <w:r>
              <w:rPr>
                <w:rFonts w:ascii="宋体" w:hAnsi="宋体" w:cs="宋体" w:eastAsia="宋体" w:hint="default"/>
                <w:spacing w:val="-2"/>
                <w:sz w:val="18"/>
                <w:szCs w:val="18"/>
              </w:rPr>
              <w:t>集成组件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库</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软</w:t>
            </w:r>
            <w:r>
              <w:rPr>
                <w:rFonts w:ascii="宋体" w:hAnsi="宋体" w:cs="宋体" w:eastAsia="宋体" w:hint="default"/>
                <w:spacing w:val="3"/>
                <w:sz w:val="18"/>
                <w:szCs w:val="18"/>
              </w:rPr>
              <w:t> </w:t>
            </w:r>
            <w:r>
              <w:rPr>
                <w:rFonts w:ascii="宋体" w:hAnsi="宋体" w:cs="宋体" w:eastAsia="宋体" w:hint="default"/>
                <w:sz w:val="18"/>
                <w:szCs w:val="18"/>
              </w:rPr>
              <w:t>件</w:t>
            </w:r>
            <w:r>
              <w:rPr>
                <w:rFonts w:ascii="Times New Roman" w:hAnsi="Times New Roman" w:cs="Times New Roman" w:eastAsia="Times New Roman" w:hint="default"/>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2005/7/15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051498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2006SR03832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:TongIntegrator]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2006/3/5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BJ4168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2006SRBJ0360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TongWeb</w:t>
            </w:r>
            <w:r>
              <w:rPr>
                <w:rFonts w:ascii="宋体" w:hAnsi="宋体" w:cs="宋体" w:eastAsia="宋体" w:hint="default"/>
                <w:spacing w:val="-3"/>
                <w:sz w:val="18"/>
                <w:szCs w:val="18"/>
              </w:rPr>
              <w:t>应用服务器软件</w:t>
            </w:r>
            <w:r>
              <w:rPr>
                <w:rFonts w:ascii="Times New Roman" w:hAnsi="Times New Roman" w:cs="Times New Roman" w:eastAsia="Times New Roman" w:hint="default"/>
                <w:spacing w:val="-3"/>
                <w:sz w:val="18"/>
                <w:szCs w:val="18"/>
              </w:rPr>
              <w:t>V4.6[</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2006/1/26</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11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BJ6958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left"/>
              <w:rPr>
                <w:rFonts w:ascii="Times New Roman" w:hAnsi="Times New Roman" w:cs="Times New Roman" w:eastAsia="Times New Roman" w:hint="default"/>
                <w:sz w:val="18"/>
                <w:szCs w:val="18"/>
              </w:rPr>
            </w:pPr>
            <w:r>
              <w:rPr>
                <w:rFonts w:ascii="Times New Roman"/>
                <w:sz w:val="18"/>
              </w:rPr>
              <w:t>2006SRBJ3152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电子政务统一应用平台软件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电子政务统一应用平台</w:t>
            </w:r>
            <w:r>
              <w:rPr>
                <w:rFonts w:ascii="Times New Roman" w:hAnsi="Times New Roman" w:cs="Times New Roman" w:eastAsia="Times New Roman" w:hint="default"/>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2006/9/28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BJ9434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2007SRBJ2462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东方通业务流程管理套件中间件软件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:TongBPM]</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2004/12/25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BJ9923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2007SRBJ2951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东方通应用集成中间件软件</w:t>
            </w:r>
            <w:r>
              <w:rPr>
                <w:rFonts w:ascii="Times New Roman" w:hAnsi="Times New Roman" w:cs="Times New Roman" w:eastAsia="Times New Roman" w:hint="default"/>
                <w:sz w:val="18"/>
                <w:szCs w:val="18"/>
              </w:rPr>
              <w:t>V3.5[</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:TongIntegrator]</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2007/6/1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14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BJ23427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left"/>
              <w:rPr>
                <w:rFonts w:ascii="Times New Roman" w:hAnsi="Times New Roman" w:cs="Times New Roman" w:eastAsia="Times New Roman" w:hint="default"/>
                <w:sz w:val="18"/>
                <w:szCs w:val="18"/>
              </w:rPr>
            </w:pPr>
            <w:r>
              <w:rPr>
                <w:rFonts w:ascii="Times New Roman"/>
                <w:sz w:val="18"/>
              </w:rPr>
              <w:t>2009SRBJ6421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V6.3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2005/4/1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BJ24085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2009SRBJ7079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V7.1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2009/9/30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BJ24222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2009SRBJ7216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:TongIntegrator]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V3.6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2009/4/30</w:t>
            </w:r>
          </w:p>
        </w:tc>
      </w:tr>
      <w:tr>
        <w:trPr>
          <w:trHeight w:val="423"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17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BJ25184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left"/>
              <w:rPr>
                <w:rFonts w:ascii="Times New Roman" w:hAnsi="Times New Roman" w:cs="Times New Roman" w:eastAsia="Times New Roman" w:hint="default"/>
                <w:sz w:val="18"/>
                <w:szCs w:val="18"/>
              </w:rPr>
            </w:pPr>
            <w:r>
              <w:rPr>
                <w:rFonts w:ascii="Times New Roman"/>
                <w:sz w:val="18"/>
              </w:rPr>
              <w:t>2009SRBJ8178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2009/11/30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18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BJ27009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2010SRBJ1626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东方通外网文件传输平台中间件软件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TongWTP] </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V3.0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2010/2/5</w:t>
            </w:r>
          </w:p>
        </w:tc>
      </w:tr>
      <w:tr>
        <w:trPr>
          <w:trHeight w:val="432"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19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BJ27344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2010SRBJ1961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V5.1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2010/3/18</w:t>
            </w:r>
          </w:p>
        </w:tc>
      </w:tr>
    </w:tbl>
    <w:p>
      <w:pPr>
        <w:spacing w:after="0" w:line="240" w:lineRule="auto"/>
        <w:jc w:val="right"/>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871" w:footer="974" w:top="1120" w:bottom="1160" w:left="1300" w:right="1280"/>
          <w:pgNumType w:start="18"/>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9" w:right="0"/>
              <w:jc w:val="center"/>
              <w:rPr>
                <w:rFonts w:ascii="Times New Roman" w:hAnsi="Times New Roman" w:cs="Times New Roman" w:eastAsia="Times New Roman" w:hint="default"/>
                <w:sz w:val="18"/>
                <w:szCs w:val="18"/>
              </w:rPr>
            </w:pPr>
            <w:r>
              <w:rPr>
                <w:rFonts w:ascii="Times New Roman"/>
                <w:sz w:val="18"/>
              </w:rPr>
              <w:t>20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BJ28327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2010SRBJ2944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V7.2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2010/5/14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21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BJ30221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2010SRBJ4838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V5.2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2010/8/2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22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BJ31187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2010SRBJ5804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:TongIntegrator] </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V4.0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2010/9/21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23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BJ32013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2010SRBJ6630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东方通统一中间件管理平台软件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TongIMP] </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2010/8/3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24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BJ32012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2010SRBJ6629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东方通交易中间件软件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:TongEASY]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V5.3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2010/10/28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25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0293608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2011SR029934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TongLINK/Q</w:t>
            </w:r>
            <w:r>
              <w:rPr>
                <w:rFonts w:ascii="宋体" w:hAnsi="宋体" w:cs="宋体" w:eastAsia="宋体" w:hint="default"/>
                <w:spacing w:val="-3"/>
                <w:sz w:val="18"/>
                <w:szCs w:val="18"/>
              </w:rPr>
              <w:t>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V7.0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2006/5/19</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26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BJ33911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2011SRBJ1790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V8.0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2011/3/28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BJ33912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2011SRBJ1791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V6.0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2011/3/24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BJ33224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2011SRBJ1103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东方通集成开发工具软件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TongIntegratedStudio]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2010/10/31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29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0198655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2010SR010382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村镇中小企业科技服务平台信息系统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简称：中小企业科技服务平台</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2010/1/19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BJ38389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2012SRBJ1238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东方通实时传输中间件软件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  </w:t>
            </w:r>
            <w:r>
              <w:rPr>
                <w:rFonts w:ascii="Times New Roman" w:hAnsi="Times New Roman" w:cs="Times New Roman" w:eastAsia="Times New Roman" w:hint="default"/>
                <w:sz w:val="18"/>
                <w:szCs w:val="18"/>
              </w:rPr>
              <w:t>Real-Time]</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V8.0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2012/6/1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BJ38680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2013SRBJ0027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ETL</w:t>
            </w:r>
            <w:r>
              <w:rPr>
                <w:rFonts w:ascii="宋体" w:hAnsi="宋体" w:cs="宋体" w:eastAsia="宋体" w:hint="default"/>
                <w:spacing w:val="-3"/>
                <w:sz w:val="18"/>
                <w:szCs w:val="18"/>
              </w:rPr>
              <w:t>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TI-ETL]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2012/9/3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BJ38689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2013SRBJ0026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TI-DXP]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2012/9/7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BJ38726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2013SRBJ0010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东方通外网文件传输平台中间件软件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TongWTP] </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z w:val="18"/>
                <w:szCs w:val="18"/>
              </w:rPr>
              <w:t>V4.0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2012/10/1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BJ38688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2013SRBJ0004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TI-DX]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2012/9/7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0538478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2013SRO32716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东方通应用集成</w:t>
            </w:r>
            <w:r>
              <w:rPr>
                <w:rFonts w:ascii="Times New Roman" w:hAnsi="Times New Roman" w:cs="Times New Roman" w:eastAsia="Times New Roman" w:hint="default"/>
                <w:spacing w:val="-3"/>
                <w:sz w:val="18"/>
                <w:szCs w:val="18"/>
              </w:rPr>
              <w:t>SOA</w:t>
            </w:r>
            <w:r>
              <w:rPr>
                <w:rFonts w:ascii="宋体" w:hAnsi="宋体" w:cs="宋体" w:eastAsia="宋体" w:hint="default"/>
                <w:spacing w:val="-3"/>
                <w:sz w:val="18"/>
                <w:szCs w:val="18"/>
              </w:rPr>
              <w:t>装配组建软件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TI-SOAAC]V5.0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2012/1/31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BJ38974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2013SRBJ0297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东方通企业服务总线软件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TI-ESB]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2013/1/7</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BJ39746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2014SRBJ0189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ETL</w:t>
            </w:r>
            <w:r>
              <w:rPr>
                <w:rFonts w:ascii="宋体" w:hAnsi="宋体" w:cs="宋体" w:eastAsia="宋体" w:hint="default"/>
                <w:spacing w:val="-3"/>
                <w:sz w:val="18"/>
                <w:szCs w:val="18"/>
              </w:rPr>
              <w:t>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TI-ETL] </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2013/12/1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BJ39756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2014SRBJ0199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东方通应用服务器软件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Tongweb]</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
                <w:sz w:val="18"/>
                <w:szCs w:val="18"/>
              </w:rPr>
              <w:t>V6.0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2013/12/20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39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BJ39931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2014SRBJ0374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JMS</w:t>
            </w:r>
            <w:r>
              <w:rPr>
                <w:rFonts w:ascii="宋体" w:hAnsi="宋体" w:cs="宋体" w:eastAsia="宋体" w:hint="default"/>
                <w:spacing w:val="-3"/>
                <w:sz w:val="18"/>
                <w:szCs w:val="18"/>
              </w:rPr>
              <w:t>消息传输中间件软件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TL-JMS] </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2014/3/14</w:t>
            </w:r>
          </w:p>
        </w:tc>
      </w:tr>
    </w:tbl>
    <w:p>
      <w:pPr>
        <w:spacing w:after="0" w:line="240" w:lineRule="auto"/>
        <w:jc w:val="right"/>
        <w:rPr>
          <w:rFonts w:ascii="Times New Roman" w:hAnsi="Times New Roman" w:cs="Times New Roman" w:eastAsia="Times New Roman" w:hint="default"/>
          <w:sz w:val="18"/>
          <w:szCs w:val="18"/>
        </w:rPr>
        <w:sectPr>
          <w:headerReference w:type="default" r:id="rId14"/>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9" w:right="0"/>
              <w:jc w:val="center"/>
              <w:rPr>
                <w:rFonts w:ascii="Times New Roman" w:hAnsi="Times New Roman" w:cs="Times New Roman" w:eastAsia="Times New Roman" w:hint="default"/>
                <w:sz w:val="18"/>
                <w:szCs w:val="18"/>
              </w:rPr>
            </w:pPr>
            <w:r>
              <w:rPr>
                <w:rFonts w:ascii="Times New Roman"/>
                <w:sz w:val="18"/>
              </w:rPr>
              <w:t>40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BJ39933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2014SRBJ0376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东方通统一中间件管理平台软件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TongIMP] </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2014/3/31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41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BJ39943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2014SRBJ0386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东方通交易中间件软件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TongEASY]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V6.0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2012/12/14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42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1"/>
              <w:jc w:val="left"/>
              <w:rPr>
                <w:rFonts w:ascii="宋体" w:hAnsi="宋体" w:cs="宋体" w:eastAsia="宋体" w:hint="default"/>
                <w:sz w:val="18"/>
                <w:szCs w:val="18"/>
              </w:rPr>
            </w:pPr>
            <w:r>
              <w:rPr>
                <w:rFonts w:ascii="宋体" w:hAnsi="宋体" w:cs="宋体" w:eastAsia="宋体" w:hint="default"/>
                <w:spacing w:val="-2"/>
                <w:sz w:val="18"/>
                <w:szCs w:val="18"/>
              </w:rPr>
              <w:t>软著登字第</w:t>
            </w:r>
            <w:r>
              <w:rPr>
                <w:rFonts w:ascii="Times New Roman" w:hAnsi="Times New Roman" w:cs="Times New Roman" w:eastAsia="Times New Roman" w:hint="default"/>
                <w:spacing w:val="-2"/>
                <w:sz w:val="18"/>
                <w:szCs w:val="18"/>
              </w:rPr>
              <w:t>BJ0784862</w:t>
            </w:r>
            <w:r>
              <w:rPr>
                <w:rFonts w:ascii="宋体" w:hAnsi="宋体" w:cs="宋体" w:eastAsia="宋体" w:hint="default"/>
                <w:spacing w:val="-2"/>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2014SR115618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TI-DXP]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V2.5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2014/1/1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43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1"/>
              <w:jc w:val="left"/>
              <w:rPr>
                <w:rFonts w:ascii="宋体" w:hAnsi="宋体" w:cs="宋体" w:eastAsia="宋体" w:hint="default"/>
                <w:sz w:val="18"/>
                <w:szCs w:val="18"/>
              </w:rPr>
            </w:pPr>
            <w:r>
              <w:rPr>
                <w:rFonts w:ascii="宋体" w:hAnsi="宋体" w:cs="宋体" w:eastAsia="宋体" w:hint="default"/>
                <w:spacing w:val="-2"/>
                <w:sz w:val="18"/>
                <w:szCs w:val="18"/>
              </w:rPr>
              <w:t>软著登字第</w:t>
            </w:r>
            <w:r>
              <w:rPr>
                <w:rFonts w:ascii="Times New Roman" w:hAnsi="Times New Roman" w:cs="Times New Roman" w:eastAsia="Times New Roman" w:hint="default"/>
                <w:spacing w:val="-2"/>
                <w:sz w:val="18"/>
                <w:szCs w:val="18"/>
              </w:rPr>
              <w:t>BJ0784873</w:t>
            </w:r>
            <w:r>
              <w:rPr>
                <w:rFonts w:ascii="宋体" w:hAnsi="宋体" w:cs="宋体" w:eastAsia="宋体" w:hint="default"/>
                <w:spacing w:val="-2"/>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2014SR115629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东方通数据库管理系统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TongDB] </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2014/7/8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44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0791278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2014SR122035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V5.5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2014/7/16</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45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0791412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2014SR122169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V5.6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2014/7/16</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46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0813164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2014SR143924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东方通虚拟化平台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 OCloud]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V4.5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2014/8/15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47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0813166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2014SR143926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东方通负载均衡软件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TongLB] </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2014/9/1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48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0819267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2014SR150028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东方通云管理平台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TongApplaud]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2"/>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2014/6/30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49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0875310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2014SR206078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东方通云管理平台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TongApplaud]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2"/>
                <w:sz w:val="18"/>
                <w:szCs w:val="18"/>
              </w:rPr>
              <w:t>V2.5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2014/11/28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0922572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2015SR035494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w:t>
            </w:r>
            <w:r>
              <w:rPr>
                <w:rFonts w:ascii="Times New Roman" w:hAnsi="Times New Roman" w:cs="Times New Roman" w:eastAsia="Times New Roman" w:hint="default"/>
                <w:spacing w:val="-2"/>
                <w:sz w:val="18"/>
                <w:szCs w:val="18"/>
              </w:rPr>
              <w:t>TongLINK/Q</w:t>
            </w:r>
            <w:r>
              <w:rPr>
                <w:rFonts w:ascii="宋体" w:hAnsi="宋体" w:cs="宋体" w:eastAsia="宋体" w:hint="default"/>
                <w:spacing w:val="-2"/>
                <w:sz w:val="18"/>
                <w:szCs w:val="18"/>
              </w:rPr>
              <w:t>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TLQ]</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2"/>
                <w:sz w:val="18"/>
                <w:szCs w:val="18"/>
              </w:rPr>
              <w:t>V8.5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2013/12/6</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BJ41066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2015SRBJ0508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东方通数据交换适配器工具软件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TI-DX  </w:t>
            </w:r>
            <w:r>
              <w:rPr>
                <w:rFonts w:ascii="Times New Roman" w:hAnsi="Times New Roman" w:cs="Times New Roman" w:eastAsia="Times New Roman" w:hint="default"/>
                <w:sz w:val="18"/>
                <w:szCs w:val="18"/>
              </w:rPr>
              <w:t>Adapter]</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2015/1/1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1047683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2015SR160597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ETL</w:t>
            </w:r>
            <w:r>
              <w:rPr>
                <w:rFonts w:ascii="宋体" w:hAnsi="宋体" w:cs="宋体" w:eastAsia="宋体" w:hint="default"/>
                <w:spacing w:val="-3"/>
                <w:sz w:val="18"/>
                <w:szCs w:val="18"/>
              </w:rPr>
              <w:t>适配器工具软件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:TI-ETL  </w:t>
            </w:r>
            <w:r>
              <w:rPr>
                <w:rFonts w:ascii="Times New Roman" w:hAnsi="Times New Roman" w:cs="Times New Roman" w:eastAsia="Times New Roman" w:hint="default"/>
                <w:sz w:val="18"/>
                <w:szCs w:val="18"/>
              </w:rPr>
              <w:t>Adapter]</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2015/5/25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BJ41115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2015SRBJ0557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东方通分布式内存网格软件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TongCache] </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2015/5/30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BJ41114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2015SRBJ0556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东方通变化数据捕获工具软件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TongCDC]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4"/>
                <w:sz w:val="18"/>
                <w:szCs w:val="18"/>
              </w:rPr>
              <w:t>东方通</w:t>
            </w:r>
            <w:r>
              <w:rPr>
                <w:rFonts w:ascii="宋体" w:hAnsi="宋体" w:cs="宋体" w:eastAsia="宋体" w:hint="default"/>
                <w:sz w:val="18"/>
                <w:szCs w:val="18"/>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2015/5/25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1041569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2015SR154483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东方通云管理平台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TongoCloud  </w:t>
            </w:r>
            <w:r>
              <w:rPr>
                <w:rFonts w:ascii="Times New Roman" w:hAnsi="Times New Roman" w:cs="Times New Roman" w:eastAsia="Times New Roman" w:hint="default"/>
                <w:sz w:val="18"/>
                <w:szCs w:val="18"/>
              </w:rPr>
              <w:t>Platform]</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1041574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2015SR154488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东方通虚拟化平台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TongoCloud]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1080165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2015SR193079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东方通数据交换管理平台软件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TongDXP]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V3.0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2015/9/20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1079832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2015SR192746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东方通数据交换运行节点软件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TongDXP_Node]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2015/9/20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59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1098102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2015SR211016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东方通数据同步平台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TongDSP]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2015/9/15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9" w:right="0"/>
              <w:jc w:val="center"/>
              <w:rPr>
                <w:rFonts w:ascii="Times New Roman" w:hAnsi="Times New Roman" w:cs="Times New Roman" w:eastAsia="Times New Roman" w:hint="default"/>
                <w:sz w:val="18"/>
                <w:szCs w:val="18"/>
              </w:rPr>
            </w:pPr>
            <w:r>
              <w:rPr>
                <w:rFonts w:ascii="Times New Roman"/>
                <w:sz w:val="18"/>
              </w:rPr>
              <w:t>60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w:t>
            </w:r>
            <w:r>
              <w:rPr>
                <w:rFonts w:ascii="Times New Roman" w:hAnsi="Times New Roman" w:cs="Times New Roman" w:eastAsia="Times New Roman" w:hint="default"/>
                <w:sz w:val="18"/>
                <w:szCs w:val="18"/>
              </w:rPr>
              <w:t>1157391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2015SR270305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东方通云数据总线软件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TongCDB]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2015/11/15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61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1394951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2016SR216334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V8.1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2013/12/6</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62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1433460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2016SR254843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东方通数据融合平台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TongDF]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2016/4/11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63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1527510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2016SR348894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东方通消息中间件主动防御软件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TongLINK-Protect]V8.0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2016/5/31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64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1628849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2017SR043565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东方通应用服务器软件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Tongweb]</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
                <w:sz w:val="18"/>
                <w:szCs w:val="18"/>
              </w:rPr>
              <w:t>V6.1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2016/10/20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65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1813957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2017SR228673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ETL</w:t>
            </w:r>
            <w:r>
              <w:rPr>
                <w:rFonts w:ascii="宋体" w:hAnsi="宋体" w:cs="宋体" w:eastAsia="宋体" w:hint="default"/>
                <w:spacing w:val="-3"/>
                <w:sz w:val="18"/>
                <w:szCs w:val="18"/>
              </w:rPr>
              <w:t>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TongETL]V2.2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2016/11/15</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66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1810068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2017SR224784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东方通企业服务总线软件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TongESB]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V5.2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2017/1/5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67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1827136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2017SR241852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东方通大数据分析处理平台软件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TongBETL]V2.3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2017/4/21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68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1981066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2017SR395782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东方通大数据平台管理中心软件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TongDP </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MC]V2.3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2017/4/21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69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1973674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2017SR388390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东方通大数据平台运行节点软件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TongDP </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Node]V2.3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pacing w:val="-4"/>
                <w:sz w:val="18"/>
                <w:szCs w:val="18"/>
              </w:rPr>
              <w:t>东方通</w:t>
            </w:r>
            <w:r>
              <w:rPr>
                <w:rFonts w:ascii="宋体" w:hAnsi="宋体" w:cs="宋体" w:eastAsia="宋体" w:hint="default"/>
                <w:sz w:val="18"/>
                <w:szCs w:val="18"/>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2017/5/8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1973634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2017SR388350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东方通通用文件传输平台管理中心软件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z w:val="18"/>
                <w:szCs w:val="18"/>
              </w:rPr>
              <w:t>MC]V6.1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2012/4/9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1980664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2017SR395380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东方通通用文件传输平台运行节点软件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Node]V6.1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2012/4/9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1973558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2017SR388274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东方通数据交换平台管理中心软件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TongDXP </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z w:val="18"/>
                <w:szCs w:val="18"/>
              </w:rPr>
              <w:t>MC]V3.1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2017/5/2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1968102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2017SR382818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软件开发行为分析工具软件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TongSDBA]V1.0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2016/12/1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1967599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2017SR382315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统一开发资源库管理软件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TongSDRM]V1.0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2016/12/1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1967594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2017SR382310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开发行为数据捕获工具软件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TongSDBC]V1.0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2016/12/1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2000344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2017SR415060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东方通数据交换运行节点软件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TongDXP  </w:t>
            </w:r>
            <w:r>
              <w:rPr>
                <w:rFonts w:ascii="Times New Roman" w:hAnsi="Times New Roman" w:cs="Times New Roman" w:eastAsia="Times New Roman" w:hint="default"/>
                <w:sz w:val="18"/>
                <w:szCs w:val="18"/>
              </w:rPr>
              <w:t>Node]</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V3.1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2017/5/2</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2396811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2018SR067716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东方通消息中间件网关软件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TongLINK-HUB]V8.0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2015/11/30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2622881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2018SR293786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东方通应用服务器软件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TongWeb]V7.0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79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2636569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2018SR307474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东方通变化数据捕获工具软件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TongCDC]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V2.1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2018/3/20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9" w:right="0"/>
              <w:jc w:val="center"/>
              <w:rPr>
                <w:rFonts w:ascii="Times New Roman" w:hAnsi="Times New Roman" w:cs="Times New Roman" w:eastAsia="Times New Roman" w:hint="default"/>
                <w:sz w:val="18"/>
                <w:szCs w:val="18"/>
              </w:rPr>
            </w:pPr>
            <w:r>
              <w:rPr>
                <w:rFonts w:ascii="Times New Roman"/>
                <w:sz w:val="18"/>
              </w:rPr>
              <w:t>80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3872999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2019SR0452242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东方通应用交付控制器软件系统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TongADC] </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2018/1/28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81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3913195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2019SR0492438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V6.1.7</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2018/8/20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82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3913174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2019SR0492417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V6.1.8</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2018/9/17</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83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3937130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2019SR0516373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V8.1.8</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2018/11/30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84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4043622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2019SR0622865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东方通容器云管理平台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TongCMP] </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2019/5/31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85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4043606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2019SR0622849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东方通容器云服务平台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TongCSP]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2019/5/31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86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4170963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2019SR0750206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V8.2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2019/4/30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87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4243108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2019SR0822351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TongWeb</w:t>
            </w:r>
            <w:r>
              <w:rPr>
                <w:rFonts w:ascii="宋体" w:hAnsi="宋体" w:cs="宋体" w:eastAsia="宋体" w:hint="default"/>
                <w:spacing w:val="-3"/>
                <w:sz w:val="18"/>
                <w:szCs w:val="18"/>
              </w:rPr>
              <w:t>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V6.1.4.0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2018/10/28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88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4339241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2019SR0918484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V9.0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2019/7/31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center"/>
              <w:rPr>
                <w:rFonts w:ascii="Times New Roman" w:hAnsi="Times New Roman" w:cs="Times New Roman" w:eastAsia="Times New Roman" w:hint="default"/>
                <w:sz w:val="18"/>
                <w:szCs w:val="18"/>
              </w:rPr>
            </w:pPr>
            <w:r>
              <w:rPr>
                <w:rFonts w:ascii="Times New Roman"/>
                <w:sz w:val="18"/>
              </w:rPr>
              <w:t>89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4720610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2019SR1299853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东方通应用安全防御平台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:TongASDP]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2019/5/16</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4841709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2019SR1420952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东方通服务管理系统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:TongSMP]V1.0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2018/9/30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0253292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2010SR065019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:TongIntergrator]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2"/>
                <w:sz w:val="18"/>
                <w:szCs w:val="18"/>
              </w:rPr>
              <w:t>V3.7</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2010/8/9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0301563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2011SR037889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V5.0.1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2010/12/20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0298652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2011SR034978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东方通云应用服务器软件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:TongAPPLaud  </w:t>
            </w:r>
            <w:r>
              <w:rPr>
                <w:rFonts w:ascii="Times New Roman" w:hAnsi="Times New Roman" w:cs="Times New Roman" w:eastAsia="Times New Roman" w:hint="default"/>
                <w:sz w:val="18"/>
                <w:szCs w:val="18"/>
              </w:rPr>
              <w:t>AppServer]</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2011/3/10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0312626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2011SR048952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:TongIntegrator]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
                <w:sz w:val="18"/>
                <w:szCs w:val="18"/>
              </w:rPr>
              <w:t>V4.0.1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2011/3/10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0315543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2011SR051869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V7.2.1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2011/4/29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0318390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2011SR054716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东方通应用集成中间件适配器软件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:TongIntergrator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Adapter]</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2"/>
                <w:sz w:val="18"/>
                <w:szCs w:val="18"/>
              </w:rPr>
              <w:t>V4.0.1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2011/4/29</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0325850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2011SR062176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V5.2.1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2011/5/10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0366004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2011SR102330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东方通通用文件传出平台软件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V6.0.1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2011/9/1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99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0375046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2012SR007010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V8.0.1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2011/9/1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100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0545389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2013SR039627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东方通云应用服务器软件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:TongApplaud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
                <w:sz w:val="18"/>
                <w:szCs w:val="18"/>
              </w:rPr>
              <w:t>AppServer]V2.0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2012/11/23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101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0637336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2013SR131574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东方通传输管理中心软件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:TongWTP </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TransManager]V4.0.1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2013/3/8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102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0637367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2013SR131605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东方通接入服务器软件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:TongWTP </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ConnServer]V4.0.1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2013/3/8</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103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0637829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2013SR132067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东方通文件服务器软件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:TongWTP </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FileServer]V4.0.1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2013/3/8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104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0666763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2013SR161001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w:t>
            </w:r>
            <w:r>
              <w:rPr>
                <w:rFonts w:ascii="Times New Roman" w:hAnsi="Times New Roman" w:cs="Times New Roman" w:eastAsia="Times New Roman" w:hint="default"/>
                <w:spacing w:val="-3"/>
                <w:sz w:val="18"/>
                <w:szCs w:val="18"/>
              </w:rPr>
              <w:t>ETL</w:t>
            </w:r>
            <w:r>
              <w:rPr>
                <w:rFonts w:ascii="宋体" w:hAnsi="宋体" w:cs="宋体" w:eastAsia="宋体" w:hint="default"/>
                <w:spacing w:val="-3"/>
                <w:sz w:val="18"/>
                <w:szCs w:val="18"/>
              </w:rPr>
              <w:t>工具软件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:TI-ETL]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V1.0.1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2013/8/5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105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0762623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2014SR093379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东方通企业服务总线软件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:TI-ESB] </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V5.0.1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2014/2/24</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106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0795030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2014SR125787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东方通数据交换工具软件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:TI-DX]V2.0.1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2014/2/28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107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0804144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2014SR134903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:TI-DXP]V2.0.1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2014/2/28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108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1176110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2015SR289024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:TongApplaud]V2.5.1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继承</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2015/3/2</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109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1177158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2015SR290072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东方通数据交换运行节点软件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:TongDXP_Node]V3.0.1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继承</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2015/10/15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1177895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2015SR290809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东方通数据交换管理平台软件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:TongDXP]V3.0.1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2015/10/15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1091592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2015SR204506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东方通应用服务器软件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:TongWeb]V6.0.1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1104402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2015SR217316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东方通统一中间件管理平台软件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:TongIMP]V2.0.1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1106139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2015SR219053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w:t>
            </w:r>
            <w:r>
              <w:rPr>
                <w:rFonts w:ascii="Times New Roman" w:hAnsi="Times New Roman" w:cs="Times New Roman" w:eastAsia="Times New Roman" w:hint="default"/>
                <w:spacing w:val="-2"/>
                <w:sz w:val="18"/>
                <w:szCs w:val="18"/>
              </w:rPr>
              <w:t>ETL</w:t>
            </w:r>
            <w:r>
              <w:rPr>
                <w:rFonts w:ascii="宋体" w:hAnsi="宋体" w:cs="宋体" w:eastAsia="宋体" w:hint="default"/>
                <w:spacing w:val="-2"/>
                <w:sz w:val="18"/>
                <w:szCs w:val="18"/>
              </w:rPr>
              <w:t>工具软件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:TI-ETL]V2.0.1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1195673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2016SR017056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东方通云管理平台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:TongoCloud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Platform]V5.0.1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1597016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2017SR011732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东方通虚拟化平台软件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:TongoCloud]V5.0.1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1597017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2017SR011733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东方通负载均衡软件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:TongLB]V2.0.1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3319396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2018SR990301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东方通增量数据集成软件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:TongCDC]V2.1.2.0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东方通泰</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2018/9/6</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0157675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2009SR030676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TongSEC</w:t>
            </w:r>
            <w:r>
              <w:rPr>
                <w:rFonts w:ascii="宋体" w:hAnsi="宋体" w:cs="宋体" w:eastAsia="宋体" w:hint="default"/>
                <w:spacing w:val="-3"/>
                <w:sz w:val="18"/>
                <w:szCs w:val="18"/>
              </w:rPr>
              <w:t>安全中间件软件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:TongSEC]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V2.3</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2001/4/1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119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0157674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2009SR030675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东方通短信银行平台软件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:Tong_SMS  </w:t>
            </w:r>
            <w:r>
              <w:rPr>
                <w:rFonts w:ascii="Times New Roman" w:hAnsi="Times New Roman" w:cs="Times New Roman" w:eastAsia="Times New Roman" w:hint="default"/>
                <w:sz w:val="18"/>
                <w:szCs w:val="18"/>
              </w:rPr>
              <w:t>Banking  </w:t>
            </w:r>
            <w:r>
              <w:rPr>
                <w:rFonts w:ascii="Times New Roman" w:hAnsi="Times New Roman" w:cs="Times New Roman" w:eastAsia="Times New Roman" w:hint="default"/>
                <w:spacing w:val="-3"/>
                <w:sz w:val="18"/>
                <w:szCs w:val="18"/>
              </w:rPr>
              <w:t>Platform]</w:t>
            </w:r>
            <w:r>
              <w:rPr>
                <w:rFonts w:ascii="Times New Roman" w:hAnsi="Times New Roman" w:cs="Times New Roman" w:eastAsia="Times New Roman" w:hint="default"/>
                <w:sz w:val="18"/>
                <w:szCs w:val="18"/>
              </w:rPr>
              <w:t> 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2003/3/28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120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0156158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2009SR029159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2008/10/18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121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0147135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2009SR020136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东方通住房公积金综合业务管理系统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:TongPHAF]1.0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2009/2/8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122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0168144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2009SR041145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东方通应用集成中间件软件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:TI2.5]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V2.5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2009/2/20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123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0324412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2011SR060738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东方通通用文件传输平台软件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:TongGTP] </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V5.2.2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2010/12/2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124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0311192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2011SR047518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V6.3.2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2011/1/1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125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0324274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2011SR060600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东方通应用集成中间件软件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:TongIntegrator]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
                <w:sz w:val="18"/>
                <w:szCs w:val="18"/>
              </w:rPr>
              <w:t>V4.0.2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2011/1/1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126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0324411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2011SR060737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东方通消息中间件软件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:TongLINK/Q] </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V7.2.2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2011/1/1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127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0300172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2011SR036498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东方通应用服务器软件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:TongWeb]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V5.0.2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2011/1/5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128</w:t>
            </w:r>
          </w:p>
        </w:tc>
        <w:tc>
          <w:tcPr>
            <w:tcW w:w="1925"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2015SR051232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东方通虚拟化平台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:TongOCloud]</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
              <w:jc w:val="center"/>
              <w:rPr>
                <w:rFonts w:ascii="宋体" w:hAnsi="宋体" w:cs="宋体" w:eastAsia="宋体" w:hint="default"/>
                <w:sz w:val="18"/>
                <w:szCs w:val="18"/>
              </w:rPr>
            </w:pPr>
            <w:r>
              <w:rPr>
                <w:rFonts w:ascii="宋体" w:hAnsi="宋体" w:cs="宋体" w:eastAsia="宋体" w:hint="default"/>
                <w:spacing w:val="-2"/>
                <w:sz w:val="18"/>
                <w:szCs w:val="18"/>
              </w:rPr>
              <w:t>成都东方通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2014/12/25</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129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0266131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2011SR002457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数字天堂无线网关定位计次版软件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:WG-LBS0]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2010/5/14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0266160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2011SR002486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数字天堂无线网关短信计次版软件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:WG-SMS]</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2010/5/14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0266236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2011SR002562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数字天堂企业无线网关软件</w:t>
            </w:r>
            <w:r>
              <w:rPr>
                <w:rFonts w:ascii="Times New Roman" w:hAnsi="Times New Roman" w:cs="Times New Roman" w:eastAsia="Times New Roman" w:hint="default"/>
                <w:spacing w:val="-3"/>
                <w:sz w:val="18"/>
                <w:szCs w:val="18"/>
              </w:rPr>
              <w:t>V2.0[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:WG]</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2010/5/14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0266237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2011SR002563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数字天堂无线网关云平台系统</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:CLOUDWIRELESSGATEWAY]</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2010/5/14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0266352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2011SR002678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数字天堂无线网关彩信计次版软件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:WG-MMS]</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2010/5/14</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0256363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2010SR068090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数字天堂无线中间件云平台系统</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:MCLOUD]</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2010/5/19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0266533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2011SR002859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数字天堂手机邮箱云平台系统</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:CLOUDPE]</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2010/5/20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0266518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2011SR002844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数字天堂无线中间件孵化平台软件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孵化平台</w:t>
            </w:r>
            <w:r>
              <w:rPr>
                <w:rFonts w:ascii="Times New Roman" w:hAnsi="Times New Roman" w:cs="Times New Roman" w:eastAsia="Times New Roman" w:hint="default"/>
                <w:spacing w:val="-3"/>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2010/6/28</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0266205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2011SR002531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数字天堂应用商店软件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:CLOUDSTORE]</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2010/7/12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0266109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2011SR002435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数字天堂无线中间件云平台系统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管理平台</w:t>
            </w:r>
            <w:r>
              <w:rPr>
                <w:rFonts w:ascii="Times New Roman" w:hAnsi="Times New Roman" w:cs="Times New Roman" w:eastAsia="Times New Roman" w:hint="default"/>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2010/7/22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139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0363949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2011SR100275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数字天堂无线中间件集成开发环境软件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:Mkey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Studio]</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2011/4/20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140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0363930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2011SR100256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数字天堂云平台升级系统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:SUSC]</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2011/11/5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141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0448036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2012SR080000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数字天堂移动办公系统软件</w:t>
            </w:r>
            <w:r>
              <w:rPr>
                <w:rFonts w:ascii="Times New Roman" w:hAnsi="Times New Roman" w:cs="Times New Roman" w:eastAsia="Times New Roman" w:hint="default"/>
                <w:spacing w:val="-3"/>
                <w:sz w:val="18"/>
                <w:szCs w:val="18"/>
              </w:rPr>
              <w:t>V6.0[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:MIP]</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2012/6/15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142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0565254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2013SR059492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数字天堂移动信息化接入平台软件</w:t>
            </w:r>
            <w:r>
              <w:rPr>
                <w:rFonts w:ascii="Times New Roman" w:hAnsi="Times New Roman" w:cs="Times New Roman" w:eastAsia="Times New Roman" w:hint="default"/>
                <w:spacing w:val="-3"/>
                <w:sz w:val="18"/>
                <w:szCs w:val="18"/>
              </w:rPr>
              <w:t>V1.1[</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接入平台</w:t>
            </w:r>
            <w:r>
              <w:rPr>
                <w:rFonts w:ascii="Times New Roman" w:hAnsi="Times New Roman" w:cs="Times New Roman" w:eastAsia="Times New Roman" w:hint="default"/>
                <w:spacing w:val="-3"/>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2012/6/26</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143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0501838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2012SR133802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数字天堂无线城市</w:t>
            </w:r>
            <w:r>
              <w:rPr>
                <w:rFonts w:ascii="Times New Roman" w:hAnsi="Times New Roman" w:cs="Times New Roman" w:eastAsia="Times New Roman" w:hint="default"/>
                <w:sz w:val="18"/>
                <w:szCs w:val="18"/>
              </w:rPr>
              <w:t>Widget</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:WidgetApps]</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2012/10/1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144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0501222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2012SR133186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数字天堂旅游易软件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:DHEAVENTRIP]</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2012/11/12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145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0501315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2012SR133279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w:t>
            </w:r>
            <w:r>
              <w:rPr>
                <w:rFonts w:ascii="Times New Roman" w:hAnsi="Times New Roman" w:cs="Times New Roman" w:eastAsia="Times New Roman" w:hint="default"/>
                <w:sz w:val="18"/>
                <w:szCs w:val="18"/>
              </w:rPr>
              <w:t>WAP\WIDGET</w:t>
            </w:r>
            <w:r>
              <w:rPr>
                <w:rFonts w:ascii="宋体" w:hAnsi="宋体" w:cs="宋体" w:eastAsia="宋体" w:hint="default"/>
                <w:sz w:val="18"/>
                <w:szCs w:val="18"/>
              </w:rPr>
              <w:t>转换平台软件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:Wap2Widget]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2012/11/20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146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0565260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2013SR059498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数字天堂移动智能客户端软件</w:t>
            </w:r>
            <w:r>
              <w:rPr>
                <w:rFonts w:ascii="Times New Roman" w:hAnsi="Times New Roman" w:cs="Times New Roman" w:eastAsia="Times New Roman" w:hint="default"/>
                <w:spacing w:val="-3"/>
                <w:sz w:val="18"/>
                <w:szCs w:val="18"/>
              </w:rPr>
              <w:t>V3.5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2012/12/2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147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0565548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2013SR059786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SAAS</w:t>
            </w:r>
            <w:r>
              <w:rPr>
                <w:rFonts w:ascii="宋体" w:hAnsi="宋体" w:cs="宋体" w:eastAsia="宋体" w:hint="default"/>
                <w:sz w:val="18"/>
                <w:szCs w:val="18"/>
              </w:rPr>
              <w:t>模式的无线云平台</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:XCloud]</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2013/2/20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148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0778671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2014SR109427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数字天堂掌上客服系统软件</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:M-CSP]</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2014/7/31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149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0778967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2014SR109723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数字天堂无线城市后台系统软件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无线城市后台</w:t>
            </w:r>
            <w:r>
              <w:rPr>
                <w:rFonts w:ascii="Times New Roman" w:hAnsi="Times New Roman" w:cs="Times New Roman" w:eastAsia="Times New Roman" w:hint="default"/>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2014/7/31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0778972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2014SR109728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数字天堂无线城市客户端软件</w:t>
            </w:r>
            <w:r>
              <w:rPr>
                <w:rFonts w:ascii="Times New Roman" w:hAnsi="Times New Roman" w:cs="Times New Roman" w:eastAsia="Times New Roman" w:hint="default"/>
                <w:sz w:val="18"/>
                <w:szCs w:val="18"/>
              </w:rPr>
              <w:t>V1.0[</w:t>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无线城市客户端</w:t>
            </w:r>
            <w:r>
              <w:rPr>
                <w:rFonts w:ascii="Times New Roman" w:hAnsi="Times New Roman" w:cs="Times New Roman" w:eastAsia="Times New Roman" w:hint="default"/>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2014/7/31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0779198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2014SR109954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w:t>
            </w:r>
            <w:r>
              <w:rPr>
                <w:rFonts w:ascii="Times New Roman" w:hAnsi="Times New Roman" w:cs="Times New Roman" w:eastAsia="Times New Roman" w:hint="default"/>
                <w:sz w:val="18"/>
                <w:szCs w:val="18"/>
              </w:rPr>
              <w:t>MKey 5</w:t>
            </w: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:MKey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2014/7/31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软件登字第</w:t>
            </w:r>
            <w:r>
              <w:rPr>
                <w:rFonts w:ascii="Times New Roman" w:hAnsi="Times New Roman" w:cs="Times New Roman" w:eastAsia="Times New Roman" w:hint="default"/>
                <w:sz w:val="18"/>
                <w:szCs w:val="18"/>
              </w:rPr>
              <w:t>1064737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2015SR177651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数字天堂无限中间件</w:t>
            </w:r>
            <w:r>
              <w:rPr>
                <w:rFonts w:ascii="Times New Roman" w:hAnsi="Times New Roman" w:cs="Times New Roman" w:eastAsia="Times New Roman" w:hint="default"/>
                <w:spacing w:val="-3"/>
                <w:sz w:val="18"/>
                <w:szCs w:val="18"/>
              </w:rPr>
              <w:t>MKey5G</w:t>
            </w:r>
            <w:r>
              <w:rPr>
                <w:rFonts w:ascii="宋体" w:hAnsi="宋体" w:cs="宋体" w:eastAsia="宋体" w:hint="default"/>
                <w:spacing w:val="-3"/>
                <w:sz w:val="18"/>
                <w:szCs w:val="18"/>
              </w:rPr>
              <w:t>系统软件</w:t>
            </w:r>
            <w:r>
              <w:rPr>
                <w:rFonts w:ascii="Times New Roman" w:hAnsi="Times New Roman" w:cs="Times New Roman" w:eastAsia="Times New Roman" w:hint="default"/>
                <w:spacing w:val="-3"/>
                <w:sz w:val="18"/>
                <w:szCs w:val="18"/>
              </w:rPr>
              <w:t>V1.0.0[</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:MKey5G]</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2015/9/14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1808828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2017SR223544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数字天堂无线中间件</w:t>
            </w:r>
            <w:r>
              <w:rPr>
                <w:rFonts w:ascii="Times New Roman" w:hAnsi="Times New Roman" w:cs="Times New Roman" w:eastAsia="Times New Roman" w:hint="default"/>
                <w:spacing w:val="-3"/>
                <w:sz w:val="18"/>
                <w:szCs w:val="18"/>
              </w:rPr>
              <w:t>MKey6</w:t>
            </w:r>
            <w:r>
              <w:rPr>
                <w:rFonts w:ascii="宋体" w:hAnsi="宋体" w:cs="宋体" w:eastAsia="宋体" w:hint="default"/>
                <w:spacing w:val="-3"/>
                <w:sz w:val="18"/>
                <w:szCs w:val="18"/>
              </w:rPr>
              <w:t>系统</w:t>
            </w:r>
            <w:r>
              <w:rPr>
                <w:rFonts w:ascii="Times New Roman" w:hAnsi="Times New Roman" w:cs="Times New Roman" w:eastAsia="Times New Roman" w:hint="default"/>
                <w:spacing w:val="-3"/>
                <w:sz w:val="18"/>
                <w:szCs w:val="18"/>
              </w:rPr>
              <w:t>V1.0[Mkey6]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2016/7/1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1064737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2017SR223943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数字天堂无线中间件</w:t>
            </w:r>
            <w:r>
              <w:rPr>
                <w:rFonts w:ascii="Times New Roman" w:hAnsi="Times New Roman" w:cs="Times New Roman" w:eastAsia="Times New Roman" w:hint="default"/>
                <w:sz w:val="18"/>
                <w:szCs w:val="18"/>
              </w:rPr>
              <w:t>MKey Plus</w:t>
            </w:r>
            <w:r>
              <w:rPr>
                <w:rFonts w:ascii="宋体" w:hAnsi="宋体" w:cs="宋体" w:eastAsia="宋体" w:hint="default"/>
                <w:sz w:val="18"/>
                <w:szCs w:val="18"/>
              </w:rPr>
              <w:t>系统</w:t>
            </w:r>
            <w:r>
              <w:rPr>
                <w:rFonts w:ascii="Times New Roman" w:hAnsi="Times New Roman" w:cs="Times New Roman" w:eastAsia="Times New Roman" w:hint="default"/>
                <w:sz w:val="18"/>
                <w:szCs w:val="18"/>
              </w:rPr>
              <w:t>V1.0[Mkey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Plus]</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2016/10/24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2595163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2018SR266068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w:t>
            </w:r>
            <w:r>
              <w:rPr>
                <w:rFonts w:ascii="Times New Roman" w:hAnsi="Times New Roman" w:cs="Times New Roman" w:eastAsia="Times New Roman" w:hint="default"/>
                <w:spacing w:val="-3"/>
                <w:sz w:val="18"/>
                <w:szCs w:val="18"/>
              </w:rPr>
              <w:t>MOA</w:t>
            </w:r>
            <w:r>
              <w:rPr>
                <w:rFonts w:ascii="宋体" w:hAnsi="宋体" w:cs="宋体" w:eastAsia="宋体" w:hint="default"/>
                <w:spacing w:val="-3"/>
                <w:sz w:val="18"/>
                <w:szCs w:val="18"/>
              </w:rPr>
              <w:t>协同办公系统</w:t>
            </w:r>
            <w:r>
              <w:rPr>
                <w:rFonts w:ascii="Times New Roman" w:hAnsi="Times New Roman" w:cs="Times New Roman" w:eastAsia="Times New Roman" w:hint="default"/>
                <w:spacing w:val="-3"/>
                <w:sz w:val="18"/>
                <w:szCs w:val="18"/>
              </w:rPr>
              <w:t>V1.0[MOA</w:t>
            </w:r>
            <w:r>
              <w:rPr>
                <w:rFonts w:ascii="宋体" w:hAnsi="宋体" w:cs="宋体" w:eastAsia="宋体" w:hint="default"/>
                <w:spacing w:val="-3"/>
                <w:sz w:val="18"/>
                <w:szCs w:val="18"/>
              </w:rPr>
              <w:t>协同办公系统</w:t>
            </w:r>
            <w:r>
              <w:rPr>
                <w:rFonts w:ascii="Times New Roman" w:hAnsi="Times New Roman" w:cs="Times New Roman" w:eastAsia="Times New Roman" w:hint="default"/>
                <w:spacing w:val="-3"/>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2018/1/15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2595170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2018SR266075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数字天堂</w:t>
            </w:r>
            <w:r>
              <w:rPr>
                <w:rFonts w:ascii="Times New Roman" w:hAnsi="Times New Roman" w:cs="Times New Roman" w:eastAsia="Times New Roman" w:hint="default"/>
                <w:sz w:val="18"/>
                <w:szCs w:val="18"/>
              </w:rPr>
              <w:t>MInfo</w:t>
            </w:r>
            <w:r>
              <w:rPr>
                <w:rFonts w:ascii="宋体" w:hAnsi="宋体" w:cs="宋体" w:eastAsia="宋体" w:hint="default"/>
                <w:sz w:val="18"/>
                <w:szCs w:val="18"/>
              </w:rPr>
              <w:t>网络商情系统</w:t>
            </w:r>
            <w:r>
              <w:rPr>
                <w:rFonts w:ascii="Times New Roman" w:hAnsi="Times New Roman" w:cs="Times New Roman" w:eastAsia="Times New Roman" w:hint="default"/>
                <w:sz w:val="18"/>
                <w:szCs w:val="18"/>
              </w:rPr>
              <w:t>V1.0[Minfo</w:t>
            </w:r>
            <w:r>
              <w:rPr>
                <w:rFonts w:ascii="宋体" w:hAnsi="宋体" w:cs="宋体" w:eastAsia="宋体" w:hint="default"/>
                <w:sz w:val="18"/>
                <w:szCs w:val="18"/>
              </w:rPr>
              <w:t>网络商情系统</w:t>
            </w:r>
            <w:r>
              <w:rPr>
                <w:rFonts w:ascii="Times New Roman" w:hAnsi="Times New Roman" w:cs="Times New Roman" w:eastAsia="Times New Roman" w:hint="default"/>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2018/1/15</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2663512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2018SR334417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w:t>
            </w:r>
            <w:r>
              <w:rPr>
                <w:rFonts w:ascii="Times New Roman" w:hAnsi="Times New Roman" w:cs="Times New Roman" w:eastAsia="Times New Roman" w:hint="default"/>
                <w:spacing w:val="-3"/>
                <w:sz w:val="18"/>
                <w:szCs w:val="18"/>
              </w:rPr>
              <w:t>MDP</w:t>
            </w:r>
            <w:r>
              <w:rPr>
                <w:rFonts w:ascii="宋体" w:hAnsi="宋体" w:cs="宋体" w:eastAsia="宋体" w:hint="default"/>
                <w:spacing w:val="-3"/>
                <w:sz w:val="18"/>
                <w:szCs w:val="18"/>
              </w:rPr>
              <w:t>交互式采集引擎系统</w:t>
            </w:r>
            <w:r>
              <w:rPr>
                <w:rFonts w:ascii="Times New Roman" w:hAnsi="Times New Roman" w:cs="Times New Roman" w:eastAsia="Times New Roman" w:hint="default"/>
                <w:spacing w:val="-3"/>
                <w:sz w:val="18"/>
                <w:szCs w:val="18"/>
              </w:rPr>
              <w:t>V1.0[MDP</w:t>
            </w:r>
            <w:r>
              <w:rPr>
                <w:rFonts w:ascii="宋体" w:hAnsi="宋体" w:cs="宋体" w:eastAsia="宋体" w:hint="default"/>
                <w:spacing w:val="-3"/>
                <w:sz w:val="18"/>
                <w:szCs w:val="18"/>
              </w:rPr>
              <w:t>交互式采集引擎系统</w:t>
            </w:r>
            <w:r>
              <w:rPr>
                <w:rFonts w:ascii="Times New Roman" w:hAnsi="Times New Roman" w:cs="Times New Roman" w:eastAsia="Times New Roman" w:hint="default"/>
                <w:spacing w:val="-3"/>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2018/1/20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3120879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2018SR791784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数字天堂下一代舆情商情系统</w:t>
            </w:r>
            <w:r>
              <w:rPr>
                <w:rFonts w:ascii="Times New Roman" w:hAnsi="Times New Roman" w:cs="Times New Roman" w:eastAsia="Times New Roman" w:hint="default"/>
                <w:spacing w:val="-3"/>
                <w:sz w:val="18"/>
                <w:szCs w:val="18"/>
              </w:rPr>
              <w:t>V1.0[</w:t>
            </w:r>
            <w:r>
              <w:rPr>
                <w:rFonts w:ascii="宋体" w:hAnsi="宋体" w:cs="宋体" w:eastAsia="宋体" w:hint="default"/>
                <w:spacing w:val="-3"/>
                <w:sz w:val="18"/>
                <w:szCs w:val="18"/>
              </w:rPr>
              <w:t>下一代舆情商情系统</w:t>
            </w:r>
            <w:r>
              <w:rPr>
                <w:rFonts w:ascii="Times New Roman" w:hAnsi="Times New Roman" w:cs="Times New Roman" w:eastAsia="Times New Roman" w:hint="default"/>
                <w:spacing w:val="-3"/>
                <w:sz w:val="18"/>
                <w:szCs w:val="18"/>
              </w:rPr>
              <w:t>]</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2018/7/12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BJ0484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2004SRBJ0139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移动网络</w:t>
            </w:r>
            <w:r>
              <w:rPr>
                <w:rFonts w:ascii="Times New Roman" w:hAnsi="Times New Roman" w:cs="Times New Roman" w:eastAsia="Times New Roman" w:hint="default"/>
                <w:sz w:val="18"/>
                <w:szCs w:val="18"/>
              </w:rPr>
              <w:t>SP</w:t>
            </w:r>
            <w:r>
              <w:rPr>
                <w:rFonts w:ascii="宋体" w:hAnsi="宋体" w:cs="宋体" w:eastAsia="宋体" w:hint="default"/>
                <w:sz w:val="18"/>
                <w:szCs w:val="18"/>
              </w:rPr>
              <w:t>监测系统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2004/1/16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160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BJ1351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2004SRBJ1005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网络不良信息监测系统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2004/8/20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161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BJ1875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2005SRBJ0178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2005/1/30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162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BJ3152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2005SRBJ1454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数据业务拨测系统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2005/9/10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163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BJ5875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2006SRBJ2069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WAP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流量优化控制系统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2006/7/20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164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BJ6996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2007SRBJ0024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ADC  </w:t>
            </w:r>
            <w:r>
              <w:rPr>
                <w:rFonts w:ascii="宋体" w:hAnsi="宋体" w:cs="宋体" w:eastAsia="宋体" w:hint="default"/>
                <w:sz w:val="18"/>
                <w:szCs w:val="18"/>
              </w:rPr>
              <w:t>应用监控系统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2006/12/20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165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BJ11019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2008SRBJ0713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数据业务拨测系统</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2007/5/15</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166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BJ8235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2007SRBJ1263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2008/1/8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167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BJ11771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2008SRBJ1465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ADC  </w:t>
            </w:r>
            <w:r>
              <w:rPr>
                <w:rFonts w:ascii="宋体" w:hAnsi="宋体" w:cs="宋体" w:eastAsia="宋体" w:hint="default"/>
                <w:sz w:val="18"/>
                <w:szCs w:val="18"/>
              </w:rPr>
              <w:t>应用监控系统</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2008/4/25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168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BJ3766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2008SRBJ3460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信安网络内容安全监测系统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2008/8/20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169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BJ13768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2008SRBJ3462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2008/8/27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BJ23775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2009SRBJ6769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彩信内容安全监测系统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2009/9/14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BJ23776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2009SRBJ6770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互联网内容安全监测系统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2009/9/14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BJ23777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2009SRBJ6771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IDC(</w:t>
            </w:r>
            <w:r>
              <w:rPr>
                <w:rFonts w:ascii="宋体" w:hAnsi="宋体" w:cs="宋体" w:eastAsia="宋体" w:hint="default"/>
                <w:sz w:val="18"/>
                <w:szCs w:val="18"/>
              </w:rPr>
              <w:t>互联网数据中心</w:t>
            </w:r>
            <w:r>
              <w:rPr>
                <w:rFonts w:ascii="Times New Roman" w:hAnsi="Times New Roman" w:cs="Times New Roman" w:eastAsia="Times New Roman" w:hint="default"/>
                <w:sz w:val="18"/>
                <w:szCs w:val="18"/>
              </w:rPr>
              <w:t>)</w:t>
            </w:r>
            <w:r>
              <w:rPr>
                <w:rFonts w:ascii="宋体" w:hAnsi="宋体" w:cs="宋体" w:eastAsia="宋体" w:hint="default"/>
                <w:sz w:val="18"/>
                <w:szCs w:val="18"/>
              </w:rPr>
              <w:t>内容安全监测系统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2009/9/14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BJ23792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2009SRBJ6786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V4.0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2009/9/14</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BJ24974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2009SRBJ7968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增值业务质量优化系统</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2009/11/24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BJ25053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2009SRBJ8047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互联网内容深度分析系统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2009/11/26</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BJ27210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2010SRBJ1827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网络不良信息监测系统</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2010/2/8</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BJ27671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2010SRBJ2288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移动互联网用户行为分析系统</w:t>
            </w:r>
            <w:r>
              <w:rPr>
                <w:rFonts w:ascii="Times New Roman" w:hAnsi="Times New Roman" w:cs="Times New Roman" w:eastAsia="Times New Roman" w:hint="default"/>
                <w:spacing w:val="-3"/>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2010/3/5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BJ27670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2010SRBJ2287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互联网内容扫描监控系统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2010/3/10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BJ27672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2010SRBJ2289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互联网信息安全监控系统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2010/4/2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180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BJ36877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2011SRBJ4756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手机威胁管理系统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2010/5/7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181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0373731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2012SR005695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MP08SEPV01</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2010/5/7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182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BJ30720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2010SRBJ5337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网络协议分析软件</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2010/9/10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183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BJ31548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2010SRBJ6165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垃圾短信过滤系统</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2010/10/29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184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BJ34110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2011SRBJ1989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移动互联网舆情分析系统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2011/10/8</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185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0498087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2012SR130051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用户行为模拟</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2012/4/10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186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0498083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2012SR130047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宽带测速平台</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2012/9/11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187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0626608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2013SR120846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IDCISP</w:t>
            </w:r>
            <w:r>
              <w:rPr>
                <w:rFonts w:ascii="宋体" w:hAnsi="宋体" w:cs="宋体" w:eastAsia="宋体" w:hint="default"/>
                <w:sz w:val="18"/>
                <w:szCs w:val="18"/>
              </w:rPr>
              <w:t>安全监管系统（</w:t>
            </w:r>
            <w:r>
              <w:rPr>
                <w:rFonts w:ascii="Times New Roman" w:hAnsi="Times New Roman" w:cs="Times New Roman" w:eastAsia="Times New Roman" w:hint="default"/>
                <w:sz w:val="18"/>
                <w:szCs w:val="18"/>
              </w:rPr>
              <w:t>MV-SMMS]v1.0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2013/7/1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188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0626615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2013SR120853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IDCISP</w:t>
            </w:r>
            <w:r>
              <w:rPr>
                <w:rFonts w:ascii="宋体" w:hAnsi="宋体" w:cs="宋体" w:eastAsia="宋体" w:hint="default"/>
                <w:spacing w:val="-3"/>
                <w:sz w:val="18"/>
                <w:szCs w:val="18"/>
              </w:rPr>
              <w:t>信息安全管理系统（</w:t>
            </w:r>
            <w:r>
              <w:rPr>
                <w:rFonts w:ascii="Times New Roman" w:hAnsi="Times New Roman" w:cs="Times New Roman" w:eastAsia="Times New Roman" w:hint="default"/>
                <w:spacing w:val="-3"/>
                <w:sz w:val="18"/>
                <w:szCs w:val="18"/>
              </w:rPr>
              <w:t>MV-ISMS]v1.0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2013/7/1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189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0615016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2013SR109254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3G</w:t>
            </w:r>
            <w:r>
              <w:rPr>
                <w:rFonts w:ascii="宋体" w:hAnsi="宋体" w:cs="宋体" w:eastAsia="宋体" w:hint="default"/>
                <w:sz w:val="18"/>
                <w:szCs w:val="18"/>
              </w:rPr>
              <w:t>移动互联网舆情监控报警平台（</w:t>
            </w:r>
            <w:r>
              <w:rPr>
                <w:rFonts w:ascii="Times New Roman" w:hAnsi="Times New Roman" w:cs="Times New Roman" w:eastAsia="Times New Roman" w:hint="default"/>
                <w:sz w:val="18"/>
                <w:szCs w:val="18"/>
              </w:rPr>
              <w:t>MVS-POM]v1.0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2013/9/10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1204709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2016SR026092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数据识别分析软件系统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:MV-DASS]V1.0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2013/11/11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0970817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2015SR083731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DPI</w:t>
            </w:r>
            <w:r>
              <w:rPr>
                <w:rFonts w:ascii="宋体" w:hAnsi="宋体" w:cs="宋体" w:eastAsia="宋体" w:hint="default"/>
                <w:sz w:val="18"/>
                <w:szCs w:val="18"/>
              </w:rPr>
              <w:t>深度数据包检测系统</w:t>
            </w:r>
            <w:r>
              <w:rPr>
                <w:rFonts w:ascii="Times New Roman" w:hAnsi="Times New Roman" w:cs="Times New Roman" w:eastAsia="Times New Roman" w:hint="default"/>
                <w:sz w:val="18"/>
                <w:szCs w:val="18"/>
              </w:rPr>
              <w:t>(MVS-DPI)v1.0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2013/11/20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0714926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2014SR045682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互联网威胁管理系统（</w:t>
            </w:r>
            <w:r>
              <w:rPr>
                <w:rFonts w:ascii="Times New Roman" w:hAnsi="Times New Roman" w:cs="Times New Roman" w:eastAsia="Times New Roman" w:hint="default"/>
                <w:spacing w:val="-3"/>
                <w:sz w:val="18"/>
                <w:szCs w:val="18"/>
              </w:rPr>
              <w:t>MVS-ICMP-VDS]v1.0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2014/1/31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0753811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2014SR084567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APP</w:t>
            </w:r>
            <w:r>
              <w:rPr>
                <w:rFonts w:ascii="宋体" w:hAnsi="宋体" w:cs="宋体" w:eastAsia="宋体" w:hint="default"/>
                <w:sz w:val="18"/>
                <w:szCs w:val="18"/>
              </w:rPr>
              <w:t>应用监测系统（</w:t>
            </w:r>
            <w:r>
              <w:rPr>
                <w:rFonts w:ascii="Times New Roman" w:hAnsi="Times New Roman" w:cs="Times New Roman" w:eastAsia="Times New Roman" w:hint="default"/>
                <w:sz w:val="18"/>
                <w:szCs w:val="18"/>
              </w:rPr>
              <w:t>MVS-APP]v1.0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2014/4/30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1366448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2016SR187831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移动互联网恶意程序监控系统</w:t>
            </w:r>
            <w:r>
              <w:rPr>
                <w:rFonts w:ascii="Times New Roman" w:hAnsi="Times New Roman" w:cs="Times New Roman" w:eastAsia="Times New Roman" w:hint="default"/>
                <w:spacing w:val="-2"/>
                <w:sz w:val="18"/>
                <w:szCs w:val="18"/>
              </w:rPr>
              <w:t>[MVS-MMMS]v1.0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2015/10/7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1366549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2016SR187932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互联网僵木蠕监控系统</w:t>
            </w:r>
            <w:r>
              <w:rPr>
                <w:rFonts w:ascii="Times New Roman" w:hAnsi="Times New Roman" w:cs="Times New Roman" w:eastAsia="Times New Roman" w:hint="default"/>
                <w:spacing w:val="-3"/>
                <w:sz w:val="18"/>
                <w:szCs w:val="18"/>
              </w:rPr>
              <w:t>[MVS-BTW]v1.0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1399103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2016SR220486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第三方信息安全共享联动平台系统</w:t>
            </w:r>
            <w:r>
              <w:rPr>
                <w:rFonts w:ascii="Times New Roman" w:hAnsi="Times New Roman" w:cs="Times New Roman" w:eastAsia="Times New Roman" w:hint="default"/>
                <w:spacing w:val="-3"/>
                <w:sz w:val="18"/>
                <w:szCs w:val="18"/>
              </w:rPr>
              <w:t>[MVS-TISP]v1.0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2016/2/24</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1619484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2017SR034200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通讯信息诈骗智能反制平台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:MVS-CFIC]V1.0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2016/11/2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1776454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2017SR191170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云通讯信息控制平台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:MVS-CIS]V1.0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1776470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2017SR191186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语音专线安全管控系统系统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:MVS-VSC]V1.0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2016/11/4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200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1776477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2017SR191193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云通讯客户中心能力服务平台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:MV-CUS]V1.0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2016/11/4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201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1895547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2017SR310263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智慧客服应答能力平台系统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:MVS-SSA]V1.0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2016/9/13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202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1895554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2017SR310270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智能客服语音甄别能力平台系统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:MVS-SCS]V1.0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2016/11/13</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203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1895559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2017SR310275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客服音频质检能力平台系统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:MVS-SAQ]V1.0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2016/11/13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204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1922994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2017SR337710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互联网资源协作服务（</w:t>
            </w:r>
            <w:r>
              <w:rPr>
                <w:rFonts w:ascii="Times New Roman" w:hAnsi="Times New Roman" w:cs="Times New Roman" w:eastAsia="Times New Roman" w:hint="default"/>
                <w:spacing w:val="-3"/>
                <w:sz w:val="18"/>
                <w:szCs w:val="18"/>
              </w:rPr>
              <w:t>IRCS)</w:t>
            </w:r>
            <w:r>
              <w:rPr>
                <w:rFonts w:ascii="宋体" w:hAnsi="宋体" w:cs="宋体" w:eastAsia="宋体" w:hint="default"/>
                <w:spacing w:val="-3"/>
                <w:sz w:val="18"/>
                <w:szCs w:val="18"/>
              </w:rPr>
              <w:t>信息安全管理系统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MVS-IRCS-ISMS]</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2016/12/23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205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2045574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2017SR460290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IDCISP</w:t>
            </w:r>
            <w:r>
              <w:rPr>
                <w:rFonts w:ascii="宋体" w:hAnsi="宋体" w:cs="宋体" w:eastAsia="宋体" w:hint="default"/>
                <w:spacing w:val="-3"/>
                <w:sz w:val="18"/>
                <w:szCs w:val="18"/>
              </w:rPr>
              <w:t>信息安全管理系统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MV-ISMS]V2.0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2017/5/29</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206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2179715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2017SR594431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分布式安全存储（</w:t>
            </w:r>
            <w:r>
              <w:rPr>
                <w:rFonts w:ascii="Times New Roman" w:hAnsi="Times New Roman" w:cs="Times New Roman" w:eastAsia="Times New Roman" w:hint="default"/>
                <w:spacing w:val="-3"/>
                <w:sz w:val="18"/>
                <w:szCs w:val="18"/>
              </w:rPr>
              <w:t>SSAN</w:t>
            </w:r>
            <w:r>
              <w:rPr>
                <w:rFonts w:ascii="宋体" w:hAnsi="宋体" w:cs="宋体" w:eastAsia="宋体" w:hint="default"/>
                <w:spacing w:val="-3"/>
                <w:sz w:val="18"/>
                <w:szCs w:val="18"/>
              </w:rPr>
              <w:t>）管理平台软件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MVS-SSAN-CM]V1.0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2016/11/12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2179717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2017SR594433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分布式安全存储（</w:t>
            </w:r>
            <w:r>
              <w:rPr>
                <w:rFonts w:ascii="Times New Roman" w:hAnsi="Times New Roman" w:cs="Times New Roman" w:eastAsia="Times New Roman" w:hint="default"/>
                <w:spacing w:val="-3"/>
                <w:sz w:val="18"/>
                <w:szCs w:val="18"/>
              </w:rPr>
              <w:t>SSAN</w:t>
            </w:r>
            <w:r>
              <w:rPr>
                <w:rFonts w:ascii="宋体" w:hAnsi="宋体" w:cs="宋体" w:eastAsia="宋体" w:hint="default"/>
                <w:spacing w:val="-3"/>
                <w:sz w:val="18"/>
                <w:szCs w:val="18"/>
              </w:rPr>
              <w:t>）应用软件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MVS-SSAN-SW]V1.0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2016/12/16</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2234411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2017SR649127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EU</w:t>
            </w:r>
            <w:r>
              <w:rPr>
                <w:rFonts w:ascii="宋体" w:hAnsi="宋体" w:cs="宋体" w:eastAsia="宋体" w:hint="default"/>
                <w:sz w:val="18"/>
                <w:szCs w:val="18"/>
              </w:rPr>
              <w:t>分流器</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2017/7/1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209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2234417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2017SR649133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EU</w:t>
            </w:r>
            <w:r>
              <w:rPr>
                <w:rFonts w:ascii="宋体" w:hAnsi="宋体" w:cs="宋体" w:eastAsia="宋体" w:hint="default"/>
                <w:sz w:val="18"/>
                <w:szCs w:val="18"/>
              </w:rPr>
              <w:t>服务器</w:t>
            </w:r>
            <w:r>
              <w:rPr>
                <w:rFonts w:ascii="Times New Roman" w:hAnsi="Times New Roman" w:cs="Times New Roman" w:eastAsia="Times New Roman" w:hint="default"/>
                <w:sz w:val="18"/>
                <w:szCs w:val="18"/>
              </w:rPr>
              <w:t>-</w:t>
            </w:r>
            <w:r>
              <w:rPr>
                <w:rFonts w:ascii="宋体" w:hAnsi="宋体" w:cs="宋体" w:eastAsia="宋体" w:hint="default"/>
                <w:sz w:val="18"/>
                <w:szCs w:val="18"/>
              </w:rPr>
              <w:t>嵌入式软件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2017/7/1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2343612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2018SR014517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分布式文件存储系统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XDFS]V1.0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2017/7/3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2345607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2018SR016512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外勤管理系统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MVS-AM]V1.0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2017/7/3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2348482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2018SR019387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工作流自主处理系统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MVS-WFAP]V1.0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2017/10/9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2345608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2018SR016513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综合协同办公系统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MVS-ITW]V1.0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2017/7/3</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2786958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2018SR457863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融合</w:t>
            </w:r>
            <w:r>
              <w:rPr>
                <w:rFonts w:ascii="Times New Roman" w:hAnsi="Times New Roman" w:cs="Times New Roman" w:eastAsia="Times New Roman" w:hint="default"/>
                <w:spacing w:val="-3"/>
                <w:sz w:val="18"/>
                <w:szCs w:val="18"/>
              </w:rPr>
              <w:t>DPI</w:t>
            </w:r>
            <w:r>
              <w:rPr>
                <w:rFonts w:ascii="宋体" w:hAnsi="宋体" w:cs="宋体" w:eastAsia="宋体" w:hint="default"/>
                <w:spacing w:val="-3"/>
                <w:sz w:val="18"/>
                <w:szCs w:val="18"/>
              </w:rPr>
              <w:t>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MVRH-DPI]V1.0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2015/7/20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2786164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2018SR457069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统一</w:t>
            </w:r>
            <w:r>
              <w:rPr>
                <w:rFonts w:ascii="Times New Roman" w:hAnsi="Times New Roman" w:cs="Times New Roman" w:eastAsia="Times New Roman" w:hint="default"/>
                <w:spacing w:val="-2"/>
                <w:sz w:val="18"/>
                <w:szCs w:val="18"/>
              </w:rPr>
              <w:t>DPI</w:t>
            </w:r>
            <w:r>
              <w:rPr>
                <w:rFonts w:ascii="宋体" w:hAnsi="宋体" w:cs="宋体" w:eastAsia="宋体" w:hint="default"/>
                <w:spacing w:val="-2"/>
                <w:sz w:val="18"/>
                <w:szCs w:val="18"/>
              </w:rPr>
              <w:t>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MVTY-DPI]V1.0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2015/11/20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3080986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2018SR751891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分布式内存数据库系统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MDB]V1.0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2018/6/1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3571065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2019SR0150308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IPTV-OTT</w:t>
            </w:r>
            <w:r>
              <w:rPr>
                <w:rFonts w:ascii="宋体" w:hAnsi="宋体" w:cs="宋体" w:eastAsia="宋体" w:hint="default"/>
                <w:spacing w:val="-3"/>
                <w:sz w:val="18"/>
                <w:szCs w:val="18"/>
              </w:rPr>
              <w:t>拨测监测平台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IPTV-OTT </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DTMP]V1.0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2018/12/22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3570956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2019SR0150199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数据汇聚与分流系统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MV-DCS]V1.0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2016/12/22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3570959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2019SR0150202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统一分流系统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MV-US]V1.0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2016/12/22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220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4080764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2019SR0660007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内网安全管控系统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MV-IEMS]V1.0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2019/6/26</w:t>
            </w:r>
          </w:p>
        </w:tc>
      </w:tr>
      <w:tr>
        <w:trPr>
          <w:trHeight w:val="662"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4074544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2019SR0653787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5"/>
              <w:ind w:left="4" w:right="74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微智信业标准移动应用客户端开发平台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Mobile </w:t>
            </w:r>
            <w:r>
              <w:rPr>
                <w:rFonts w:ascii="Times New Roman" w:hAnsi="Times New Roman" w:cs="Times New Roman" w:eastAsia="Times New Roman" w:hint="default"/>
                <w:sz w:val="18"/>
                <w:szCs w:val="18"/>
              </w:rPr>
              <w:t>Services Develop</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Times New Roman" w:hAnsi="Times New Roman" w:cs="Times New Roman" w:eastAsia="Times New Roman" w:hint="default"/>
                <w:sz w:val="18"/>
                <w:szCs w:val="18"/>
              </w:rPr>
              <w:t>System]V1.0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2017/9/20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222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4330183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left"/>
              <w:rPr>
                <w:rFonts w:ascii="Times New Roman" w:hAnsi="Times New Roman" w:cs="Times New Roman" w:eastAsia="Times New Roman" w:hint="default"/>
                <w:sz w:val="18"/>
                <w:szCs w:val="18"/>
              </w:rPr>
            </w:pPr>
            <w:r>
              <w:rPr>
                <w:rFonts w:ascii="Times New Roman"/>
                <w:sz w:val="18"/>
              </w:rPr>
              <w:t>2019SR0909426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MV-DSMP]V1.0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pacing w:val="-1"/>
                <w:sz w:val="18"/>
              </w:rPr>
              <w:t>2019/1/22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4330261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2019SR0909504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物联网安全管理系统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MV-IOTSMS]V1.0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2019/7/22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4337009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2019SR0916252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音视频会议系统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Audio-Video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Conference</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2"/>
                <w:sz w:val="18"/>
                <w:szCs w:val="18"/>
              </w:rPr>
              <w:t>System]V1.0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2018/4/20</w:t>
            </w:r>
          </w:p>
        </w:tc>
      </w:tr>
      <w:tr>
        <w:trPr>
          <w:trHeight w:val="740"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4337124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2019SR0916367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64"/>
              <w:ind w:left="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音</w:t>
            </w:r>
            <w:r>
              <w:rPr>
                <w:rFonts w:ascii="宋体" w:hAnsi="宋体" w:cs="宋体" w:eastAsia="宋体" w:hint="default"/>
                <w:spacing w:val="-66"/>
                <w:sz w:val="18"/>
                <w:szCs w:val="18"/>
              </w:rPr>
              <w:t> </w:t>
            </w:r>
            <w:r>
              <w:rPr>
                <w:rFonts w:ascii="宋体" w:hAnsi="宋体" w:cs="宋体" w:eastAsia="宋体" w:hint="default"/>
                <w:spacing w:val="8"/>
                <w:sz w:val="18"/>
                <w:szCs w:val="18"/>
              </w:rPr>
              <w:t>视频</w:t>
            </w:r>
            <w:r>
              <w:rPr>
                <w:rFonts w:ascii="宋体" w:hAnsi="宋体" w:cs="宋体" w:eastAsia="宋体" w:hint="default"/>
                <w:spacing w:val="-66"/>
                <w:sz w:val="18"/>
                <w:szCs w:val="18"/>
              </w:rPr>
              <w:t> </w:t>
            </w:r>
            <w:r>
              <w:rPr>
                <w:rFonts w:ascii="宋体" w:hAnsi="宋体" w:cs="宋体" w:eastAsia="宋体" w:hint="default"/>
                <w:spacing w:val="8"/>
                <w:sz w:val="18"/>
                <w:szCs w:val="18"/>
              </w:rPr>
              <w:t>会议</w:t>
            </w:r>
            <w:r>
              <w:rPr>
                <w:rFonts w:ascii="宋体" w:hAnsi="宋体" w:cs="宋体" w:eastAsia="宋体" w:hint="default"/>
                <w:spacing w:val="-66"/>
                <w:sz w:val="18"/>
                <w:szCs w:val="18"/>
              </w:rPr>
              <w:t> </w:t>
            </w:r>
            <w:r>
              <w:rPr>
                <w:rFonts w:ascii="宋体" w:hAnsi="宋体" w:cs="宋体" w:eastAsia="宋体" w:hint="default"/>
                <w:spacing w:val="8"/>
                <w:sz w:val="18"/>
                <w:szCs w:val="18"/>
              </w:rPr>
              <w:t>的混</w:t>
            </w:r>
            <w:r>
              <w:rPr>
                <w:rFonts w:ascii="宋体" w:hAnsi="宋体" w:cs="宋体" w:eastAsia="宋体" w:hint="default"/>
                <w:spacing w:val="-66"/>
                <w:sz w:val="18"/>
                <w:szCs w:val="18"/>
              </w:rPr>
              <w:t> </w:t>
            </w:r>
            <w:r>
              <w:rPr>
                <w:rFonts w:ascii="宋体" w:hAnsi="宋体" w:cs="宋体" w:eastAsia="宋体" w:hint="default"/>
                <w:spacing w:val="11"/>
                <w:sz w:val="18"/>
                <w:szCs w:val="18"/>
              </w:rPr>
              <w:t>音算法</w:t>
            </w:r>
            <w:r>
              <w:rPr>
                <w:rFonts w:ascii="宋体" w:hAnsi="宋体" w:cs="宋体" w:eastAsia="宋体" w:hint="default"/>
                <w:spacing w:val="-66"/>
                <w:sz w:val="18"/>
                <w:szCs w:val="18"/>
              </w:rPr>
              <w:t> </w:t>
            </w:r>
            <w:r>
              <w:rPr>
                <w:rFonts w:ascii="宋体" w:hAnsi="宋体" w:cs="宋体" w:eastAsia="宋体" w:hint="default"/>
                <w:spacing w:val="8"/>
                <w:sz w:val="18"/>
                <w:szCs w:val="18"/>
              </w:rPr>
              <w:t>系统</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简</w:t>
            </w:r>
            <w:r>
              <w:rPr>
                <w:rFonts w:ascii="宋体" w:hAnsi="宋体" w:cs="宋体" w:eastAsia="宋体" w:hint="default"/>
                <w:spacing w:val="-66"/>
                <w:sz w:val="18"/>
                <w:szCs w:val="18"/>
              </w:rPr>
              <w:t> </w:t>
            </w:r>
            <w:r>
              <w:rPr>
                <w:rFonts w:ascii="宋体" w:hAnsi="宋体" w:cs="宋体" w:eastAsia="宋体" w:hint="default"/>
                <w:spacing w:val="8"/>
                <w:sz w:val="18"/>
                <w:szCs w:val="18"/>
              </w:rPr>
              <w:t>称：</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MVS-MA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3"/>
                <w:sz w:val="18"/>
                <w:szCs w:val="18"/>
              </w:rPr>
              <w:t>for</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Audio-Video</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Conferences</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system]V1.0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2018/9/1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4337205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2019SR0916448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视频直播点播流媒体系统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MVS-Media  </w:t>
            </w:r>
            <w:r>
              <w:rPr>
                <w:rFonts w:ascii="Times New Roman" w:hAnsi="Times New Roman" w:cs="Times New Roman" w:eastAsia="Times New Roman" w:hint="default"/>
                <w:sz w:val="18"/>
                <w:szCs w:val="18"/>
              </w:rPr>
              <w:t>Services</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system]V1.0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2017/9/1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4338552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2019SR0917795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点对点音视频平台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Audio and </w:t>
            </w:r>
            <w:r>
              <w:rPr>
                <w:rFonts w:ascii="Times New Roman" w:hAnsi="Times New Roman" w:cs="Times New Roman" w:eastAsia="Times New Roman" w:hint="default"/>
                <w:spacing w:val="-3"/>
                <w:sz w:val="18"/>
                <w:szCs w:val="18"/>
              </w:rPr>
              <w:t>Video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Platform]V1.0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2018/5/1</w:t>
            </w:r>
          </w:p>
        </w:tc>
      </w:tr>
      <w:tr>
        <w:trPr>
          <w:trHeight w:val="422"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4376945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2019SR0956188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微智容器云服务平台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MV-CSP]V1.0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2019/6/22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229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4377471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left"/>
              <w:rPr>
                <w:rFonts w:ascii="Times New Roman" w:hAnsi="Times New Roman" w:cs="Times New Roman" w:eastAsia="Times New Roman" w:hint="default"/>
                <w:sz w:val="18"/>
                <w:szCs w:val="18"/>
              </w:rPr>
            </w:pPr>
            <w:r>
              <w:rPr>
                <w:rFonts w:ascii="Times New Roman"/>
                <w:sz w:val="18"/>
              </w:rPr>
              <w:t>2019SR0956714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微智容器云管理平台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MV-CSP]V1.0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2018/12/22</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230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4186195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left"/>
              <w:rPr>
                <w:rFonts w:ascii="Times New Roman" w:hAnsi="Times New Roman" w:cs="Times New Roman" w:eastAsia="Times New Roman" w:hint="default"/>
                <w:sz w:val="18"/>
                <w:szCs w:val="18"/>
              </w:rPr>
            </w:pPr>
            <w:r>
              <w:rPr>
                <w:rFonts w:ascii="Times New Roman"/>
                <w:sz w:val="18"/>
              </w:rPr>
              <w:t>2019SR0765438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谢绝来电个人意愿管控平台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简称：谢绝来电平台</w:t>
            </w:r>
            <w:r>
              <w:rPr>
                <w:rFonts w:ascii="Times New Roman" w:hAnsi="Times New Roman" w:cs="Times New Roman" w:eastAsia="Times New Roman" w:hint="default"/>
                <w:spacing w:val="-3"/>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2019/5/30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231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4474016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left"/>
              <w:rPr>
                <w:rFonts w:ascii="Times New Roman" w:hAnsi="Times New Roman" w:cs="Times New Roman" w:eastAsia="Times New Roman" w:hint="default"/>
                <w:sz w:val="18"/>
                <w:szCs w:val="18"/>
              </w:rPr>
            </w:pPr>
            <w:r>
              <w:rPr>
                <w:rFonts w:ascii="Times New Roman"/>
                <w:sz w:val="18"/>
              </w:rPr>
              <w:t>2019SR1053259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智信融合通信平台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Smartxin]V1.0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2019/7/1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232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4492454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left"/>
              <w:rPr>
                <w:rFonts w:ascii="Times New Roman" w:hAnsi="Times New Roman" w:cs="Times New Roman" w:eastAsia="Times New Roman" w:hint="default"/>
                <w:sz w:val="18"/>
                <w:szCs w:val="18"/>
              </w:rPr>
            </w:pPr>
            <w:r>
              <w:rPr>
                <w:rFonts w:ascii="Times New Roman"/>
                <w:sz w:val="18"/>
              </w:rPr>
              <w:t>2019SR1071697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Plus Android  </w:t>
            </w:r>
            <w:r>
              <w:rPr>
                <w:rFonts w:ascii="宋体" w:hAnsi="宋体" w:cs="宋体" w:eastAsia="宋体" w:hint="default"/>
                <w:spacing w:val="-3"/>
                <w:sz w:val="18"/>
                <w:szCs w:val="18"/>
              </w:rPr>
              <w:t>测试软件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CDS </w:t>
            </w:r>
            <w:r>
              <w:rPr>
                <w:rFonts w:ascii="Times New Roman" w:hAnsi="Times New Roman" w:cs="Times New Roman" w:eastAsia="Times New Roman" w:hint="default"/>
                <w:sz w:val="18"/>
                <w:szCs w:val="18"/>
              </w:rPr>
              <w:t>plus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Android]V1.0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233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4482381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9" w:right="0"/>
              <w:jc w:val="left"/>
              <w:rPr>
                <w:rFonts w:ascii="Times New Roman" w:hAnsi="Times New Roman" w:cs="Times New Roman" w:eastAsia="Times New Roman" w:hint="default"/>
                <w:sz w:val="18"/>
                <w:szCs w:val="18"/>
              </w:rPr>
            </w:pPr>
            <w:r>
              <w:rPr>
                <w:rFonts w:ascii="Times New Roman"/>
                <w:sz w:val="18"/>
              </w:rPr>
              <w:t>2019SR1061624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CDS</w:t>
            </w:r>
            <w:r>
              <w:rPr>
                <w:rFonts w:ascii="宋体" w:hAnsi="宋体" w:cs="宋体" w:eastAsia="宋体" w:hint="default"/>
                <w:spacing w:val="-2"/>
                <w:sz w:val="18"/>
                <w:szCs w:val="18"/>
              </w:rPr>
              <w:t>网优路测系统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CDS</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1"/>
                <w:sz w:val="18"/>
                <w:szCs w:val="18"/>
              </w:rPr>
              <w:t>V7.1]V7.1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234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4466913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2019SR1046156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CDS]V8.0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235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4466907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2019SR1046150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LTE</w:t>
            </w:r>
            <w:r>
              <w:rPr>
                <w:rFonts w:ascii="宋体" w:hAnsi="宋体" w:cs="宋体" w:eastAsia="宋体" w:hint="default"/>
                <w:sz w:val="18"/>
                <w:szCs w:val="18"/>
              </w:rPr>
              <w:t>基站自动单验系统（</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受让</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236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软著登记第</w:t>
            </w:r>
            <w:r>
              <w:rPr>
                <w:rFonts w:ascii="Times New Roman" w:hAnsi="Times New Roman" w:cs="Times New Roman" w:eastAsia="Times New Roman" w:hint="default"/>
                <w:sz w:val="18"/>
                <w:szCs w:val="18"/>
              </w:rPr>
              <w:t>4546654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2019SR1125897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CDS]V8.1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237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4569193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2019SR1148436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IDC/ISP</w:t>
            </w:r>
            <w:r>
              <w:rPr>
                <w:rFonts w:ascii="宋体" w:hAnsi="宋体" w:cs="宋体" w:eastAsia="宋体" w:hint="default"/>
                <w:spacing w:val="-3"/>
                <w:sz w:val="18"/>
                <w:szCs w:val="18"/>
              </w:rPr>
              <w:t>信息安全管理系统（简称：</w:t>
            </w:r>
            <w:r>
              <w:rPr>
                <w:rFonts w:ascii="Times New Roman" w:hAnsi="Times New Roman" w:cs="Times New Roman" w:eastAsia="Times New Roman" w:hint="default"/>
                <w:spacing w:val="-3"/>
                <w:sz w:val="18"/>
                <w:szCs w:val="18"/>
              </w:rPr>
              <w:t>MV-ISMS</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2018/5/29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238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4651562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2019SR1230805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智能外呼系统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Predictive   outbound callcenter system] V</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pacing w:val="-2"/>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2019/4/12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239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4845637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9" w:right="0"/>
              <w:jc w:val="left"/>
              <w:rPr>
                <w:rFonts w:ascii="Times New Roman" w:hAnsi="Times New Roman" w:cs="Times New Roman" w:eastAsia="Times New Roman" w:hint="default"/>
                <w:sz w:val="18"/>
                <w:szCs w:val="18"/>
              </w:rPr>
            </w:pPr>
            <w:r>
              <w:rPr>
                <w:rFonts w:ascii="Times New Roman"/>
                <w:sz w:val="18"/>
              </w:rPr>
              <w:t>2019SR1424880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供应链管理系统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SCMS]V1.0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 w:right="0"/>
              <w:jc w:val="center"/>
              <w:rPr>
                <w:rFonts w:ascii="宋体" w:hAnsi="宋体" w:cs="宋体" w:eastAsia="宋体" w:hint="default"/>
                <w:sz w:val="18"/>
                <w:szCs w:val="18"/>
              </w:rPr>
            </w:pPr>
            <w:r>
              <w:rPr>
                <w:rFonts w:ascii="宋体" w:hAnsi="宋体" w:cs="宋体" w:eastAsia="宋体" w:hint="default"/>
                <w:sz w:val="18"/>
                <w:szCs w:val="18"/>
              </w:rPr>
              <w:t>微智信业</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2018/5/30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240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019290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2004SR00889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GPRS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eXpert</w:t>
            </w:r>
            <w:r>
              <w:rPr>
                <w:rFonts w:ascii="宋体" w:hAnsi="宋体" w:cs="宋体" w:eastAsia="宋体" w:hint="default"/>
                <w:sz w:val="18"/>
                <w:szCs w:val="18"/>
              </w:rPr>
              <w:t>网优路测软件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2003/12/1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241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052614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2006SR04948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GPRS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eXpert</w:t>
            </w:r>
            <w:r>
              <w:rPr>
                <w:rFonts w:ascii="宋体" w:hAnsi="宋体" w:cs="宋体" w:eastAsia="宋体" w:hint="default"/>
                <w:sz w:val="18"/>
                <w:szCs w:val="18"/>
              </w:rPr>
              <w:t>网优路测软件</w:t>
            </w:r>
            <w:r>
              <w:rPr>
                <w:rFonts w:ascii="Times New Roman" w:hAnsi="Times New Roman" w:cs="Times New Roman" w:eastAsia="Times New Roman" w:hint="default"/>
                <w:sz w:val="18"/>
                <w:szCs w:val="18"/>
              </w:rPr>
              <w:t>V3.0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2005/4/5</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242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055825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2006SR08159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数据业务自动拨测及分析系统软件</w:t>
            </w:r>
            <w:r>
              <w:rPr>
                <w:rFonts w:ascii="Times New Roman" w:hAnsi="Times New Roman" w:cs="Times New Roman" w:eastAsia="Times New Roman" w:hint="default"/>
                <w:spacing w:val="-3"/>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2006/3/20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243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056462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2006SR08796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数据业务自动拨测及分析系统软件</w:t>
            </w:r>
            <w:r>
              <w:rPr>
                <w:rFonts w:ascii="Times New Roman" w:hAnsi="Times New Roman" w:cs="Times New Roman" w:eastAsia="Times New Roman" w:hint="default"/>
                <w:spacing w:val="-3"/>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2006/5/10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244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061875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2006SR14209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V4.0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2006/9/8</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245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097218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2008SR10039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V5.0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2008/3/19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246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105416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2008SR18237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Gb Gn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Gi</w:t>
            </w:r>
            <w:r>
              <w:rPr>
                <w:rFonts w:ascii="宋体" w:hAnsi="宋体" w:cs="宋体" w:eastAsia="宋体" w:hint="default"/>
                <w:sz w:val="18"/>
                <w:szCs w:val="18"/>
              </w:rPr>
              <w:t>分析系统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2008/6/1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247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105415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2008SR18236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飞信业务测试系统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2008/6/9</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248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110823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2008SR23644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MOS</w:t>
            </w:r>
            <w:r>
              <w:rPr>
                <w:rFonts w:ascii="宋体" w:hAnsi="宋体" w:cs="宋体" w:eastAsia="宋体" w:hint="default"/>
                <w:sz w:val="18"/>
                <w:szCs w:val="18"/>
              </w:rPr>
              <w:t>测试系统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2008/6/20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249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110764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2008SR23585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自动路测系统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2008/7/3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0155501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2009SR028502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V6.0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0163668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2009SR036669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WSA</w:t>
            </w:r>
            <w:r>
              <w:rPr>
                <w:rFonts w:ascii="宋体" w:hAnsi="宋体" w:cs="宋体" w:eastAsia="宋体" w:hint="default"/>
                <w:sz w:val="18"/>
                <w:szCs w:val="18"/>
              </w:rPr>
              <w:t>无线网优系统</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0167061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2009SR040062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CDT</w:t>
            </w:r>
            <w:r>
              <w:rPr>
                <w:rFonts w:ascii="宋体" w:hAnsi="宋体" w:cs="宋体" w:eastAsia="宋体" w:hint="default"/>
                <w:sz w:val="18"/>
                <w:szCs w:val="18"/>
              </w:rPr>
              <w:t>路测软件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0214643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2010SR026370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CDS/WLAN</w:t>
            </w:r>
            <w:r>
              <w:rPr>
                <w:rFonts w:ascii="宋体" w:hAnsi="宋体" w:cs="宋体" w:eastAsia="宋体" w:hint="default"/>
                <w:sz w:val="18"/>
                <w:szCs w:val="18"/>
              </w:rPr>
              <w:t>网络评估优化测试软件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0324634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2011SR060960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V7.0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0427970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2012SR059934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LTE</w:t>
            </w:r>
            <w:r>
              <w:rPr>
                <w:rFonts w:ascii="宋体" w:hAnsi="宋体" w:cs="宋体" w:eastAsia="宋体" w:hint="default"/>
                <w:sz w:val="18"/>
                <w:szCs w:val="18"/>
              </w:rPr>
              <w:t>测试系统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0718233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2014SR048989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CDS/WLAN</w:t>
            </w:r>
            <w:r>
              <w:rPr>
                <w:rFonts w:ascii="宋体" w:hAnsi="宋体" w:cs="宋体" w:eastAsia="宋体" w:hint="default"/>
                <w:sz w:val="18"/>
                <w:szCs w:val="18"/>
              </w:rPr>
              <w:t>网络评估优化测试软件</w:t>
            </w:r>
            <w:r>
              <w:rPr>
                <w:rFonts w:ascii="Times New Roman" w:hAnsi="Times New Roman" w:cs="Times New Roman" w:eastAsia="Times New Roman" w:hint="default"/>
                <w:sz w:val="18"/>
                <w:szCs w:val="18"/>
              </w:rPr>
              <w:t>V1.1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0718297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2014SR049053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LTE</w:t>
            </w:r>
            <w:r>
              <w:rPr>
                <w:rFonts w:ascii="宋体" w:hAnsi="宋体" w:cs="宋体" w:eastAsia="宋体" w:hint="default"/>
                <w:sz w:val="18"/>
                <w:szCs w:val="18"/>
              </w:rPr>
              <w:t>测试系统</w:t>
            </w:r>
            <w:r>
              <w:rPr>
                <w:rFonts w:ascii="Times New Roman" w:hAnsi="Times New Roman" w:cs="Times New Roman" w:eastAsia="Times New Roman" w:hint="default"/>
                <w:sz w:val="18"/>
                <w:szCs w:val="18"/>
              </w:rPr>
              <w:t>V1.1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258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0718301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2014SR049057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CDT</w:t>
            </w:r>
            <w:r>
              <w:rPr>
                <w:rFonts w:ascii="宋体" w:hAnsi="宋体" w:cs="宋体" w:eastAsia="宋体" w:hint="default"/>
                <w:sz w:val="18"/>
                <w:szCs w:val="18"/>
              </w:rPr>
              <w:t>路测软件</w:t>
            </w:r>
            <w:r>
              <w:rPr>
                <w:rFonts w:ascii="Times New Roman" w:hAnsi="Times New Roman" w:cs="Times New Roman" w:eastAsia="Times New Roman" w:hint="default"/>
                <w:sz w:val="18"/>
                <w:szCs w:val="18"/>
              </w:rPr>
              <w:t>V1.1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2" w:right="0"/>
              <w:jc w:val="left"/>
              <w:rPr>
                <w:rFonts w:ascii="宋体" w:hAnsi="宋体" w:cs="宋体" w:eastAsia="宋体" w:hint="default"/>
                <w:sz w:val="18"/>
                <w:szCs w:val="18"/>
              </w:rPr>
            </w:pPr>
            <w:r>
              <w:rPr>
                <w:rFonts w:ascii="宋体" w:hAnsi="宋体" w:cs="宋体" w:eastAsia="宋体" w:hint="default"/>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bl>
    <w:p>
      <w:pPr>
        <w:spacing w:after="0" w:line="240" w:lineRule="auto"/>
        <w:jc w:val="right"/>
        <w:rPr>
          <w:rFonts w:ascii="宋体" w:hAnsi="宋体" w:cs="宋体" w:eastAsia="宋体"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259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0833658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2014SR164421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CDS</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pacing w:val="-2"/>
                <w:sz w:val="18"/>
                <w:szCs w:val="18"/>
              </w:rPr>
              <w:t>Android</w:t>
            </w:r>
            <w:r>
              <w:rPr>
                <w:rFonts w:ascii="宋体" w:hAnsi="宋体" w:cs="宋体" w:eastAsia="宋体" w:hint="default"/>
                <w:spacing w:val="-2"/>
                <w:sz w:val="18"/>
                <w:szCs w:val="18"/>
              </w:rPr>
              <w:t>手持式测试软件</w:t>
            </w:r>
            <w:r>
              <w:rPr>
                <w:rFonts w:ascii="Times New Roman" w:hAnsi="Times New Roman" w:cs="Times New Roman" w:eastAsia="Times New Roman" w:hint="default"/>
                <w:spacing w:val="-2"/>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260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0833697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2014SR164460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IOS</w:t>
            </w:r>
            <w:r>
              <w:rPr>
                <w:rFonts w:ascii="宋体" w:hAnsi="宋体" w:cs="宋体" w:eastAsia="宋体" w:hint="default"/>
                <w:sz w:val="18"/>
                <w:szCs w:val="18"/>
              </w:rPr>
              <w:t>手持式测试软件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261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0877280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2014SR208049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V7.1.1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262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0878778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2014SR209546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 Plus </w:t>
            </w:r>
            <w:r>
              <w:rPr>
                <w:rFonts w:ascii="Times New Roman" w:hAnsi="Times New Roman" w:cs="Times New Roman" w:eastAsia="Times New Roman" w:hint="default"/>
                <w:spacing w:val="-4"/>
                <w:sz w:val="18"/>
                <w:szCs w:val="18"/>
              </w:rPr>
              <w:t>IOS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263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0886806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2014SR217577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CDS</w:t>
            </w:r>
            <w:r>
              <w:rPr>
                <w:rFonts w:ascii="宋体" w:hAnsi="宋体" w:cs="宋体" w:eastAsia="宋体" w:hint="default"/>
                <w:sz w:val="18"/>
                <w:szCs w:val="18"/>
              </w:rPr>
              <w:t>网优路测系统</w:t>
            </w:r>
            <w:r>
              <w:rPr>
                <w:rFonts w:ascii="Times New Roman" w:hAnsi="Times New Roman" w:cs="Times New Roman" w:eastAsia="Times New Roman" w:hint="default"/>
                <w:sz w:val="18"/>
                <w:szCs w:val="18"/>
              </w:rPr>
              <w:t>V7.1.2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264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1056094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2015SR169008</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扫频仪数据分析软件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265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1103080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2015SR215994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Volte</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266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1104236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2015SR217150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TD-LTE</w:t>
            </w:r>
            <w:r>
              <w:rPr>
                <w:rFonts w:ascii="宋体" w:hAnsi="宋体" w:cs="宋体" w:eastAsia="宋体" w:hint="default"/>
                <w:sz w:val="18"/>
                <w:szCs w:val="18"/>
              </w:rPr>
              <w:t>终端自动化路测系统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267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1104651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2015SR217565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CA</w:t>
            </w:r>
            <w:r>
              <w:rPr>
                <w:rFonts w:ascii="宋体" w:hAnsi="宋体" w:cs="宋体" w:eastAsia="宋体" w:hint="default"/>
                <w:sz w:val="18"/>
                <w:szCs w:val="18"/>
              </w:rPr>
              <w:t>测试软件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268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1133772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2015SR246686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LTE</w:t>
            </w:r>
            <w:r>
              <w:rPr>
                <w:rFonts w:ascii="宋体" w:hAnsi="宋体" w:cs="宋体" w:eastAsia="宋体" w:hint="default"/>
                <w:sz w:val="18"/>
                <w:szCs w:val="18"/>
              </w:rPr>
              <w:t>基站自动单验系统</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269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1309051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2016SR130434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智能优化云测试系统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1316150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2016SR137533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LTE   </w:t>
            </w:r>
            <w:r>
              <w:rPr>
                <w:rFonts w:ascii="宋体" w:hAnsi="宋体" w:cs="宋体" w:eastAsia="宋体" w:hint="default"/>
                <w:spacing w:val="-3"/>
                <w:sz w:val="18"/>
                <w:szCs w:val="18"/>
              </w:rPr>
              <w:t>安装、验收、维护、优化测试系统</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1316218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2016SR137601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多网络综合测试分析系统</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1317258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2016SR138641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移动网络大数据分析系统</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宋体" w:hAnsi="宋体" w:cs="宋体" w:eastAsia="宋体" w:hint="default"/>
                <w:sz w:val="18"/>
                <w:szCs w:val="18"/>
              </w:rPr>
            </w:pPr>
            <w:r>
              <w:rPr>
                <w:rFonts w:ascii="宋体" w:hAnsi="宋体" w:cs="宋体" w:eastAsia="宋体" w:hint="default"/>
                <w:spacing w:val="-2"/>
                <w:sz w:val="18"/>
                <w:szCs w:val="18"/>
              </w:rPr>
              <w:t>未发表</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0247742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2010SR059469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分析系统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2010/11/9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0247893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2010SR059620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错误域名转发系统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2010/11/9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0248186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2010SR059913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流量导航系统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2010/11/10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0248298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2010SR060025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流量过滤管理系统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2010/11/11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0248297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2010SR060024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管理系统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2010/11/11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0249014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2010SR060741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数据包采集系统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2010/11/13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279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0280901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2011SR017227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泰策递归域名服务器</w:t>
            </w:r>
            <w:r>
              <w:rPr>
                <w:rFonts w:ascii="Times New Roman" w:hAnsi="Times New Roman" w:cs="Times New Roman" w:eastAsia="Times New Roman" w:hint="default"/>
                <w:sz w:val="18"/>
                <w:szCs w:val="18"/>
              </w:rPr>
              <w:t>Recursor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2011/4/1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280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0536238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2013SR030476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泰策缓存域名服务器</w:t>
            </w:r>
            <w:r>
              <w:rPr>
                <w:rFonts w:ascii="Times New Roman" w:hAnsi="Times New Roman" w:cs="Times New Roman" w:eastAsia="Times New Roman" w:hint="default"/>
                <w:sz w:val="18"/>
                <w:szCs w:val="18"/>
              </w:rPr>
              <w:t>Cacher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2013/4/1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281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0660151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2013SR154389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泰策域名服务器</w:t>
            </w:r>
            <w:r>
              <w:rPr>
                <w:rFonts w:ascii="Times New Roman" w:hAnsi="Times New Roman" w:cs="Times New Roman" w:eastAsia="Times New Roman" w:hint="default"/>
                <w:sz w:val="18"/>
                <w:szCs w:val="18"/>
              </w:rPr>
              <w:t>UniteDNS</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2013/12/23</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282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0659878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2013SR154116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泰策</w:t>
            </w:r>
            <w:r>
              <w:rPr>
                <w:rFonts w:ascii="Times New Roman" w:hAnsi="Times New Roman" w:cs="Times New Roman" w:eastAsia="Times New Roman" w:hint="default"/>
                <w:spacing w:val="-2"/>
                <w:sz w:val="18"/>
                <w:szCs w:val="18"/>
              </w:rPr>
              <w:t>DNS</w:t>
            </w:r>
            <w:r>
              <w:rPr>
                <w:rFonts w:ascii="宋体" w:hAnsi="宋体" w:cs="宋体" w:eastAsia="宋体" w:hint="default"/>
                <w:spacing w:val="-2"/>
                <w:sz w:val="18"/>
                <w:szCs w:val="18"/>
              </w:rPr>
              <w:t>管理系统</w:t>
            </w:r>
            <w:r>
              <w:rPr>
                <w:rFonts w:ascii="Times New Roman" w:hAnsi="Times New Roman" w:cs="Times New Roman" w:eastAsia="Times New Roman" w:hint="default"/>
                <w:spacing w:val="-2"/>
                <w:sz w:val="18"/>
                <w:szCs w:val="18"/>
              </w:rPr>
              <w:t>DNS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2"/>
                <w:sz w:val="18"/>
                <w:szCs w:val="18"/>
              </w:rPr>
              <w:t>Manager</w:t>
            </w:r>
            <w:r>
              <w:rPr>
                <w:rFonts w:ascii="宋体" w:hAnsi="宋体" w:cs="宋体" w:eastAsia="宋体" w:hint="default"/>
                <w:spacing w:val="-2"/>
                <w:sz w:val="18"/>
                <w:szCs w:val="18"/>
              </w:rPr>
              <w:t>软件</w:t>
            </w:r>
            <w:r>
              <w:rPr>
                <w:rFonts w:ascii="Times New Roman" w:hAnsi="Times New Roman" w:cs="Times New Roman" w:eastAsia="Times New Roman" w:hint="default"/>
                <w:spacing w:val="-2"/>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2013/12/23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283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0659873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2013SR154111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泰策</w:t>
            </w:r>
            <w:r>
              <w:rPr>
                <w:rFonts w:ascii="Times New Roman" w:hAnsi="Times New Roman" w:cs="Times New Roman" w:eastAsia="Times New Roman" w:hint="default"/>
                <w:spacing w:val="-2"/>
                <w:sz w:val="18"/>
                <w:szCs w:val="18"/>
              </w:rPr>
              <w:t>DNS</w:t>
            </w:r>
            <w:r>
              <w:rPr>
                <w:rFonts w:ascii="宋体" w:hAnsi="宋体" w:cs="宋体" w:eastAsia="宋体" w:hint="default"/>
                <w:spacing w:val="-2"/>
                <w:sz w:val="18"/>
                <w:szCs w:val="18"/>
              </w:rPr>
              <w:t>分析系统</w:t>
            </w:r>
            <w:r>
              <w:rPr>
                <w:rFonts w:ascii="Times New Roman" w:hAnsi="Times New Roman" w:cs="Times New Roman" w:eastAsia="Times New Roman" w:hint="default"/>
                <w:spacing w:val="-2"/>
                <w:sz w:val="18"/>
                <w:szCs w:val="18"/>
              </w:rPr>
              <w:t>DNS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2"/>
                <w:sz w:val="18"/>
                <w:szCs w:val="18"/>
              </w:rPr>
              <w:t>Analyzer</w:t>
            </w:r>
            <w:r>
              <w:rPr>
                <w:rFonts w:ascii="宋体" w:hAnsi="宋体" w:cs="宋体" w:eastAsia="宋体" w:hint="default"/>
                <w:spacing w:val="-2"/>
                <w:sz w:val="18"/>
                <w:szCs w:val="18"/>
              </w:rPr>
              <w:t>软件</w:t>
            </w:r>
            <w:r>
              <w:rPr>
                <w:rFonts w:ascii="Times New Roman" w:hAnsi="Times New Roman" w:cs="Times New Roman" w:eastAsia="Times New Roman" w:hint="default"/>
                <w:spacing w:val="-2"/>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2013/12/23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284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0659881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2013SR154119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泰策授权域名服务器</w:t>
            </w:r>
            <w:r>
              <w:rPr>
                <w:rFonts w:ascii="Times New Roman" w:hAnsi="Times New Roman" w:cs="Times New Roman" w:eastAsia="Times New Roman" w:hint="default"/>
                <w:sz w:val="18"/>
                <w:szCs w:val="18"/>
              </w:rPr>
              <w:t>Authorizor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2012/12/23</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285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0886913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2014SR217684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泰策递归域名服务器</w:t>
            </w:r>
            <w:r>
              <w:rPr>
                <w:rFonts w:ascii="Times New Roman" w:hAnsi="Times New Roman" w:cs="Times New Roman" w:eastAsia="Times New Roman" w:hint="default"/>
                <w:sz w:val="18"/>
                <w:szCs w:val="18"/>
              </w:rPr>
              <w:t>Recursor</w:t>
            </w:r>
            <w:r>
              <w:rPr>
                <w:rFonts w:ascii="宋体" w:hAnsi="宋体" w:cs="宋体" w:eastAsia="宋体" w:hint="default"/>
                <w:sz w:val="18"/>
                <w:szCs w:val="18"/>
              </w:rPr>
              <w:t>软件</w:t>
            </w:r>
            <w:r>
              <w:rPr>
                <w:rFonts w:ascii="Times New Roman" w:hAnsi="Times New Roman" w:cs="Times New Roman" w:eastAsia="Times New Roman" w:hint="default"/>
                <w:sz w:val="18"/>
                <w:szCs w:val="18"/>
              </w:rPr>
              <w:t>V2.0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2014/12/23</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286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1582901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2016SR404285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应急通信指挥平台软件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ECCP]V1.0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2016/12/29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287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1582958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2016SR404342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应急通信小区广播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CBIPP]V1.0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2016/12/29</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288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1582985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2016SR404279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应急通信手机预警短信发布系统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SMIPP]V1.0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2016/12/29</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289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1792949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2017SR207665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IP</w:t>
            </w:r>
            <w:r>
              <w:rPr>
                <w:rFonts w:ascii="宋体" w:hAnsi="宋体" w:cs="宋体" w:eastAsia="宋体" w:hint="default"/>
                <w:sz w:val="18"/>
                <w:szCs w:val="18"/>
              </w:rPr>
              <w:t>设备配置核查系统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2017/5/25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1792955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2017SR207671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泰策网络仿真系统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2017/5/25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1791503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2017SR206219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泰策网上攻击实验室系统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2017/5/25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2220944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2017SR635660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w:t>
            </w:r>
            <w:r>
              <w:rPr>
                <w:rFonts w:ascii="Times New Roman" w:hAnsi="Times New Roman" w:cs="Times New Roman" w:eastAsia="Times New Roman" w:hint="default"/>
                <w:sz w:val="18"/>
                <w:szCs w:val="18"/>
              </w:rPr>
              <w:t>DNS</w:t>
            </w:r>
            <w:r>
              <w:rPr>
                <w:rFonts w:ascii="宋体" w:hAnsi="宋体" w:cs="宋体" w:eastAsia="宋体" w:hint="default"/>
                <w:sz w:val="18"/>
                <w:szCs w:val="18"/>
              </w:rPr>
              <w:t>异网引流系统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2017/11/20</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2634347</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2018SR305252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泰策应用性能管理</w:t>
            </w:r>
            <w:r>
              <w:rPr>
                <w:rFonts w:ascii="Times New Roman" w:hAnsi="Times New Roman" w:cs="Times New Roman" w:eastAsia="Times New Roman" w:hint="default"/>
                <w:sz w:val="18"/>
                <w:szCs w:val="18"/>
              </w:rPr>
              <w:t>AppManager</w:t>
            </w:r>
            <w:r>
              <w:rPr>
                <w:rFonts w:ascii="宋体" w:hAnsi="宋体" w:cs="宋体" w:eastAsia="宋体" w:hint="default"/>
                <w:sz w:val="18"/>
                <w:szCs w:val="18"/>
              </w:rPr>
              <w:t>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AppManager]V1.0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2018/5/4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2744925</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2018SR415830</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泰策敏感数据安全防护系统</w:t>
            </w:r>
            <w:r>
              <w:rPr>
                <w:rFonts w:ascii="Times New Roman" w:hAnsi="Times New Roman" w:cs="Times New Roman" w:eastAsia="Times New Roman" w:hint="default"/>
                <w:sz w:val="18"/>
                <w:szCs w:val="18"/>
              </w:rPr>
              <w:t>DataGuard</w:t>
            </w:r>
            <w:r>
              <w:rPr>
                <w:rFonts w:ascii="宋体" w:hAnsi="宋体" w:cs="宋体" w:eastAsia="宋体" w:hint="default"/>
                <w:sz w:val="18"/>
                <w:szCs w:val="18"/>
              </w:rPr>
              <w:t>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DataGuard]V1.0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2018/6/4</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3844191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2019SR0423434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应急终端管理系统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2018/8/1</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3844184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2019SR0423427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应急决策支撑系统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2018/8/1</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3877363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2019SR0456606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互联网资源分析系统</w:t>
            </w:r>
            <w:r>
              <w:rPr>
                <w:rFonts w:ascii="宋体" w:hAnsi="宋体" w:cs="宋体" w:eastAsia="宋体" w:hint="default"/>
                <w:spacing w:val="73"/>
                <w:sz w:val="18"/>
                <w:szCs w:val="18"/>
              </w:rPr>
              <w:t> </w:t>
            </w:r>
            <w:r>
              <w:rPr>
                <w:rFonts w:ascii="宋体" w:hAnsi="宋体" w:cs="宋体" w:eastAsia="宋体" w:hint="default"/>
                <w:sz w:val="18"/>
                <w:szCs w:val="18"/>
              </w:rPr>
              <w:t>简称：</w:t>
            </w:r>
            <w:r>
              <w:rPr>
                <w:rFonts w:ascii="Times New Roman" w:hAnsi="Times New Roman" w:cs="Times New Roman" w:eastAsia="Times New Roman" w:hint="default"/>
                <w:sz w:val="18"/>
                <w:szCs w:val="18"/>
              </w:rPr>
              <w:t>[ResoureAnalyzer]V1.0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2018/12/10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298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3877366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2019SR0456609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用户体验优化系统</w:t>
            </w:r>
            <w:r>
              <w:rPr>
                <w:rFonts w:ascii="宋体" w:hAnsi="宋体" w:cs="宋体" w:eastAsia="宋体" w:hint="default"/>
                <w:spacing w:val="46"/>
                <w:sz w:val="18"/>
                <w:szCs w:val="18"/>
              </w:rPr>
              <w:t> </w:t>
            </w:r>
            <w:r>
              <w:rPr>
                <w:rFonts w:ascii="宋体" w:hAnsi="宋体" w:cs="宋体" w:eastAsia="宋体" w:hint="default"/>
                <w:sz w:val="18"/>
                <w:szCs w:val="18"/>
              </w:rPr>
              <w:t>简称：</w:t>
            </w:r>
            <w:r>
              <w:rPr>
                <w:rFonts w:ascii="Times New Roman" w:hAnsi="Times New Roman" w:cs="Times New Roman" w:eastAsia="Times New Roman" w:hint="default"/>
                <w:sz w:val="18"/>
                <w:szCs w:val="18"/>
              </w:rPr>
              <w:t>[UEOptimizor]V1.0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2018/12/20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23"/>
        <w:gridCol w:w="1925"/>
        <w:gridCol w:w="1383"/>
        <w:gridCol w:w="6247"/>
        <w:gridCol w:w="926"/>
        <w:gridCol w:w="1152"/>
        <w:gridCol w:w="836"/>
        <w:gridCol w:w="989"/>
      </w:tblGrid>
      <w:tr>
        <w:trPr>
          <w:trHeight w:val="674" w:hRule="exact"/>
        </w:trPr>
        <w:tc>
          <w:tcPr>
            <w:tcW w:w="52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5"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383"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6247"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92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z w:val="18"/>
                <w:szCs w:val="18"/>
              </w:rPr>
              <w:t>著作权人</w:t>
            </w:r>
            <w:r>
              <w:rPr>
                <w:rFonts w:ascii="宋体" w:hAnsi="宋体" w:cs="宋体" w:eastAsia="宋体" w:hint="default"/>
                <w:sz w:val="18"/>
                <w:szCs w:val="18"/>
              </w:rPr>
            </w:r>
          </w:p>
        </w:tc>
        <w:tc>
          <w:tcPr>
            <w:tcW w:w="1152"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316" w:lineRule="auto" w:before="20"/>
              <w:ind w:left="206" w:right="199" w:firstLine="182"/>
              <w:jc w:val="left"/>
              <w:rPr>
                <w:rFonts w:ascii="宋体" w:hAnsi="宋体" w:cs="宋体" w:eastAsia="宋体" w:hint="default"/>
                <w:sz w:val="18"/>
                <w:szCs w:val="18"/>
              </w:rPr>
            </w:pPr>
            <w:r>
              <w:rPr>
                <w:rFonts w:ascii="宋体" w:hAnsi="宋体" w:cs="宋体" w:eastAsia="宋体" w:hint="default"/>
                <w:b/>
                <w:bCs/>
                <w:sz w:val="18"/>
                <w:szCs w:val="18"/>
              </w:rPr>
              <w:t>权利</w:t>
            </w:r>
            <w:r>
              <w:rPr>
                <w:rFonts w:ascii="宋体" w:hAnsi="宋体" w:cs="宋体" w:eastAsia="宋体" w:hint="default"/>
                <w:b/>
                <w:bCs/>
                <w:w w:val="100"/>
                <w:sz w:val="18"/>
                <w:szCs w:val="18"/>
              </w:rPr>
              <w:t> </w:t>
            </w:r>
            <w:r>
              <w:rPr>
                <w:rFonts w:ascii="宋体" w:hAnsi="宋体" w:cs="宋体" w:eastAsia="宋体" w:hint="default"/>
                <w:b/>
                <w:bCs/>
                <w:sz w:val="18"/>
                <w:szCs w:val="18"/>
              </w:rPr>
              <w:t>取得方式</w:t>
            </w:r>
            <w:r>
              <w:rPr>
                <w:rFonts w:ascii="宋体" w:hAnsi="宋体" w:cs="宋体" w:eastAsia="宋体" w:hint="default"/>
                <w:sz w:val="18"/>
                <w:szCs w:val="18"/>
              </w:rPr>
            </w:r>
          </w:p>
        </w:tc>
        <w:tc>
          <w:tcPr>
            <w:tcW w:w="836"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989" w:type="dxa"/>
            <w:tcBorders>
              <w:top w:val="single" w:sz="17" w:space="0" w:color="000000"/>
              <w:left w:val="single" w:sz="6" w:space="0" w:color="000000"/>
              <w:bottom w:val="single" w:sz="6" w:space="0" w:color="000000"/>
              <w:right w:val="single" w:sz="6" w:space="0" w:color="000000"/>
            </w:tcBorders>
            <w:shd w:val="clear" w:color="auto" w:fill="8DB3E1"/>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r>
      <w:tr>
        <w:trPr>
          <w:trHeight w:val="425"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4" w:right="0"/>
              <w:jc w:val="center"/>
              <w:rPr>
                <w:rFonts w:ascii="Times New Roman" w:hAnsi="Times New Roman" w:cs="Times New Roman" w:eastAsia="Times New Roman" w:hint="default"/>
                <w:sz w:val="18"/>
                <w:szCs w:val="18"/>
              </w:rPr>
            </w:pPr>
            <w:r>
              <w:rPr>
                <w:rFonts w:ascii="Times New Roman"/>
                <w:sz w:val="18"/>
              </w:rPr>
              <w:t>299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3877350</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9" w:right="0"/>
              <w:jc w:val="left"/>
              <w:rPr>
                <w:rFonts w:ascii="Times New Roman" w:hAnsi="Times New Roman" w:cs="Times New Roman" w:eastAsia="Times New Roman" w:hint="default"/>
                <w:sz w:val="18"/>
                <w:szCs w:val="18"/>
              </w:rPr>
            </w:pPr>
            <w:r>
              <w:rPr>
                <w:rFonts w:ascii="Times New Roman"/>
                <w:sz w:val="18"/>
              </w:rPr>
              <w:t>2019SR0456593</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互联网内容管理系统</w:t>
            </w:r>
            <w:r>
              <w:rPr>
                <w:rFonts w:ascii="宋体" w:hAnsi="宋体" w:cs="宋体" w:eastAsia="宋体" w:hint="default"/>
                <w:spacing w:val="76"/>
                <w:sz w:val="18"/>
                <w:szCs w:val="18"/>
              </w:rPr>
              <w:t> </w:t>
            </w:r>
            <w:r>
              <w:rPr>
                <w:rFonts w:ascii="宋体" w:hAnsi="宋体" w:cs="宋体" w:eastAsia="宋体" w:hint="default"/>
                <w:sz w:val="18"/>
                <w:szCs w:val="18"/>
              </w:rPr>
              <w:t>简称：</w:t>
            </w:r>
            <w:r>
              <w:rPr>
                <w:rFonts w:ascii="Times New Roman" w:hAnsi="Times New Roman" w:cs="Times New Roman" w:eastAsia="Times New Roman" w:hint="default"/>
                <w:sz w:val="18"/>
                <w:szCs w:val="18"/>
              </w:rPr>
              <w:t>[ContentManager]V1.0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2018/12/30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300</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4283973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2019SR0863216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异常流量检测与清洗系统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ADGuard]V1.0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2018/12/30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301</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4524258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2019SR1103501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DNS</w:t>
            </w:r>
            <w:r>
              <w:rPr>
                <w:rFonts w:ascii="宋体" w:hAnsi="宋体" w:cs="宋体" w:eastAsia="宋体" w:hint="default"/>
                <w:spacing w:val="-3"/>
                <w:sz w:val="18"/>
                <w:szCs w:val="18"/>
              </w:rPr>
              <w:t>应用接口网管平台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API </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Gateway]V1.0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2019/9/4</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302</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4768279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2019SR1347522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应急管理数据标识管理系统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2018/8/22</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303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4760251</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2019SR1339494</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应急舆情信息提取与分析系统</w:t>
            </w:r>
            <w:r>
              <w:rPr>
                <w:rFonts w:ascii="Times New Roman" w:hAnsi="Times New Roman" w:cs="Times New Roman" w:eastAsia="Times New Roman" w:hint="default"/>
                <w:spacing w:val="-3"/>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2019/4/30</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304</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4760216</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2019SR1339459</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应急管理信息服务管理系统</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2018/11/9</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305</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4762183</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2019SR1341426</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应急管理资源数据分析软件</w:t>
            </w:r>
            <w:r>
              <w:rPr>
                <w:rFonts w:ascii="Times New Roman" w:hAnsi="Times New Roman" w:cs="Times New Roman" w:eastAsia="Times New Roman" w:hint="default"/>
                <w:sz w:val="18"/>
                <w:szCs w:val="18"/>
              </w:rPr>
              <w:t>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2019/3/15</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306</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4877402</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2019SR1456645</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Web</w:t>
            </w:r>
            <w:r>
              <w:rPr>
                <w:rFonts w:ascii="宋体" w:hAnsi="宋体" w:cs="宋体" w:eastAsia="宋体" w:hint="default"/>
                <w:spacing w:val="-3"/>
                <w:sz w:val="18"/>
                <w:szCs w:val="18"/>
              </w:rPr>
              <w:t>应用防火墙泰御系统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TeWAF]V1.0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2019/11/7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307</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4877558</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2019SR1456801</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IP</w:t>
            </w:r>
            <w:r>
              <w:rPr>
                <w:rFonts w:ascii="宋体" w:hAnsi="宋体" w:cs="宋体" w:eastAsia="宋体" w:hint="default"/>
                <w:sz w:val="18"/>
                <w:szCs w:val="18"/>
              </w:rPr>
              <w:t>信誉网盾泰盾系统</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TeSHeild]V1.0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2019/11/7</w:t>
            </w:r>
          </w:p>
        </w:tc>
      </w:tr>
      <w:tr>
        <w:trPr>
          <w:trHeight w:val="428"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sz w:val="18"/>
              </w:rPr>
              <w:t>308</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4877574</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2019SR1456817</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下一代防火墙泰墙系统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TeNGFW]V1.0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2019/11/7</w:t>
            </w:r>
          </w:p>
        </w:tc>
      </w:tr>
      <w:tr>
        <w:trPr>
          <w:trHeight w:val="427" w:hRule="exact"/>
        </w:trPr>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309</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4877579</w:t>
            </w:r>
            <w:r>
              <w:rPr>
                <w:rFonts w:ascii="宋体" w:hAnsi="宋体" w:cs="宋体" w:eastAsia="宋体" w:hint="default"/>
                <w:sz w:val="18"/>
                <w:szCs w:val="18"/>
              </w:rPr>
              <w:t>号</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2019SR1456822</w:t>
            </w:r>
          </w:p>
        </w:tc>
        <w:tc>
          <w:tcPr>
            <w:tcW w:w="6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互联网网络态势感知泰观平台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TeNSSA]V1.0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5"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1"/>
              <w:jc w:val="right"/>
              <w:rPr>
                <w:rFonts w:ascii="宋体" w:hAnsi="宋体" w:cs="宋体" w:eastAsia="宋体" w:hint="default"/>
                <w:sz w:val="18"/>
                <w:szCs w:val="18"/>
              </w:rPr>
            </w:pPr>
            <w:r>
              <w:rPr>
                <w:rFonts w:ascii="宋体" w:hAnsi="宋体" w:cs="宋体" w:eastAsia="宋体" w:hint="default"/>
                <w:spacing w:val="-2"/>
                <w:sz w:val="18"/>
                <w:szCs w:val="18"/>
              </w:rPr>
              <w:t>全部权利</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2019/11/7</w:t>
            </w:r>
          </w:p>
        </w:tc>
      </w:tr>
    </w:tbl>
    <w:p>
      <w:pPr>
        <w:spacing w:line="240" w:lineRule="auto" w:before="0"/>
        <w:rPr>
          <w:rFonts w:ascii="Times New Roman" w:hAnsi="Times New Roman" w:cs="Times New Roman" w:eastAsia="Times New Roman" w:hint="default"/>
          <w:sz w:val="24"/>
          <w:szCs w:val="24"/>
        </w:rPr>
      </w:pPr>
    </w:p>
    <w:p>
      <w:pPr>
        <w:pStyle w:val="BodyText"/>
        <w:spacing w:line="240" w:lineRule="auto" w:before="46"/>
        <w:ind w:left="480" w:right="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日，拥有发明专利情况：</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624"/>
        <w:gridCol w:w="4917"/>
        <w:gridCol w:w="1138"/>
        <w:gridCol w:w="1844"/>
        <w:gridCol w:w="1839"/>
        <w:gridCol w:w="1277"/>
        <w:gridCol w:w="1277"/>
        <w:gridCol w:w="1066"/>
      </w:tblGrid>
      <w:tr>
        <w:trPr>
          <w:trHeight w:val="346" w:hRule="exact"/>
        </w:trPr>
        <w:tc>
          <w:tcPr>
            <w:tcW w:w="6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9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51"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8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75"/>
              <w:jc w:val="right"/>
              <w:rPr>
                <w:rFonts w:ascii="宋体" w:hAnsi="宋体" w:cs="宋体" w:eastAsia="宋体" w:hint="default"/>
                <w:sz w:val="18"/>
                <w:szCs w:val="18"/>
              </w:rPr>
            </w:pPr>
            <w:r>
              <w:rPr>
                <w:rFonts w:ascii="宋体" w:hAnsi="宋体" w:cs="宋体" w:eastAsia="宋体" w:hint="default"/>
                <w:b/>
                <w:bCs/>
                <w:spacing w:val="-1"/>
                <w:sz w:val="18"/>
                <w:szCs w:val="18"/>
              </w:rPr>
              <w:t>专利申请日</w:t>
            </w:r>
            <w:r>
              <w:rPr>
                <w:rFonts w:ascii="宋体" w:hAnsi="宋体" w:cs="宋体" w:eastAsia="宋体" w:hint="default"/>
                <w:spacing w:val="-1"/>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76"/>
              <w:jc w:val="right"/>
              <w:rPr>
                <w:rFonts w:ascii="宋体" w:hAnsi="宋体" w:cs="宋体" w:eastAsia="宋体" w:hint="default"/>
                <w:sz w:val="18"/>
                <w:szCs w:val="18"/>
              </w:rPr>
            </w:pPr>
            <w:r>
              <w:rPr>
                <w:rFonts w:ascii="宋体" w:hAnsi="宋体" w:cs="宋体" w:eastAsia="宋体" w:hint="default"/>
                <w:b/>
                <w:bCs/>
                <w:spacing w:val="-1"/>
                <w:sz w:val="18"/>
                <w:szCs w:val="18"/>
              </w:rPr>
              <w:t>授权公告日</w:t>
            </w:r>
            <w:r>
              <w:rPr>
                <w:rFonts w:ascii="宋体" w:hAnsi="宋体" w:cs="宋体" w:eastAsia="宋体" w:hint="default"/>
                <w:spacing w:val="-1"/>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专利权期限</w:t>
            </w:r>
            <w:r>
              <w:rPr>
                <w:rFonts w:ascii="宋体" w:hAnsi="宋体" w:cs="宋体" w:eastAsia="宋体" w:hint="default"/>
                <w:sz w:val="18"/>
                <w:szCs w:val="18"/>
              </w:rPr>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一种消息的读写方法和装置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200710304415.8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2007/12/27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2011/10/26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一种企业服务总线的消息转发方法、服务器及其系统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200810119861.6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28"/>
              <w:jc w:val="right"/>
              <w:rPr>
                <w:rFonts w:ascii="Times New Roman" w:hAnsi="Times New Roman" w:cs="Times New Roman" w:eastAsia="Times New Roman" w:hint="default"/>
                <w:sz w:val="18"/>
                <w:szCs w:val="18"/>
              </w:rPr>
            </w:pPr>
            <w:r>
              <w:rPr>
                <w:rFonts w:ascii="Times New Roman"/>
                <w:spacing w:val="-1"/>
                <w:sz w:val="18"/>
              </w:rPr>
              <w:t>2008/9/12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28"/>
              <w:jc w:val="right"/>
              <w:rPr>
                <w:rFonts w:ascii="Times New Roman" w:hAnsi="Times New Roman" w:cs="Times New Roman" w:eastAsia="Times New Roman" w:hint="default"/>
                <w:sz w:val="18"/>
                <w:szCs w:val="18"/>
              </w:rPr>
            </w:pPr>
            <w:r>
              <w:rPr>
                <w:rFonts w:ascii="Times New Roman"/>
                <w:spacing w:val="-1"/>
                <w:sz w:val="18"/>
              </w:rPr>
              <w:t>2012/1/11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一种基于分布式、异构数据库统一视图的查询优化方法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6"/>
                <w:sz w:val="18"/>
              </w:rPr>
              <w:t> </w:t>
            </w:r>
            <w:r>
              <w:rPr>
                <w:rFonts w:ascii="Times New Roman"/>
                <w:sz w:val="18"/>
              </w:rPr>
              <w:t>201010112856.X</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2010/2/22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2013/4/24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基于约束校验的内存格式化方法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201110195005.0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2011/7/12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2014/12/17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自动配置</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
                <w:sz w:val="18"/>
                <w:szCs w:val="18"/>
              </w:rPr>
              <w:t>EE</w:t>
            </w:r>
            <w:r>
              <w:rPr>
                <w:rFonts w:ascii="宋体" w:hAnsi="宋体" w:cs="宋体" w:eastAsia="宋体" w:hint="default"/>
                <w:spacing w:val="-3"/>
                <w:sz w:val="18"/>
                <w:szCs w:val="18"/>
              </w:rPr>
              <w:t>应用集群的装置和方法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201110078200.5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28"/>
              <w:jc w:val="right"/>
              <w:rPr>
                <w:rFonts w:ascii="Times New Roman" w:hAnsi="Times New Roman" w:cs="Times New Roman" w:eastAsia="Times New Roman" w:hint="default"/>
                <w:sz w:val="18"/>
                <w:szCs w:val="18"/>
              </w:rPr>
            </w:pPr>
            <w:r>
              <w:rPr>
                <w:rFonts w:ascii="Times New Roman"/>
                <w:spacing w:val="-1"/>
                <w:sz w:val="18"/>
              </w:rPr>
              <w:t>2011/3/30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28"/>
              <w:jc w:val="right"/>
              <w:rPr>
                <w:rFonts w:ascii="Times New Roman" w:hAnsi="Times New Roman" w:cs="Times New Roman" w:eastAsia="Times New Roman" w:hint="default"/>
                <w:sz w:val="18"/>
                <w:szCs w:val="18"/>
              </w:rPr>
            </w:pPr>
            <w:r>
              <w:rPr>
                <w:rFonts w:ascii="Times New Roman"/>
                <w:spacing w:val="-1"/>
                <w:sz w:val="18"/>
              </w:rPr>
              <w:t>2015/4/29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文件传输系统及文件传输方法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201110175087.2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2011/6/27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2015/4/29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服务并发访问控制方法及装置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201210506416.1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2012/11/30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2015/6/10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6840" w:h="11910" w:orient="landscape"/>
          <w:pgMar w:header="863" w:footer="974" w:top="1060" w:bottom="1160" w:left="1320" w:right="1300"/>
        </w:sectPr>
      </w:pPr>
    </w:p>
    <w:p>
      <w:pPr>
        <w:spacing w:line="240" w:lineRule="auto" w:before="2"/>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24"/>
        <w:gridCol w:w="4917"/>
        <w:gridCol w:w="1138"/>
        <w:gridCol w:w="1844"/>
        <w:gridCol w:w="1839"/>
        <w:gridCol w:w="1277"/>
        <w:gridCol w:w="1277"/>
        <w:gridCol w:w="1066"/>
      </w:tblGrid>
      <w:tr>
        <w:trPr>
          <w:trHeight w:val="334" w:hRule="exact"/>
        </w:trPr>
        <w:tc>
          <w:tcPr>
            <w:tcW w:w="6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9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201"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551"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8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9"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77" w:right="0"/>
              <w:jc w:val="left"/>
              <w:rPr>
                <w:rFonts w:ascii="宋体" w:hAnsi="宋体" w:cs="宋体" w:eastAsia="宋体" w:hint="default"/>
                <w:sz w:val="18"/>
                <w:szCs w:val="18"/>
              </w:rPr>
            </w:pPr>
            <w:r>
              <w:rPr>
                <w:rFonts w:ascii="宋体" w:hAnsi="宋体" w:cs="宋体" w:eastAsia="宋体" w:hint="default"/>
                <w:b/>
                <w:bCs/>
                <w:sz w:val="18"/>
                <w:szCs w:val="18"/>
              </w:rPr>
              <w:t>专利申请日</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176"/>
              <w:jc w:val="right"/>
              <w:rPr>
                <w:rFonts w:ascii="宋体" w:hAnsi="宋体" w:cs="宋体" w:eastAsia="宋体" w:hint="default"/>
                <w:sz w:val="18"/>
                <w:szCs w:val="18"/>
              </w:rPr>
            </w:pPr>
            <w:r>
              <w:rPr>
                <w:rFonts w:ascii="宋体" w:hAnsi="宋体" w:cs="宋体" w:eastAsia="宋体" w:hint="default"/>
                <w:b/>
                <w:bCs/>
                <w:spacing w:val="-1"/>
                <w:sz w:val="18"/>
                <w:szCs w:val="18"/>
              </w:rPr>
              <w:t>授权公告日</w:t>
            </w:r>
            <w:r>
              <w:rPr>
                <w:rFonts w:ascii="宋体" w:hAnsi="宋体" w:cs="宋体" w:eastAsia="宋体" w:hint="default"/>
                <w:spacing w:val="-1"/>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9" w:right="0"/>
              <w:jc w:val="center"/>
              <w:rPr>
                <w:rFonts w:ascii="宋体" w:hAnsi="宋体" w:cs="宋体" w:eastAsia="宋体" w:hint="default"/>
                <w:sz w:val="18"/>
                <w:szCs w:val="18"/>
              </w:rPr>
            </w:pPr>
            <w:r>
              <w:rPr>
                <w:rFonts w:ascii="宋体" w:hAnsi="宋体" w:cs="宋体" w:eastAsia="宋体" w:hint="default"/>
                <w:b/>
                <w:bCs/>
                <w:sz w:val="18"/>
                <w:szCs w:val="18"/>
              </w:rPr>
              <w:t>专利权期限</w:t>
            </w:r>
            <w:r>
              <w:rPr>
                <w:rFonts w:ascii="宋体" w:hAnsi="宋体" w:cs="宋体" w:eastAsia="宋体" w:hint="default"/>
                <w:sz w:val="18"/>
                <w:szCs w:val="18"/>
              </w:rPr>
            </w:r>
          </w:p>
        </w:tc>
      </w:tr>
      <w:tr>
        <w:trPr>
          <w:trHeight w:val="423" w:hRule="exact"/>
        </w:trPr>
        <w:tc>
          <w:tcPr>
            <w:tcW w:w="6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OSGI </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的类加载隔离系统和方法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201310026972.3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98" w:right="0"/>
              <w:jc w:val="left"/>
              <w:rPr>
                <w:rFonts w:ascii="Times New Roman" w:hAnsi="Times New Roman" w:cs="Times New Roman" w:eastAsia="Times New Roman" w:hint="default"/>
                <w:sz w:val="18"/>
                <w:szCs w:val="18"/>
              </w:rPr>
            </w:pPr>
            <w:r>
              <w:rPr>
                <w:rFonts w:ascii="Times New Roman"/>
                <w:sz w:val="18"/>
              </w:rPr>
              <w:t>2013/1/21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28"/>
              <w:jc w:val="right"/>
              <w:rPr>
                <w:rFonts w:ascii="Times New Roman" w:hAnsi="Times New Roman" w:cs="Times New Roman" w:eastAsia="Times New Roman" w:hint="default"/>
                <w:sz w:val="18"/>
                <w:szCs w:val="18"/>
              </w:rPr>
            </w:pPr>
            <w:r>
              <w:rPr>
                <w:rFonts w:ascii="Times New Roman"/>
                <w:spacing w:val="-1"/>
                <w:sz w:val="18"/>
              </w:rPr>
              <w:t>2016/4/27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客户端集群访问方法及装置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东方通泰</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201210547829.4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2012/12/14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2018/2/27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10</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JavaEE</w:t>
            </w:r>
            <w:r>
              <w:rPr>
                <w:rFonts w:ascii="宋体" w:hAnsi="宋体" w:cs="宋体" w:eastAsia="宋体" w:hint="default"/>
                <w:spacing w:val="-3"/>
                <w:sz w:val="18"/>
                <w:szCs w:val="18"/>
              </w:rPr>
              <w:t>应用类加载冲突分析方法和装置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201510121221.9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2012/12/14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2018/2/27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11</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一种分布式会话管理方法及系统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201310740730.0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2013/12/26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2019/3/1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12</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Linux</w:t>
            </w:r>
            <w:r>
              <w:rPr>
                <w:rFonts w:ascii="宋体" w:hAnsi="宋体" w:cs="宋体" w:eastAsia="宋体" w:hint="default"/>
                <w:sz w:val="18"/>
                <w:szCs w:val="18"/>
              </w:rPr>
              <w:t>平台恶意软件检测方法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东方通</w:t>
            </w:r>
            <w:r>
              <w:rPr>
                <w:rFonts w:ascii="Times New Roman" w:hAnsi="Times New Roman" w:cs="Times New Roman" w:eastAsia="Times New Roman" w:hint="default"/>
                <w:sz w:val="18"/>
                <w:szCs w:val="18"/>
              </w:rPr>
              <w:t>/</w:t>
            </w:r>
            <w:r>
              <w:rPr>
                <w:rFonts w:ascii="宋体" w:hAnsi="宋体" w:cs="宋体" w:eastAsia="宋体" w:hint="default"/>
                <w:sz w:val="18"/>
                <w:szCs w:val="18"/>
              </w:rPr>
              <w:t>四川大学</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201610834406.9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2016/9/20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2"/>
                <w:sz w:val="18"/>
              </w:rPr>
              <w:t>2019/3/1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13</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一种无线互联网</w:t>
            </w:r>
            <w:r>
              <w:rPr>
                <w:rFonts w:ascii="Times New Roman" w:hAnsi="Times New Roman" w:cs="Times New Roman" w:eastAsia="Times New Roman" w:hint="default"/>
                <w:spacing w:val="-3"/>
                <w:sz w:val="18"/>
                <w:szCs w:val="18"/>
              </w:rPr>
              <w:t>SP</w:t>
            </w:r>
            <w:r>
              <w:rPr>
                <w:rFonts w:ascii="宋体" w:hAnsi="宋体" w:cs="宋体" w:eastAsia="宋体" w:hint="default"/>
                <w:spacing w:val="-3"/>
                <w:sz w:val="18"/>
                <w:szCs w:val="18"/>
              </w:rPr>
              <w:t>业务</w:t>
            </w:r>
            <w:r>
              <w:rPr>
                <w:rFonts w:ascii="Times New Roman" w:hAnsi="Times New Roman" w:cs="Times New Roman" w:eastAsia="Times New Roman" w:hint="default"/>
                <w:spacing w:val="-3"/>
                <w:sz w:val="18"/>
                <w:szCs w:val="18"/>
              </w:rPr>
              <w:t>URL</w:t>
            </w:r>
            <w:r>
              <w:rPr>
                <w:rFonts w:ascii="宋体" w:hAnsi="宋体" w:cs="宋体" w:eastAsia="宋体" w:hint="default"/>
                <w:spacing w:val="-3"/>
                <w:sz w:val="18"/>
                <w:szCs w:val="18"/>
              </w:rPr>
              <w:t>的记录方法及系统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微智信业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中国联通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 2008 1</w:t>
            </w:r>
            <w:r>
              <w:rPr>
                <w:rFonts w:ascii="Times New Roman"/>
                <w:spacing w:val="2"/>
                <w:sz w:val="18"/>
              </w:rPr>
              <w:t> </w:t>
            </w:r>
            <w:r>
              <w:rPr>
                <w:rFonts w:ascii="Times New Roman"/>
                <w:sz w:val="18"/>
              </w:rPr>
              <w:t>0114519.7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2008/6/6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2012/2/15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14</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图像指纹提取方法及其设备、信息过滤及其系统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201010112716.2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2010/2/24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2013/9/25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15</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一种单站验证业务测试方法及装置</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201510109334.7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2015/3/12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28"/>
              <w:jc w:val="right"/>
              <w:rPr>
                <w:rFonts w:ascii="Times New Roman" w:hAnsi="Times New Roman" w:cs="Times New Roman" w:eastAsia="Times New Roman" w:hint="default"/>
                <w:sz w:val="18"/>
                <w:szCs w:val="18"/>
              </w:rPr>
            </w:pPr>
            <w:r>
              <w:rPr>
                <w:rFonts w:ascii="Times New Roman"/>
                <w:spacing w:val="-1"/>
                <w:sz w:val="18"/>
              </w:rPr>
              <w:t>2018/8/10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16</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基于</w:t>
            </w:r>
            <w:r>
              <w:rPr>
                <w:rFonts w:ascii="Times New Roman" w:hAnsi="Times New Roman" w:cs="Times New Roman" w:eastAsia="Times New Roman" w:hint="default"/>
                <w:spacing w:val="-3"/>
                <w:sz w:val="18"/>
                <w:szCs w:val="18"/>
              </w:rPr>
              <w:t>HSV</w:t>
            </w:r>
            <w:r>
              <w:rPr>
                <w:rFonts w:ascii="宋体" w:hAnsi="宋体" w:cs="宋体" w:eastAsia="宋体" w:hint="default"/>
                <w:spacing w:val="-3"/>
                <w:sz w:val="18"/>
                <w:szCs w:val="18"/>
              </w:rPr>
              <w:t>的图像相似度的识别方法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201611149778.4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2016/12/14</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23" w:right="0"/>
              <w:jc w:val="left"/>
              <w:rPr>
                <w:rFonts w:ascii="宋体" w:hAnsi="宋体" w:cs="宋体" w:eastAsia="宋体" w:hint="default"/>
                <w:sz w:val="18"/>
                <w:szCs w:val="18"/>
              </w:rPr>
            </w:pPr>
            <w:r>
              <w:rPr>
                <w:rFonts w:ascii="宋体" w:hAnsi="宋体" w:cs="宋体" w:eastAsia="宋体" w:hint="default"/>
                <w:sz w:val="18"/>
                <w:szCs w:val="18"/>
              </w:rPr>
              <w:t>等待实审提案</w:t>
            </w:r>
          </w:p>
        </w:tc>
      </w:tr>
      <w:tr>
        <w:trPr>
          <w:trHeight w:val="42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17</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一种信息安全共享联动平台</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20170656344.1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2017/8/3</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进入实审</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18</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一种基于</w:t>
            </w:r>
            <w:r>
              <w:rPr>
                <w:rFonts w:ascii="Times New Roman" w:hAnsi="Times New Roman" w:cs="Times New Roman" w:eastAsia="Times New Roman" w:hint="default"/>
                <w:spacing w:val="-3"/>
                <w:sz w:val="18"/>
                <w:szCs w:val="18"/>
              </w:rPr>
              <w:t>tfidf</w:t>
            </w:r>
            <w:r>
              <w:rPr>
                <w:rFonts w:ascii="宋体" w:hAnsi="宋体" w:cs="宋体" w:eastAsia="宋体" w:hint="default"/>
                <w:spacing w:val="-3"/>
                <w:sz w:val="18"/>
                <w:szCs w:val="18"/>
              </w:rPr>
              <w:t>算法和关键词权重修正的文本分类方法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20170656342.2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2017/8/3</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进入实审</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19</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一种基于大数据的恶意</w:t>
            </w:r>
            <w:r>
              <w:rPr>
                <w:rFonts w:ascii="Times New Roman" w:hAnsi="Times New Roman" w:cs="Times New Roman" w:eastAsia="Times New Roman" w:hint="default"/>
                <w:spacing w:val="-3"/>
                <w:sz w:val="18"/>
                <w:szCs w:val="18"/>
              </w:rPr>
              <w:t>URL</w:t>
            </w:r>
            <w:r>
              <w:rPr>
                <w:rFonts w:ascii="宋体" w:hAnsi="宋体" w:cs="宋体" w:eastAsia="宋体" w:hint="default"/>
                <w:spacing w:val="-3"/>
                <w:sz w:val="18"/>
                <w:szCs w:val="18"/>
              </w:rPr>
              <w:t>检测方法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201810168054.7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2018/2/28</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进入实审</w:t>
            </w:r>
          </w:p>
        </w:tc>
      </w:tr>
      <w:tr>
        <w:trPr>
          <w:trHeight w:val="42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群组终端切换方法、装置及系统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201911043686.1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2019/10/30</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23" w:right="0"/>
              <w:jc w:val="left"/>
              <w:rPr>
                <w:rFonts w:ascii="宋体" w:hAnsi="宋体" w:cs="宋体" w:eastAsia="宋体" w:hint="default"/>
                <w:sz w:val="18"/>
                <w:szCs w:val="18"/>
              </w:rPr>
            </w:pPr>
            <w:r>
              <w:rPr>
                <w:rFonts w:ascii="宋体" w:hAnsi="宋体" w:cs="宋体" w:eastAsia="宋体" w:hint="default"/>
                <w:sz w:val="18"/>
                <w:szCs w:val="18"/>
              </w:rPr>
              <w:t>等待实审提案</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移动通信专网密钥生成方法、装置及控制器</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201911044135.7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2019/10/30</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23" w:right="0"/>
              <w:jc w:val="left"/>
              <w:rPr>
                <w:rFonts w:ascii="宋体" w:hAnsi="宋体" w:cs="宋体" w:eastAsia="宋体" w:hint="default"/>
                <w:sz w:val="18"/>
                <w:szCs w:val="18"/>
              </w:rPr>
            </w:pPr>
            <w:r>
              <w:rPr>
                <w:rFonts w:ascii="宋体" w:hAnsi="宋体" w:cs="宋体" w:eastAsia="宋体" w:hint="default"/>
                <w:sz w:val="18"/>
                <w:szCs w:val="18"/>
              </w:rPr>
              <w:t>等待实审提案</w:t>
            </w:r>
          </w:p>
        </w:tc>
      </w:tr>
      <w:tr>
        <w:trPr>
          <w:trHeight w:val="427"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基于开放</w:t>
            </w:r>
            <w:r>
              <w:rPr>
                <w:rFonts w:ascii="Times New Roman" w:hAnsi="Times New Roman" w:cs="Times New Roman" w:eastAsia="Times New Roman" w:hint="default"/>
                <w:spacing w:val="-3"/>
                <w:sz w:val="18"/>
                <w:szCs w:val="18"/>
              </w:rPr>
              <w:t>DNS</w:t>
            </w:r>
            <w:r>
              <w:rPr>
                <w:rFonts w:ascii="宋体" w:hAnsi="宋体" w:cs="宋体" w:eastAsia="宋体" w:hint="default"/>
                <w:spacing w:val="-3"/>
                <w:sz w:val="18"/>
                <w:szCs w:val="18"/>
              </w:rPr>
              <w:t>服务器的域名对应互联网资源的检测方法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201810226504.3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2018/03/19</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23" w:right="0"/>
              <w:jc w:val="left"/>
              <w:rPr>
                <w:rFonts w:ascii="宋体" w:hAnsi="宋体" w:cs="宋体" w:eastAsia="宋体" w:hint="default"/>
                <w:sz w:val="18"/>
                <w:szCs w:val="18"/>
              </w:rPr>
            </w:pPr>
            <w:r>
              <w:rPr>
                <w:rFonts w:ascii="宋体" w:hAnsi="宋体" w:cs="宋体" w:eastAsia="宋体" w:hint="default"/>
                <w:sz w:val="18"/>
                <w:szCs w:val="18"/>
              </w:rPr>
              <w:t>等待实审提案</w:t>
            </w:r>
          </w:p>
        </w:tc>
      </w:tr>
      <w:tr>
        <w:trPr>
          <w:trHeight w:val="428" w:hRule="exact"/>
        </w:trPr>
        <w:tc>
          <w:tcPr>
            <w:tcW w:w="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23</w:t>
            </w:r>
          </w:p>
        </w:tc>
        <w:tc>
          <w:tcPr>
            <w:tcW w:w="4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基于本地</w:t>
            </w:r>
            <w:r>
              <w:rPr>
                <w:rFonts w:ascii="Times New Roman" w:hAnsi="Times New Roman" w:cs="Times New Roman" w:eastAsia="Times New Roman" w:hint="default"/>
                <w:sz w:val="18"/>
                <w:szCs w:val="18"/>
              </w:rPr>
              <w:t>DNS</w:t>
            </w:r>
            <w:r>
              <w:rPr>
                <w:rFonts w:ascii="宋体" w:hAnsi="宋体" w:cs="宋体" w:eastAsia="宋体" w:hint="default"/>
                <w:sz w:val="18"/>
                <w:szCs w:val="18"/>
              </w:rPr>
              <w:t>的</w:t>
            </w:r>
            <w:r>
              <w:rPr>
                <w:rFonts w:ascii="Times New Roman" w:hAnsi="Times New Roman" w:cs="Times New Roman" w:eastAsia="Times New Roman" w:hint="default"/>
                <w:sz w:val="18"/>
                <w:szCs w:val="18"/>
              </w:rPr>
              <w:t>CDN</w:t>
            </w:r>
            <w:r>
              <w:rPr>
                <w:rFonts w:ascii="宋体" w:hAnsi="宋体" w:cs="宋体" w:eastAsia="宋体" w:hint="default"/>
                <w:sz w:val="18"/>
                <w:szCs w:val="18"/>
              </w:rPr>
              <w:t>优化调度方法</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201811039456.3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2018/09/06</w:t>
            </w:r>
          </w:p>
        </w:tc>
        <w:tc>
          <w:tcPr>
            <w:tcW w:w="23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23" w:right="0"/>
              <w:jc w:val="left"/>
              <w:rPr>
                <w:rFonts w:ascii="宋体" w:hAnsi="宋体" w:cs="宋体" w:eastAsia="宋体" w:hint="default"/>
                <w:sz w:val="18"/>
                <w:szCs w:val="18"/>
              </w:rPr>
            </w:pPr>
            <w:r>
              <w:rPr>
                <w:rFonts w:ascii="宋体" w:hAnsi="宋体" w:cs="宋体" w:eastAsia="宋体" w:hint="default"/>
                <w:sz w:val="18"/>
                <w:szCs w:val="18"/>
              </w:rPr>
              <w:t>等待实审提案</w:t>
            </w:r>
          </w:p>
        </w:tc>
      </w:tr>
    </w:tbl>
    <w:p>
      <w:pPr>
        <w:spacing w:line="240" w:lineRule="auto" w:before="1"/>
        <w:rPr>
          <w:rFonts w:ascii="宋体" w:hAnsi="宋体" w:cs="宋体" w:eastAsia="宋体" w:hint="default"/>
          <w:sz w:val="21"/>
          <w:szCs w:val="21"/>
        </w:rPr>
      </w:pPr>
    </w:p>
    <w:p>
      <w:pPr>
        <w:pStyle w:val="BodyText"/>
        <w:spacing w:line="240" w:lineRule="auto" w:before="46"/>
        <w:ind w:left="500" w:right="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日，拥有商标情况如下表：</w:t>
      </w:r>
    </w:p>
    <w:p>
      <w:pPr>
        <w:spacing w:line="240" w:lineRule="auto" w:before="13"/>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922"/>
        <w:gridCol w:w="4336"/>
        <w:gridCol w:w="2300"/>
        <w:gridCol w:w="1666"/>
        <w:gridCol w:w="1546"/>
        <w:gridCol w:w="1743"/>
        <w:gridCol w:w="1469"/>
      </w:tblGrid>
      <w:tr>
        <w:trPr>
          <w:trHeight w:val="346" w:hRule="exact"/>
        </w:trPr>
        <w:tc>
          <w:tcPr>
            <w:tcW w:w="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商标图样</w:t>
            </w:r>
            <w:r>
              <w:rPr>
                <w:rFonts w:ascii="宋体" w:hAnsi="宋体" w:cs="宋体" w:eastAsia="宋体" w:hint="default"/>
                <w:sz w:val="18"/>
                <w:szCs w:val="18"/>
              </w:rPr>
            </w:r>
          </w:p>
        </w:tc>
        <w:tc>
          <w:tcPr>
            <w:tcW w:w="23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注册期</w:t>
            </w:r>
            <w:r>
              <w:rPr>
                <w:rFonts w:ascii="宋体" w:hAnsi="宋体" w:cs="宋体" w:eastAsia="宋体" w:hint="default"/>
                <w:sz w:val="18"/>
                <w:szCs w:val="18"/>
              </w:rPr>
            </w:r>
          </w:p>
        </w:tc>
        <w:tc>
          <w:tcPr>
            <w:tcW w:w="1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56"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975"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716" w:lineRule="exact"/>
              <w:ind w:left="1223" w:right="0"/>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1191795" cy="45519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1191795" cy="455199"/>
                          </a:xfrm>
                          <a:prstGeom prst="rect">
                            <a:avLst/>
                          </a:prstGeom>
                        </pic:spPr>
                      </pic:pic>
                    </a:graphicData>
                  </a:graphic>
                </wp:inline>
              </w:drawing>
            </w:r>
            <w:r>
              <w:rPr>
                <w:rFonts w:ascii="宋体" w:hAnsi="宋体" w:cs="宋体" w:eastAsia="宋体" w:hint="default"/>
                <w:position w:val="-13"/>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 w:right="0"/>
              <w:jc w:val="center"/>
              <w:rPr>
                <w:rFonts w:ascii="Times New Roman" w:hAnsi="Times New Roman" w:cs="Times New Roman" w:eastAsia="Times New Roman" w:hint="default"/>
                <w:sz w:val="18"/>
                <w:szCs w:val="18"/>
              </w:rPr>
            </w:pPr>
            <w:r>
              <w:rPr>
                <w:rFonts w:ascii="Times New Roman"/>
                <w:sz w:val="18"/>
              </w:rPr>
              <w:t>1272264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 w:right="0"/>
              <w:jc w:val="center"/>
              <w:rPr>
                <w:rFonts w:ascii="Times New Roman" w:hAnsi="Times New Roman" w:cs="Times New Roman" w:eastAsia="Times New Roman" w:hint="default"/>
                <w:sz w:val="18"/>
                <w:szCs w:val="18"/>
              </w:rPr>
            </w:pPr>
            <w:r>
              <w:rPr>
                <w:rFonts w:ascii="Times New Roman"/>
                <w:sz w:val="18"/>
              </w:rPr>
              <w:t>1999/5/7</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47" w:right="0"/>
              <w:jc w:val="left"/>
              <w:rPr>
                <w:rFonts w:ascii="Times New Roman" w:hAnsi="Times New Roman" w:cs="Times New Roman" w:eastAsia="Times New Roman" w:hint="default"/>
                <w:sz w:val="18"/>
                <w:szCs w:val="18"/>
              </w:rPr>
            </w:pPr>
            <w:r>
              <w:rPr>
                <w:rFonts w:ascii="Times New Roman"/>
                <w:sz w:val="18"/>
              </w:rPr>
              <w:t>2029/5/6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bl>
    <w:p>
      <w:pPr>
        <w:spacing w:after="0" w:line="240" w:lineRule="auto"/>
        <w:jc w:val="left"/>
        <w:rPr>
          <w:rFonts w:ascii="宋体" w:hAnsi="宋体" w:cs="宋体" w:eastAsia="宋体" w:hint="default"/>
          <w:sz w:val="18"/>
          <w:szCs w:val="18"/>
        </w:rPr>
        <w:sectPr>
          <w:pgSz w:w="16840" w:h="11910" w:orient="landscape"/>
          <w:pgMar w:header="863" w:footer="974" w:top="1060" w:bottom="1160" w:left="1300" w:right="1280"/>
        </w:sectPr>
      </w:pPr>
    </w:p>
    <w:p>
      <w:pPr>
        <w:spacing w:line="240" w:lineRule="auto" w:before="0"/>
        <w:rPr>
          <w:rFonts w:ascii="Times New Roman" w:hAnsi="Times New Roman" w:cs="Times New Roman" w:eastAsia="Times New Roman" w:hint="default"/>
          <w:sz w:val="20"/>
          <w:szCs w:val="20"/>
        </w:rPr>
      </w:pPr>
      <w:r>
        <w:rPr/>
        <w:pict>
          <v:shape style="position:absolute;margin-left:71.543999pt;margin-top:57.500011pt;width:700.2pt;height:476.9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2"/>
                    <w:gridCol w:w="4336"/>
                    <w:gridCol w:w="2300"/>
                    <w:gridCol w:w="1666"/>
                    <w:gridCol w:w="1546"/>
                    <w:gridCol w:w="1743"/>
                    <w:gridCol w:w="1469"/>
                  </w:tblGrid>
                  <w:tr>
                    <w:trPr>
                      <w:trHeight w:val="334" w:hRule="exact"/>
                    </w:trPr>
                    <w:tc>
                      <w:tcPr>
                        <w:tcW w:w="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9" w:right="0"/>
                          <w:jc w:val="center"/>
                          <w:rPr>
                            <w:rFonts w:ascii="宋体" w:hAnsi="宋体" w:cs="宋体" w:eastAsia="宋体" w:hint="default"/>
                            <w:sz w:val="18"/>
                            <w:szCs w:val="18"/>
                          </w:rPr>
                        </w:pPr>
                        <w:r>
                          <w:rPr>
                            <w:rFonts w:ascii="宋体" w:hAnsi="宋体" w:cs="宋体" w:eastAsia="宋体" w:hint="default"/>
                            <w:b/>
                            <w:bCs/>
                            <w:sz w:val="18"/>
                            <w:szCs w:val="18"/>
                          </w:rPr>
                          <w:t>商标图样</w:t>
                        </w:r>
                        <w:r>
                          <w:rPr>
                            <w:rFonts w:ascii="宋体" w:hAnsi="宋体" w:cs="宋体" w:eastAsia="宋体" w:hint="default"/>
                            <w:sz w:val="18"/>
                            <w:szCs w:val="18"/>
                          </w:rPr>
                        </w:r>
                      </w:p>
                    </w:tc>
                    <w:tc>
                      <w:tcPr>
                        <w:tcW w:w="23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4" w:right="0"/>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14" w:right="0"/>
                          <w:jc w:val="center"/>
                          <w:rPr>
                            <w:rFonts w:ascii="宋体" w:hAnsi="宋体" w:cs="宋体" w:eastAsia="宋体" w:hint="default"/>
                            <w:sz w:val="18"/>
                            <w:szCs w:val="18"/>
                          </w:rPr>
                        </w:pPr>
                        <w:r>
                          <w:rPr>
                            <w:rFonts w:ascii="宋体" w:hAnsi="宋体" w:cs="宋体" w:eastAsia="宋体" w:hint="default"/>
                            <w:b/>
                            <w:bCs/>
                            <w:sz w:val="18"/>
                            <w:szCs w:val="18"/>
                          </w:rPr>
                          <w:t>注册期</w:t>
                        </w:r>
                        <w:r>
                          <w:rPr>
                            <w:rFonts w:ascii="宋体" w:hAnsi="宋体" w:cs="宋体" w:eastAsia="宋体" w:hint="default"/>
                            <w:sz w:val="18"/>
                            <w:szCs w:val="18"/>
                          </w:rPr>
                        </w:r>
                      </w:p>
                    </w:tc>
                    <w:tc>
                      <w:tcPr>
                        <w:tcW w:w="1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9"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456"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658" w:hRule="exact"/>
                    </w:trPr>
                    <w:tc>
                      <w:tcPr>
                        <w:tcW w:w="9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1277389</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1999/5/21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2029/5/20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970"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1298714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1999/7/28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2029/7/27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3775834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2005/12/7</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2025/12/6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3"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35</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4204278</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2007/12/28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2027/12/27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4204280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2006/11/21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2026/11/20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4204281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2006/11/21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2026/11/20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2"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4204282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2006/11/21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2026/11/20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4204283</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2006/11/21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2026/11/20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970"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4204284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2006/11/21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2026/11/20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4204285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2006/11/21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2026/11/20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2"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4204286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2006/11/21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2026/11/20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6143543</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2010/2/21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2020/2/20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9240531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2012/4/21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2022/4/20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bl>
                <w:p>
                  <w:pPr/>
                </w:p>
              </w:txbxContent>
            </v:textbox>
            <w10:wrap type="none"/>
          </v:shape>
        </w:pict>
      </w:r>
    </w:p>
    <w:p>
      <w:pPr>
        <w:spacing w:line="240" w:lineRule="auto" w:before="7"/>
        <w:rPr>
          <w:rFonts w:ascii="Times New Roman" w:hAnsi="Times New Roman" w:cs="Times New Roman" w:eastAsia="Times New Roman" w:hint="default"/>
          <w:sz w:val="14"/>
          <w:szCs w:val="14"/>
        </w:rPr>
      </w:pPr>
    </w:p>
    <w:p>
      <w:pPr>
        <w:spacing w:line="522" w:lineRule="exact"/>
        <w:ind w:left="2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388553" cy="33175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1388553" cy="331755"/>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4"/>
        <w:rPr>
          <w:rFonts w:ascii="Times New Roman" w:hAnsi="Times New Roman" w:cs="Times New Roman" w:eastAsia="Times New Roman" w:hint="default"/>
          <w:sz w:val="14"/>
          <w:szCs w:val="14"/>
        </w:rPr>
      </w:pPr>
    </w:p>
    <w:p>
      <w:pPr>
        <w:spacing w:line="778" w:lineRule="exact"/>
        <w:ind w:left="22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277397" cy="494538"/>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5" cstate="print"/>
                    <a:stretch>
                      <a:fillRect/>
                    </a:stretch>
                  </pic:blipFill>
                  <pic:spPr>
                    <a:xfrm>
                      <a:off x="0" y="0"/>
                      <a:ext cx="1277397" cy="494538"/>
                    </a:xfrm>
                    <a:prstGeom prst="rect">
                      <a:avLst/>
                    </a:prstGeom>
                  </pic:spPr>
                </pic:pic>
              </a:graphicData>
            </a:graphic>
          </wp:inline>
        </w:drawing>
      </w:r>
      <w:r>
        <w:rPr>
          <w:rFonts w:ascii="Times New Roman" w:hAnsi="Times New Roman" w:cs="Times New Roman" w:eastAsia="Times New Roman" w:hint="default"/>
          <w:position w:val="-15"/>
          <w:sz w:val="20"/>
          <w:szCs w:val="20"/>
        </w:rPr>
      </w:r>
    </w:p>
    <w:p>
      <w:pPr>
        <w:spacing w:line="240" w:lineRule="auto" w:before="0"/>
        <w:rPr>
          <w:rFonts w:ascii="Times New Roman" w:hAnsi="Times New Roman" w:cs="Times New Roman" w:eastAsia="Times New Roman" w:hint="default"/>
          <w:sz w:val="20"/>
          <w:szCs w:val="20"/>
        </w:rPr>
      </w:pPr>
    </w:p>
    <w:p>
      <w:pPr>
        <w:spacing w:line="387" w:lineRule="exact"/>
        <w:ind w:left="19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575174" cy="24574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7" cstate="print"/>
                    <a:stretch>
                      <a:fillRect/>
                    </a:stretch>
                  </pic:blipFill>
                  <pic:spPr>
                    <a:xfrm>
                      <a:off x="0" y="0"/>
                      <a:ext cx="1575174" cy="245745"/>
                    </a:xfrm>
                    <a:prstGeom prst="rect">
                      <a:avLst/>
                    </a:prstGeom>
                  </pic:spPr>
                </pic:pic>
              </a:graphicData>
            </a:graphic>
          </wp:inline>
        </w:drawing>
      </w:r>
      <w:r>
        <w:rPr>
          <w:rFonts w:ascii="Times New Roman" w:hAnsi="Times New Roman" w:cs="Times New Roman" w:eastAsia="Times New Roman" w:hint="default"/>
          <w:position w:val="-7"/>
          <w:sz w:val="20"/>
          <w:szCs w:val="20"/>
        </w:rPr>
      </w:r>
    </w:p>
    <w:p>
      <w:pPr>
        <w:spacing w:line="240" w:lineRule="auto" w:before="1"/>
        <w:rPr>
          <w:rFonts w:ascii="Times New Roman" w:hAnsi="Times New Roman" w:cs="Times New Roman" w:eastAsia="Times New Roman" w:hint="default"/>
          <w:sz w:val="18"/>
          <w:szCs w:val="18"/>
        </w:rPr>
      </w:pPr>
    </w:p>
    <w:p>
      <w:pPr>
        <w:spacing w:line="522" w:lineRule="exact"/>
        <w:ind w:left="2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388553" cy="331755"/>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6" cstate="print"/>
                    <a:stretch>
                      <a:fillRect/>
                    </a:stretch>
                  </pic:blipFill>
                  <pic:spPr>
                    <a:xfrm>
                      <a:off x="0" y="0"/>
                      <a:ext cx="1388553" cy="331755"/>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9"/>
        <w:rPr>
          <w:rFonts w:ascii="Times New Roman" w:hAnsi="Times New Roman" w:cs="Times New Roman" w:eastAsia="Times New Roman" w:hint="default"/>
          <w:sz w:val="11"/>
          <w:szCs w:val="11"/>
        </w:rPr>
      </w:pPr>
    </w:p>
    <w:p>
      <w:pPr>
        <w:spacing w:line="528" w:lineRule="exact"/>
        <w:ind w:left="20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77407" cy="335279"/>
            <wp:effectExtent l="0" t="0" r="0" b="0"/>
            <wp:docPr id="13" name="image6.jpeg" descr=""/>
            <wp:cNvGraphicFramePr>
              <a:graphicFrameLocks noChangeAspect="1"/>
            </wp:cNvGraphicFramePr>
            <a:graphic>
              <a:graphicData uri="http://schemas.openxmlformats.org/drawingml/2006/picture">
                <pic:pic>
                  <pic:nvPicPr>
                    <pic:cNvPr id="14" name="image6.jpeg"/>
                    <pic:cNvPicPr/>
                  </pic:nvPicPr>
                  <pic:blipFill>
                    <a:blip r:embed="rId18" cstate="print"/>
                    <a:stretch>
                      <a:fillRect/>
                    </a:stretch>
                  </pic:blipFill>
                  <pic:spPr>
                    <a:xfrm>
                      <a:off x="0" y="0"/>
                      <a:ext cx="1477407" cy="335279"/>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11"/>
        <w:rPr>
          <w:rFonts w:ascii="Times New Roman" w:hAnsi="Times New Roman" w:cs="Times New Roman" w:eastAsia="Times New Roman" w:hint="default"/>
          <w:sz w:val="15"/>
          <w:szCs w:val="15"/>
        </w:rPr>
      </w:pPr>
    </w:p>
    <w:p>
      <w:pPr>
        <w:spacing w:line="412" w:lineRule="exact"/>
        <w:ind w:left="206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460247" cy="262127"/>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9" cstate="print"/>
                    <a:stretch>
                      <a:fillRect/>
                    </a:stretch>
                  </pic:blipFill>
                  <pic:spPr>
                    <a:xfrm>
                      <a:off x="0" y="0"/>
                      <a:ext cx="1460247" cy="262127"/>
                    </a:xfrm>
                    <a:prstGeom prst="rect">
                      <a:avLst/>
                    </a:prstGeom>
                  </pic:spPr>
                </pic:pic>
              </a:graphicData>
            </a:graphic>
          </wp:inline>
        </w:drawing>
      </w:r>
      <w:r>
        <w:rPr>
          <w:rFonts w:ascii="Times New Roman" w:hAnsi="Times New Roman" w:cs="Times New Roman" w:eastAsia="Times New Roman" w:hint="default"/>
          <w:position w:val="-7"/>
          <w:sz w:val="20"/>
          <w:szCs w:val="20"/>
        </w:rPr>
      </w:r>
    </w:p>
    <w:p>
      <w:pPr>
        <w:spacing w:line="240" w:lineRule="auto" w:before="7"/>
        <w:rPr>
          <w:rFonts w:ascii="Times New Roman" w:hAnsi="Times New Roman" w:cs="Times New Roman" w:eastAsia="Times New Roman" w:hint="default"/>
          <w:sz w:val="17"/>
          <w:szCs w:val="17"/>
        </w:rPr>
      </w:pPr>
    </w:p>
    <w:p>
      <w:pPr>
        <w:spacing w:line="503" w:lineRule="exact"/>
        <w:ind w:left="19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642980" cy="319468"/>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20" cstate="print"/>
                    <a:stretch>
                      <a:fillRect/>
                    </a:stretch>
                  </pic:blipFill>
                  <pic:spPr>
                    <a:xfrm>
                      <a:off x="0" y="0"/>
                      <a:ext cx="1642980" cy="319468"/>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10"/>
        <w:rPr>
          <w:rFonts w:ascii="Times New Roman" w:hAnsi="Times New Roman" w:cs="Times New Roman" w:eastAsia="Times New Roman" w:hint="default"/>
          <w:sz w:val="18"/>
          <w:szCs w:val="18"/>
        </w:rPr>
      </w:pPr>
    </w:p>
    <w:p>
      <w:pPr>
        <w:spacing w:line="387" w:lineRule="exact"/>
        <w:ind w:left="203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504161" cy="245744"/>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21" cstate="print"/>
                    <a:stretch>
                      <a:fillRect/>
                    </a:stretch>
                  </pic:blipFill>
                  <pic:spPr>
                    <a:xfrm>
                      <a:off x="0" y="0"/>
                      <a:ext cx="1504161" cy="245744"/>
                    </a:xfrm>
                    <a:prstGeom prst="rect">
                      <a:avLst/>
                    </a:prstGeom>
                  </pic:spPr>
                </pic:pic>
              </a:graphicData>
            </a:graphic>
          </wp:inline>
        </w:drawing>
      </w:r>
      <w:r>
        <w:rPr>
          <w:rFonts w:ascii="Times New Roman" w:hAnsi="Times New Roman" w:cs="Times New Roman" w:eastAsia="Times New Roman" w:hint="default"/>
          <w:position w:val="-7"/>
          <w:sz w:val="20"/>
          <w:szCs w:val="20"/>
        </w:rPr>
      </w:r>
    </w:p>
    <w:p>
      <w:pPr>
        <w:spacing w:line="240" w:lineRule="auto" w:before="1"/>
        <w:rPr>
          <w:rFonts w:ascii="Times New Roman" w:hAnsi="Times New Roman" w:cs="Times New Roman" w:eastAsia="Times New Roman" w:hint="default"/>
          <w:sz w:val="26"/>
          <w:szCs w:val="26"/>
        </w:rPr>
      </w:pPr>
    </w:p>
    <w:p>
      <w:pPr>
        <w:spacing w:line="638" w:lineRule="exact"/>
        <w:ind w:left="20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95165" cy="405479"/>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22" cstate="print"/>
                    <a:stretch>
                      <a:fillRect/>
                    </a:stretch>
                  </pic:blipFill>
                  <pic:spPr>
                    <a:xfrm>
                      <a:off x="0" y="0"/>
                      <a:ext cx="1495165" cy="405479"/>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5"/>
        <w:rPr>
          <w:rFonts w:ascii="Times New Roman" w:hAnsi="Times New Roman" w:cs="Times New Roman" w:eastAsia="Times New Roman" w:hint="default"/>
          <w:sz w:val="20"/>
          <w:szCs w:val="20"/>
        </w:rPr>
      </w:pPr>
    </w:p>
    <w:p>
      <w:pPr>
        <w:spacing w:line="522" w:lineRule="exact"/>
        <w:ind w:left="21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388553" cy="331755"/>
            <wp:effectExtent l="0" t="0" r="0" b="0"/>
            <wp:docPr id="23" name="image4.jpeg" descr=""/>
            <wp:cNvGraphicFramePr>
              <a:graphicFrameLocks noChangeAspect="1"/>
            </wp:cNvGraphicFramePr>
            <a:graphic>
              <a:graphicData uri="http://schemas.openxmlformats.org/drawingml/2006/picture">
                <pic:pic>
                  <pic:nvPicPr>
                    <pic:cNvPr id="24" name="image4.jpeg"/>
                    <pic:cNvPicPr/>
                  </pic:nvPicPr>
                  <pic:blipFill>
                    <a:blip r:embed="rId16" cstate="print"/>
                    <a:stretch>
                      <a:fillRect/>
                    </a:stretch>
                  </pic:blipFill>
                  <pic:spPr>
                    <a:xfrm>
                      <a:off x="0" y="0"/>
                      <a:ext cx="1388553" cy="331755"/>
                    </a:xfrm>
                    <a:prstGeom prst="rect">
                      <a:avLst/>
                    </a:prstGeom>
                  </pic:spPr>
                </pic:pic>
              </a:graphicData>
            </a:graphic>
          </wp:inline>
        </w:drawing>
      </w:r>
      <w:r>
        <w:rPr>
          <w:rFonts w:ascii="Times New Roman" w:hAnsi="Times New Roman" w:cs="Times New Roman" w:eastAsia="Times New Roman" w:hint="default"/>
          <w:position w:val="-9"/>
          <w:sz w:val="20"/>
          <w:szCs w:val="20"/>
        </w:rPr>
      </w:r>
    </w:p>
    <w:p>
      <w:pPr>
        <w:spacing w:line="240" w:lineRule="auto" w:before="11"/>
        <w:rPr>
          <w:rFonts w:ascii="Times New Roman" w:hAnsi="Times New Roman" w:cs="Times New Roman" w:eastAsia="Times New Roman" w:hint="default"/>
          <w:sz w:val="10"/>
          <w:szCs w:val="10"/>
        </w:rPr>
      </w:pPr>
    </w:p>
    <w:p>
      <w:pPr>
        <w:spacing w:line="553" w:lineRule="exact"/>
        <w:ind w:left="247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963250" cy="351663"/>
            <wp:effectExtent l="0" t="0" r="0" b="0"/>
            <wp:docPr id="25" name="image11.png" descr=""/>
            <wp:cNvGraphicFramePr>
              <a:graphicFrameLocks noChangeAspect="1"/>
            </wp:cNvGraphicFramePr>
            <a:graphic>
              <a:graphicData uri="http://schemas.openxmlformats.org/drawingml/2006/picture">
                <pic:pic>
                  <pic:nvPicPr>
                    <pic:cNvPr id="26" name="image11.png"/>
                    <pic:cNvPicPr/>
                  </pic:nvPicPr>
                  <pic:blipFill>
                    <a:blip r:embed="rId23" cstate="print"/>
                    <a:stretch>
                      <a:fillRect/>
                    </a:stretch>
                  </pic:blipFill>
                  <pic:spPr>
                    <a:xfrm>
                      <a:off x="0" y="0"/>
                      <a:ext cx="963250" cy="351663"/>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2"/>
        <w:rPr>
          <w:rFonts w:ascii="Times New Roman" w:hAnsi="Times New Roman" w:cs="Times New Roman" w:eastAsia="Times New Roman" w:hint="default"/>
          <w:sz w:val="9"/>
          <w:szCs w:val="9"/>
        </w:rPr>
      </w:pPr>
    </w:p>
    <w:p>
      <w:pPr>
        <w:spacing w:line="548" w:lineRule="exact"/>
        <w:ind w:left="24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944137" cy="348138"/>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24" cstate="print"/>
                    <a:stretch>
                      <a:fillRect/>
                    </a:stretch>
                  </pic:blipFill>
                  <pic:spPr>
                    <a:xfrm>
                      <a:off x="0" y="0"/>
                      <a:ext cx="944137" cy="348138"/>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5"/>
        <w:rPr>
          <w:rFonts w:ascii="Times New Roman" w:hAnsi="Times New Roman" w:cs="Times New Roman" w:eastAsia="Times New Roman" w:hint="default"/>
          <w:sz w:val="15"/>
          <w:szCs w:val="15"/>
        </w:rPr>
      </w:pPr>
    </w:p>
    <w:p>
      <w:pPr>
        <w:spacing w:line="412" w:lineRule="exact"/>
        <w:ind w:left="205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481620" cy="262128"/>
            <wp:effectExtent l="0" t="0" r="0" b="0"/>
            <wp:docPr id="29" name="image13.jpeg" descr=""/>
            <wp:cNvGraphicFramePr>
              <a:graphicFrameLocks noChangeAspect="1"/>
            </wp:cNvGraphicFramePr>
            <a:graphic>
              <a:graphicData uri="http://schemas.openxmlformats.org/drawingml/2006/picture">
                <pic:pic>
                  <pic:nvPicPr>
                    <pic:cNvPr id="30" name="image13.jpeg"/>
                    <pic:cNvPicPr/>
                  </pic:nvPicPr>
                  <pic:blipFill>
                    <a:blip r:embed="rId25" cstate="print"/>
                    <a:stretch>
                      <a:fillRect/>
                    </a:stretch>
                  </pic:blipFill>
                  <pic:spPr>
                    <a:xfrm>
                      <a:off x="0" y="0"/>
                      <a:ext cx="1481620" cy="262128"/>
                    </a:xfrm>
                    <a:prstGeom prst="rect">
                      <a:avLst/>
                    </a:prstGeom>
                  </pic:spPr>
                </pic:pic>
              </a:graphicData>
            </a:graphic>
          </wp:inline>
        </w:drawing>
      </w:r>
      <w:r>
        <w:rPr>
          <w:rFonts w:ascii="Times New Roman" w:hAnsi="Times New Roman" w:cs="Times New Roman" w:eastAsia="Times New Roman" w:hint="default"/>
          <w:position w:val="-7"/>
          <w:sz w:val="20"/>
          <w:szCs w:val="20"/>
        </w:rPr>
      </w:r>
    </w:p>
    <w:p>
      <w:pPr>
        <w:spacing w:after="0" w:line="412" w:lineRule="exact"/>
        <w:rPr>
          <w:rFonts w:ascii="Times New Roman" w:hAnsi="Times New Roman" w:cs="Times New Roman" w:eastAsia="Times New Roman" w:hint="default"/>
          <w:sz w:val="20"/>
          <w:szCs w:val="20"/>
        </w:rPr>
        <w:sectPr>
          <w:pgSz w:w="16840" w:h="11910" w:orient="landscape"/>
          <w:pgMar w:header="863" w:footer="974" w:top="1140" w:bottom="1200" w:left="1300" w:right="1280"/>
        </w:sectPr>
      </w:pPr>
    </w:p>
    <w:tbl>
      <w:tblPr>
        <w:tblW w:w="0" w:type="auto"/>
        <w:jc w:val="left"/>
        <w:tblInd w:w="130" w:type="dxa"/>
        <w:tblLayout w:type="fixed"/>
        <w:tblCellMar>
          <w:top w:w="0" w:type="dxa"/>
          <w:left w:w="0" w:type="dxa"/>
          <w:bottom w:w="0" w:type="dxa"/>
          <w:right w:w="0" w:type="dxa"/>
        </w:tblCellMar>
        <w:tblLook w:val="01E0"/>
      </w:tblPr>
      <w:tblGrid>
        <w:gridCol w:w="922"/>
        <w:gridCol w:w="4336"/>
        <w:gridCol w:w="2300"/>
        <w:gridCol w:w="1666"/>
        <w:gridCol w:w="1546"/>
        <w:gridCol w:w="1743"/>
        <w:gridCol w:w="1469"/>
      </w:tblGrid>
      <w:tr>
        <w:trPr>
          <w:trHeight w:val="334" w:hRule="exact"/>
        </w:trPr>
        <w:tc>
          <w:tcPr>
            <w:tcW w:w="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3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商标图样</w:t>
            </w:r>
            <w:r>
              <w:rPr>
                <w:rFonts w:ascii="宋体" w:hAnsi="宋体" w:cs="宋体" w:eastAsia="宋体" w:hint="default"/>
                <w:sz w:val="18"/>
                <w:szCs w:val="18"/>
              </w:rPr>
            </w:r>
          </w:p>
        </w:tc>
        <w:tc>
          <w:tcPr>
            <w:tcW w:w="23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注册期</w:t>
            </w:r>
            <w:r>
              <w:rPr>
                <w:rFonts w:ascii="宋体" w:hAnsi="宋体" w:cs="宋体" w:eastAsia="宋体" w:hint="default"/>
                <w:sz w:val="18"/>
                <w:szCs w:val="18"/>
              </w:rPr>
            </w:r>
          </w:p>
        </w:tc>
        <w:tc>
          <w:tcPr>
            <w:tcW w:w="1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4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456" w:right="0"/>
              <w:jc w:val="left"/>
              <w:rPr>
                <w:rFonts w:ascii="宋体" w:hAnsi="宋体" w:cs="宋体" w:eastAsia="宋体" w:hint="default"/>
                <w:sz w:val="18"/>
                <w:szCs w:val="18"/>
              </w:rPr>
            </w:pPr>
            <w:r>
              <w:rPr>
                <w:rFonts w:ascii="宋体" w:hAnsi="宋体" w:cs="宋体" w:eastAsia="宋体" w:hint="default"/>
                <w:b/>
                <w:bCs/>
                <w:sz w:val="18"/>
                <w:szCs w:val="18"/>
              </w:rPr>
              <w:t>注册人</w:t>
            </w:r>
            <w:r>
              <w:rPr>
                <w:rFonts w:ascii="宋体" w:hAnsi="宋体" w:cs="宋体" w:eastAsia="宋体" w:hint="default"/>
                <w:sz w:val="18"/>
                <w:szCs w:val="18"/>
              </w:rPr>
            </w:r>
          </w:p>
        </w:tc>
      </w:tr>
      <w:tr>
        <w:trPr>
          <w:trHeight w:val="658" w:hRule="exact"/>
        </w:trPr>
        <w:tc>
          <w:tcPr>
            <w:tcW w:w="9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9"/>
                <w:szCs w:val="9"/>
              </w:rPr>
            </w:pPr>
          </w:p>
          <w:p>
            <w:pPr>
              <w:pStyle w:val="TableParagraph"/>
              <w:spacing w:line="402" w:lineRule="exact"/>
              <w:ind w:left="37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2258990" cy="255650"/>
                  <wp:effectExtent l="0" t="0" r="0" b="0"/>
                  <wp:docPr id="31" name="image14.jpeg" descr=""/>
                  <wp:cNvGraphicFramePr>
                    <a:graphicFrameLocks noChangeAspect="1"/>
                  </wp:cNvGraphicFramePr>
                  <a:graphic>
                    <a:graphicData uri="http://schemas.openxmlformats.org/drawingml/2006/picture">
                      <pic:pic>
                        <pic:nvPicPr>
                          <pic:cNvPr id="32" name="image14.jpeg"/>
                          <pic:cNvPicPr/>
                        </pic:nvPicPr>
                        <pic:blipFill>
                          <a:blip r:embed="rId26" cstate="print"/>
                          <a:stretch>
                            <a:fillRect/>
                          </a:stretch>
                        </pic:blipFill>
                        <pic:spPr>
                          <a:xfrm>
                            <a:off x="0" y="0"/>
                            <a:ext cx="2258990" cy="255650"/>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11539512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2014/3/7</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35"/>
              <w:jc w:val="right"/>
              <w:rPr>
                <w:rFonts w:ascii="Times New Roman" w:hAnsi="Times New Roman" w:cs="Times New Roman" w:eastAsia="Times New Roman" w:hint="default"/>
                <w:sz w:val="18"/>
                <w:szCs w:val="18"/>
              </w:rPr>
            </w:pPr>
            <w:r>
              <w:rPr>
                <w:rFonts w:ascii="Times New Roman"/>
                <w:spacing w:val="-1"/>
                <w:sz w:val="18"/>
              </w:rPr>
              <w:t>2024/3/6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5"/>
                <w:szCs w:val="5"/>
              </w:rPr>
            </w:pPr>
          </w:p>
          <w:p>
            <w:pPr>
              <w:pStyle w:val="TableParagraph"/>
              <w:spacing w:line="503" w:lineRule="exact"/>
              <w:ind w:left="12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186597" cy="319468"/>
                  <wp:effectExtent l="0" t="0" r="0" b="0"/>
                  <wp:docPr id="33" name="image15.jpeg" descr=""/>
                  <wp:cNvGraphicFramePr>
                    <a:graphicFrameLocks noChangeAspect="1"/>
                  </wp:cNvGraphicFramePr>
                  <a:graphic>
                    <a:graphicData uri="http://schemas.openxmlformats.org/drawingml/2006/picture">
                      <pic:pic>
                        <pic:nvPicPr>
                          <pic:cNvPr id="34" name="image15.jpeg"/>
                          <pic:cNvPicPr/>
                        </pic:nvPicPr>
                        <pic:blipFill>
                          <a:blip r:embed="rId27" cstate="print"/>
                          <a:stretch>
                            <a:fillRect/>
                          </a:stretch>
                        </pic:blipFill>
                        <pic:spPr>
                          <a:xfrm>
                            <a:off x="0" y="0"/>
                            <a:ext cx="1186597" cy="319468"/>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11714840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2014/4/14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492"/>
              <w:jc w:val="right"/>
              <w:rPr>
                <w:rFonts w:ascii="Times New Roman" w:hAnsi="Times New Roman" w:cs="Times New Roman" w:eastAsia="Times New Roman" w:hint="default"/>
                <w:sz w:val="18"/>
                <w:szCs w:val="18"/>
              </w:rPr>
            </w:pPr>
            <w:r>
              <w:rPr>
                <w:rFonts w:ascii="Times New Roman"/>
                <w:spacing w:val="-1"/>
                <w:sz w:val="18"/>
              </w:rPr>
              <w:t>2024/4/13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6"/>
                <w:szCs w:val="6"/>
              </w:rPr>
            </w:pPr>
          </w:p>
          <w:p>
            <w:pPr>
              <w:pStyle w:val="TableParagraph"/>
              <w:spacing w:line="468" w:lineRule="exact"/>
              <w:ind w:left="118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1253459" cy="297561"/>
                  <wp:effectExtent l="0" t="0" r="0" b="0"/>
                  <wp:docPr id="35" name="image16.jpeg" descr=""/>
                  <wp:cNvGraphicFramePr>
                    <a:graphicFrameLocks noChangeAspect="1"/>
                  </wp:cNvGraphicFramePr>
                  <a:graphic>
                    <a:graphicData uri="http://schemas.openxmlformats.org/drawingml/2006/picture">
                      <pic:pic>
                        <pic:nvPicPr>
                          <pic:cNvPr id="36" name="image16.jpeg"/>
                          <pic:cNvPicPr/>
                        </pic:nvPicPr>
                        <pic:blipFill>
                          <a:blip r:embed="rId28" cstate="print"/>
                          <a:stretch>
                            <a:fillRect/>
                          </a:stretch>
                        </pic:blipFill>
                        <pic:spPr>
                          <a:xfrm>
                            <a:off x="0" y="0"/>
                            <a:ext cx="1253459" cy="297561"/>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11714841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2014/4/14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492"/>
              <w:jc w:val="right"/>
              <w:rPr>
                <w:rFonts w:ascii="Times New Roman" w:hAnsi="Times New Roman" w:cs="Times New Roman" w:eastAsia="Times New Roman" w:hint="default"/>
                <w:sz w:val="18"/>
                <w:szCs w:val="18"/>
              </w:rPr>
            </w:pPr>
            <w:r>
              <w:rPr>
                <w:rFonts w:ascii="Times New Roman"/>
                <w:spacing w:val="-1"/>
                <w:sz w:val="18"/>
              </w:rPr>
              <w:t>2024/4/13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62"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0"/>
                <w:szCs w:val="10"/>
              </w:rPr>
            </w:pPr>
          </w:p>
          <w:p>
            <w:pPr>
              <w:pStyle w:val="TableParagraph"/>
              <w:spacing w:line="399" w:lineRule="exact"/>
              <w:ind w:left="1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143659" cy="253936"/>
                  <wp:effectExtent l="0" t="0" r="0" b="0"/>
                  <wp:docPr id="37" name="image17.jpeg" descr=""/>
                  <wp:cNvGraphicFramePr>
                    <a:graphicFrameLocks noChangeAspect="1"/>
                  </wp:cNvGraphicFramePr>
                  <a:graphic>
                    <a:graphicData uri="http://schemas.openxmlformats.org/drawingml/2006/picture">
                      <pic:pic>
                        <pic:nvPicPr>
                          <pic:cNvPr id="38" name="image17.jpeg"/>
                          <pic:cNvPicPr/>
                        </pic:nvPicPr>
                        <pic:blipFill>
                          <a:blip r:embed="rId29" cstate="print"/>
                          <a:stretch>
                            <a:fillRect/>
                          </a:stretch>
                        </pic:blipFill>
                        <pic:spPr>
                          <a:xfrm>
                            <a:off x="0" y="0"/>
                            <a:ext cx="1143659" cy="253936"/>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11714842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2014/4/14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492"/>
              <w:jc w:val="right"/>
              <w:rPr>
                <w:rFonts w:ascii="Times New Roman" w:hAnsi="Times New Roman" w:cs="Times New Roman" w:eastAsia="Times New Roman" w:hint="default"/>
                <w:sz w:val="18"/>
                <w:szCs w:val="18"/>
              </w:rPr>
            </w:pPr>
            <w:r>
              <w:rPr>
                <w:rFonts w:ascii="Times New Roman"/>
                <w:spacing w:val="-1"/>
                <w:sz w:val="18"/>
              </w:rPr>
              <w:t>2024/4/13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65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9"/>
                <w:szCs w:val="9"/>
              </w:rPr>
            </w:pPr>
          </w:p>
          <w:p>
            <w:pPr>
              <w:pStyle w:val="TableParagraph"/>
              <w:spacing w:line="399" w:lineRule="exact"/>
              <w:ind w:left="105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396965" cy="253936"/>
                  <wp:effectExtent l="0" t="0" r="0" b="0"/>
                  <wp:docPr id="39" name="image18.jpeg" descr=""/>
                  <wp:cNvGraphicFramePr>
                    <a:graphicFrameLocks noChangeAspect="1"/>
                  </wp:cNvGraphicFramePr>
                  <a:graphic>
                    <a:graphicData uri="http://schemas.openxmlformats.org/drawingml/2006/picture">
                      <pic:pic>
                        <pic:nvPicPr>
                          <pic:cNvPr id="40" name="image18.jpeg"/>
                          <pic:cNvPicPr/>
                        </pic:nvPicPr>
                        <pic:blipFill>
                          <a:blip r:embed="rId30" cstate="print"/>
                          <a:stretch>
                            <a:fillRect/>
                          </a:stretch>
                        </pic:blipFill>
                        <pic:spPr>
                          <a:xfrm>
                            <a:off x="0" y="0"/>
                            <a:ext cx="1396965" cy="253936"/>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11714843</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2014/4/14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92"/>
              <w:jc w:val="right"/>
              <w:rPr>
                <w:rFonts w:ascii="Times New Roman" w:hAnsi="Times New Roman" w:cs="Times New Roman" w:eastAsia="Times New Roman" w:hint="default"/>
                <w:sz w:val="18"/>
                <w:szCs w:val="18"/>
              </w:rPr>
            </w:pPr>
            <w:r>
              <w:rPr>
                <w:rFonts w:ascii="Times New Roman"/>
                <w:spacing w:val="-1"/>
                <w:sz w:val="18"/>
              </w:rPr>
              <w:t>2024/4/13</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970"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5"/>
                <w:szCs w:val="5"/>
              </w:rPr>
            </w:pPr>
          </w:p>
          <w:p>
            <w:pPr>
              <w:pStyle w:val="TableParagraph"/>
              <w:spacing w:line="815" w:lineRule="exact"/>
              <w:ind w:left="167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621334" cy="517778"/>
                  <wp:effectExtent l="0" t="0" r="0" b="0"/>
                  <wp:docPr id="41" name="image19.jpeg" descr=""/>
                  <wp:cNvGraphicFramePr>
                    <a:graphicFrameLocks noChangeAspect="1"/>
                  </wp:cNvGraphicFramePr>
                  <a:graphic>
                    <a:graphicData uri="http://schemas.openxmlformats.org/drawingml/2006/picture">
                      <pic:pic>
                        <pic:nvPicPr>
                          <pic:cNvPr id="42" name="image19.jpeg"/>
                          <pic:cNvPicPr/>
                        </pic:nvPicPr>
                        <pic:blipFill>
                          <a:blip r:embed="rId31" cstate="print"/>
                          <a:stretch>
                            <a:fillRect/>
                          </a:stretch>
                        </pic:blipFill>
                        <pic:spPr>
                          <a:xfrm>
                            <a:off x="0" y="0"/>
                            <a:ext cx="621334" cy="517778"/>
                          </a:xfrm>
                          <a:prstGeom prst="rect">
                            <a:avLst/>
                          </a:prstGeom>
                        </pic:spPr>
                      </pic:pic>
                    </a:graphicData>
                  </a:graphic>
                </wp:inline>
              </w:drawing>
            </w:r>
            <w:r>
              <w:rPr>
                <w:rFonts w:ascii="Times New Roman" w:hAnsi="Times New Roman" w:cs="Times New Roman" w:eastAsia="Times New Roman" w:hint="default"/>
                <w:position w:val="-15"/>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 w:right="0"/>
              <w:jc w:val="center"/>
              <w:rPr>
                <w:rFonts w:ascii="Times New Roman" w:hAnsi="Times New Roman" w:cs="Times New Roman" w:eastAsia="Times New Roman" w:hint="default"/>
                <w:sz w:val="18"/>
                <w:szCs w:val="18"/>
              </w:rPr>
            </w:pPr>
            <w:r>
              <w:rPr>
                <w:rFonts w:ascii="Times New Roman"/>
                <w:sz w:val="18"/>
              </w:rPr>
              <w:t>8065056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9" w:right="0"/>
              <w:jc w:val="center"/>
              <w:rPr>
                <w:rFonts w:ascii="Times New Roman" w:hAnsi="Times New Roman" w:cs="Times New Roman" w:eastAsia="Times New Roman" w:hint="default"/>
                <w:sz w:val="18"/>
                <w:szCs w:val="18"/>
              </w:rPr>
            </w:pPr>
            <w:r>
              <w:rPr>
                <w:rFonts w:ascii="Times New Roman"/>
                <w:sz w:val="18"/>
              </w:rPr>
              <w:t>2011/3/28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92"/>
              <w:jc w:val="right"/>
              <w:rPr>
                <w:rFonts w:ascii="Times New Roman" w:hAnsi="Times New Roman" w:cs="Times New Roman" w:eastAsia="Times New Roman" w:hint="default"/>
                <w:sz w:val="18"/>
                <w:szCs w:val="18"/>
              </w:rPr>
            </w:pPr>
            <w:r>
              <w:rPr>
                <w:rFonts w:ascii="Times New Roman"/>
                <w:spacing w:val="-1"/>
                <w:sz w:val="18"/>
              </w:rPr>
              <w:t>2021/3/27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数字天堂</w:t>
            </w:r>
          </w:p>
        </w:tc>
      </w:tr>
      <w:tr>
        <w:trPr>
          <w:trHeight w:val="974"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792" w:lineRule="exact"/>
              <w:ind w:left="167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603321" cy="503396"/>
                  <wp:effectExtent l="0" t="0" r="0" b="0"/>
                  <wp:docPr id="43" name="image19.jpeg" descr=""/>
                  <wp:cNvGraphicFramePr>
                    <a:graphicFrameLocks noChangeAspect="1"/>
                  </wp:cNvGraphicFramePr>
                  <a:graphic>
                    <a:graphicData uri="http://schemas.openxmlformats.org/drawingml/2006/picture">
                      <pic:pic>
                        <pic:nvPicPr>
                          <pic:cNvPr id="44" name="image19.jpeg"/>
                          <pic:cNvPicPr/>
                        </pic:nvPicPr>
                        <pic:blipFill>
                          <a:blip r:embed="rId31" cstate="print"/>
                          <a:stretch>
                            <a:fillRect/>
                          </a:stretch>
                        </pic:blipFill>
                        <pic:spPr>
                          <a:xfrm>
                            <a:off x="0" y="0"/>
                            <a:ext cx="603321" cy="503396"/>
                          </a:xfrm>
                          <a:prstGeom prst="rect">
                            <a:avLst/>
                          </a:prstGeom>
                        </pic:spPr>
                      </pic:pic>
                    </a:graphicData>
                  </a:graphic>
                </wp:inline>
              </w:drawing>
            </w:r>
            <w:r>
              <w:rPr>
                <w:rFonts w:ascii="Times New Roman" w:hAnsi="Times New Roman" w:cs="Times New Roman" w:eastAsia="Times New Roman" w:hint="default"/>
                <w:position w:val="-15"/>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 w:right="0"/>
              <w:jc w:val="center"/>
              <w:rPr>
                <w:rFonts w:ascii="Times New Roman" w:hAnsi="Times New Roman" w:cs="Times New Roman" w:eastAsia="Times New Roman" w:hint="default"/>
                <w:sz w:val="18"/>
                <w:szCs w:val="18"/>
              </w:rPr>
            </w:pPr>
            <w:r>
              <w:rPr>
                <w:rFonts w:ascii="Times New Roman"/>
                <w:sz w:val="18"/>
              </w:rPr>
              <w:t>8065055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2011/4/7</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535"/>
              <w:jc w:val="right"/>
              <w:rPr>
                <w:rFonts w:ascii="Times New Roman" w:hAnsi="Times New Roman" w:cs="Times New Roman" w:eastAsia="Times New Roman" w:hint="default"/>
                <w:sz w:val="18"/>
                <w:szCs w:val="18"/>
              </w:rPr>
            </w:pPr>
            <w:r>
              <w:rPr>
                <w:rFonts w:ascii="Times New Roman"/>
                <w:spacing w:val="-1"/>
                <w:sz w:val="18"/>
              </w:rPr>
              <w:t>2021/4/6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数字天堂</w:t>
            </w:r>
          </w:p>
        </w:tc>
      </w:tr>
      <w:tr>
        <w:trPr>
          <w:trHeight w:val="970"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 w:right="0"/>
              <w:jc w:val="center"/>
              <w:rPr>
                <w:rFonts w:ascii="Times New Roman" w:hAnsi="Times New Roman" w:cs="Times New Roman" w:eastAsia="Times New Roman" w:hint="default"/>
                <w:sz w:val="18"/>
                <w:szCs w:val="18"/>
              </w:rPr>
            </w:pPr>
            <w:r>
              <w:rPr>
                <w:rFonts w:ascii="Times New Roman"/>
                <w:sz w:val="18"/>
              </w:rPr>
              <w:t>22</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907" w:lineRule="exact"/>
              <w:ind w:left="143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916766" cy="576072"/>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32" cstate="print"/>
                          <a:stretch>
                            <a:fillRect/>
                          </a:stretch>
                        </pic:blipFill>
                        <pic:spPr>
                          <a:xfrm>
                            <a:off x="0" y="0"/>
                            <a:ext cx="916766" cy="576072"/>
                          </a:xfrm>
                          <a:prstGeom prst="rect">
                            <a:avLst/>
                          </a:prstGeom>
                        </pic:spPr>
                      </pic:pic>
                    </a:graphicData>
                  </a:graphic>
                </wp:inline>
              </w:drawing>
            </w:r>
            <w:r>
              <w:rPr>
                <w:rFonts w:ascii="Times New Roman" w:hAnsi="Times New Roman" w:cs="Times New Roman" w:eastAsia="Times New Roman" w:hint="default"/>
                <w:position w:val="-17"/>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873" w:right="866"/>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r>
              <w:rPr>
                <w:rFonts w:ascii="宋体" w:hAnsi="宋体" w:cs="宋体" w:eastAsia="宋体" w:hint="default"/>
                <w:w w:val="101"/>
                <w:sz w:val="18"/>
                <w:szCs w:val="18"/>
              </w:rPr>
              <w:t> </w:t>
            </w:r>
            <w:r>
              <w:rPr>
                <w:rFonts w:ascii="宋体" w:hAnsi="宋体" w:cs="宋体" w:eastAsia="宋体" w:hint="default"/>
                <w:sz w:val="18"/>
                <w:szCs w:val="18"/>
              </w:rPr>
              <w:t>第</w:t>
            </w:r>
            <w:r>
              <w:rPr>
                <w:rFonts w:ascii="Times New Roman" w:hAnsi="Times New Roman" w:cs="Times New Roman" w:eastAsia="Times New Roman" w:hint="default"/>
                <w:sz w:val="18"/>
                <w:szCs w:val="18"/>
              </w:rPr>
              <w:t>9</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16759044</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2016/06/28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44"/>
              <w:jc w:val="right"/>
              <w:rPr>
                <w:rFonts w:ascii="Times New Roman" w:hAnsi="Times New Roman" w:cs="Times New Roman" w:eastAsia="Times New Roman" w:hint="default"/>
                <w:sz w:val="18"/>
                <w:szCs w:val="18"/>
              </w:rPr>
            </w:pPr>
            <w:r>
              <w:rPr>
                <w:rFonts w:ascii="Times New Roman"/>
                <w:spacing w:val="-1"/>
                <w:sz w:val="18"/>
              </w:rPr>
              <w:t>2026/06/27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r>
      <w:tr>
        <w:trPr>
          <w:trHeight w:val="970"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798" w:lineRule="exact"/>
              <w:ind w:left="138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991842" cy="506730"/>
                  <wp:effectExtent l="0" t="0" r="0" b="0"/>
                  <wp:docPr id="47" name="image21.jpeg" descr=""/>
                  <wp:cNvGraphicFramePr>
                    <a:graphicFrameLocks noChangeAspect="1"/>
                  </wp:cNvGraphicFramePr>
                  <a:graphic>
                    <a:graphicData uri="http://schemas.openxmlformats.org/drawingml/2006/picture">
                      <pic:pic>
                        <pic:nvPicPr>
                          <pic:cNvPr id="48" name="image21.jpeg"/>
                          <pic:cNvPicPr/>
                        </pic:nvPicPr>
                        <pic:blipFill>
                          <a:blip r:embed="rId33" cstate="print"/>
                          <a:stretch>
                            <a:fillRect/>
                          </a:stretch>
                        </pic:blipFill>
                        <pic:spPr>
                          <a:xfrm>
                            <a:off x="0" y="0"/>
                            <a:ext cx="991842" cy="506730"/>
                          </a:xfrm>
                          <a:prstGeom prst="rect">
                            <a:avLst/>
                          </a:prstGeom>
                        </pic:spPr>
                      </pic:pic>
                    </a:graphicData>
                  </a:graphic>
                </wp:inline>
              </w:drawing>
            </w:r>
            <w:r>
              <w:rPr>
                <w:rFonts w:ascii="Times New Roman" w:hAnsi="Times New Roman" w:cs="Times New Roman" w:eastAsia="Times New Roman" w:hint="default"/>
                <w:position w:val="-15"/>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42</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19059557</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2017/03/07</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44"/>
              <w:jc w:val="right"/>
              <w:rPr>
                <w:rFonts w:ascii="Times New Roman" w:hAnsi="Times New Roman" w:cs="Times New Roman" w:eastAsia="Times New Roman" w:hint="default"/>
                <w:sz w:val="18"/>
                <w:szCs w:val="18"/>
              </w:rPr>
            </w:pPr>
            <w:r>
              <w:rPr>
                <w:rFonts w:ascii="Times New Roman"/>
                <w:spacing w:val="-1"/>
                <w:sz w:val="18"/>
              </w:rPr>
              <w:t>2027/03/06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r>
      <w:tr>
        <w:trPr>
          <w:trHeight w:val="975"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9"/>
                <w:szCs w:val="9"/>
              </w:rPr>
            </w:pPr>
          </w:p>
          <w:p>
            <w:pPr>
              <w:pStyle w:val="TableParagraph"/>
              <w:spacing w:line="696" w:lineRule="exact"/>
              <w:ind w:left="136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008360" cy="442341"/>
                  <wp:effectExtent l="0" t="0" r="0" b="0"/>
                  <wp:docPr id="49" name="image22.jpeg" descr=""/>
                  <wp:cNvGraphicFramePr>
                    <a:graphicFrameLocks noChangeAspect="1"/>
                  </wp:cNvGraphicFramePr>
                  <a:graphic>
                    <a:graphicData uri="http://schemas.openxmlformats.org/drawingml/2006/picture">
                      <pic:pic>
                        <pic:nvPicPr>
                          <pic:cNvPr id="50" name="image22.jpeg"/>
                          <pic:cNvPicPr/>
                        </pic:nvPicPr>
                        <pic:blipFill>
                          <a:blip r:embed="rId34" cstate="print"/>
                          <a:stretch>
                            <a:fillRect/>
                          </a:stretch>
                        </pic:blipFill>
                        <pic:spPr>
                          <a:xfrm>
                            <a:off x="0" y="0"/>
                            <a:ext cx="1008360" cy="442341"/>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38</w:t>
            </w:r>
            <w:r>
              <w:rPr>
                <w:rFonts w:ascii="宋体" w:hAnsi="宋体" w:cs="宋体" w:eastAsia="宋体" w:hint="default"/>
                <w:sz w:val="18"/>
                <w:szCs w:val="18"/>
              </w:rPr>
              <w:t>类</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17734847</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4" w:right="0"/>
              <w:jc w:val="center"/>
              <w:rPr>
                <w:rFonts w:ascii="Times New Roman" w:hAnsi="Times New Roman" w:cs="Times New Roman" w:eastAsia="Times New Roman" w:hint="default"/>
                <w:sz w:val="18"/>
                <w:szCs w:val="18"/>
              </w:rPr>
            </w:pPr>
            <w:r>
              <w:rPr>
                <w:rFonts w:ascii="Times New Roman"/>
                <w:sz w:val="18"/>
              </w:rPr>
              <w:t>2017/07/28</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44"/>
              <w:jc w:val="right"/>
              <w:rPr>
                <w:rFonts w:ascii="Times New Roman" w:hAnsi="Times New Roman" w:cs="Times New Roman" w:eastAsia="Times New Roman" w:hint="default"/>
                <w:sz w:val="18"/>
                <w:szCs w:val="18"/>
              </w:rPr>
            </w:pPr>
            <w:r>
              <w:rPr>
                <w:rFonts w:ascii="Times New Roman"/>
                <w:spacing w:val="-1"/>
                <w:sz w:val="18"/>
              </w:rPr>
              <w:t>2027/07/27</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left"/>
              <w:rPr>
                <w:rFonts w:ascii="宋体" w:hAnsi="宋体" w:cs="宋体" w:eastAsia="宋体" w:hint="default"/>
                <w:sz w:val="18"/>
                <w:szCs w:val="18"/>
              </w:rPr>
            </w:pPr>
            <w:r>
              <w:rPr>
                <w:rFonts w:ascii="宋体" w:hAnsi="宋体" w:cs="宋体" w:eastAsia="宋体" w:hint="default"/>
                <w:sz w:val="18"/>
                <w:szCs w:val="18"/>
              </w:rPr>
              <w:t>泰策科技</w:t>
            </w:r>
          </w:p>
        </w:tc>
      </w:tr>
    </w:tbl>
    <w:p>
      <w:pPr>
        <w:spacing w:after="0" w:line="240" w:lineRule="auto"/>
        <w:jc w:val="left"/>
        <w:rPr>
          <w:rFonts w:ascii="宋体" w:hAnsi="宋体" w:cs="宋体" w:eastAsia="宋体" w:hint="default"/>
          <w:sz w:val="18"/>
          <w:szCs w:val="18"/>
        </w:rPr>
        <w:sectPr>
          <w:pgSz w:w="16840" w:h="11910" w:orient="landscape"/>
          <w:pgMar w:header="863" w:footer="974" w:top="1140" w:bottom="1160" w:left="1300" w:right="1280"/>
        </w:sectPr>
      </w:pPr>
    </w:p>
    <w:p>
      <w:pPr>
        <w:spacing w:line="240" w:lineRule="auto" w:before="3"/>
        <w:rPr>
          <w:rFonts w:ascii="Times New Roman" w:hAnsi="Times New Roman" w:cs="Times New Roman" w:eastAsia="Times New Roman" w:hint="default"/>
          <w:sz w:val="25"/>
          <w:szCs w:val="25"/>
        </w:rPr>
      </w:pPr>
    </w:p>
    <w:p>
      <w:pPr>
        <w:pStyle w:val="BodyText"/>
        <w:spacing w:line="352" w:lineRule="auto" w:before="46"/>
        <w:ind w:left="513" w:right="0"/>
        <w:jc w:val="left"/>
      </w:pPr>
      <w:r>
        <w:rPr>
          <w:rFonts w:ascii="宋体" w:hAnsi="宋体" w:cs="宋体" w:eastAsia="宋体" w:hint="default"/>
          <w:b/>
          <w:bCs/>
        </w:rPr>
        <w:t>（二）商业模式创新</w:t>
      </w:r>
      <w:r>
        <w:rPr>
          <w:rFonts w:ascii="宋体" w:hAnsi="宋体" w:cs="宋体" w:eastAsia="宋体" w:hint="default"/>
          <w:b/>
          <w:bCs/>
          <w:spacing w:val="-86"/>
        </w:rPr>
        <w:t> </w:t>
      </w:r>
      <w:r>
        <w:rPr>
          <w:rFonts w:ascii="宋体" w:hAnsi="宋体" w:cs="宋体" w:eastAsia="宋体" w:hint="default"/>
          <w:b/>
          <w:bCs/>
          <w:spacing w:val="-86"/>
        </w:rPr>
      </w:r>
      <w:r>
        <w:rPr>
          <w:spacing w:val="-5"/>
        </w:rPr>
        <w:t>公司上市以来，积极开拓进取，通过内生和外延的双轮驱动，围绕董事会制定的战略目标，改变了上市之初以基础软件</w:t>
      </w:r>
    </w:p>
    <w:p>
      <w:pPr>
        <w:pStyle w:val="BodyText"/>
        <w:spacing w:line="312" w:lineRule="auto"/>
        <w:ind w:right="1122"/>
        <w:jc w:val="both"/>
      </w:pPr>
      <w:r>
        <w:rPr>
          <w:spacing w:val="-4"/>
        </w:rPr>
        <w:t>中间件作为唯一主业的局面。公司由原来的基础软件产品销售加维保服务的模式，以</w:t>
      </w:r>
      <w:r>
        <w:rPr>
          <w:rFonts w:ascii="Times New Roman" w:hAnsi="Times New Roman" w:cs="Times New Roman" w:eastAsia="Times New Roman" w:hint="default"/>
          <w:spacing w:val="-4"/>
        </w:rPr>
        <w:t>“</w:t>
      </w:r>
      <w:r>
        <w:rPr>
          <w:spacing w:val="-4"/>
        </w:rPr>
        <w:t>自主可控，安全创新</w:t>
      </w:r>
      <w:r>
        <w:rPr>
          <w:rFonts w:ascii="Times New Roman" w:hAnsi="Times New Roman" w:cs="Times New Roman" w:eastAsia="Times New Roman" w:hint="default"/>
          <w:spacing w:val="-4"/>
        </w:rPr>
        <w:t>”</w:t>
      </w:r>
      <w:r>
        <w:rPr>
          <w:spacing w:val="-4"/>
        </w:rPr>
        <w:t>作为核心发展理</w:t>
      </w:r>
      <w:r>
        <w:rPr>
          <w:spacing w:val="66"/>
        </w:rPr>
        <w:t> </w:t>
      </w:r>
      <w:r>
        <w:rPr>
          <w:spacing w:val="66"/>
        </w:rPr>
      </w:r>
      <w:r>
        <w:rPr>
          <w:spacing w:val="-4"/>
        </w:rPr>
        <w:t>念，积极布局基础安全、信息安全、网络安全、应急安全、工业互联网安全、军工信息化等业务领域。未来，公司仍将在商</w:t>
      </w:r>
      <w:r>
        <w:rPr>
          <w:spacing w:val="41"/>
        </w:rPr>
        <w:t> </w:t>
      </w:r>
      <w:r>
        <w:rPr>
          <w:spacing w:val="41"/>
        </w:rPr>
      </w:r>
      <w:r>
        <w:rPr>
          <w:spacing w:val="-3"/>
        </w:rPr>
        <w:t>业模式上持续创新，提升公司业绩与核心竞争力。</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2" w:lineRule="auto"/>
        <w:ind w:left="513" w:right="0"/>
        <w:jc w:val="left"/>
      </w:pPr>
      <w:r>
        <w:rPr>
          <w:rFonts w:ascii="宋体" w:hAnsi="宋体" w:cs="宋体" w:eastAsia="宋体" w:hint="default"/>
          <w:b/>
          <w:bCs/>
        </w:rPr>
        <w:t>（三）管理模式创新</w:t>
      </w:r>
      <w:r>
        <w:rPr>
          <w:rFonts w:ascii="宋体" w:hAnsi="宋体" w:cs="宋体" w:eastAsia="宋体" w:hint="default"/>
          <w:b/>
          <w:bCs/>
          <w:spacing w:val="-86"/>
        </w:rPr>
        <w:t> </w:t>
      </w:r>
      <w:r>
        <w:rPr>
          <w:rFonts w:ascii="宋体" w:hAnsi="宋体" w:cs="宋体" w:eastAsia="宋体" w:hint="default"/>
          <w:b/>
          <w:bCs/>
          <w:spacing w:val="-86"/>
        </w:rPr>
      </w:r>
      <w:r>
        <w:rPr>
          <w:spacing w:val="-4"/>
        </w:rPr>
        <w:t>公司通过持续外部引进（包括并购）与内部培养相结合的方式组建了管理团队。目前已形成上市公司管理与初始基础软</w:t>
      </w:r>
    </w:p>
    <w:p>
      <w:pPr>
        <w:pStyle w:val="BodyText"/>
        <w:spacing w:line="319" w:lineRule="auto"/>
        <w:ind w:right="0"/>
        <w:jc w:val="left"/>
      </w:pPr>
      <w:r>
        <w:rPr>
          <w:spacing w:val="-4"/>
        </w:rPr>
        <w:t>件业务的逻辑分离，根据各业务板块的市场定位进一步整合，相互间保持协同，集团公司管理体系已初步建立。公司通过不</w:t>
      </w:r>
      <w:r>
        <w:rPr>
          <w:spacing w:val="40"/>
        </w:rPr>
        <w:t> </w:t>
      </w:r>
      <w:r>
        <w:rPr>
          <w:spacing w:val="40"/>
        </w:rPr>
      </w:r>
      <w:r>
        <w:rPr>
          <w:spacing w:val="-3"/>
        </w:rPr>
        <w:t>断完善、优化与高效的用人机制，特别是强化激励机制和培训体系来吸纳与培养优秀经营管理人才、营销人才和科技人才，</w:t>
      </w:r>
      <w:r>
        <w:rPr>
          <w:spacing w:val="66"/>
        </w:rPr>
        <w:t> </w:t>
      </w:r>
      <w:r>
        <w:rPr>
          <w:spacing w:val="66"/>
        </w:rPr>
      </w:r>
      <w:r>
        <w:rPr>
          <w:spacing w:val="-4"/>
        </w:rPr>
        <w:t>建立科学的人力资源管理体系，进一步增强公司持续发展能力。同时，公司根据发展战略，确定以价值创造为基础的薪酬与</w:t>
      </w:r>
      <w:r>
        <w:rPr>
          <w:spacing w:val="41"/>
        </w:rPr>
        <w:t> </w:t>
      </w:r>
      <w:r>
        <w:rPr>
          <w:spacing w:val="41"/>
        </w:rPr>
      </w:r>
      <w:r>
        <w:rPr>
          <w:spacing w:val="-4"/>
        </w:rPr>
        <w:t>激励政策，以吸引更多的优秀人才，不断增强企业的核心竞争优势。管理模式的创新将为公司持续输送高质量人才管理团队</w:t>
      </w:r>
      <w:r>
        <w:rPr>
          <w:spacing w:val="43"/>
        </w:rPr>
        <w:t> </w:t>
      </w:r>
      <w:r>
        <w:rPr>
          <w:spacing w:val="43"/>
        </w:rPr>
      </w:r>
      <w:r>
        <w:rPr>
          <w:spacing w:val="-3"/>
        </w:rPr>
        <w:t>和创新源泉，为公司的可持续发展提供不断支撑。</w:t>
      </w:r>
    </w:p>
    <w:p>
      <w:pPr>
        <w:spacing w:after="0" w:line="319" w:lineRule="auto"/>
        <w:jc w:val="left"/>
        <w:sectPr>
          <w:headerReference w:type="default" r:id="rId35"/>
          <w:footerReference w:type="default" r:id="rId36"/>
          <w:pgSz w:w="11910" w:h="16840"/>
          <w:pgMar w:header="871" w:footer="979" w:top="1100" w:bottom="1160" w:left="980" w:right="0"/>
          <w:pgNumType w:start="3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left="3043" w:right="0"/>
        <w:jc w:val="left"/>
        <w:rPr>
          <w:b w:val="0"/>
          <w:bCs w:val="0"/>
        </w:rPr>
      </w:pPr>
      <w:bookmarkStart w:name="_TOC_250009" w:id="22"/>
      <w:bookmarkStart w:name="第四节经营情况讨论与分析" w:id="23"/>
      <w:r>
        <w:rPr>
          <w:b w:val="0"/>
          <w:bCs w:val="0"/>
        </w:rPr>
      </w:r>
      <w:r>
        <w:rPr/>
        <w:t>第四节经营情况讨论与分析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7" w:lineRule="auto"/>
        <w:ind w:right="1123" w:firstLine="360"/>
        <w:jc w:val="left"/>
      </w:pPr>
      <w:r>
        <w:rPr>
          <w:spacing w:val="-4"/>
        </w:rPr>
        <w:t>报告期内，公司实现营业收入</w:t>
      </w:r>
      <w:r>
        <w:rPr>
          <w:rFonts w:ascii="Times New Roman" w:hAnsi="Times New Roman" w:cs="Times New Roman" w:eastAsia="Times New Roman" w:hint="default"/>
          <w:spacing w:val="-4"/>
        </w:rPr>
        <w:t>49,996.99</w:t>
      </w:r>
      <w:r>
        <w:rPr>
          <w:spacing w:val="-4"/>
        </w:rPr>
        <w:t>万元，较上年同期增长</w:t>
      </w:r>
      <w:r>
        <w:rPr>
          <w:rFonts w:ascii="Times New Roman" w:hAnsi="Times New Roman" w:cs="Times New Roman" w:eastAsia="Times New Roman" w:hint="default"/>
          <w:spacing w:val="-4"/>
        </w:rPr>
        <w:t>34.38%</w:t>
      </w:r>
      <w:r>
        <w:rPr>
          <w:spacing w:val="-4"/>
        </w:rPr>
        <w:t>；实现营业利润</w:t>
      </w:r>
      <w:r>
        <w:rPr>
          <w:rFonts w:ascii="Times New Roman" w:hAnsi="Times New Roman" w:cs="Times New Roman" w:eastAsia="Times New Roman" w:hint="default"/>
          <w:spacing w:val="-4"/>
        </w:rPr>
        <w:t>15,327.67</w:t>
      </w:r>
      <w:r>
        <w:rPr>
          <w:spacing w:val="-4"/>
        </w:rPr>
        <w:t>万元，利润总额</w:t>
      </w:r>
      <w:r>
        <w:rPr>
          <w:rFonts w:ascii="Times New Roman" w:hAnsi="Times New Roman" w:cs="Times New Roman" w:eastAsia="Times New Roman" w:hint="default"/>
          <w:spacing w:val="-4"/>
        </w:rPr>
        <w:t>15,313.13</w:t>
      </w:r>
      <w:r>
        <w:rPr>
          <w:rFonts w:ascii="Times New Roman" w:hAnsi="Times New Roman" w:cs="Times New Roman" w:eastAsia="Times New Roman" w:hint="default"/>
          <w:w w:val="101"/>
        </w:rPr>
        <w:t> </w:t>
      </w:r>
      <w:r>
        <w:rPr>
          <w:spacing w:val="-3"/>
        </w:rPr>
        <w:t>万元，归属于上市公司普通股股东的净利润</w:t>
      </w:r>
      <w:r>
        <w:rPr>
          <w:rFonts w:ascii="Times New Roman" w:hAnsi="Times New Roman" w:cs="Times New Roman" w:eastAsia="Times New Roman" w:hint="default"/>
          <w:spacing w:val="-3"/>
        </w:rPr>
        <w:t>14,129.19</w:t>
      </w:r>
      <w:r>
        <w:rPr>
          <w:spacing w:val="-3"/>
        </w:rPr>
        <w:t>万元，同比增长</w:t>
      </w:r>
      <w:r>
        <w:rPr>
          <w:rFonts w:ascii="Times New Roman" w:hAnsi="Times New Roman" w:cs="Times New Roman" w:eastAsia="Times New Roman" w:hint="default"/>
          <w:spacing w:val="-3"/>
        </w:rPr>
        <w:t>15.65%</w:t>
      </w:r>
      <w:r>
        <w:rPr>
          <w:spacing w:val="-3"/>
        </w:rPr>
        <w:t>。本报告期内，受益于自主创新、信息安全领</w:t>
      </w:r>
      <w:r>
        <w:rPr>
          <w:spacing w:val="2"/>
        </w:rPr>
        <w:t> </w:t>
      </w:r>
      <w:r>
        <w:rPr>
          <w:spacing w:val="2"/>
        </w:rPr>
      </w:r>
      <w:r>
        <w:rPr>
          <w:spacing w:val="-4"/>
        </w:rPr>
        <w:t>域市场需求的推动、产业趋势的持续发展，公司基础软件、信息安全、应急安全等主营业务持续保持增长，同时，研发人员</w:t>
      </w:r>
      <w:r>
        <w:rPr>
          <w:spacing w:val="40"/>
        </w:rPr>
        <w:t> </w:t>
      </w:r>
      <w:r>
        <w:rPr>
          <w:spacing w:val="40"/>
        </w:rPr>
      </w:r>
      <w:r>
        <w:rPr>
          <w:spacing w:val="-3"/>
        </w:rPr>
        <w:t>与研发投入均显著增加，研发经费同比增长</w:t>
      </w:r>
      <w:r>
        <w:rPr>
          <w:rFonts w:ascii="Times New Roman" w:hAnsi="Times New Roman" w:cs="Times New Roman" w:eastAsia="Times New Roman" w:hint="default"/>
          <w:spacing w:val="-3"/>
        </w:rPr>
        <w:t>41.68%</w:t>
      </w:r>
      <w:r>
        <w:rPr>
          <w:spacing w:val="-3"/>
        </w:rPr>
        <w:t>。另外，公司加强内部管理，管理效能稳步提升，整体经营业绩较上年</w:t>
      </w:r>
      <w:r>
        <w:rPr>
          <w:spacing w:val="74"/>
        </w:rPr>
        <w:t> </w:t>
      </w:r>
      <w:r>
        <w:rPr>
          <w:spacing w:val="74"/>
        </w:rPr>
      </w:r>
      <w:r>
        <w:rPr>
          <w:spacing w:val="-3"/>
        </w:rPr>
        <w:t>同期有所增长。</w:t>
      </w:r>
    </w:p>
    <w:p>
      <w:pPr>
        <w:pStyle w:val="BodyText"/>
        <w:spacing w:line="240" w:lineRule="auto" w:before="64"/>
        <w:ind w:left="513" w:right="0"/>
        <w:jc w:val="left"/>
      </w:pPr>
      <w:r>
        <w:rPr>
          <w:spacing w:val="-6"/>
        </w:rPr>
        <w:t>在完成经营目标的同时，公司在业务开拓、市场与生态合作、对外投资、员工激励及持股计划等方面做了如下主要工作：</w:t>
      </w:r>
    </w:p>
    <w:p>
      <w:pPr>
        <w:pStyle w:val="Heading6"/>
        <w:spacing w:line="240" w:lineRule="auto" w:before="119"/>
        <w:ind w:right="0"/>
        <w:jc w:val="left"/>
        <w:rPr>
          <w:b w:val="0"/>
          <w:bCs w:val="0"/>
        </w:rPr>
      </w:pPr>
      <w:r>
        <w:rPr/>
        <w:t>（一）持续业务开拓，保持业绩增长。</w:t>
      </w:r>
      <w:r>
        <w:rPr>
          <w:b w:val="0"/>
          <w:bCs w:val="0"/>
        </w:rPr>
      </w:r>
    </w:p>
    <w:p>
      <w:pPr>
        <w:pStyle w:val="BodyText"/>
        <w:spacing w:line="333" w:lineRule="auto" w:before="115"/>
        <w:ind w:left="513" w:right="0"/>
        <w:jc w:val="left"/>
      </w:pPr>
      <w:r>
        <w:rPr>
          <w:rFonts w:ascii="Times New Roman" w:hAnsi="Times New Roman" w:cs="Times New Roman" w:eastAsia="Times New Roman" w:hint="default"/>
        </w:rPr>
        <w:t>1</w:t>
      </w:r>
      <w:r>
        <w:rPr/>
        <w:t>、基础安全板块业务</w:t>
      </w:r>
      <w:r>
        <w:rPr>
          <w:spacing w:val="-88"/>
        </w:rPr>
        <w:t> </w:t>
      </w:r>
      <w:r>
        <w:rPr>
          <w:spacing w:val="-88"/>
        </w:rPr>
      </w:r>
      <w:r>
        <w:rPr>
          <w:spacing w:val="-5"/>
        </w:rPr>
        <w:t>整体来看，通过扩大生态合作、标准制定、渠道拓展、行业纵深、培训赋能等手段，在市场中持续保持国产软件基础设</w:t>
      </w:r>
    </w:p>
    <w:p>
      <w:pPr>
        <w:pStyle w:val="BodyText"/>
        <w:spacing w:line="321" w:lineRule="auto" w:before="6"/>
        <w:ind w:right="1123"/>
        <w:jc w:val="left"/>
      </w:pPr>
      <w:r>
        <w:rPr>
          <w:spacing w:val="-4"/>
        </w:rPr>
        <w:t>施的第一品牌形象，报告期内基础软件合同额实现高速增长，其中政府、交通、通信、企业、军工行业合同额较上年度明显</w:t>
      </w:r>
      <w:r>
        <w:rPr>
          <w:spacing w:val="40"/>
        </w:rPr>
        <w:t> </w:t>
      </w:r>
      <w:r>
        <w:rPr>
          <w:spacing w:val="40"/>
        </w:rPr>
      </w:r>
      <w:r>
        <w:rPr/>
        <w:t>增长。</w:t>
      </w:r>
    </w:p>
    <w:p>
      <w:pPr>
        <w:pStyle w:val="BodyText"/>
        <w:spacing w:line="240" w:lineRule="auto" w:before="58"/>
        <w:ind w:left="513" w:right="0"/>
        <w:jc w:val="left"/>
      </w:pPr>
      <w:r>
        <w:rPr>
          <w:spacing w:val="-3"/>
        </w:rPr>
        <w:t>（</w:t>
      </w:r>
      <w:r>
        <w:rPr>
          <w:rFonts w:ascii="Times New Roman" w:hAnsi="Times New Roman" w:cs="Times New Roman" w:eastAsia="Times New Roman" w:hint="default"/>
          <w:spacing w:val="-3"/>
        </w:rPr>
        <w:t>1</w:t>
      </w:r>
      <w:r>
        <w:rPr>
          <w:spacing w:val="-3"/>
        </w:rPr>
        <w:t>）共享交换产品升级，市场不断拓展</w:t>
      </w:r>
    </w:p>
    <w:p>
      <w:pPr>
        <w:pStyle w:val="BodyText"/>
        <w:spacing w:line="312" w:lineRule="auto" w:before="97"/>
        <w:ind w:right="1123" w:firstLine="360"/>
        <w:jc w:val="left"/>
      </w:pPr>
      <w:r>
        <w:rPr>
          <w:rFonts w:ascii="Times New Roman" w:hAnsi="Times New Roman" w:cs="Times New Roman" w:eastAsia="Times New Roman" w:hint="default"/>
          <w:spacing w:val="-3"/>
        </w:rPr>
        <w:t>TongDXP</w:t>
      </w:r>
      <w:r>
        <w:rPr>
          <w:spacing w:val="-3"/>
        </w:rPr>
        <w:t>产品通过围绕性能、功能、安全和易用四个主题所展开的持续改进，帮助客户显著提高了在数据交换管理方</w:t>
      </w:r>
      <w:r>
        <w:rPr>
          <w:w w:val="101"/>
        </w:rPr>
        <w:t> </w:t>
      </w:r>
      <w:r>
        <w:rPr>
          <w:spacing w:val="-3"/>
        </w:rPr>
        <w:t>面的工作成效。在国家信息中心数据交换项目，实现了国家</w:t>
      </w:r>
      <w:r>
        <w:rPr>
          <w:rFonts w:ascii="Times New Roman" w:hAnsi="Times New Roman" w:cs="Times New Roman" w:eastAsia="Times New Roman" w:hint="default"/>
          <w:spacing w:val="-3"/>
        </w:rPr>
        <w:t>-</w:t>
      </w:r>
      <w:r>
        <w:rPr>
          <w:spacing w:val="-3"/>
        </w:rPr>
        <w:t>省</w:t>
      </w:r>
      <w:r>
        <w:rPr>
          <w:rFonts w:ascii="Times New Roman" w:hAnsi="Times New Roman" w:cs="Times New Roman" w:eastAsia="Times New Roman" w:hint="default"/>
          <w:spacing w:val="-3"/>
        </w:rPr>
        <w:t>-</w:t>
      </w:r>
      <w:r>
        <w:rPr>
          <w:spacing w:val="-3"/>
        </w:rPr>
        <w:t>市三级的复杂交换体系构建。国密算法的加入对全国各领域</w:t>
      </w:r>
      <w:r>
        <w:rPr>
          <w:spacing w:val="51"/>
        </w:rPr>
        <w:t> </w:t>
      </w:r>
      <w:r>
        <w:rPr>
          <w:spacing w:val="51"/>
        </w:rPr>
      </w:r>
      <w:r>
        <w:rPr>
          <w:spacing w:val="-4"/>
        </w:rPr>
        <w:t>的数据交换工作起到了引领和示范作用。主动运维和核查对账功能的加入，改变了以往业务被问题追着跑的窘境，显著提升</w:t>
      </w:r>
      <w:r>
        <w:rPr>
          <w:spacing w:val="44"/>
        </w:rPr>
        <w:t> </w:t>
      </w:r>
      <w:r>
        <w:rPr>
          <w:spacing w:val="44"/>
        </w:rPr>
      </w:r>
      <w:r>
        <w:rPr>
          <w:spacing w:val="-4"/>
        </w:rPr>
        <w:t>了各部门、各垂直业务领域对交换网络的工作效率及信任程度。通过对分布式数据库的支持，助力上海大数据项目实现了结</w:t>
      </w:r>
      <w:r>
        <w:rPr>
          <w:spacing w:val="43"/>
        </w:rPr>
        <w:t> </w:t>
      </w:r>
      <w:r>
        <w:rPr>
          <w:spacing w:val="43"/>
        </w:rPr>
      </w:r>
      <w:r>
        <w:rPr>
          <w:spacing w:val="-4"/>
        </w:rPr>
        <w:t>构化、半结构化、非结构化数据的归集入湖处理。本报告期内持续进行全国范围的政务信息共享平台跟踪并取得成效，分别</w:t>
      </w:r>
      <w:r>
        <w:rPr>
          <w:spacing w:val="40"/>
        </w:rPr>
        <w:t> </w:t>
      </w:r>
      <w:r>
        <w:rPr>
          <w:spacing w:val="40"/>
        </w:rPr>
      </w:r>
      <w:r>
        <w:rPr>
          <w:spacing w:val="-4"/>
        </w:rPr>
        <w:t>在中央部委及各省地市持续签约，部委级客户有交通运输部、中国民用航空局、国家体育总局等，地方客户有上海青浦、四</w:t>
      </w:r>
      <w:r>
        <w:rPr>
          <w:spacing w:val="40"/>
        </w:rPr>
        <w:t> </w:t>
      </w:r>
      <w:r>
        <w:rPr>
          <w:spacing w:val="40"/>
        </w:rPr>
      </w:r>
      <w:r>
        <w:rPr>
          <w:spacing w:val="-3"/>
        </w:rPr>
        <w:t>川乐山、山西阳泉及忻州等地。</w:t>
      </w:r>
    </w:p>
    <w:p>
      <w:pPr>
        <w:pStyle w:val="BodyText"/>
        <w:spacing w:line="338" w:lineRule="auto" w:before="61"/>
        <w:ind w:left="513" w:right="0"/>
        <w:jc w:val="left"/>
      </w:pPr>
      <w:r>
        <w:rPr/>
        <w:t>（</w:t>
      </w:r>
      <w:r>
        <w:rPr>
          <w:rFonts w:ascii="Times New Roman" w:hAnsi="Times New Roman" w:cs="Times New Roman" w:eastAsia="Times New Roman" w:hint="default"/>
        </w:rPr>
        <w:t>2</w:t>
      </w:r>
      <w:r>
        <w:rPr/>
        <w:t>）重点行业领域取得突破</w:t>
      </w:r>
      <w:r>
        <w:rPr>
          <w:spacing w:val="-85"/>
        </w:rPr>
        <w:t> </w:t>
      </w:r>
      <w:r>
        <w:rPr>
          <w:spacing w:val="-85"/>
        </w:rPr>
      </w:r>
      <w:r>
        <w:rPr>
          <w:spacing w:val="-3"/>
        </w:rPr>
        <w:t>电信行业，依托东方通在政府行业的经验优势，与多地运营商达成战略合作协议或入围</w:t>
      </w:r>
      <w:r>
        <w:rPr>
          <w:rFonts w:ascii="Times New Roman" w:hAnsi="Times New Roman" w:cs="Times New Roman" w:eastAsia="Times New Roman" w:hint="default"/>
          <w:spacing w:val="-3"/>
        </w:rPr>
        <w:t>ICT</w:t>
      </w:r>
      <w:r>
        <w:rPr>
          <w:spacing w:val="-3"/>
        </w:rPr>
        <w:t>合作伙伴，并就具体项目开</w:t>
      </w:r>
    </w:p>
    <w:p>
      <w:pPr>
        <w:pStyle w:val="BodyText"/>
        <w:spacing w:line="230" w:lineRule="exact"/>
        <w:ind w:right="0"/>
        <w:jc w:val="left"/>
      </w:pPr>
      <w:r>
        <w:rPr>
          <w:spacing w:val="-4"/>
        </w:rPr>
        <w:t>展了实质性的合作，成功签约了中国移动</w:t>
      </w:r>
      <w:r>
        <w:rPr>
          <w:rFonts w:ascii="Times New Roman" w:hAnsi="Times New Roman" w:cs="Times New Roman" w:eastAsia="Times New Roman" w:hint="default"/>
          <w:spacing w:val="-4"/>
        </w:rPr>
        <w:t>ERP</w:t>
      </w:r>
      <w:r>
        <w:rPr>
          <w:spacing w:val="-4"/>
        </w:rPr>
        <w:t>财务集中化、中移动信息综合应用平台集中化三期等项目，在移动信息集中化</w:t>
      </w:r>
    </w:p>
    <w:p>
      <w:pPr>
        <w:pStyle w:val="BodyText"/>
        <w:spacing w:line="352" w:lineRule="auto" w:before="67"/>
        <w:ind w:left="513" w:right="0" w:hanging="360"/>
        <w:jc w:val="left"/>
      </w:pPr>
      <w:r>
        <w:rPr>
          <w:spacing w:val="-3"/>
        </w:rPr>
        <w:t>战略转型中具有很强的示范效果，为后续的业务开拓奠定了良好基础。</w:t>
      </w:r>
      <w:r>
        <w:rPr>
          <w:spacing w:val="2"/>
        </w:rPr>
        <w:t> </w:t>
      </w:r>
      <w:r>
        <w:rPr>
          <w:spacing w:val="2"/>
        </w:rPr>
      </w:r>
      <w:r>
        <w:rPr>
          <w:spacing w:val="-3"/>
        </w:rPr>
        <w:t>金融行业，经过多年在金融行业的积累，东方通中间件产品已经覆盖人行、六大行、</w:t>
      </w:r>
      <w:r>
        <w:rPr>
          <w:rFonts w:ascii="Times New Roman" w:hAnsi="Times New Roman" w:cs="Times New Roman" w:eastAsia="Times New Roman" w:hint="default"/>
          <w:spacing w:val="-3"/>
        </w:rPr>
        <w:t>300</w:t>
      </w:r>
      <w:r>
        <w:rPr>
          <w:spacing w:val="-3"/>
        </w:rPr>
        <w:t>多家各地银行、近百家财务公</w:t>
      </w:r>
    </w:p>
    <w:p>
      <w:pPr>
        <w:pStyle w:val="BodyText"/>
        <w:spacing w:line="209" w:lineRule="exact"/>
        <w:ind w:right="0"/>
        <w:jc w:val="left"/>
      </w:pPr>
      <w:r>
        <w:rPr>
          <w:spacing w:val="-3"/>
        </w:rPr>
        <w:t>司，产品、服务经受住了金融行业高标准的挑战，成为国产中间件的首选品牌。</w:t>
      </w:r>
    </w:p>
    <w:p>
      <w:pPr>
        <w:pStyle w:val="BodyText"/>
        <w:spacing w:line="343" w:lineRule="auto" w:before="115"/>
        <w:ind w:left="513" w:right="6287"/>
        <w:jc w:val="left"/>
      </w:pPr>
      <w:r>
        <w:rPr/>
        <w:t>（</w:t>
      </w:r>
      <w:r>
        <w:rPr>
          <w:rFonts w:ascii="Times New Roman" w:hAnsi="Times New Roman" w:cs="Times New Roman" w:eastAsia="Times New Roman" w:hint="default"/>
        </w:rPr>
        <w:t>3</w:t>
      </w:r>
      <w:r>
        <w:rPr/>
        <w:t>）新业务形态拓展</w:t>
      </w:r>
      <w:r>
        <w:rPr>
          <w:spacing w:val="-88"/>
        </w:rPr>
        <w:t> </w:t>
      </w:r>
      <w:r>
        <w:rPr>
          <w:spacing w:val="-88"/>
        </w:rPr>
      </w:r>
      <w:r>
        <w:rPr>
          <w:spacing w:val="-3"/>
        </w:rPr>
        <w:t>报告期内，创新业务各方面都取得了一定的成效：</w:t>
      </w:r>
    </w:p>
    <w:p>
      <w:pPr>
        <w:pStyle w:val="BodyText"/>
        <w:spacing w:line="360" w:lineRule="auto" w:before="37"/>
        <w:ind w:left="513" w:right="0"/>
        <w:jc w:val="left"/>
      </w:pPr>
      <w:r>
        <w:rPr>
          <w:spacing w:val="-3"/>
        </w:rPr>
        <w:t>模式创新：在产品销售模式基础上，丰富了行业解决方案、生态共建，为客户提供更好的定制化产品和服务；</w:t>
      </w:r>
      <w:r>
        <w:rPr>
          <w:spacing w:val="50"/>
        </w:rPr>
        <w:t> </w:t>
      </w:r>
      <w:r>
        <w:rPr>
          <w:spacing w:val="50"/>
        </w:rPr>
      </w:r>
      <w:r>
        <w:rPr>
          <w:spacing w:val="-3"/>
        </w:rPr>
        <w:t>业务创新：参与更多的业务领域，如城市大脑、智慧社区、智慧党建、智慧政务等行业解决方案；</w:t>
      </w:r>
      <w:r>
        <w:rPr>
          <w:spacing w:val="37"/>
        </w:rPr>
        <w:t> </w:t>
      </w:r>
      <w:r>
        <w:rPr>
          <w:spacing w:val="37"/>
        </w:rPr>
      </w:r>
      <w:r>
        <w:rPr>
          <w:spacing w:val="-3"/>
        </w:rPr>
        <w:t>产品创新：在移动中间件、负载均衡、数据安全等方面深度定制和打造出具有行业竞争力的产品。</w:t>
      </w:r>
    </w:p>
    <w:p>
      <w:pPr>
        <w:pStyle w:val="BodyText"/>
        <w:spacing w:line="333" w:lineRule="auto" w:before="25"/>
        <w:ind w:left="513" w:right="0"/>
        <w:jc w:val="left"/>
      </w:pPr>
      <w:r>
        <w:rPr/>
        <w:t>（</w:t>
      </w:r>
      <w:r>
        <w:rPr>
          <w:rFonts w:ascii="Times New Roman" w:hAnsi="Times New Roman" w:cs="Times New Roman" w:eastAsia="Times New Roman" w:hint="default"/>
        </w:rPr>
        <w:t>4</w:t>
      </w:r>
      <w:r>
        <w:rPr/>
        <w:t>）渠道营销机制</w:t>
      </w:r>
      <w:r>
        <w:rPr>
          <w:spacing w:val="-85"/>
        </w:rPr>
        <w:t> </w:t>
      </w:r>
      <w:r>
        <w:rPr>
          <w:spacing w:val="-85"/>
        </w:rPr>
      </w:r>
      <w:r>
        <w:rPr>
          <w:spacing w:val="-5"/>
        </w:rPr>
        <w:t>完善并健全渠道管理机制，与近百家企业签署合作协议，建立紧密伙伴合作关系；同时加强合作伙伴管理，构建认证及</w:t>
      </w:r>
    </w:p>
    <w:p>
      <w:pPr>
        <w:pStyle w:val="BodyText"/>
        <w:spacing w:line="240" w:lineRule="auto" w:before="11"/>
        <w:ind w:right="0"/>
        <w:jc w:val="left"/>
      </w:pPr>
      <w:r>
        <w:rPr>
          <w:spacing w:val="-3"/>
        </w:rPr>
        <w:t>赋能体系，支撑业务覆盖力度。</w:t>
      </w:r>
    </w:p>
    <w:p>
      <w:pPr>
        <w:pStyle w:val="BodyText"/>
        <w:spacing w:line="240" w:lineRule="auto" w:before="119"/>
        <w:ind w:left="513" w:right="0"/>
        <w:jc w:val="left"/>
      </w:pPr>
      <w:r>
        <w:rPr>
          <w:rFonts w:ascii="Times New Roman" w:hAnsi="Times New Roman" w:cs="Times New Roman" w:eastAsia="Times New Roman" w:hint="default"/>
        </w:rPr>
        <w:t>2</w:t>
      </w:r>
      <w:r>
        <w:rPr/>
        <w:t>、行业安全板块业务</w:t>
      </w:r>
    </w:p>
    <w:p>
      <w:pPr>
        <w:pStyle w:val="BodyText"/>
        <w:spacing w:line="240" w:lineRule="auto" w:before="101"/>
        <w:ind w:left="513" w:right="0"/>
        <w:jc w:val="left"/>
      </w:pPr>
      <w:r>
        <w:rPr/>
        <w:t>（</w:t>
      </w:r>
      <w:r>
        <w:rPr>
          <w:rFonts w:ascii="Times New Roman" w:hAnsi="Times New Roman" w:cs="Times New Roman" w:eastAsia="Times New Roman" w:hint="default"/>
        </w:rPr>
        <w:t>1</w:t>
      </w:r>
      <w:r>
        <w:rPr/>
        <w:t>）大数据信息安全</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right="0" w:firstLine="360"/>
        <w:jc w:val="left"/>
      </w:pPr>
      <w:r>
        <w:rPr>
          <w:spacing w:val="-4"/>
        </w:rPr>
        <w:t>报告期内，公司继续拓展运营商业务市场并成效显著，巩固了传统优势领域的领先地位。公司产品通过了数据中心联盟</w:t>
      </w:r>
      <w:r>
        <w:rPr>
          <w:w w:val="101"/>
        </w:rPr>
        <w:t> </w:t>
      </w:r>
      <w:r>
        <w:rPr>
          <w:spacing w:val="-3"/>
        </w:rPr>
        <w:t>网络治理能力工作组主持开展的内容识别服务系统评估测试工作，成绩领先，评测结果也将与中国人工智能产业发展联盟</w:t>
      </w:r>
    </w:p>
    <w:p>
      <w:pPr>
        <w:pStyle w:val="BodyText"/>
        <w:spacing w:line="304" w:lineRule="auto" w:before="19"/>
        <w:ind w:right="0"/>
        <w:jc w:val="left"/>
      </w:pPr>
      <w:r>
        <w:rPr>
          <w:spacing w:val="-3"/>
        </w:rPr>
        <w:t>（</w:t>
      </w:r>
      <w:r>
        <w:rPr>
          <w:rFonts w:ascii="Times New Roman" w:hAnsi="Times New Roman" w:cs="Times New Roman" w:eastAsia="Times New Roman" w:hint="default"/>
          <w:spacing w:val="-3"/>
        </w:rPr>
        <w:t>AIIA</w:t>
      </w:r>
      <w:r>
        <w:rPr>
          <w:spacing w:val="-3"/>
        </w:rPr>
        <w:t>）共享互认。同时，在安全服务方面取得突破，成功拓展了北京电信、广西移动、甘肃移动、湖北移动等新客户，</w:t>
      </w:r>
      <w:r>
        <w:rPr>
          <w:spacing w:val="69"/>
        </w:rPr>
        <w:t> </w:t>
      </w:r>
      <w:r>
        <w:rPr>
          <w:spacing w:val="69"/>
        </w:rPr>
      </w:r>
      <w:r>
        <w:rPr>
          <w:spacing w:val="-3"/>
        </w:rPr>
        <w:t>安全服务业务在多个省级运营商成功部署。</w:t>
      </w:r>
    </w:p>
    <w:p>
      <w:pPr>
        <w:pStyle w:val="BodyText"/>
        <w:spacing w:line="309" w:lineRule="auto" w:before="61"/>
        <w:ind w:right="0" w:firstLine="360"/>
        <w:jc w:val="left"/>
      </w:pPr>
      <w:r>
        <w:rPr>
          <w:spacing w:val="-4"/>
        </w:rPr>
        <w:t>公司利用自身在信息采集识别方面的技术积累，长期致力于信息安全产业健康发展，营造良好的市场环境，并受到用户</w:t>
      </w:r>
      <w:r>
        <w:rPr>
          <w:w w:val="101"/>
        </w:rPr>
        <w:t> </w:t>
      </w:r>
      <w:r>
        <w:rPr>
          <w:spacing w:val="-4"/>
        </w:rPr>
        <w:t>和行业组织的充分认可。先后收到来自北京移动、宁夏电信、上海移动、上海联通、上海电信、天津移动、云南电信、江苏</w:t>
      </w:r>
      <w:r>
        <w:rPr>
          <w:spacing w:val="40"/>
        </w:rPr>
        <w:t> </w:t>
      </w:r>
      <w:r>
        <w:rPr>
          <w:spacing w:val="40"/>
        </w:rPr>
      </w:r>
      <w:r>
        <w:rPr>
          <w:spacing w:val="-6"/>
        </w:rPr>
        <w:t>电信、山西电信、青海电信和云南电信等十多件</w:t>
      </w:r>
      <w:r>
        <w:rPr>
          <w:rFonts w:ascii="Times New Roman" w:hAnsi="Times New Roman" w:cs="Times New Roman" w:eastAsia="Times New Roman" w:hint="default"/>
          <w:spacing w:val="-6"/>
        </w:rPr>
        <w:t>2019</w:t>
      </w:r>
      <w:r>
        <w:rPr>
          <w:spacing w:val="-6"/>
        </w:rPr>
        <w:t>年安全保障工作《最佳合作伙伴》的荣誉证书、重要活动保障的感谢信、</w:t>
      </w:r>
      <w:r>
        <w:rPr>
          <w:spacing w:val="-5"/>
        </w:rPr>
        <w:t> </w:t>
      </w:r>
      <w:r>
        <w:rPr>
          <w:spacing w:val="-5"/>
        </w:rPr>
      </w:r>
      <w:r>
        <w:rPr>
          <w:rFonts w:ascii="Times New Roman" w:hAnsi="Times New Roman" w:cs="Times New Roman" w:eastAsia="Times New Roman" w:hint="default"/>
          <w:spacing w:val="-3"/>
        </w:rPr>
        <w:t>IDC/ISP</w:t>
      </w:r>
      <w:r>
        <w:rPr>
          <w:spacing w:val="-3"/>
        </w:rPr>
        <w:t>信息安全管理系统及移动互联网恶意程序建设与考核工作的表扬信，对公司严谨的工作作风、高效的工作效率和热</w:t>
      </w:r>
      <w:r>
        <w:rPr>
          <w:spacing w:val="76"/>
        </w:rPr>
        <w:t> </w:t>
      </w:r>
      <w:r>
        <w:rPr>
          <w:spacing w:val="76"/>
        </w:rPr>
      </w:r>
      <w:r>
        <w:rPr>
          <w:spacing w:val="-3"/>
        </w:rPr>
        <w:t>情的服务态度给予了高度认可。</w:t>
      </w:r>
    </w:p>
    <w:p>
      <w:pPr>
        <w:pStyle w:val="BodyText"/>
        <w:spacing w:line="333" w:lineRule="auto" w:before="68"/>
        <w:ind w:left="513" w:right="0"/>
        <w:jc w:val="left"/>
      </w:pPr>
      <w:r>
        <w:rPr/>
        <w:t>（</w:t>
      </w:r>
      <w:r>
        <w:rPr>
          <w:rFonts w:ascii="Times New Roman" w:hAnsi="Times New Roman" w:cs="Times New Roman" w:eastAsia="Times New Roman" w:hint="default"/>
        </w:rPr>
        <w:t>2</w:t>
      </w:r>
      <w:r>
        <w:rPr/>
        <w:t>）通信业务安全</w:t>
      </w:r>
      <w:r>
        <w:rPr>
          <w:spacing w:val="-85"/>
        </w:rPr>
        <w:t> </w:t>
      </w:r>
      <w:r>
        <w:rPr>
          <w:spacing w:val="-85"/>
        </w:rPr>
      </w:r>
      <w:r>
        <w:rPr>
          <w:spacing w:val="-4"/>
        </w:rPr>
        <w:t>报告期内，公司参加了工信部</w:t>
      </w:r>
      <w:r>
        <w:rPr>
          <w:rFonts w:ascii="Times New Roman" w:hAnsi="Times New Roman" w:cs="Times New Roman" w:eastAsia="Times New Roman" w:hint="default"/>
          <w:spacing w:val="-4"/>
        </w:rPr>
        <w:t>“</w:t>
      </w:r>
      <w:r>
        <w:rPr>
          <w:spacing w:val="-4"/>
        </w:rPr>
        <w:t>互联网及电信用户权益保护和服务质量监控平台升级改造项目</w:t>
      </w:r>
      <w:r>
        <w:rPr>
          <w:rFonts w:ascii="Times New Roman" w:hAnsi="Times New Roman" w:cs="Times New Roman" w:eastAsia="Times New Roman" w:hint="default"/>
          <w:spacing w:val="-4"/>
        </w:rPr>
        <w:t>”</w:t>
      </w:r>
      <w:r>
        <w:rPr>
          <w:spacing w:val="-4"/>
        </w:rPr>
        <w:t>的招投标，并成功中标标</w:t>
      </w:r>
    </w:p>
    <w:p>
      <w:pPr>
        <w:pStyle w:val="BodyText"/>
        <w:spacing w:line="234" w:lineRule="exact"/>
        <w:ind w:right="0"/>
        <w:jc w:val="left"/>
      </w:pPr>
      <w:r>
        <w:rPr>
          <w:spacing w:val="-4"/>
        </w:rPr>
        <w:t>包</w:t>
      </w:r>
      <w:r>
        <w:rPr>
          <w:rFonts w:ascii="Times New Roman" w:hAnsi="Times New Roman" w:cs="Times New Roman" w:eastAsia="Times New Roman" w:hint="default"/>
          <w:spacing w:val="-4"/>
        </w:rPr>
        <w:t>5</w:t>
      </w:r>
      <w:r>
        <w:rPr>
          <w:spacing w:val="-4"/>
        </w:rPr>
        <w:t>：网络不良信息全网联动治理子平台</w:t>
      </w:r>
      <w:r>
        <w:rPr>
          <w:rFonts w:ascii="Times New Roman" w:hAnsi="Times New Roman" w:cs="Times New Roman" w:eastAsia="Times New Roman" w:hint="default"/>
          <w:spacing w:val="-4"/>
        </w:rPr>
        <w:t>-</w:t>
      </w:r>
      <w:r>
        <w:rPr>
          <w:spacing w:val="-4"/>
        </w:rPr>
        <w:t>网络诈骗治理技术能力（精准外呼加密过滤系统搭建及不良信息共享处置平台分析</w:t>
      </w:r>
    </w:p>
    <w:p>
      <w:pPr>
        <w:pStyle w:val="BodyText"/>
        <w:spacing w:line="312" w:lineRule="auto" w:before="63"/>
        <w:ind w:right="1123"/>
        <w:jc w:val="left"/>
      </w:pPr>
      <w:r>
        <w:rPr>
          <w:spacing w:val="-4"/>
        </w:rPr>
        <w:t>能力优化）。本项目将助力客户搭建精准外呼加密过滤系统，通过登记用户接听电话意愿，结合企业白、黑、灰名单相关数</w:t>
      </w:r>
      <w:r>
        <w:rPr>
          <w:spacing w:val="41"/>
        </w:rPr>
        <w:t> </w:t>
      </w:r>
      <w:r>
        <w:rPr>
          <w:spacing w:val="41"/>
        </w:rPr>
      </w:r>
      <w:r>
        <w:rPr>
          <w:spacing w:val="-4"/>
        </w:rPr>
        <w:t>据管理与共享机制，实现商业营销类电话规范拨打、恶意骚扰和违法犯罪类电话明显减少的目标。同时对不良信息共享处置</w:t>
      </w:r>
      <w:r>
        <w:rPr>
          <w:spacing w:val="43"/>
        </w:rPr>
        <w:t> </w:t>
      </w:r>
      <w:r>
        <w:rPr>
          <w:spacing w:val="43"/>
        </w:rPr>
      </w:r>
      <w:r>
        <w:rPr>
          <w:spacing w:val="-6"/>
        </w:rPr>
        <w:t>平台分析能力进行优化，重点优化短链接违规内容检测与发现功能，以</w:t>
      </w:r>
      <w:r>
        <w:rPr>
          <w:rFonts w:ascii="Times New Roman" w:hAnsi="Times New Roman" w:cs="Times New Roman" w:eastAsia="Times New Roman" w:hint="default"/>
          <w:spacing w:val="-6"/>
        </w:rPr>
        <w:t>“</w:t>
      </w:r>
      <w:r>
        <w:rPr>
          <w:spacing w:val="-6"/>
        </w:rPr>
        <w:t>大数据安全分析、人工智能技术</w:t>
      </w:r>
      <w:r>
        <w:rPr>
          <w:rFonts w:ascii="Times New Roman" w:hAnsi="Times New Roman" w:cs="Times New Roman" w:eastAsia="Times New Roman" w:hint="default"/>
          <w:spacing w:val="-6"/>
        </w:rPr>
        <w:t>”</w:t>
      </w:r>
      <w:r>
        <w:rPr>
          <w:spacing w:val="-6"/>
        </w:rPr>
        <w:t>为核心，更加主动、</w:t>
      </w:r>
      <w:r>
        <w:rPr>
          <w:spacing w:val="3"/>
        </w:rPr>
        <w:t> </w:t>
      </w:r>
      <w:r>
        <w:rPr>
          <w:spacing w:val="3"/>
        </w:rPr>
      </w:r>
      <w:r>
        <w:rPr>
          <w:spacing w:val="-4"/>
        </w:rPr>
        <w:t>智能的发现识别各种违法违规恶意网站。系统通过分层分级规划，实现前后端分离，保证前端应用灵活性和后端服务的稳定</w:t>
      </w:r>
      <w:r>
        <w:rPr>
          <w:spacing w:val="43"/>
        </w:rPr>
        <w:t> </w:t>
      </w:r>
      <w:r>
        <w:rPr>
          <w:spacing w:val="43"/>
        </w:rPr>
      </w:r>
      <w:r>
        <w:rPr>
          <w:spacing w:val="-4"/>
        </w:rPr>
        <w:t>性，构建标准化的服务中心层为各个应用平台提供统一的服务，实现业务与</w:t>
      </w:r>
      <w:r>
        <w:rPr>
          <w:rFonts w:ascii="Times New Roman" w:hAnsi="Times New Roman" w:cs="Times New Roman" w:eastAsia="Times New Roman" w:hint="default"/>
          <w:spacing w:val="-4"/>
        </w:rPr>
        <w:t>IT</w:t>
      </w:r>
      <w:r>
        <w:rPr>
          <w:spacing w:val="-4"/>
        </w:rPr>
        <w:t>能力沉淀，核心能力共享，为后续产品推广奠</w:t>
      </w:r>
      <w:r>
        <w:rPr>
          <w:spacing w:val="56"/>
        </w:rPr>
        <w:t> </w:t>
      </w:r>
      <w:r>
        <w:rPr>
          <w:spacing w:val="56"/>
        </w:rPr>
      </w:r>
      <w:r>
        <w:rPr/>
        <w:t>定坚实基础。</w:t>
      </w:r>
    </w:p>
    <w:p>
      <w:pPr>
        <w:pStyle w:val="BodyText"/>
        <w:spacing w:line="338" w:lineRule="auto" w:before="61"/>
        <w:ind w:left="513" w:right="0"/>
        <w:jc w:val="left"/>
      </w:pPr>
      <w:r>
        <w:rPr/>
        <w:t>（</w:t>
      </w:r>
      <w:r>
        <w:rPr>
          <w:rFonts w:ascii="Times New Roman" w:hAnsi="Times New Roman" w:cs="Times New Roman" w:eastAsia="Times New Roman" w:hint="default"/>
        </w:rPr>
        <w:t>3</w:t>
      </w:r>
      <w:r>
        <w:rPr/>
        <w:t>）基础通信安全</w:t>
      </w:r>
      <w:r>
        <w:rPr>
          <w:spacing w:val="-85"/>
        </w:rPr>
        <w:t> </w:t>
      </w:r>
      <w:r>
        <w:rPr>
          <w:spacing w:val="-85"/>
        </w:rPr>
      </w:r>
      <w:r>
        <w:rPr>
          <w:spacing w:val="-6"/>
        </w:rPr>
        <w:t>报告期内，公司完成多项</w:t>
      </w:r>
      <w:r>
        <w:rPr>
          <w:rFonts w:ascii="Times New Roman" w:hAnsi="Times New Roman" w:cs="Times New Roman" w:eastAsia="Times New Roman" w:hint="default"/>
          <w:spacing w:val="-6"/>
        </w:rPr>
        <w:t>DNS</w:t>
      </w:r>
      <w:r>
        <w:rPr>
          <w:spacing w:val="-6"/>
        </w:rPr>
        <w:t>方向的重点技术攻关和重大工程交付。基于运营商</w:t>
      </w:r>
      <w:r>
        <w:rPr>
          <w:rFonts w:ascii="Times New Roman" w:hAnsi="Times New Roman" w:cs="Times New Roman" w:eastAsia="Times New Roman" w:hint="default"/>
          <w:spacing w:val="-6"/>
        </w:rPr>
        <w:t>CDN</w:t>
      </w:r>
      <w:r>
        <w:rPr>
          <w:spacing w:val="-6"/>
        </w:rPr>
        <w:t>下沉需要，完成全网</w:t>
      </w:r>
      <w:r>
        <w:rPr>
          <w:rFonts w:ascii="Times New Roman" w:hAnsi="Times New Roman" w:cs="Times New Roman" w:eastAsia="Times New Roman" w:hint="default"/>
          <w:spacing w:val="-6"/>
        </w:rPr>
        <w:t>ECS</w:t>
      </w:r>
      <w:r>
        <w:rPr>
          <w:spacing w:val="-6"/>
        </w:rPr>
        <w:t>功能升级；</w:t>
      </w:r>
    </w:p>
    <w:p>
      <w:pPr>
        <w:pStyle w:val="BodyText"/>
        <w:spacing w:line="230" w:lineRule="exact"/>
        <w:ind w:right="0"/>
        <w:jc w:val="left"/>
      </w:pPr>
      <w:r>
        <w:rPr>
          <w:spacing w:val="-3"/>
        </w:rPr>
        <w:t>基于国家互联网</w:t>
      </w:r>
      <w:r>
        <w:rPr>
          <w:rFonts w:ascii="Times New Roman" w:hAnsi="Times New Roman" w:cs="Times New Roman" w:eastAsia="Times New Roman" w:hint="default"/>
          <w:spacing w:val="-3"/>
        </w:rPr>
        <w:t>IPv6</w:t>
      </w:r>
      <w:r>
        <w:rPr>
          <w:spacing w:val="-3"/>
        </w:rPr>
        <w:t>推广要求，完成全国</w:t>
      </w:r>
      <w:r>
        <w:rPr>
          <w:rFonts w:ascii="Times New Roman" w:hAnsi="Times New Roman" w:cs="Times New Roman" w:eastAsia="Times New Roman" w:hint="default"/>
          <w:spacing w:val="-3"/>
        </w:rPr>
        <w:t>DNS</w:t>
      </w:r>
      <w:r>
        <w:rPr>
          <w:spacing w:val="-3"/>
        </w:rPr>
        <w:t>节点</w:t>
      </w:r>
      <w:r>
        <w:rPr>
          <w:rFonts w:ascii="Times New Roman" w:hAnsi="Times New Roman" w:cs="Times New Roman" w:eastAsia="Times New Roman" w:hint="default"/>
          <w:spacing w:val="-3"/>
        </w:rPr>
        <w:t>IPv6</w:t>
      </w:r>
      <w:r>
        <w:rPr>
          <w:spacing w:val="-3"/>
        </w:rPr>
        <w:t>全面升级，支持</w:t>
      </w:r>
      <w:r>
        <w:rPr>
          <w:rFonts w:ascii="Times New Roman" w:hAnsi="Times New Roman" w:cs="Times New Roman" w:eastAsia="Times New Roman" w:hint="default"/>
          <w:spacing w:val="-3"/>
        </w:rPr>
        <w:t>IPv6</w:t>
      </w:r>
      <w:r>
        <w:rPr>
          <w:spacing w:val="-3"/>
        </w:rPr>
        <w:t>及双栈服务；根据工信部要求，在各省运营商新</w:t>
      </w:r>
    </w:p>
    <w:p>
      <w:pPr>
        <w:pStyle w:val="BodyText"/>
        <w:spacing w:line="304" w:lineRule="auto" w:before="63"/>
        <w:ind w:right="0"/>
        <w:jc w:val="left"/>
      </w:pPr>
      <w:r>
        <w:rPr>
          <w:spacing w:val="-3"/>
        </w:rPr>
        <w:t>建根区副本系统，完成国密</w:t>
      </w:r>
      <w:r>
        <w:rPr>
          <w:rFonts w:ascii="Times New Roman" w:hAnsi="Times New Roman" w:cs="Times New Roman" w:eastAsia="Times New Roman" w:hint="default"/>
          <w:spacing w:val="-3"/>
        </w:rPr>
        <w:t>SM3</w:t>
      </w:r>
      <w:r>
        <w:rPr>
          <w:spacing w:val="-3"/>
        </w:rPr>
        <w:t>算法的加密认证。高性能</w:t>
      </w:r>
      <w:r>
        <w:rPr>
          <w:rFonts w:ascii="Times New Roman" w:hAnsi="Times New Roman" w:cs="Times New Roman" w:eastAsia="Times New Roman" w:hint="default"/>
          <w:spacing w:val="-3"/>
        </w:rPr>
        <w:t>DNS </w:t>
      </w:r>
      <w:r>
        <w:rPr>
          <w:rFonts w:ascii="Times New Roman" w:hAnsi="Times New Roman" w:cs="Times New Roman" w:eastAsia="Times New Roman" w:hint="default"/>
          <w:spacing w:val="-4"/>
        </w:rPr>
        <w:t>Recursor</w:t>
      </w:r>
      <w:r>
        <w:rPr>
          <w:spacing w:val="-4"/>
        </w:rPr>
        <w:t>，支持</w:t>
      </w:r>
      <w:r>
        <w:rPr>
          <w:rFonts w:ascii="Times New Roman" w:hAnsi="Times New Roman" w:cs="Times New Roman" w:eastAsia="Times New Roman" w:hint="default"/>
          <w:spacing w:val="-4"/>
        </w:rPr>
        <w:t>ECS-Only</w:t>
      </w:r>
      <w:r>
        <w:rPr>
          <w:spacing w:val="-4"/>
        </w:rPr>
        <w:t>，优化解析流程，根节点优化。目前</w:t>
      </w:r>
      <w:r>
        <w:rPr>
          <w:spacing w:val="-32"/>
        </w:rPr>
        <w:t> </w:t>
      </w:r>
      <w:r>
        <w:rPr>
          <w:spacing w:val="-32"/>
        </w:rPr>
      </w:r>
      <w:r>
        <w:rPr>
          <w:spacing w:val="-3"/>
        </w:rPr>
        <w:t>已在用户处开始部署，提高了产品稳定性和客户满意度，提升了系统安全性。</w:t>
      </w:r>
    </w:p>
    <w:p>
      <w:pPr>
        <w:pStyle w:val="BodyText"/>
        <w:spacing w:line="240" w:lineRule="auto" w:before="66"/>
        <w:ind w:left="513" w:right="0"/>
        <w:jc w:val="left"/>
      </w:pPr>
      <w:r>
        <w:rPr/>
        <w:t>（</w:t>
      </w:r>
      <w:r>
        <w:rPr>
          <w:rFonts w:ascii="Times New Roman" w:hAnsi="Times New Roman" w:cs="Times New Roman" w:eastAsia="Times New Roman" w:hint="default"/>
        </w:rPr>
        <w:t>4</w:t>
      </w:r>
      <w:r>
        <w:rPr/>
        <w:t>）数据安全</w:t>
      </w:r>
    </w:p>
    <w:p>
      <w:pPr>
        <w:pStyle w:val="BodyText"/>
        <w:spacing w:line="312" w:lineRule="auto" w:before="97"/>
        <w:ind w:right="0" w:firstLine="360"/>
        <w:jc w:val="left"/>
      </w:pPr>
      <w:r>
        <w:rPr>
          <w:rFonts w:ascii="Times New Roman" w:hAnsi="Times New Roman" w:cs="Times New Roman" w:eastAsia="Times New Roman" w:hint="default"/>
          <w:spacing w:val="-6"/>
          <w:w w:val="101"/>
        </w:rPr>
        <w:t>2019</w:t>
      </w:r>
      <w:r>
        <w:rPr>
          <w:spacing w:val="-6"/>
          <w:w w:val="101"/>
        </w:rPr>
        <w:t>年，工信部相继出台了加强电信及互联网行业等数据安全管理的指导意见及专项行动，重点关注针对敏感信息发现、</w:t>
      </w:r>
      <w:r>
        <w:rPr>
          <w:w w:val="101"/>
        </w:rPr>
        <w:t> </w:t>
      </w:r>
      <w:r>
        <w:rPr>
          <w:spacing w:val="-6"/>
          <w:w w:val="101"/>
        </w:rPr>
        <w:t>数据泄露溯源及安全防护等方面。报告期内公司完成了敏感数据安全防护系统开发及行业解决方案设计，并应用于多个用户。</w:t>
      </w:r>
      <w:r>
        <w:rPr>
          <w:spacing w:val="-71"/>
          <w:w w:val="101"/>
        </w:rPr>
        <w:t> </w:t>
      </w:r>
      <w:r>
        <w:rPr>
          <w:spacing w:val="-71"/>
          <w:w w:val="101"/>
        </w:rPr>
      </w:r>
      <w:r>
        <w:rPr>
          <w:spacing w:val="-3"/>
        </w:rPr>
        <w:t>全资子公司微智信业成功中标中移物联网有限公司内网安全管控平台项目。该项目中，公司结合</w:t>
      </w:r>
      <w:r>
        <w:rPr>
          <w:rFonts w:ascii="Times New Roman" w:hAnsi="Times New Roman" w:cs="Times New Roman" w:eastAsia="Times New Roman" w:hint="default"/>
          <w:spacing w:val="-3"/>
        </w:rPr>
        <w:t>AI</w:t>
      </w:r>
      <w:r>
        <w:rPr>
          <w:spacing w:val="-3"/>
        </w:rPr>
        <w:t>、文本分析与语义挖掘、</w:t>
      </w:r>
      <w:r>
        <w:rPr>
          <w:spacing w:val="69"/>
        </w:rPr>
        <w:t> </w:t>
      </w:r>
      <w:r>
        <w:rPr>
          <w:spacing w:val="69"/>
        </w:rPr>
      </w:r>
      <w:r>
        <w:rPr>
          <w:spacing w:val="-4"/>
        </w:rPr>
        <w:t>信息安全等应用技术，助力客户全面提升物联网内网信息安全，保护物联网核心技术，避免核心数据泄露。此外，成功中标</w:t>
      </w:r>
      <w:r>
        <w:rPr>
          <w:spacing w:val="40"/>
        </w:rPr>
        <w:t> </w:t>
      </w:r>
      <w:r>
        <w:rPr>
          <w:spacing w:val="40"/>
        </w:rPr>
      </w:r>
      <w:r>
        <w:rPr>
          <w:spacing w:val="-4"/>
        </w:rPr>
        <w:t>上海联通数据安全治理咨询项目，提供高质量服务，帮助用户实现关键数据梳理、管理流程优化、组织机构建设，提出多项</w:t>
      </w:r>
      <w:r>
        <w:rPr>
          <w:spacing w:val="40"/>
        </w:rPr>
        <w:t> </w:t>
      </w:r>
      <w:r>
        <w:rPr>
          <w:spacing w:val="40"/>
        </w:rPr>
      </w:r>
      <w:r>
        <w:rPr>
          <w:spacing w:val="-3"/>
        </w:rPr>
        <w:t>数据安全整改建议，得到用户高度认可。</w:t>
      </w:r>
    </w:p>
    <w:p>
      <w:pPr>
        <w:pStyle w:val="BodyText"/>
        <w:spacing w:line="240" w:lineRule="auto" w:before="65"/>
        <w:ind w:left="513" w:right="0"/>
        <w:jc w:val="left"/>
      </w:pPr>
      <w:r>
        <w:rPr/>
        <w:t>（</w:t>
      </w:r>
      <w:r>
        <w:rPr>
          <w:rFonts w:ascii="Times New Roman" w:hAnsi="Times New Roman" w:cs="Times New Roman" w:eastAsia="Times New Roman" w:hint="default"/>
        </w:rPr>
        <w:t>5</w:t>
      </w:r>
      <w:r>
        <w:rPr/>
        <w:t>）应急安全</w:t>
      </w:r>
    </w:p>
    <w:p>
      <w:pPr>
        <w:pStyle w:val="BodyText"/>
        <w:spacing w:line="304" w:lineRule="auto" w:before="96"/>
        <w:ind w:right="0"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月，国家计算机网络应急技术处理协调中心（以下简称</w:t>
      </w:r>
      <w:r>
        <w:rPr>
          <w:rFonts w:ascii="Times New Roman" w:hAnsi="Times New Roman" w:cs="Times New Roman" w:eastAsia="Times New Roman" w:hint="default"/>
          <w:spacing w:val="-3"/>
        </w:rPr>
        <w:t>CNCERT/CC</w:t>
      </w:r>
      <w:r>
        <w:rPr>
          <w:spacing w:val="-3"/>
        </w:rPr>
        <w:t>）在北京举办了应急服务支撑单位改选会，</w:t>
      </w:r>
      <w:r>
        <w:rPr>
          <w:w w:val="101"/>
        </w:rPr>
        <w:t> </w:t>
      </w:r>
      <w:r>
        <w:rPr>
          <w:spacing w:val="-3"/>
        </w:rPr>
        <w:t>经过严格的选拔，公司全资子公司微智信业凭借在应急服务规范、应急服务保障、技术实力等优势，成功入选</w:t>
      </w:r>
      <w:r>
        <w:rPr>
          <w:rFonts w:ascii="Times New Roman" w:hAnsi="Times New Roman" w:cs="Times New Roman" w:eastAsia="Times New Roman" w:hint="default"/>
          <w:spacing w:val="-3"/>
        </w:rPr>
        <w:t>“</w:t>
      </w:r>
      <w:r>
        <w:rPr>
          <w:spacing w:val="-3"/>
        </w:rPr>
        <w:t>省级应急服</w:t>
      </w:r>
      <w:r>
        <w:rPr>
          <w:spacing w:val="66"/>
        </w:rPr>
        <w:t> </w:t>
      </w:r>
      <w:r>
        <w:rPr>
          <w:spacing w:val="66"/>
        </w:rPr>
      </w:r>
      <w:r>
        <w:rPr>
          <w:spacing w:val="-3"/>
        </w:rPr>
        <w:t>务支撑单位</w:t>
      </w:r>
      <w:r>
        <w:rPr>
          <w:rFonts w:ascii="Times New Roman" w:hAnsi="Times New Roman" w:cs="Times New Roman" w:eastAsia="Times New Roman" w:hint="default"/>
          <w:spacing w:val="-3"/>
        </w:rPr>
        <w:t>”</w:t>
      </w:r>
      <w:r>
        <w:rPr>
          <w:spacing w:val="-3"/>
        </w:rPr>
        <w:t>。应急服务支撑单位是国家公共互联网应急体系的重要组成部分，公司作为国内领先的大数据信息安全产品及</w:t>
      </w:r>
      <w:r>
        <w:rPr>
          <w:spacing w:val="65"/>
        </w:rPr>
        <w:t> </w:t>
      </w:r>
      <w:r>
        <w:rPr>
          <w:spacing w:val="65"/>
        </w:rPr>
      </w:r>
      <w:r>
        <w:rPr>
          <w:spacing w:val="-3"/>
        </w:rPr>
        <w:t>解决方案厂商，近年充分发挥通信、安全专业技术单位的优势，加强与</w:t>
      </w:r>
      <w:r>
        <w:rPr>
          <w:rFonts w:ascii="Times New Roman" w:hAnsi="Times New Roman" w:cs="Times New Roman" w:eastAsia="Times New Roman" w:hint="default"/>
          <w:spacing w:val="-3"/>
        </w:rPr>
        <w:t>CNCERT/CC</w:t>
      </w:r>
      <w:r>
        <w:rPr>
          <w:spacing w:val="-3"/>
        </w:rPr>
        <w:t>的沟通与配合，以应急通信指挥平台和</w:t>
      </w:r>
      <w:r>
        <w:rPr>
          <w:spacing w:val="71"/>
        </w:rPr>
        <w:t> </w:t>
      </w:r>
      <w:r>
        <w:rPr>
          <w:spacing w:val="71"/>
        </w:rPr>
      </w:r>
      <w:r>
        <w:rPr>
          <w:spacing w:val="-4"/>
        </w:rPr>
        <w:t>专业的安全技术专家队伍为依托，积极开展网络安全管理与技术方案咨询、网络安全信息收集报送、网络与信息安全风险评</w:t>
      </w:r>
      <w:r>
        <w:rPr>
          <w:spacing w:val="44"/>
        </w:rPr>
        <w:t> </w:t>
      </w:r>
      <w:r>
        <w:rPr>
          <w:spacing w:val="44"/>
        </w:rPr>
      </w:r>
      <w:r>
        <w:rPr>
          <w:spacing w:val="-3"/>
        </w:rPr>
        <w:t>估、新技术新业务风险巡查、安全事件应急响应服务等工作，保障社会经济稳定运行。</w:t>
      </w:r>
    </w:p>
    <w:p>
      <w:pPr>
        <w:pStyle w:val="BodyText"/>
        <w:spacing w:line="314" w:lineRule="auto" w:before="61"/>
        <w:ind w:right="0" w:firstLine="360"/>
        <w:jc w:val="left"/>
      </w:pPr>
      <w:r>
        <w:rPr>
          <w:spacing w:val="-4"/>
        </w:rPr>
        <w:t>报告期内，公司加入工业互联网产业联盟、应急通信产业联盟等联盟组织，并与中电系统建设工程有限公司和中电福富</w:t>
      </w:r>
      <w:r>
        <w:rPr>
          <w:w w:val="101"/>
        </w:rPr>
        <w:t> </w:t>
      </w:r>
      <w:r>
        <w:rPr>
          <w:spacing w:val="-3"/>
        </w:rPr>
        <w:t>信息科技有限公司签订应急产业市场战略合作协议，共同构建更智慧、更高效、更安全的应急系统，推动</w:t>
      </w:r>
      <w:r>
        <w:rPr>
          <w:rFonts w:ascii="Times New Roman" w:hAnsi="Times New Roman" w:cs="Times New Roman" w:eastAsia="Times New Roman" w:hint="default"/>
          <w:spacing w:val="-3"/>
        </w:rPr>
        <w:t>“</w:t>
      </w:r>
      <w:r>
        <w:rPr>
          <w:spacing w:val="-3"/>
        </w:rPr>
        <w:t>智慧应急</w:t>
      </w:r>
      <w:r>
        <w:rPr>
          <w:rFonts w:ascii="Times New Roman" w:hAnsi="Times New Roman" w:cs="Times New Roman" w:eastAsia="Times New Roman" w:hint="default"/>
          <w:spacing w:val="-3"/>
        </w:rPr>
        <w:t>”</w:t>
      </w:r>
      <w:r>
        <w:rPr>
          <w:spacing w:val="-3"/>
        </w:rPr>
        <w:t>建设。</w:t>
      </w:r>
      <w:r>
        <w:rPr>
          <w:spacing w:val="70"/>
        </w:rPr>
        <w:t> </w:t>
      </w:r>
      <w:r>
        <w:rPr>
          <w:spacing w:val="70"/>
        </w:rPr>
      </w:r>
      <w:r>
        <w:rPr>
          <w:spacing w:val="-4"/>
        </w:rPr>
        <w:t>公司的应急通信指挥系统、应急决策支持系统、应急卫星终端管理系统、应急大数据分析系统、应急综合服务平台等应急安</w:t>
      </w:r>
      <w:r>
        <w:rPr>
          <w:spacing w:val="40"/>
        </w:rPr>
        <w:t> </w:t>
      </w:r>
      <w:r>
        <w:rPr>
          <w:spacing w:val="40"/>
        </w:rPr>
      </w:r>
      <w:r>
        <w:rPr>
          <w:spacing w:val="-4"/>
        </w:rPr>
        <w:t>全类产品需求旺盛，功能不断丰富，应用广泛。公司深入研究应急业务特征库和应急信息数据交换要求，完善应急决策支持</w:t>
      </w:r>
      <w:r>
        <w:rPr>
          <w:spacing w:val="40"/>
        </w:rPr>
        <w:t> </w:t>
      </w:r>
      <w:r>
        <w:rPr>
          <w:spacing w:val="40"/>
        </w:rPr>
      </w:r>
      <w:r>
        <w:rPr>
          <w:spacing w:val="-3"/>
        </w:rPr>
        <w:t>信息库能力，建立对应急体系从中央到省市到区县基层单位的业务支持能力。</w:t>
      </w:r>
    </w:p>
    <w:p>
      <w:pPr>
        <w:pStyle w:val="BodyText"/>
        <w:spacing w:line="240" w:lineRule="auto" w:before="64"/>
        <w:ind w:left="513"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5G</w:t>
      </w:r>
      <w:r>
        <w:rPr/>
        <w:t>无线网络优化业务</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left="513"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月，工信部正式颁发</w:t>
      </w:r>
      <w:r>
        <w:rPr>
          <w:rFonts w:ascii="Times New Roman" w:hAnsi="Times New Roman" w:cs="Times New Roman" w:eastAsia="Times New Roman" w:hint="default"/>
          <w:spacing w:val="-3"/>
        </w:rPr>
        <w:t>5G</w:t>
      </w:r>
      <w:r>
        <w:rPr>
          <w:spacing w:val="-3"/>
        </w:rPr>
        <w:t>试商用牌照，标志着我国</w:t>
      </w:r>
      <w:r>
        <w:rPr>
          <w:rFonts w:ascii="Times New Roman" w:hAnsi="Times New Roman" w:cs="Times New Roman" w:eastAsia="Times New Roman" w:hint="default"/>
          <w:spacing w:val="-3"/>
        </w:rPr>
        <w:t>5G</w:t>
      </w:r>
      <w:r>
        <w:rPr>
          <w:spacing w:val="-3"/>
        </w:rPr>
        <w:t>商用推广正式开始，各运营商开始大力投入</w:t>
      </w:r>
      <w:r>
        <w:rPr>
          <w:rFonts w:ascii="Times New Roman" w:hAnsi="Times New Roman" w:cs="Times New Roman" w:eastAsia="Times New Roman" w:hint="default"/>
          <w:spacing w:val="-3"/>
        </w:rPr>
        <w:t>5G</w:t>
      </w:r>
      <w:r>
        <w:rPr>
          <w:spacing w:val="-3"/>
        </w:rPr>
        <w:t>网络建设，</w:t>
      </w:r>
    </w:p>
    <w:p>
      <w:pPr>
        <w:pStyle w:val="BodyText"/>
        <w:spacing w:line="333" w:lineRule="auto" w:before="67"/>
        <w:ind w:left="513" w:right="0" w:hanging="360"/>
        <w:jc w:val="left"/>
      </w:pPr>
      <w:r>
        <w:rPr>
          <w:rFonts w:ascii="Times New Roman" w:hAnsi="Times New Roman" w:cs="Times New Roman" w:eastAsia="Times New Roman" w:hint="default"/>
          <w:spacing w:val="-3"/>
        </w:rPr>
        <w:t>5G</w:t>
      </w:r>
      <w:r>
        <w:rPr>
          <w:spacing w:val="-3"/>
        </w:rPr>
        <w:t>时代正式来临。公司一直致力于</w:t>
      </w:r>
      <w:r>
        <w:rPr>
          <w:rFonts w:ascii="Times New Roman" w:hAnsi="Times New Roman" w:cs="Times New Roman" w:eastAsia="Times New Roman" w:hint="default"/>
          <w:spacing w:val="-3"/>
        </w:rPr>
        <w:t>5G</w:t>
      </w:r>
      <w:r>
        <w:rPr>
          <w:spacing w:val="-3"/>
        </w:rPr>
        <w:t>相关技术开发及应用研究，为</w:t>
      </w:r>
      <w:r>
        <w:rPr>
          <w:rFonts w:ascii="Times New Roman" w:hAnsi="Times New Roman" w:cs="Times New Roman" w:eastAsia="Times New Roman" w:hint="default"/>
          <w:spacing w:val="-3"/>
        </w:rPr>
        <w:t>5G</w:t>
      </w:r>
      <w:r>
        <w:rPr>
          <w:spacing w:val="-3"/>
        </w:rPr>
        <w:t>网络建设提供有力的产品和服务支撑。</w:t>
      </w:r>
      <w:r>
        <w:rPr>
          <w:spacing w:val="60"/>
        </w:rPr>
        <w:t> </w:t>
      </w:r>
      <w:r>
        <w:rPr>
          <w:spacing w:val="60"/>
        </w:rPr>
      </w:r>
      <w:r>
        <w:rPr>
          <w:spacing w:val="-3"/>
        </w:rPr>
        <w:t>报告期内，在</w:t>
      </w:r>
      <w:r>
        <w:rPr>
          <w:rFonts w:ascii="Times New Roman" w:hAnsi="Times New Roman" w:cs="Times New Roman" w:eastAsia="Times New Roman" w:hint="default"/>
          <w:spacing w:val="-3"/>
        </w:rPr>
        <w:t>5G</w:t>
      </w:r>
      <w:r>
        <w:rPr>
          <w:spacing w:val="-3"/>
        </w:rPr>
        <w:t>无线网络优化领域，完成基于</w:t>
      </w:r>
      <w:r>
        <w:rPr>
          <w:rFonts w:ascii="Times New Roman" w:hAnsi="Times New Roman" w:cs="Times New Roman" w:eastAsia="Times New Roman" w:hint="default"/>
          <w:spacing w:val="-3"/>
        </w:rPr>
        <w:t>5G</w:t>
      </w:r>
      <w:r>
        <w:rPr>
          <w:spacing w:val="-3"/>
        </w:rPr>
        <w:t>网络的路测产品开发工作，并于第二季度正式开始投放市场。依靠公</w:t>
      </w:r>
    </w:p>
    <w:p>
      <w:pPr>
        <w:pStyle w:val="BodyText"/>
        <w:spacing w:line="221" w:lineRule="exact"/>
        <w:ind w:right="0"/>
        <w:jc w:val="both"/>
      </w:pPr>
      <w:r>
        <w:rPr>
          <w:spacing w:val="-3"/>
        </w:rPr>
        <w:t>司领先的战略思路、雄厚的技术实力以及过硬的产品性能逐步在市场中站稳脚跟，陆续接到网络设备厂家及运营商的订单。</w:t>
      </w:r>
    </w:p>
    <w:p>
      <w:pPr>
        <w:pStyle w:val="BodyText"/>
        <w:spacing w:line="304" w:lineRule="auto" w:before="76"/>
        <w:ind w:right="1030"/>
        <w:jc w:val="both"/>
      </w:pPr>
      <w:r>
        <w:rPr>
          <w:spacing w:val="-6"/>
          <w:w w:val="101"/>
        </w:rPr>
        <w:t>下半年，公司成功中标中国移动研究院</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5G</w:t>
      </w:r>
      <w:r>
        <w:rPr>
          <w:spacing w:val="-6"/>
          <w:w w:val="101"/>
        </w:rPr>
        <w:t>商用仪器仪表采购项目标包</w:t>
      </w:r>
      <w:r>
        <w:rPr>
          <w:rFonts w:ascii="Times New Roman" w:hAnsi="Times New Roman" w:cs="Times New Roman" w:eastAsia="Times New Roman" w:hint="default"/>
          <w:spacing w:val="-6"/>
          <w:w w:val="101"/>
        </w:rPr>
        <w:t>6</w:t>
      </w:r>
      <w:r>
        <w:rPr>
          <w:spacing w:val="-6"/>
          <w:w w:val="101"/>
        </w:rPr>
        <w:t>：</w:t>
      </w:r>
      <w:r>
        <w:rPr>
          <w:rFonts w:ascii="Times New Roman" w:hAnsi="Times New Roman" w:cs="Times New Roman" w:eastAsia="Times New Roman" w:hint="default"/>
          <w:spacing w:val="-6"/>
          <w:w w:val="101"/>
        </w:rPr>
        <w:t>5G</w:t>
      </w:r>
      <w:r>
        <w:rPr>
          <w:rFonts w:ascii="Times New Roman" w:hAnsi="Times New Roman" w:cs="Times New Roman" w:eastAsia="Times New Roman" w:hint="default"/>
          <w:spacing w:val="-9"/>
          <w:w w:val="101"/>
        </w:rPr>
        <w:t> </w:t>
      </w:r>
      <w:r>
        <w:rPr>
          <w:rFonts w:ascii="Times New Roman" w:hAnsi="Times New Roman" w:cs="Times New Roman" w:eastAsia="Times New Roman" w:hint="default"/>
          <w:spacing w:val="-9"/>
          <w:w w:val="101"/>
        </w:rPr>
        <w:t>NR</w:t>
      </w:r>
      <w:r>
        <w:rPr>
          <w:spacing w:val="-9"/>
          <w:w w:val="101"/>
        </w:rPr>
        <w:t>和</w:t>
      </w:r>
      <w:r>
        <w:rPr>
          <w:rFonts w:ascii="Times New Roman" w:hAnsi="Times New Roman" w:cs="Times New Roman" w:eastAsia="Times New Roman" w:hint="default"/>
          <w:spacing w:val="-9"/>
          <w:w w:val="101"/>
        </w:rPr>
        <w:t>eMTC</w:t>
      </w:r>
      <w:r>
        <w:rPr>
          <w:spacing w:val="-9"/>
          <w:w w:val="101"/>
        </w:rPr>
        <w:t>路测软件（含</w:t>
      </w:r>
      <w:r>
        <w:rPr>
          <w:rFonts w:ascii="Times New Roman" w:hAnsi="Times New Roman" w:cs="Times New Roman" w:eastAsia="Times New Roman" w:hint="default"/>
          <w:spacing w:val="-9"/>
          <w:w w:val="101"/>
        </w:rPr>
        <w:t>eMTC</w:t>
      </w:r>
      <w:r>
        <w:rPr>
          <w:spacing w:val="-9"/>
          <w:w w:val="101"/>
        </w:rPr>
        <w:t>路测模组），</w:t>
      </w:r>
      <w:r>
        <w:rPr>
          <w:w w:val="101"/>
        </w:rPr>
        <w:t> </w:t>
      </w:r>
      <w:r>
        <w:rPr>
          <w:spacing w:val="-3"/>
        </w:rPr>
        <w:t>助力中国移动实现</w:t>
      </w:r>
      <w:r>
        <w:rPr>
          <w:rFonts w:ascii="Times New Roman" w:hAnsi="Times New Roman" w:cs="Times New Roman" w:eastAsia="Times New Roman" w:hint="default"/>
          <w:spacing w:val="-3"/>
        </w:rPr>
        <w:t>5G</w:t>
      </w:r>
      <w:r>
        <w:rPr>
          <w:spacing w:val="-3"/>
        </w:rPr>
        <w:t>领先战略。</w:t>
      </w:r>
    </w:p>
    <w:p>
      <w:pPr>
        <w:pStyle w:val="BodyText"/>
        <w:spacing w:line="304" w:lineRule="auto" w:before="47"/>
        <w:ind w:right="1184" w:firstLine="360"/>
        <w:jc w:val="both"/>
      </w:pPr>
      <w:r>
        <w:rPr>
          <w:spacing w:val="-3"/>
        </w:rPr>
        <w:t>在市场拓展取得进展的同时，公司不断跟进前沿技术，适配最新芯片的测试终端、针对</w:t>
      </w:r>
      <w:r>
        <w:rPr>
          <w:rFonts w:ascii="Times New Roman" w:hAnsi="Times New Roman" w:cs="Times New Roman" w:eastAsia="Times New Roman" w:hint="default"/>
          <w:spacing w:val="-3"/>
        </w:rPr>
        <w:t>5G</w:t>
      </w:r>
      <w:r>
        <w:rPr>
          <w:spacing w:val="-3"/>
        </w:rPr>
        <w:t>网络优化中的最新需求，不</w:t>
      </w:r>
      <w:r>
        <w:rPr>
          <w:w w:val="101"/>
        </w:rPr>
        <w:t> </w:t>
      </w:r>
      <w:r>
        <w:rPr>
          <w:spacing w:val="-3"/>
        </w:rPr>
        <w:t>断完善和提升产品功能、性能，得到用户的好评。</w:t>
      </w:r>
    </w:p>
    <w:p>
      <w:pPr>
        <w:pStyle w:val="BodyText"/>
        <w:spacing w:line="333" w:lineRule="auto" w:before="66"/>
        <w:ind w:left="513" w:right="0"/>
        <w:jc w:val="left"/>
      </w:pPr>
      <w:r>
        <w:rPr>
          <w:rFonts w:ascii="Times New Roman" w:hAnsi="Times New Roman" w:cs="Times New Roman" w:eastAsia="Times New Roman" w:hint="default"/>
          <w:spacing w:val="-3"/>
        </w:rPr>
        <w:t>3</w:t>
      </w:r>
      <w:r>
        <w:rPr>
          <w:spacing w:val="-3"/>
        </w:rPr>
        <w:t>、创新业务拓展取得可喜进展</w:t>
      </w:r>
      <w:r>
        <w:rPr>
          <w:spacing w:val="-46"/>
        </w:rPr>
        <w:t> </w:t>
      </w:r>
      <w:r>
        <w:rPr>
          <w:spacing w:val="-46"/>
        </w:rPr>
      </w:r>
      <w:r>
        <w:rPr>
          <w:spacing w:val="-4"/>
        </w:rPr>
        <w:t>报告期内，公司集合优秀骨干力量，基于现有技术和市场积累，积极探索工业互联网、数据融合、视频智能审计、智慧</w:t>
      </w:r>
    </w:p>
    <w:p>
      <w:pPr>
        <w:pStyle w:val="BodyText"/>
        <w:spacing w:line="240" w:lineRule="auto" w:before="11"/>
        <w:ind w:right="0"/>
        <w:jc w:val="both"/>
      </w:pPr>
      <w:r>
        <w:rPr>
          <w:spacing w:val="-3"/>
        </w:rPr>
        <w:t>法院等新行业领域、新兴技术方向的创新发展。业务包括：</w:t>
      </w:r>
    </w:p>
    <w:p>
      <w:pPr>
        <w:pStyle w:val="BodyText"/>
        <w:spacing w:line="333" w:lineRule="auto" w:before="119"/>
        <w:ind w:left="513" w:right="0"/>
        <w:jc w:val="left"/>
      </w:pPr>
      <w:r>
        <w:rPr>
          <w:spacing w:val="-3"/>
        </w:rPr>
        <w:t>（</w:t>
      </w:r>
      <w:r>
        <w:rPr>
          <w:rFonts w:ascii="Times New Roman" w:hAnsi="Times New Roman" w:cs="Times New Roman" w:eastAsia="Times New Roman" w:hint="default"/>
          <w:spacing w:val="-3"/>
        </w:rPr>
        <w:t>1</w:t>
      </w:r>
      <w:r>
        <w:rPr>
          <w:spacing w:val="-3"/>
        </w:rPr>
        <w:t>）拥抱</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，投入工业互联网的研发与创新发展，成功中标</w:t>
      </w:r>
      <w:r>
        <w:rPr>
          <w:rFonts w:ascii="Times New Roman" w:hAnsi="Times New Roman" w:cs="Times New Roman" w:eastAsia="Times New Roman" w:hint="default"/>
          <w:spacing w:val="-3"/>
        </w:rPr>
        <w:t>2019</w:t>
      </w:r>
      <w:r>
        <w:rPr>
          <w:spacing w:val="-3"/>
        </w:rPr>
        <w:t>年工业互联网创新发展工程项目</w:t>
      </w:r>
      <w:r>
        <w:rPr>
          <w:spacing w:val="50"/>
        </w:rPr>
        <w:t> </w:t>
      </w:r>
      <w:r>
        <w:rPr>
          <w:spacing w:val="50"/>
        </w:rPr>
      </w:r>
      <w:r>
        <w:rPr>
          <w:spacing w:val="-3"/>
        </w:rPr>
        <w:t>工业</w:t>
      </w:r>
      <w:r>
        <w:rPr>
          <w:rFonts w:ascii="Times New Roman" w:hAnsi="Times New Roman" w:cs="Times New Roman" w:eastAsia="Times New Roman" w:hint="default"/>
          <w:spacing w:val="-3"/>
        </w:rPr>
        <w:t>4.0</w:t>
      </w:r>
      <w:r>
        <w:rPr>
          <w:spacing w:val="-3"/>
        </w:rPr>
        <w:t>和智能制造</w:t>
      </w:r>
      <w:r>
        <w:rPr>
          <w:rFonts w:ascii="Times New Roman" w:hAnsi="Times New Roman" w:cs="Times New Roman" w:eastAsia="Times New Roman" w:hint="default"/>
          <w:spacing w:val="-3"/>
        </w:rPr>
        <w:t>2025</w:t>
      </w:r>
      <w:r>
        <w:rPr>
          <w:spacing w:val="-3"/>
        </w:rPr>
        <w:t>不仅是一系列的运营升级，同时也是一场技术革命，为其赋能的是不断融合的</w:t>
      </w:r>
      <w:r>
        <w:rPr>
          <w:rFonts w:ascii="Times New Roman" w:hAnsi="Times New Roman" w:cs="Times New Roman" w:eastAsia="Times New Roman" w:hint="default"/>
          <w:spacing w:val="-3"/>
        </w:rPr>
        <w:t>AI</w:t>
      </w:r>
      <w:r>
        <w:rPr>
          <w:spacing w:val="-3"/>
        </w:rPr>
        <w:t>、大数据、云</w:t>
      </w:r>
    </w:p>
    <w:p>
      <w:pPr>
        <w:pStyle w:val="BodyText"/>
        <w:spacing w:line="221" w:lineRule="exact"/>
        <w:ind w:right="0"/>
        <w:jc w:val="both"/>
      </w:pPr>
      <w:r>
        <w:rPr>
          <w:spacing w:val="-4"/>
        </w:rPr>
        <w:t>计算等互联网新技术。工业互联网是未来国家制造业竞争的制高点，正在推动创新模式、生产方式、组织形式和商业模式的</w:t>
      </w:r>
    </w:p>
    <w:p>
      <w:pPr>
        <w:pStyle w:val="BodyText"/>
        <w:spacing w:line="312" w:lineRule="auto" w:before="76"/>
        <w:ind w:right="1122"/>
        <w:jc w:val="both"/>
      </w:pPr>
      <w:r>
        <w:rPr>
          <w:spacing w:val="-4"/>
        </w:rPr>
        <w:t>深刻变革，推动工业链、产业链、价值链的重塑再造。报告期内，母公司东方通和子公司微智信业分别作为牵头单位，与哈</w:t>
      </w:r>
      <w:r>
        <w:rPr>
          <w:spacing w:val="40"/>
        </w:rPr>
        <w:t> </w:t>
      </w:r>
      <w:r>
        <w:rPr>
          <w:spacing w:val="40"/>
        </w:rPr>
      </w:r>
      <w:r>
        <w:rPr>
          <w:spacing w:val="-4"/>
        </w:rPr>
        <w:t>尔滨工业大学、国家工业信息安全发展研究中心等合作伙伴共同组成联合体，中标国家工信部</w:t>
      </w:r>
      <w:r>
        <w:rPr>
          <w:rFonts w:ascii="Times New Roman" w:hAnsi="Times New Roman" w:cs="Times New Roman" w:eastAsia="Times New Roman" w:hint="default"/>
          <w:spacing w:val="-4"/>
        </w:rPr>
        <w:t>2019</w:t>
      </w:r>
      <w:r>
        <w:rPr>
          <w:spacing w:val="-4"/>
        </w:rPr>
        <w:t>年工业互联网创新发展工</w:t>
      </w:r>
      <w:r>
        <w:rPr>
          <w:spacing w:val="52"/>
        </w:rPr>
        <w:t> </w:t>
      </w:r>
      <w:r>
        <w:rPr>
          <w:spacing w:val="52"/>
        </w:rPr>
      </w:r>
      <w:r>
        <w:rPr>
          <w:spacing w:val="-4"/>
        </w:rPr>
        <w:t>程</w:t>
      </w:r>
      <w:r>
        <w:rPr>
          <w:rFonts w:ascii="Times New Roman" w:hAnsi="Times New Roman" w:cs="Times New Roman" w:eastAsia="Times New Roman" w:hint="default"/>
          <w:spacing w:val="-4"/>
        </w:rPr>
        <w:t>——</w:t>
      </w:r>
      <w:r>
        <w:rPr>
          <w:spacing w:val="-4"/>
        </w:rPr>
        <w:t>《工业互联网时序数据安全网关项目》、《边缘计算敏感数据保护技术系统项目》，分别是工业互联网底层和数据层</w:t>
      </w:r>
      <w:r>
        <w:rPr>
          <w:spacing w:val="41"/>
        </w:rPr>
        <w:t> </w:t>
      </w:r>
      <w:r>
        <w:rPr>
          <w:spacing w:val="41"/>
        </w:rPr>
      </w:r>
      <w:r>
        <w:rPr>
          <w:spacing w:val="-4"/>
        </w:rPr>
        <w:t>的安全层面，是工业互联网的安全基础，服务国家战略。本次项目中标是对公司基于边缘计算、大数据、云计算等技术的数</w:t>
      </w:r>
      <w:r>
        <w:rPr>
          <w:spacing w:val="40"/>
        </w:rPr>
        <w:t> </w:t>
      </w:r>
      <w:r>
        <w:rPr>
          <w:spacing w:val="40"/>
        </w:rPr>
      </w:r>
      <w:r>
        <w:rPr>
          <w:spacing w:val="-4"/>
        </w:rPr>
        <w:t>据服务能力的进一步认可，公司在工业互联网安全平台项目建设上迈出了坚实一步。在工业互联网领域，扩展了参与深度与</w:t>
      </w:r>
      <w:r>
        <w:rPr>
          <w:spacing w:val="43"/>
        </w:rPr>
        <w:t> </w:t>
      </w:r>
      <w:r>
        <w:rPr>
          <w:spacing w:val="43"/>
        </w:rPr>
      </w:r>
      <w:r>
        <w:rPr>
          <w:spacing w:val="-3"/>
        </w:rPr>
        <w:t>广度，完善了生态体系布局，提升了影响力。</w:t>
      </w:r>
    </w:p>
    <w:p>
      <w:pPr>
        <w:pStyle w:val="BodyText"/>
        <w:spacing w:line="338" w:lineRule="auto" w:before="61"/>
        <w:ind w:left="513" w:right="0"/>
        <w:jc w:val="left"/>
      </w:pPr>
      <w:r>
        <w:rPr>
          <w:spacing w:val="-3"/>
        </w:rPr>
        <w:t>（</w:t>
      </w:r>
      <w:r>
        <w:rPr>
          <w:rFonts w:ascii="Times New Roman" w:hAnsi="Times New Roman" w:cs="Times New Roman" w:eastAsia="Times New Roman" w:hint="default"/>
          <w:spacing w:val="-3"/>
        </w:rPr>
        <w:t>2</w:t>
      </w:r>
      <w:r>
        <w:rPr>
          <w:spacing w:val="-3"/>
        </w:rPr>
        <w:t>）推进数据中台战略，加速数据融合，赋能用户数字化转型</w:t>
      </w:r>
      <w:r>
        <w:rPr>
          <w:spacing w:val="-4"/>
        </w:rPr>
        <w:t> </w:t>
      </w:r>
      <w:r>
        <w:rPr>
          <w:spacing w:val="-4"/>
        </w:rPr>
      </w:r>
      <w:r>
        <w:rPr>
          <w:spacing w:val="-3"/>
        </w:rPr>
        <w:t>公司积极践行总书记提出的</w:t>
      </w:r>
      <w:r>
        <w:rPr>
          <w:rFonts w:ascii="Times New Roman" w:hAnsi="Times New Roman" w:cs="Times New Roman" w:eastAsia="Times New Roman" w:hint="default"/>
          <w:spacing w:val="-3"/>
        </w:rPr>
        <w:t>“</w:t>
      </w:r>
      <w:r>
        <w:rPr>
          <w:spacing w:val="-3"/>
        </w:rPr>
        <w:t>推进国家治理体系和治理能力现代化，信息是国家治理的重要依据，要发挥其在这个进程</w:t>
      </w:r>
    </w:p>
    <w:p>
      <w:pPr>
        <w:pStyle w:val="BodyText"/>
        <w:spacing w:line="217" w:lineRule="exact"/>
        <w:ind w:right="0"/>
        <w:jc w:val="both"/>
      </w:pPr>
      <w:r>
        <w:rPr>
          <w:spacing w:val="-4"/>
        </w:rPr>
        <w:t>中的重要作用。要以信息化推进国家治理体系和治理能力现代化，更好用信息化手段感知社会态势、畅通沟通渠道、辅助科</w:t>
      </w:r>
    </w:p>
    <w:p>
      <w:pPr>
        <w:pStyle w:val="BodyText"/>
        <w:spacing w:line="307" w:lineRule="auto" w:before="76"/>
        <w:ind w:right="1123"/>
        <w:jc w:val="both"/>
      </w:pPr>
      <w:r>
        <w:rPr>
          <w:spacing w:val="-3"/>
        </w:rPr>
        <w:t>学决策</w:t>
      </w:r>
      <w:r>
        <w:rPr>
          <w:rFonts w:ascii="Times New Roman" w:hAnsi="Times New Roman" w:cs="Times New Roman" w:eastAsia="Times New Roman" w:hint="default"/>
          <w:spacing w:val="-3"/>
        </w:rPr>
        <w:t>”</w:t>
      </w:r>
      <w:r>
        <w:rPr>
          <w:spacing w:val="-3"/>
        </w:rPr>
        <w:t>。报告期内，基于公司数据共享交换的技术积累，以及在国家、省部数据互联互通上既有的沉淀，公司紧跟大数据</w:t>
      </w:r>
      <w:r>
        <w:rPr>
          <w:spacing w:val="64"/>
        </w:rPr>
        <w:t> </w:t>
      </w:r>
      <w:r>
        <w:rPr>
          <w:spacing w:val="64"/>
        </w:rPr>
      </w:r>
      <w:r>
        <w:rPr>
          <w:spacing w:val="-4"/>
        </w:rPr>
        <w:t>和数据中心发展趋势，依据国家、地方大数据发展规划需求，在现有系列中间件平台产品的基础上，加速在算力融合、流批</w:t>
      </w:r>
      <w:r>
        <w:rPr>
          <w:spacing w:val="40"/>
        </w:rPr>
        <w:t> </w:t>
      </w:r>
      <w:r>
        <w:rPr>
          <w:spacing w:val="40"/>
        </w:rPr>
      </w:r>
      <w:r>
        <w:rPr>
          <w:spacing w:val="-3"/>
        </w:rPr>
        <w:t>融合、</w:t>
      </w:r>
      <w:r>
        <w:rPr>
          <w:rFonts w:ascii="Times New Roman" w:hAnsi="Times New Roman" w:cs="Times New Roman" w:eastAsia="Times New Roman" w:hint="default"/>
          <w:spacing w:val="-3"/>
        </w:rPr>
        <w:t>TA</w:t>
      </w:r>
      <w:r>
        <w:rPr>
          <w:spacing w:val="-3"/>
        </w:rPr>
        <w:t>融合、模块融合、云融合方面的布局，发展出具备数据治理、数据分析、数仓、数据模型、数据计算、数据服务</w:t>
      </w:r>
      <w:r>
        <w:rPr>
          <w:spacing w:val="65"/>
        </w:rPr>
        <w:t> </w:t>
      </w:r>
      <w:r>
        <w:rPr>
          <w:spacing w:val="65"/>
        </w:rPr>
      </w:r>
      <w:r>
        <w:rPr>
          <w:spacing w:val="-3"/>
        </w:rPr>
        <w:t>化、数据安全、数据展现等一系列能力的数据中台产品，并已在教育行业试点落地。</w:t>
      </w:r>
    </w:p>
    <w:p>
      <w:pPr>
        <w:pStyle w:val="BodyText"/>
        <w:spacing w:line="240" w:lineRule="auto" w:before="64"/>
        <w:ind w:left="513" w:right="0"/>
        <w:jc w:val="left"/>
      </w:pPr>
      <w:r>
        <w:rPr>
          <w:spacing w:val="-3"/>
        </w:rPr>
        <w:t>数据中台是东方通数据产品发展体系的一次升华，是公司数据线产品发展的新阶段即</w:t>
      </w:r>
      <w:r>
        <w:rPr>
          <w:rFonts w:ascii="Times New Roman" w:hAnsi="Times New Roman" w:cs="Times New Roman" w:eastAsia="Times New Roman" w:hint="default"/>
          <w:spacing w:val="-3"/>
        </w:rPr>
        <w:t>“</w:t>
      </w:r>
      <w:r>
        <w:rPr>
          <w:spacing w:val="-3"/>
        </w:rPr>
        <w:t>数据</w:t>
      </w:r>
      <w:r>
        <w:rPr>
          <w:rFonts w:ascii="Times New Roman" w:hAnsi="Times New Roman" w:cs="Times New Roman" w:eastAsia="Times New Roman" w:hint="default"/>
          <w:spacing w:val="-3"/>
        </w:rPr>
        <w:t>+”</w:t>
      </w:r>
      <w:r>
        <w:rPr>
          <w:spacing w:val="-3"/>
        </w:rPr>
        <w:t>战略。</w:t>
      </w:r>
    </w:p>
    <w:p>
      <w:pPr>
        <w:pStyle w:val="BodyText"/>
        <w:spacing w:line="338" w:lineRule="auto" w:before="101"/>
        <w:ind w:left="513" w:right="0"/>
        <w:jc w:val="left"/>
      </w:pPr>
      <w:r>
        <w:rPr>
          <w:spacing w:val="-3"/>
        </w:rPr>
        <w:t>（</w:t>
      </w:r>
      <w:r>
        <w:rPr>
          <w:rFonts w:ascii="Times New Roman" w:hAnsi="Times New Roman" w:cs="Times New Roman" w:eastAsia="Times New Roman" w:hint="default"/>
          <w:spacing w:val="-3"/>
        </w:rPr>
        <w:t>3</w:t>
      </w:r>
      <w:r>
        <w:rPr>
          <w:spacing w:val="-3"/>
        </w:rPr>
        <w:t>）开发基于图形堡垒的视频智能审计产品，助力行业用户智能运维</w:t>
      </w:r>
      <w:r>
        <w:rPr>
          <w:spacing w:val="6"/>
        </w:rPr>
        <w:t> </w:t>
      </w:r>
      <w:r>
        <w:rPr>
          <w:spacing w:val="6"/>
        </w:rPr>
      </w:r>
      <w:r>
        <w:rPr>
          <w:spacing w:val="-6"/>
          <w:w w:val="101"/>
        </w:rPr>
        <w:t>随着云计算和大型系统的普及，越来越多的软件和服务都运行在云端。终端用户通过客户端访问云端的计算资源和存储。</w:t>
      </w:r>
      <w:r>
        <w:rPr>
          <w:spacing w:val="-6"/>
        </w:rPr>
      </w:r>
    </w:p>
    <w:p>
      <w:pPr>
        <w:pStyle w:val="BodyText"/>
        <w:spacing w:line="319" w:lineRule="auto" w:before="2"/>
        <w:ind w:right="0"/>
        <w:jc w:val="left"/>
      </w:pPr>
      <w:r>
        <w:rPr>
          <w:spacing w:val="-6"/>
        </w:rPr>
        <w:t>然而，当用户的私有云进行开发和维护时，非授权客户就可能通过客户端进入到私有云中，造成用户数据泄露，操作失误等，</w:t>
      </w:r>
      <w:r>
        <w:rPr>
          <w:spacing w:val="63"/>
        </w:rPr>
        <w:t> </w:t>
      </w:r>
      <w:r>
        <w:rPr>
          <w:spacing w:val="63"/>
        </w:rPr>
      </w:r>
      <w:r>
        <w:rPr>
          <w:spacing w:val="-4"/>
        </w:rPr>
        <w:t>已经发生多起严重灾害。而传统的海量操作视频文件采用人工方式审计效率低下，只能抽样审计。视频记录文件只能用于存</w:t>
      </w:r>
      <w:r>
        <w:rPr>
          <w:spacing w:val="43"/>
        </w:rPr>
        <w:t> </w:t>
      </w:r>
      <w:r>
        <w:rPr>
          <w:spacing w:val="43"/>
        </w:rPr>
      </w:r>
      <w:r>
        <w:rPr>
          <w:spacing w:val="-3"/>
        </w:rPr>
        <w:t>档和事后追溯，无法事中进行告警，图形视频记录无法实现统一查询和检索，查找使用困难。</w:t>
      </w:r>
    </w:p>
    <w:p>
      <w:pPr>
        <w:pStyle w:val="BodyText"/>
        <w:spacing w:line="319" w:lineRule="auto" w:before="50"/>
        <w:ind w:right="1123" w:firstLine="360"/>
        <w:jc w:val="both"/>
      </w:pPr>
      <w:r>
        <w:rPr>
          <w:spacing w:val="-5"/>
        </w:rPr>
        <w:t>报告期内，公司研发基于图形堡垒的视频智能审计产品，通过对视频样本标注，实现对海量视频威胁样本的分类，为深</w:t>
      </w:r>
      <w:r>
        <w:rPr>
          <w:w w:val="101"/>
        </w:rPr>
        <w:t> </w:t>
      </w:r>
      <w:r>
        <w:rPr>
          <w:spacing w:val="-4"/>
        </w:rPr>
        <w:t>度学习准备训练数据集，使用神经网络进行训练，获得威胁检测模型，使用多模型融合，实现了对图形堡垒机录屏视频的全</w:t>
      </w:r>
      <w:r>
        <w:rPr>
          <w:spacing w:val="40"/>
        </w:rPr>
        <w:t> </w:t>
      </w:r>
      <w:r>
        <w:rPr>
          <w:spacing w:val="40"/>
        </w:rPr>
      </w:r>
      <w:r>
        <w:rPr>
          <w:spacing w:val="-4"/>
        </w:rPr>
        <w:t>方位威胁检测、威胁告警、用户行为画像、审计报告等功能。该产品填补了国内视频智能审计技术的空白，目前已经运用在</w:t>
      </w:r>
      <w:r>
        <w:rPr>
          <w:spacing w:val="40"/>
        </w:rPr>
        <w:t> </w:t>
      </w:r>
      <w:r>
        <w:rPr>
          <w:spacing w:val="40"/>
        </w:rPr>
      </w:r>
      <w:r>
        <w:rPr>
          <w:spacing w:val="-3"/>
        </w:rPr>
        <w:t>运营商客户的关键部门日常运维中。</w:t>
      </w:r>
    </w:p>
    <w:p>
      <w:pPr>
        <w:pStyle w:val="BodyText"/>
        <w:spacing w:line="240" w:lineRule="auto" w:before="55"/>
        <w:ind w:left="513" w:right="0"/>
        <w:jc w:val="left"/>
      </w:pPr>
      <w:r>
        <w:rPr>
          <w:spacing w:val="-3"/>
        </w:rPr>
        <w:t>（</w:t>
      </w:r>
      <w:r>
        <w:rPr>
          <w:rFonts w:ascii="Times New Roman" w:hAnsi="Times New Roman" w:cs="Times New Roman" w:eastAsia="Times New Roman" w:hint="default"/>
          <w:spacing w:val="-3"/>
        </w:rPr>
        <w:t>4</w:t>
      </w:r>
      <w:r>
        <w:rPr>
          <w:spacing w:val="-3"/>
        </w:rPr>
        <w:t>）建设</w:t>
      </w:r>
      <w:r>
        <w:rPr>
          <w:rFonts w:ascii="Times New Roman" w:hAnsi="Times New Roman" w:cs="Times New Roman" w:eastAsia="Times New Roman" w:hint="default"/>
          <w:spacing w:val="-3"/>
        </w:rPr>
        <w:t>“</w:t>
      </w:r>
      <w:r>
        <w:rPr>
          <w:spacing w:val="-3"/>
        </w:rPr>
        <w:t>天平阳光</w:t>
      </w:r>
      <w:r>
        <w:rPr>
          <w:rFonts w:ascii="Times New Roman" w:hAnsi="Times New Roman" w:cs="Times New Roman" w:eastAsia="Times New Roman" w:hint="default"/>
          <w:spacing w:val="-3"/>
        </w:rPr>
        <w:t>”</w:t>
      </w:r>
      <w:r>
        <w:rPr>
          <w:spacing w:val="-3"/>
        </w:rPr>
        <w:t>一体化移动平台，助力智慧法院信息化建设</w:t>
      </w:r>
    </w:p>
    <w:p>
      <w:pPr>
        <w:pStyle w:val="BodyText"/>
        <w:spacing w:line="309" w:lineRule="auto" w:before="101"/>
        <w:ind w:right="1122" w:firstLine="360"/>
        <w:jc w:val="both"/>
      </w:pPr>
      <w:r>
        <w:rPr>
          <w:rFonts w:ascii="Times New Roman" w:hAnsi="Times New Roman" w:cs="Times New Roman" w:eastAsia="Times New Roman" w:hint="default"/>
          <w:spacing w:val="-4"/>
        </w:rPr>
        <w:t>“</w:t>
      </w:r>
      <w:r>
        <w:rPr>
          <w:spacing w:val="-4"/>
        </w:rPr>
        <w:t>天平阳光</w:t>
      </w:r>
      <w:r>
        <w:rPr>
          <w:rFonts w:ascii="Times New Roman" w:hAnsi="Times New Roman" w:cs="Times New Roman" w:eastAsia="Times New Roman" w:hint="default"/>
          <w:spacing w:val="-4"/>
        </w:rPr>
        <w:t>”</w:t>
      </w:r>
      <w:r>
        <w:rPr>
          <w:spacing w:val="-4"/>
        </w:rPr>
        <w:t>是集中国法治新闻、法律服务和法律人社交于一体的系统集成平台，汇聚各主流媒体和用户天平号发布的海</w:t>
      </w:r>
      <w:r>
        <w:rPr>
          <w:w w:val="101"/>
        </w:rPr>
        <w:t> </w:t>
      </w:r>
      <w:r>
        <w:rPr>
          <w:spacing w:val="-4"/>
        </w:rPr>
        <w:t>量时政法治资讯；依托天平号、法律圈构建紧密社群，为法律人构建精神家园；整合人民法院现有的数据资源和服务，直通</w:t>
      </w:r>
      <w:r>
        <w:rPr>
          <w:spacing w:val="40"/>
        </w:rPr>
        <w:t> </w:t>
      </w:r>
      <w:r>
        <w:rPr>
          <w:spacing w:val="40"/>
        </w:rPr>
      </w:r>
      <w:r>
        <w:rPr>
          <w:spacing w:val="-4"/>
        </w:rPr>
        <w:t>四大司法公开平台，提供在线立案、诉讼公告办理、矛盾纠纷多元化解、失信人地图查找、网上培训学习等线上服务，在移</w:t>
      </w:r>
      <w:r>
        <w:rPr>
          <w:spacing w:val="40"/>
        </w:rPr>
        <w:t> </w:t>
      </w:r>
      <w:r>
        <w:rPr>
          <w:spacing w:val="40"/>
        </w:rPr>
      </w:r>
      <w:r>
        <w:rPr>
          <w:spacing w:val="-4"/>
        </w:rPr>
        <w:t>动互联网上搭建了一个司法公开和诉讼服务的</w:t>
      </w:r>
      <w:r>
        <w:rPr>
          <w:rFonts w:ascii="Times New Roman" w:hAnsi="Times New Roman" w:cs="Times New Roman" w:eastAsia="Times New Roman" w:hint="default"/>
          <w:spacing w:val="-4"/>
        </w:rPr>
        <w:t>“</w:t>
      </w:r>
      <w:r>
        <w:rPr>
          <w:spacing w:val="-4"/>
        </w:rPr>
        <w:t>一站式大厅</w:t>
      </w:r>
      <w:r>
        <w:rPr>
          <w:rFonts w:ascii="Times New Roman" w:hAnsi="Times New Roman" w:cs="Times New Roman" w:eastAsia="Times New Roman" w:hint="default"/>
          <w:spacing w:val="-4"/>
        </w:rPr>
        <w:t>”</w:t>
      </w:r>
      <w:r>
        <w:rPr>
          <w:spacing w:val="-4"/>
        </w:rPr>
        <w:t>，让人民群众体验到</w:t>
      </w:r>
      <w:r>
        <w:rPr>
          <w:rFonts w:ascii="Times New Roman" w:hAnsi="Times New Roman" w:cs="Times New Roman" w:eastAsia="Times New Roman" w:hint="default"/>
          <w:spacing w:val="-4"/>
        </w:rPr>
        <w:t>“</w:t>
      </w:r>
      <w:r>
        <w:rPr>
          <w:spacing w:val="-4"/>
        </w:rPr>
        <w:t>一机在手、服务全有</w:t>
      </w:r>
      <w:r>
        <w:rPr>
          <w:rFonts w:ascii="Times New Roman" w:hAnsi="Times New Roman" w:cs="Times New Roman" w:eastAsia="Times New Roman" w:hint="default"/>
          <w:spacing w:val="-4"/>
        </w:rPr>
        <w:t>”</w:t>
      </w:r>
      <w:r>
        <w:rPr>
          <w:spacing w:val="-4"/>
        </w:rPr>
        <w:t>的便利，为智慧法院</w:t>
      </w:r>
      <w:r>
        <w:rPr>
          <w:spacing w:val="-2"/>
        </w:rPr>
        <w:t> </w:t>
      </w:r>
      <w:r>
        <w:rPr>
          <w:spacing w:val="-2"/>
        </w:rPr>
      </w:r>
      <w:r>
        <w:rPr>
          <w:spacing w:val="-4"/>
        </w:rPr>
        <w:t>建设再添一个全新引擎，力争成为全国法院在移动端上的超级入口。公司是</w:t>
      </w:r>
      <w:r>
        <w:rPr>
          <w:rFonts w:ascii="Times New Roman" w:hAnsi="Times New Roman" w:cs="Times New Roman" w:eastAsia="Times New Roman" w:hint="default"/>
          <w:spacing w:val="-4"/>
        </w:rPr>
        <w:t>“</w:t>
      </w:r>
      <w:r>
        <w:rPr>
          <w:spacing w:val="-4"/>
        </w:rPr>
        <w:t>天平阳光</w:t>
      </w:r>
      <w:r>
        <w:rPr>
          <w:rFonts w:ascii="Times New Roman" w:hAnsi="Times New Roman" w:cs="Times New Roman" w:eastAsia="Times New Roman" w:hint="default"/>
          <w:spacing w:val="-4"/>
        </w:rPr>
        <w:t>”</w:t>
      </w:r>
      <w:r>
        <w:rPr>
          <w:spacing w:val="-4"/>
        </w:rPr>
        <w:t>项目的主要技术开发商，全程参与了</w:t>
      </w:r>
    </w:p>
    <w:p>
      <w:pPr>
        <w:spacing w:after="0" w:line="309"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4" w:lineRule="auto" w:before="46"/>
        <w:ind w:right="1123"/>
        <w:jc w:val="left"/>
      </w:pPr>
      <w:r>
        <w:rPr>
          <w:spacing w:val="-3"/>
        </w:rPr>
        <w:t>该产品的设计和研发，该项目是公司在</w:t>
      </w:r>
      <w:r>
        <w:rPr>
          <w:rFonts w:ascii="Times New Roman" w:hAnsi="Times New Roman" w:cs="Times New Roman" w:eastAsia="Times New Roman" w:hint="default"/>
          <w:spacing w:val="-3"/>
        </w:rPr>
        <w:t>“</w:t>
      </w:r>
      <w:r>
        <w:rPr>
          <w:spacing w:val="-3"/>
        </w:rPr>
        <w:t>信息化</w:t>
      </w:r>
      <w:r>
        <w:rPr>
          <w:rFonts w:ascii="Times New Roman" w:hAnsi="Times New Roman" w:cs="Times New Roman" w:eastAsia="Times New Roman" w:hint="default"/>
          <w:spacing w:val="-3"/>
        </w:rPr>
        <w:t>2.0”</w:t>
      </w:r>
      <w:r>
        <w:rPr>
          <w:spacing w:val="-3"/>
        </w:rPr>
        <w:t>的新尝试和突破，由此公司进入了司法领域信息化，并逐步深入到业务</w:t>
      </w:r>
      <w:r>
        <w:rPr>
          <w:spacing w:val="77"/>
        </w:rPr>
        <w:t> </w:t>
      </w:r>
      <w:r>
        <w:rPr>
          <w:spacing w:val="77"/>
        </w:rPr>
      </w:r>
      <w:r>
        <w:rPr/>
        <w:t>核心。</w:t>
      </w:r>
    </w:p>
    <w:p>
      <w:pPr>
        <w:pStyle w:val="BodyText"/>
        <w:spacing w:line="240" w:lineRule="auto" w:before="66"/>
        <w:ind w:left="513" w:right="0"/>
        <w:jc w:val="left"/>
      </w:pPr>
      <w:r>
        <w:rPr>
          <w:spacing w:val="-6"/>
        </w:rPr>
        <w:t>以</w:t>
      </w:r>
      <w:r>
        <w:rPr>
          <w:rFonts w:ascii="Times New Roman" w:hAnsi="Times New Roman" w:cs="Times New Roman" w:eastAsia="Times New Roman" w:hint="default"/>
          <w:spacing w:val="-6"/>
        </w:rPr>
        <w:t>“</w:t>
      </w:r>
      <w:r>
        <w:rPr>
          <w:spacing w:val="-6"/>
        </w:rPr>
        <w:t>数据</w:t>
      </w:r>
      <w:r>
        <w:rPr>
          <w:rFonts w:ascii="Times New Roman" w:hAnsi="Times New Roman" w:cs="Times New Roman" w:eastAsia="Times New Roman" w:hint="default"/>
          <w:spacing w:val="-6"/>
        </w:rPr>
        <w:t>+”</w:t>
      </w:r>
      <w:r>
        <w:rPr>
          <w:spacing w:val="-6"/>
        </w:rPr>
        <w:t>和</w:t>
      </w:r>
      <w:r>
        <w:rPr>
          <w:rFonts w:ascii="Times New Roman" w:hAnsi="Times New Roman" w:cs="Times New Roman" w:eastAsia="Times New Roman" w:hint="default"/>
          <w:spacing w:val="-6"/>
        </w:rPr>
        <w:t>“</w:t>
      </w:r>
      <w:r>
        <w:rPr>
          <w:spacing w:val="-6"/>
        </w:rPr>
        <w:t>安全</w:t>
      </w:r>
      <w:r>
        <w:rPr>
          <w:rFonts w:ascii="Times New Roman" w:hAnsi="Times New Roman" w:cs="Times New Roman" w:eastAsia="Times New Roman" w:hint="default"/>
          <w:spacing w:val="-6"/>
        </w:rPr>
        <w:t>+”</w:t>
      </w:r>
      <w:r>
        <w:rPr>
          <w:spacing w:val="-6"/>
        </w:rPr>
        <w:t>的优势，升级行业信息化水平，符合公司深入行业</w:t>
      </w:r>
      <w:r>
        <w:rPr>
          <w:rFonts w:ascii="Times New Roman" w:hAnsi="Times New Roman" w:cs="Times New Roman" w:eastAsia="Times New Roman" w:hint="default"/>
          <w:spacing w:val="-6"/>
        </w:rPr>
        <w:t>“</w:t>
      </w:r>
      <w:r>
        <w:rPr>
          <w:spacing w:val="-6"/>
        </w:rPr>
        <w:t>信息化</w:t>
      </w:r>
      <w:r>
        <w:rPr>
          <w:rFonts w:ascii="Times New Roman" w:hAnsi="Times New Roman" w:cs="Times New Roman" w:eastAsia="Times New Roman" w:hint="default"/>
          <w:spacing w:val="-6"/>
        </w:rPr>
        <w:t>2.0”</w:t>
      </w:r>
      <w:r>
        <w:rPr>
          <w:spacing w:val="-6"/>
        </w:rPr>
        <w:t>的战略发展方向，为国家现代化服务。</w:t>
      </w:r>
    </w:p>
    <w:p>
      <w:pPr>
        <w:pStyle w:val="BodyText"/>
        <w:spacing w:line="352" w:lineRule="auto" w:before="106"/>
        <w:ind w:left="513" w:right="0"/>
        <w:jc w:val="left"/>
      </w:pPr>
      <w:r>
        <w:rPr>
          <w:rFonts w:ascii="宋体" w:hAnsi="宋体" w:cs="宋体" w:eastAsia="宋体" w:hint="default"/>
          <w:b/>
          <w:bCs/>
        </w:rPr>
        <w:t>（二）市场与生态合作升级</w:t>
      </w:r>
      <w:r>
        <w:rPr>
          <w:rFonts w:ascii="宋体" w:hAnsi="宋体" w:cs="宋体" w:eastAsia="宋体" w:hint="default"/>
          <w:b/>
          <w:bCs/>
          <w:spacing w:val="-86"/>
        </w:rPr>
        <w:t> </w:t>
      </w:r>
      <w:r>
        <w:rPr>
          <w:rFonts w:ascii="宋体" w:hAnsi="宋体" w:cs="宋体" w:eastAsia="宋体" w:hint="default"/>
          <w:b/>
          <w:bCs/>
          <w:spacing w:val="-86"/>
        </w:rPr>
      </w:r>
      <w:r>
        <w:rPr>
          <w:spacing w:val="-3"/>
        </w:rPr>
        <w:t>报告期内，公司参与了业界多家专业机构的市场调研活动，参加了</w:t>
      </w:r>
      <w:r>
        <w:rPr>
          <w:rFonts w:ascii="Times New Roman" w:hAnsi="Times New Roman" w:cs="Times New Roman" w:eastAsia="Times New Roman" w:hint="default"/>
          <w:spacing w:val="-3"/>
        </w:rPr>
        <w:t>“</w:t>
      </w:r>
      <w:r>
        <w:rPr>
          <w:spacing w:val="-3"/>
        </w:rPr>
        <w:t>工业互联网产业联盟</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华为金融开放创新联盟</w:t>
      </w:r>
      <w:r>
        <w:rPr>
          <w:rFonts w:ascii="Times New Roman" w:hAnsi="Times New Roman" w:cs="Times New Roman" w:eastAsia="Times New Roman" w:hint="default"/>
          <w:spacing w:val="-3"/>
        </w:rPr>
        <w:t>”</w:t>
      </w:r>
      <w:r>
        <w:rPr>
          <w:spacing w:val="-3"/>
        </w:rPr>
        <w:t>、</w:t>
      </w:r>
    </w:p>
    <w:p>
      <w:pPr>
        <w:pStyle w:val="BodyText"/>
        <w:spacing w:line="218" w:lineRule="exact"/>
        <w:ind w:right="0"/>
        <w:jc w:val="left"/>
      </w:pPr>
      <w:r>
        <w:rPr>
          <w:rFonts w:ascii="Times New Roman" w:hAnsi="Times New Roman" w:cs="Times New Roman" w:eastAsia="Times New Roman" w:hint="default"/>
          <w:spacing w:val="-4"/>
        </w:rPr>
        <w:t>“</w:t>
      </w:r>
      <w:r>
        <w:rPr>
          <w:spacing w:val="-4"/>
        </w:rPr>
        <w:t>金融科技联合创新工作组</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应急通信产业联盟</w:t>
      </w:r>
      <w:r>
        <w:rPr>
          <w:rFonts w:ascii="Times New Roman" w:hAnsi="Times New Roman" w:cs="Times New Roman" w:eastAsia="Times New Roman" w:hint="default"/>
          <w:spacing w:val="-4"/>
        </w:rPr>
        <w:t>”</w:t>
      </w:r>
      <w:r>
        <w:rPr>
          <w:spacing w:val="-4"/>
        </w:rPr>
        <w:t>等行业联盟与行业组织，积极参与了江西、山东、四川等省份信息技术应</w:t>
      </w:r>
    </w:p>
    <w:p>
      <w:pPr>
        <w:pStyle w:val="BodyText"/>
        <w:spacing w:line="321" w:lineRule="auto" w:before="63"/>
        <w:ind w:right="0"/>
        <w:jc w:val="left"/>
      </w:pPr>
      <w:r>
        <w:rPr>
          <w:spacing w:val="-4"/>
        </w:rPr>
        <w:t>用创新产业基地建设，并与芯片、服务器、操作系统、数据库及业务应用领域的数十家厂商在北京、上海、武汉等多地深入</w:t>
      </w:r>
      <w:r>
        <w:rPr>
          <w:spacing w:val="40"/>
        </w:rPr>
        <w:t> </w:t>
      </w:r>
      <w:r>
        <w:rPr>
          <w:spacing w:val="40"/>
        </w:rPr>
      </w:r>
      <w:r>
        <w:rPr>
          <w:spacing w:val="-3"/>
        </w:rPr>
        <w:t>开展生态合作，扩大生态伙伴群，向客户、合作伙伴等各方传递领先、专业、可信赖的品牌形象。</w:t>
      </w:r>
    </w:p>
    <w:p>
      <w:pPr>
        <w:spacing w:line="338" w:lineRule="auto" w:before="54"/>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（三）</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年股票期权激励计划进入第一个可行权期</w:t>
      </w:r>
      <w:r>
        <w:rPr>
          <w:rFonts w:ascii="宋体" w:hAnsi="宋体" w:cs="宋体" w:eastAsia="宋体" w:hint="default"/>
          <w:b/>
          <w:bCs/>
          <w:w w:val="100"/>
          <w:sz w:val="18"/>
          <w:szCs w:val="18"/>
        </w:rPr>
        <w:t> </w:t>
      </w:r>
      <w:r>
        <w:rPr>
          <w:rFonts w:ascii="宋体" w:hAnsi="宋体" w:cs="宋体" w:eastAsia="宋体" w:hint="default"/>
          <w:spacing w:val="-3"/>
          <w:sz w:val="18"/>
          <w:szCs w:val="18"/>
        </w:rPr>
        <w:t>为了充分调动公司员工的积极性，将股东利益、公司利益和核心骨干员工的个人利益有效结合，公司建立科学、规范、</w:t>
      </w:r>
    </w:p>
    <w:p>
      <w:pPr>
        <w:pStyle w:val="BodyText"/>
        <w:spacing w:line="302" w:lineRule="auto" w:before="2"/>
        <w:ind w:right="0"/>
        <w:jc w:val="left"/>
      </w:pPr>
      <w:r>
        <w:rPr>
          <w:spacing w:val="-3"/>
        </w:rPr>
        <w:t>长效的激励体系与管理机制，推出并实施了</w:t>
      </w:r>
      <w:r>
        <w:rPr>
          <w:rFonts w:ascii="Times New Roman" w:hAnsi="Times New Roman" w:cs="Times New Roman" w:eastAsia="Times New Roman" w:hint="default"/>
          <w:spacing w:val="-3"/>
        </w:rPr>
        <w:t>2018</w:t>
      </w:r>
      <w:r>
        <w:rPr>
          <w:spacing w:val="-3"/>
        </w:rPr>
        <w:t>年股票期权激励计划，于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日，向</w:t>
      </w:r>
      <w:r>
        <w:rPr>
          <w:rFonts w:ascii="Times New Roman" w:hAnsi="Times New Roman" w:cs="Times New Roman" w:eastAsia="Times New Roman" w:hint="default"/>
          <w:spacing w:val="-3"/>
        </w:rPr>
        <w:t>68</w:t>
      </w:r>
      <w:r>
        <w:rPr>
          <w:spacing w:val="-3"/>
        </w:rPr>
        <w:t>名激励对象授予</w:t>
      </w:r>
      <w:r>
        <w:rPr>
          <w:rFonts w:ascii="Times New Roman" w:hAnsi="Times New Roman" w:cs="Times New Roman" w:eastAsia="Times New Roman" w:hint="default"/>
          <w:spacing w:val="-3"/>
        </w:rPr>
        <w:t>1,198</w:t>
      </w:r>
      <w:r>
        <w:rPr>
          <w:spacing w:val="-3"/>
        </w:rPr>
        <w:t>万份股</w:t>
      </w:r>
      <w:r>
        <w:rPr>
          <w:spacing w:val="60"/>
        </w:rPr>
        <w:t> </w:t>
      </w:r>
      <w:r>
        <w:rPr>
          <w:spacing w:val="60"/>
        </w:rPr>
      </w:r>
      <w:r>
        <w:rPr>
          <w:spacing w:val="-3"/>
        </w:rPr>
        <w:t>票期权，行权价格为</w:t>
      </w:r>
      <w:r>
        <w:rPr>
          <w:rFonts w:ascii="Times New Roman" w:hAnsi="Times New Roman" w:cs="Times New Roman" w:eastAsia="Times New Roman" w:hint="default"/>
          <w:spacing w:val="-3"/>
        </w:rPr>
        <w:t>15.06</w:t>
      </w:r>
      <w:r>
        <w:rPr>
          <w:spacing w:val="-3"/>
        </w:rPr>
        <w:t>元</w:t>
      </w:r>
      <w:r>
        <w:rPr>
          <w:rFonts w:ascii="Times New Roman" w:hAnsi="Times New Roman" w:cs="Times New Roman" w:eastAsia="Times New Roman" w:hint="default"/>
          <w:spacing w:val="-3"/>
        </w:rPr>
        <w:t>/</w:t>
      </w:r>
      <w:r>
        <w:rPr>
          <w:spacing w:val="-3"/>
        </w:rPr>
        <w:t>股。报告期内，公司</w:t>
      </w:r>
      <w:r>
        <w:rPr>
          <w:rFonts w:ascii="Times New Roman" w:hAnsi="Times New Roman" w:cs="Times New Roman" w:eastAsia="Times New Roman" w:hint="default"/>
          <w:spacing w:val="-3"/>
        </w:rPr>
        <w:t>2018</w:t>
      </w:r>
      <w:r>
        <w:rPr>
          <w:spacing w:val="-3"/>
        </w:rPr>
        <w:t>年股票期权激励计划第一个行权期的行权条件已达成，</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26</w:t>
      </w:r>
      <w:r>
        <w:rPr>
          <w:rFonts w:ascii="Times New Roman" w:hAnsi="Times New Roman" w:cs="Times New Roman" w:eastAsia="Times New Roman" w:hint="default"/>
          <w:spacing w:val="15"/>
        </w:rPr>
        <w:t> </w:t>
      </w:r>
      <w:r>
        <w:rPr>
          <w:spacing w:val="-4"/>
        </w:rPr>
        <w:t>日，公司第三届董事会第三十次会议和第三届监事会第二十三次会议审议通过了《关于注销公司</w:t>
      </w:r>
      <w:r>
        <w:rPr>
          <w:rFonts w:ascii="Times New Roman" w:hAnsi="Times New Roman" w:cs="Times New Roman" w:eastAsia="Times New Roman" w:hint="default"/>
          <w:spacing w:val="-4"/>
        </w:rPr>
        <w:t>2018</w:t>
      </w:r>
      <w:r>
        <w:rPr>
          <w:spacing w:val="-4"/>
        </w:rPr>
        <w:t>年股票期权激励计划部</w:t>
      </w:r>
      <w:r>
        <w:rPr>
          <w:spacing w:val="51"/>
        </w:rPr>
        <w:t> </w:t>
      </w:r>
      <w:r>
        <w:rPr>
          <w:spacing w:val="51"/>
        </w:rPr>
      </w:r>
      <w:r>
        <w:rPr>
          <w:spacing w:val="-3"/>
        </w:rPr>
        <w:t>分已授予股票期权的议案》和《关于公司</w:t>
      </w:r>
      <w:r>
        <w:rPr>
          <w:rFonts w:ascii="Times New Roman" w:hAnsi="Times New Roman" w:cs="Times New Roman" w:eastAsia="Times New Roman" w:hint="default"/>
          <w:spacing w:val="-3"/>
        </w:rPr>
        <w:t>2018</w:t>
      </w:r>
      <w:r>
        <w:rPr>
          <w:spacing w:val="-3"/>
        </w:rPr>
        <w:t>年股票期权激励计划第一个行权期可行权的议案》。因</w:t>
      </w:r>
      <w:r>
        <w:rPr>
          <w:rFonts w:ascii="Times New Roman" w:hAnsi="Times New Roman" w:cs="Times New Roman" w:eastAsia="Times New Roman" w:hint="default"/>
          <w:spacing w:val="-3"/>
        </w:rPr>
        <w:t>2</w:t>
      </w:r>
      <w:r>
        <w:rPr>
          <w:spacing w:val="-3"/>
        </w:rPr>
        <w:t>名激励对象在等待期</w:t>
      </w:r>
      <w:r>
        <w:rPr>
          <w:spacing w:val="76"/>
        </w:rPr>
        <w:t> </w:t>
      </w:r>
      <w:r>
        <w:rPr>
          <w:spacing w:val="76"/>
        </w:rPr>
      </w:r>
      <w:r>
        <w:rPr>
          <w:spacing w:val="-3"/>
        </w:rPr>
        <w:t>内已离职，离职激励对象已授予登记的合计</w:t>
      </w:r>
      <w:r>
        <w:rPr>
          <w:rFonts w:ascii="Times New Roman" w:hAnsi="Times New Roman" w:cs="Times New Roman" w:eastAsia="Times New Roman" w:hint="default"/>
          <w:spacing w:val="-3"/>
        </w:rPr>
        <w:t>9</w:t>
      </w:r>
      <w:r>
        <w:rPr>
          <w:spacing w:val="-3"/>
        </w:rPr>
        <w:t>万份股票期权拟予以注销，本次注销完成后，公司股票期权激励计划有效期内</w:t>
      </w:r>
      <w:r>
        <w:rPr>
          <w:spacing w:val="71"/>
        </w:rPr>
        <w:t> </w:t>
      </w:r>
      <w:r>
        <w:rPr>
          <w:spacing w:val="71"/>
        </w:rPr>
      </w:r>
      <w:r>
        <w:rPr>
          <w:spacing w:val="-3"/>
        </w:rPr>
        <w:t>剩余的股票期权数量为</w:t>
      </w:r>
      <w:r>
        <w:rPr>
          <w:rFonts w:ascii="Times New Roman" w:hAnsi="Times New Roman" w:cs="Times New Roman" w:eastAsia="Times New Roman" w:hint="default"/>
          <w:spacing w:val="-3"/>
        </w:rPr>
        <w:t>1,189</w:t>
      </w:r>
      <w:r>
        <w:rPr>
          <w:spacing w:val="-3"/>
        </w:rPr>
        <w:t>万份，激励对象调整为</w:t>
      </w:r>
      <w:r>
        <w:rPr>
          <w:rFonts w:ascii="Times New Roman" w:hAnsi="Times New Roman" w:cs="Times New Roman" w:eastAsia="Times New Roman" w:hint="default"/>
          <w:spacing w:val="-3"/>
        </w:rPr>
        <w:t>66</w:t>
      </w:r>
      <w:r>
        <w:rPr>
          <w:spacing w:val="-3"/>
        </w:rPr>
        <w:t>人。</w:t>
      </w:r>
      <w:r>
        <w:rPr>
          <w:rFonts w:ascii="Times New Roman" w:hAnsi="Times New Roman" w:cs="Times New Roman" w:eastAsia="Times New Roman" w:hint="default"/>
          <w:spacing w:val="-3"/>
        </w:rPr>
        <w:t>66</w:t>
      </w:r>
      <w:r>
        <w:rPr>
          <w:spacing w:val="-3"/>
        </w:rPr>
        <w:t>名激励对象经</w:t>
      </w:r>
      <w:r>
        <w:rPr>
          <w:rFonts w:ascii="Times New Roman" w:hAnsi="Times New Roman" w:cs="Times New Roman" w:eastAsia="Times New Roman" w:hint="default"/>
          <w:spacing w:val="-3"/>
        </w:rPr>
        <w:t>2018</w:t>
      </w:r>
      <w:r>
        <w:rPr>
          <w:spacing w:val="-3"/>
        </w:rPr>
        <w:t>年度绩效考核后可行权，第一个行权期可行</w:t>
      </w:r>
      <w:r>
        <w:rPr>
          <w:spacing w:val="1"/>
        </w:rPr>
        <w:t> </w:t>
      </w:r>
      <w:r>
        <w:rPr>
          <w:spacing w:val="1"/>
        </w:rPr>
      </w:r>
      <w:r>
        <w:rPr>
          <w:spacing w:val="-2"/>
        </w:rPr>
        <w:t>权股票期权数量为</w:t>
      </w:r>
      <w:r>
        <w:rPr>
          <w:rFonts w:ascii="Times New Roman" w:hAnsi="Times New Roman" w:cs="Times New Roman" w:eastAsia="Times New Roman" w:hint="default"/>
          <w:spacing w:val="-2"/>
        </w:rPr>
        <w:t>475.6</w:t>
      </w:r>
      <w:r>
        <w:rPr>
          <w:spacing w:val="-2"/>
        </w:rPr>
        <w:t>万份，行权价格为</w:t>
      </w:r>
      <w:r>
        <w:rPr>
          <w:rFonts w:ascii="Times New Roman" w:hAnsi="Times New Roman" w:cs="Times New Roman" w:eastAsia="Times New Roman" w:hint="default"/>
          <w:spacing w:val="-2"/>
        </w:rPr>
        <w:t>15.06</w:t>
      </w:r>
      <w:r>
        <w:rPr>
          <w:spacing w:val="-2"/>
        </w:rPr>
        <w:t>元</w:t>
      </w:r>
      <w:r>
        <w:rPr>
          <w:rFonts w:ascii="Times New Roman" w:hAnsi="Times New Roman" w:cs="Times New Roman" w:eastAsia="Times New Roman" w:hint="default"/>
          <w:spacing w:val="-2"/>
        </w:rPr>
        <w:t>/</w:t>
      </w:r>
      <w:r>
        <w:rPr>
          <w:spacing w:val="-2"/>
        </w:rPr>
        <w:t>股，行权期限自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日当日止。截止报告期末，</w:t>
      </w:r>
      <w:r>
        <w:rPr>
          <w:spacing w:val="42"/>
        </w:rPr>
        <w:t> </w:t>
      </w:r>
      <w:r>
        <w:rPr>
          <w:spacing w:val="42"/>
        </w:rPr>
      </w:r>
      <w:r>
        <w:rPr/>
        <w:t>公司</w:t>
      </w:r>
      <w:r>
        <w:rPr>
          <w:rFonts w:ascii="Times New Roman" w:hAnsi="Times New Roman" w:cs="Times New Roman" w:eastAsia="Times New Roman" w:hint="default"/>
        </w:rPr>
        <w:t>2018</w:t>
      </w:r>
      <w:r>
        <w:rPr/>
        <w:t>年股票期权激励计划已行权股份数量</w:t>
      </w:r>
      <w:r>
        <w:rPr>
          <w:rFonts w:ascii="Times New Roman" w:hAnsi="Times New Roman" w:cs="Times New Roman" w:eastAsia="Times New Roman" w:hint="default"/>
        </w:rPr>
        <w:t>426.4</w:t>
      </w:r>
      <w:r>
        <w:rPr/>
        <w:t>万股。</w:t>
      </w:r>
    </w:p>
    <w:p>
      <w:pPr>
        <w:spacing w:line="352" w:lineRule="auto" w:before="4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（四）推出第一期员工持股计划，目前已完成非交易过户</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5"/>
          <w:sz w:val="18"/>
          <w:szCs w:val="18"/>
        </w:rPr>
        <w:t>为了建立和完善员工、股东的利益共享机制，改善公司治理水平，提高职工的凝聚力和公司竞争力，调动员工的积极性</w:t>
      </w:r>
    </w:p>
    <w:p>
      <w:pPr>
        <w:pStyle w:val="BodyText"/>
        <w:spacing w:line="304" w:lineRule="auto"/>
        <w:ind w:right="0"/>
        <w:jc w:val="left"/>
      </w:pPr>
      <w:r>
        <w:rPr>
          <w:spacing w:val="-4"/>
        </w:rPr>
        <w:t>和创造性，促进公司长期、持续、健康发展，根据证监会相关法律法规，公司于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日召开的</w:t>
      </w:r>
      <w:r>
        <w:rPr>
          <w:rFonts w:ascii="Times New Roman" w:hAnsi="Times New Roman" w:cs="Times New Roman" w:eastAsia="Times New Roman" w:hint="default"/>
          <w:spacing w:val="-4"/>
        </w:rPr>
        <w:t>2019</w:t>
      </w:r>
      <w:r>
        <w:rPr>
          <w:spacing w:val="-4"/>
        </w:rPr>
        <w:t>年第四次临时股</w:t>
      </w:r>
      <w:r>
        <w:rPr>
          <w:spacing w:val="64"/>
        </w:rPr>
        <w:t> </w:t>
      </w:r>
      <w:r>
        <w:rPr>
          <w:spacing w:val="64"/>
        </w:rPr>
      </w:r>
      <w:r>
        <w:rPr>
          <w:spacing w:val="-3"/>
        </w:rPr>
        <w:t>东大会会议决议审议通过的《关于北京东方通科技股份有限公司第一期员工持股计划（草案）及摘要的议案》、于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37"/>
        </w:rPr>
        <w:t> </w:t>
      </w:r>
      <w:r>
        <w:rPr>
          <w:spacing w:val="-4"/>
        </w:rPr>
        <w:t>月</w:t>
      </w:r>
      <w:r>
        <w:rPr>
          <w:rFonts w:ascii="Times New Roman" w:hAnsi="Times New Roman" w:cs="Times New Roman" w:eastAsia="Times New Roman" w:hint="default"/>
          <w:spacing w:val="-4"/>
        </w:rPr>
        <w:t>10</w:t>
      </w:r>
      <w:r>
        <w:rPr>
          <w:spacing w:val="-4"/>
        </w:rPr>
        <w:t>日召开的第四届董事会第三次会议决议通过的《关于变更公司第一期员工持股计划资产管理机构的议案》，相关议案决</w:t>
      </w:r>
      <w:r>
        <w:rPr>
          <w:spacing w:val="47"/>
        </w:rPr>
        <w:t> </w:t>
      </w:r>
      <w:r>
        <w:rPr>
          <w:spacing w:val="47"/>
        </w:rPr>
      </w:r>
      <w:r>
        <w:rPr>
          <w:spacing w:val="-3"/>
        </w:rPr>
        <w:t>定对公司及下属子公司在职的员工，总人数不超过</w:t>
      </w:r>
      <w:r>
        <w:rPr>
          <w:rFonts w:ascii="Times New Roman" w:hAnsi="Times New Roman" w:cs="Times New Roman" w:eastAsia="Times New Roman" w:hint="default"/>
          <w:spacing w:val="-3"/>
        </w:rPr>
        <w:t>20</w:t>
      </w:r>
      <w:r>
        <w:rPr>
          <w:spacing w:val="-3"/>
        </w:rPr>
        <w:t>人（其中公司董事、高级管理人员共</w:t>
      </w:r>
      <w:r>
        <w:rPr>
          <w:rFonts w:ascii="Times New Roman" w:hAnsi="Times New Roman" w:cs="Times New Roman" w:eastAsia="Times New Roman" w:hint="default"/>
          <w:spacing w:val="-3"/>
        </w:rPr>
        <w:t>4</w:t>
      </w:r>
      <w:r>
        <w:rPr>
          <w:spacing w:val="-3"/>
        </w:rPr>
        <w:t>名）授予员工持股计划。认购本</w:t>
      </w:r>
      <w:r>
        <w:rPr>
          <w:spacing w:val="73"/>
        </w:rPr>
        <w:t> </w:t>
      </w:r>
      <w:r>
        <w:rPr>
          <w:spacing w:val="73"/>
        </w:rPr>
      </w:r>
      <w:r>
        <w:rPr>
          <w:spacing w:val="-6"/>
          <w:w w:val="101"/>
        </w:rPr>
        <w:t>员工持股计划的资金来源为员工合法薪酬、自筹资金以及法律法规允许的其他合法方式，并将通过信托计划的方式实现融资，</w:t>
      </w:r>
      <w:r>
        <w:rPr>
          <w:spacing w:val="-71"/>
          <w:w w:val="101"/>
        </w:rPr>
        <w:t> </w:t>
      </w:r>
      <w:r>
        <w:rPr>
          <w:spacing w:val="-71"/>
          <w:w w:val="101"/>
        </w:rPr>
      </w:r>
      <w:r>
        <w:rPr>
          <w:spacing w:val="-4"/>
        </w:rPr>
        <w:t>融资资金来源符合法律法规要求，融资资金与自筹资金的杠杆比例不超过</w:t>
      </w:r>
      <w:r>
        <w:rPr>
          <w:rFonts w:ascii="Times New Roman" w:hAnsi="Times New Roman" w:cs="Times New Roman" w:eastAsia="Times New Roman" w:hint="default"/>
          <w:spacing w:val="-4"/>
        </w:rPr>
        <w:t>1:1</w:t>
      </w:r>
      <w:r>
        <w:rPr>
          <w:spacing w:val="-4"/>
        </w:rPr>
        <w:t>，募集资金总额不超过</w:t>
      </w:r>
      <w:r>
        <w:rPr>
          <w:rFonts w:ascii="Times New Roman" w:hAnsi="Times New Roman" w:cs="Times New Roman" w:eastAsia="Times New Roman" w:hint="default"/>
          <w:spacing w:val="-4"/>
        </w:rPr>
        <w:t>16,000</w:t>
      </w:r>
      <w:r>
        <w:rPr>
          <w:spacing w:val="-4"/>
        </w:rPr>
        <w:t>万元人民币。公司</w:t>
      </w:r>
      <w:r>
        <w:rPr>
          <w:spacing w:val="52"/>
        </w:rPr>
        <w:t> </w:t>
      </w:r>
      <w:r>
        <w:rPr>
          <w:spacing w:val="52"/>
        </w:rPr>
      </w:r>
      <w:r>
        <w:rPr>
          <w:spacing w:val="-4"/>
        </w:rPr>
        <w:t>员工持股计划股票的主要来源为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月期间公司回购的股票，不超过</w:t>
      </w:r>
      <w:r>
        <w:rPr>
          <w:rFonts w:ascii="Times New Roman" w:hAnsi="Times New Roman" w:cs="Times New Roman" w:eastAsia="Times New Roman" w:hint="default"/>
          <w:spacing w:val="-4"/>
        </w:rPr>
        <w:t>10,336,816</w:t>
      </w:r>
      <w:r>
        <w:rPr>
          <w:spacing w:val="-4"/>
        </w:rPr>
        <w:t>股，本员工持股计划中的任</w:t>
      </w:r>
      <w:r>
        <w:rPr>
          <w:spacing w:val="-1"/>
        </w:rPr>
        <w:t> </w:t>
      </w:r>
      <w:r>
        <w:rPr>
          <w:spacing w:val="-1"/>
        </w:rPr>
      </w:r>
      <w:r>
        <w:rPr>
          <w:spacing w:val="-3"/>
        </w:rPr>
        <w:t>一持有人所持有本员工持股计划份额所涉及的标的股票数量不超过公司股本总额的</w:t>
      </w:r>
      <w:r>
        <w:rPr>
          <w:rFonts w:ascii="Times New Roman" w:hAnsi="Times New Roman" w:cs="Times New Roman" w:eastAsia="Times New Roman" w:hint="default"/>
          <w:spacing w:val="-3"/>
        </w:rPr>
        <w:t>1%</w:t>
      </w:r>
      <w:r>
        <w:rPr>
          <w:spacing w:val="-3"/>
        </w:rPr>
        <w:t>。本次员工持股计划拟受让公司回购</w:t>
      </w:r>
      <w:r>
        <w:rPr>
          <w:spacing w:val="66"/>
        </w:rPr>
        <w:t> </w:t>
      </w:r>
      <w:r>
        <w:rPr>
          <w:spacing w:val="66"/>
        </w:rPr>
      </w:r>
      <w:r>
        <w:rPr>
          <w:spacing w:val="-3"/>
        </w:rPr>
        <w:t>股票的价格为</w:t>
      </w:r>
      <w:r>
        <w:rPr>
          <w:rFonts w:ascii="Times New Roman" w:hAnsi="Times New Roman" w:cs="Times New Roman" w:eastAsia="Times New Roman" w:hint="default"/>
          <w:spacing w:val="-3"/>
        </w:rPr>
        <w:t>14.52</w:t>
      </w:r>
      <w:r>
        <w:rPr>
          <w:spacing w:val="-3"/>
        </w:rPr>
        <w:t>元</w:t>
      </w:r>
      <w:r>
        <w:rPr>
          <w:rFonts w:ascii="Times New Roman" w:hAnsi="Times New Roman" w:cs="Times New Roman" w:eastAsia="Times New Roman" w:hint="default"/>
          <w:spacing w:val="-3"/>
        </w:rPr>
        <w:t>/</w:t>
      </w:r>
      <w:r>
        <w:rPr>
          <w:spacing w:val="-3"/>
        </w:rPr>
        <w:t>股。最终参加员工持股计划的员工人数及认购金额根据员工实际缴款情况确定。持有人如未按期、足</w:t>
      </w:r>
      <w:r>
        <w:rPr>
          <w:spacing w:val="78"/>
        </w:rPr>
        <w:t> </w:t>
      </w:r>
      <w:r>
        <w:rPr>
          <w:spacing w:val="78"/>
        </w:rPr>
      </w:r>
      <w:r>
        <w:rPr>
          <w:spacing w:val="-4"/>
        </w:rPr>
        <w:t>额缴纳其认购资金的，则视为自动放弃认购相应的认购权利，公司董事会可根据员工实际缴款情况对参加对象名单及其认购</w:t>
      </w:r>
      <w:r>
        <w:rPr>
          <w:spacing w:val="39"/>
        </w:rPr>
        <w:t> </w:t>
      </w:r>
      <w:r>
        <w:rPr>
          <w:spacing w:val="39"/>
        </w:rPr>
      </w:r>
      <w:r>
        <w:rPr>
          <w:spacing w:val="-4"/>
        </w:rPr>
        <w:t>份额进行调整，参加对象的最终人数、名单以及认购员工持股计划的份额以员工实际缴款情况确定。员工持股计划成立后通</w:t>
      </w:r>
      <w:r>
        <w:rPr>
          <w:spacing w:val="43"/>
        </w:rPr>
        <w:t> </w:t>
      </w:r>
      <w:r>
        <w:rPr>
          <w:spacing w:val="43"/>
        </w:rPr>
      </w:r>
      <w:r>
        <w:rPr>
          <w:spacing w:val="-3"/>
        </w:rPr>
        <w:t>过集合信托计划委托首誉光控资产管理有限公司的资产管理计划，受托管理员工持股计划的全部委托资产。</w:t>
      </w:r>
    </w:p>
    <w:p>
      <w:pPr>
        <w:pStyle w:val="BodyText"/>
        <w:spacing w:line="302" w:lineRule="auto" w:before="66"/>
        <w:ind w:right="1122" w:firstLine="360"/>
        <w:jc w:val="both"/>
      </w:pP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23</w:t>
      </w:r>
      <w:r>
        <w:rPr>
          <w:spacing w:val="-4"/>
        </w:rPr>
        <w:t>日，公司收到中国证券登记结算有限责任公司深圳分公司出具的《证券过户登记确认书》，</w:t>
      </w:r>
      <w:r>
        <w:rPr>
          <w:rFonts w:ascii="Times New Roman" w:hAnsi="Times New Roman" w:cs="Times New Roman" w:eastAsia="Times New Roman" w:hint="default"/>
          <w:spacing w:val="-4"/>
        </w:rPr>
        <w:t>“</w:t>
      </w:r>
      <w:r>
        <w:rPr>
          <w:spacing w:val="-4"/>
        </w:rPr>
        <w:t>北京东方通科</w:t>
      </w:r>
      <w:r>
        <w:rPr>
          <w:w w:val="101"/>
        </w:rPr>
        <w:t> </w:t>
      </w:r>
      <w:r>
        <w:rPr>
          <w:spacing w:val="-3"/>
        </w:rPr>
        <w:t>技股份有限公司回购专用证券账户</w:t>
      </w:r>
      <w:r>
        <w:rPr>
          <w:rFonts w:ascii="Times New Roman" w:hAnsi="Times New Roman" w:cs="Times New Roman" w:eastAsia="Times New Roman" w:hint="default"/>
          <w:spacing w:val="-3"/>
        </w:rPr>
        <w:t>”</w:t>
      </w:r>
      <w:r>
        <w:rPr>
          <w:spacing w:val="-3"/>
        </w:rPr>
        <w:t>所持有的</w:t>
      </w:r>
      <w:r>
        <w:rPr>
          <w:rFonts w:ascii="Times New Roman" w:hAnsi="Times New Roman" w:cs="Times New Roman" w:eastAsia="Times New Roman" w:hint="default"/>
          <w:spacing w:val="-3"/>
        </w:rPr>
        <w:t>10,336,816</w:t>
      </w:r>
      <w:r>
        <w:rPr>
          <w:spacing w:val="-3"/>
        </w:rPr>
        <w:t>股公司回购股票已于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日全部以非交易过户的方式过户至</w:t>
      </w:r>
      <w:r>
        <w:rPr>
          <w:spacing w:val="9"/>
        </w:rPr>
        <w:t> </w:t>
      </w:r>
      <w:r>
        <w:rPr>
          <w:spacing w:val="9"/>
        </w:rPr>
      </w:r>
      <w:r>
        <w:rPr>
          <w:rFonts w:ascii="Times New Roman" w:hAnsi="Times New Roman" w:cs="Times New Roman" w:eastAsia="Times New Roman" w:hint="default"/>
          <w:spacing w:val="-3"/>
        </w:rPr>
        <w:t>“</w:t>
      </w:r>
      <w:r>
        <w:rPr>
          <w:spacing w:val="-3"/>
        </w:rPr>
        <w:t>北京东方通科技股份有限公司</w:t>
      </w:r>
      <w:r>
        <w:rPr>
          <w:rFonts w:ascii="Times New Roman" w:hAnsi="Times New Roman" w:cs="Times New Roman" w:eastAsia="Times New Roman" w:hint="default"/>
          <w:spacing w:val="-3"/>
        </w:rPr>
        <w:t>-</w:t>
      </w:r>
      <w:r>
        <w:rPr>
          <w:spacing w:val="-3"/>
        </w:rPr>
        <w:t>第一期员工持股计划</w:t>
      </w:r>
      <w:r>
        <w:rPr>
          <w:rFonts w:ascii="Times New Roman" w:hAnsi="Times New Roman" w:cs="Times New Roman" w:eastAsia="Times New Roman" w:hint="default"/>
          <w:spacing w:val="-3"/>
        </w:rPr>
        <w:t>”</w:t>
      </w:r>
      <w:r>
        <w:rPr>
          <w:spacing w:val="-3"/>
        </w:rPr>
        <w:t>专户，过户股份数量占公司目前总股本的</w:t>
      </w:r>
      <w:r>
        <w:rPr>
          <w:rFonts w:ascii="Times New Roman" w:hAnsi="Times New Roman" w:cs="Times New Roman" w:eastAsia="Times New Roman" w:hint="default"/>
          <w:spacing w:val="-3"/>
        </w:rPr>
        <w:t>3.67%</w:t>
      </w:r>
      <w:r>
        <w:rPr>
          <w:spacing w:val="-3"/>
        </w:rPr>
        <w:t>，过户价格为</w:t>
      </w:r>
      <w:r>
        <w:rPr>
          <w:rFonts w:ascii="Times New Roman" w:hAnsi="Times New Roman" w:cs="Times New Roman" w:eastAsia="Times New Roman" w:hint="default"/>
          <w:spacing w:val="-3"/>
        </w:rPr>
        <w:t>14.52</w:t>
      </w:r>
      <w:r>
        <w:rPr>
          <w:spacing w:val="-3"/>
        </w:rPr>
        <w:t>元</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5"/>
        </w:rPr>
        <w:t> </w:t>
      </w:r>
      <w:r>
        <w:rPr/>
        <w:t>股。</w:t>
      </w:r>
    </w:p>
    <w:p>
      <w:pPr>
        <w:spacing w:line="352" w:lineRule="auto" w:before="68"/>
        <w:ind w:left="513" w:right="0"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（五）投资入伙海淀上市公司协同创新基金。</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4"/>
          <w:sz w:val="18"/>
          <w:szCs w:val="18"/>
        </w:rPr>
        <w:t>为促进公司长远发展，充分借助专业投资机构的专业资源及其投资管理优势，完善在特定行业的战略布局，公司于</w:t>
      </w:r>
      <w:r>
        <w:rPr>
          <w:rFonts w:ascii="Times New Roman" w:hAnsi="Times New Roman" w:cs="Times New Roman" w:eastAsia="Times New Roman" w:hint="default"/>
          <w:spacing w:val="-4"/>
          <w:sz w:val="18"/>
          <w:szCs w:val="18"/>
        </w:rPr>
        <w:t>2019</w:t>
      </w:r>
    </w:p>
    <w:p>
      <w:pPr>
        <w:pStyle w:val="BodyText"/>
        <w:spacing w:line="218" w:lineRule="exact"/>
        <w:ind w:right="0"/>
        <w:jc w:val="left"/>
      </w:pP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28</w:t>
      </w:r>
      <w:r>
        <w:rPr>
          <w:spacing w:val="-4"/>
        </w:rPr>
        <w:t>日召开第三届董事会第三十二次会议，审议通过了《关于公司拟投资入伙海淀上市公司协同创新基金的议案》，同</w:t>
      </w:r>
    </w:p>
    <w:p>
      <w:pPr>
        <w:pStyle w:val="BodyText"/>
        <w:spacing w:line="312" w:lineRule="auto" w:before="63"/>
        <w:ind w:right="1123"/>
        <w:jc w:val="both"/>
      </w:pPr>
      <w:r>
        <w:rPr>
          <w:spacing w:val="-3"/>
        </w:rPr>
        <w:t>意公司作为有限合伙人以自有资金</w:t>
      </w:r>
      <w:r>
        <w:rPr>
          <w:rFonts w:ascii="Times New Roman" w:hAnsi="Times New Roman" w:cs="Times New Roman" w:eastAsia="Times New Roman" w:hint="default"/>
          <w:spacing w:val="-3"/>
        </w:rPr>
        <w:t>5,000</w:t>
      </w:r>
      <w:r>
        <w:rPr>
          <w:spacing w:val="-3"/>
        </w:rPr>
        <w:t>万元人民币，投资入伙海淀上市公司协同创新基金。该基金专注于投资军民融合领</w:t>
      </w:r>
      <w:r>
        <w:rPr>
          <w:spacing w:val="77"/>
        </w:rPr>
        <w:t> </w:t>
      </w:r>
      <w:r>
        <w:rPr>
          <w:spacing w:val="77"/>
        </w:rPr>
      </w:r>
      <w:r>
        <w:rPr>
          <w:spacing w:val="-4"/>
        </w:rPr>
        <w:t>域新一代信息技术等战略新兴产业，拥有雄厚的资金实力和产业资源，与公司发展战略具有高度协同性和一致性。通过借助</w:t>
      </w:r>
      <w:r>
        <w:rPr>
          <w:spacing w:val="43"/>
        </w:rPr>
        <w:t> </w:t>
      </w:r>
      <w:r>
        <w:rPr>
          <w:spacing w:val="43"/>
        </w:rPr>
      </w:r>
      <w:r>
        <w:rPr>
          <w:spacing w:val="-4"/>
        </w:rPr>
        <w:t>国资背景专业投资平台优势，有利于公司把握深入推进国防信息化建设以及军民融合等国家战略的机遇；有利于公司持续深</w:t>
      </w:r>
      <w:r>
        <w:rPr>
          <w:spacing w:val="44"/>
        </w:rPr>
        <w:t> </w:t>
      </w:r>
      <w:r>
        <w:rPr>
          <w:spacing w:val="44"/>
        </w:rPr>
      </w:r>
      <w:r>
        <w:rPr>
          <w:spacing w:val="-4"/>
        </w:rPr>
        <w:t>化产业布局，促进公司长期、健康、稳定发展。本次投资入伙有利于公司借助基金平台优势，拓宽投资领域，进一步完善在</w:t>
      </w:r>
    </w:p>
    <w:p>
      <w:pPr>
        <w:spacing w:after="0" w:line="312"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4" w:lineRule="auto" w:before="46"/>
        <w:ind w:right="1122"/>
        <w:jc w:val="both"/>
      </w:pPr>
      <w:r>
        <w:rPr>
          <w:spacing w:val="-4"/>
        </w:rPr>
        <w:t>特定行业的投资布局，提高公司盈利水平和市场竞争力，符合公司可持续发展及稳定增长的需求。截止报告期末，公司已完</w:t>
      </w:r>
      <w:r>
        <w:rPr>
          <w:spacing w:val="40"/>
        </w:rPr>
        <w:t> </w:t>
      </w:r>
      <w:r>
        <w:rPr>
          <w:spacing w:val="40"/>
        </w:rPr>
      </w:r>
      <w:r>
        <w:rPr>
          <w:spacing w:val="-4"/>
        </w:rPr>
        <w:t>成与海淀上市公司协同创新基金普通合伙人腾飞天使（北京）投资管理有限公司及其他有限合伙人签署了《北京海资联动创</w:t>
      </w:r>
      <w:r>
        <w:rPr>
          <w:spacing w:val="44"/>
        </w:rPr>
        <w:t> </w:t>
      </w:r>
      <w:r>
        <w:rPr>
          <w:spacing w:val="44"/>
        </w:rPr>
      </w:r>
      <w:r>
        <w:rPr>
          <w:spacing w:val="-7"/>
        </w:rPr>
        <w:t>新股权投资管理中心（有限合伙）之有限合伙协议》。并根据《海淀上市公司协同创新基金第一次缴付出资通知书》，于</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日完成了首期出资款的实缴。</w:t>
      </w:r>
    </w:p>
    <w:p>
      <w:pPr>
        <w:spacing w:line="357" w:lineRule="auto" w:before="3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（六）完成董事会、监事会换届，及高级管理人员聘任工作。</w:t>
      </w:r>
      <w:r>
        <w:rPr>
          <w:rFonts w:ascii="宋体" w:hAnsi="宋体" w:cs="宋体" w:eastAsia="宋体" w:hint="default"/>
          <w:b/>
          <w:bCs/>
          <w:w w:val="100"/>
          <w:sz w:val="18"/>
          <w:szCs w:val="18"/>
        </w:rPr>
        <w:t> </w:t>
      </w:r>
      <w:r>
        <w:rPr>
          <w:rFonts w:ascii="宋体" w:hAnsi="宋体" w:cs="宋体" w:eastAsia="宋体" w:hint="default"/>
          <w:spacing w:val="-5"/>
          <w:sz w:val="18"/>
          <w:szCs w:val="18"/>
        </w:rPr>
        <w:t>报告期内第三届董事会、监事会任期已届满，根据《公司法》、《深圳证券交易所创业板股票上市规则》、《深圳证券</w:t>
      </w:r>
    </w:p>
    <w:p>
      <w:pPr>
        <w:pStyle w:val="BodyText"/>
        <w:spacing w:line="224" w:lineRule="exact"/>
        <w:ind w:right="0"/>
        <w:jc w:val="left"/>
      </w:pPr>
      <w:r>
        <w:rPr>
          <w:spacing w:val="-4"/>
        </w:rPr>
        <w:t>交易所创业板上市公司规范运作指引》等相关法律法规及《公司章程》等有关规定，公司按照相关法律程序进行董事会、监</w:t>
      </w:r>
    </w:p>
    <w:p>
      <w:pPr>
        <w:pStyle w:val="BodyText"/>
        <w:spacing w:line="307" w:lineRule="auto" w:before="76"/>
        <w:ind w:right="0"/>
        <w:jc w:val="left"/>
      </w:pPr>
      <w:r>
        <w:rPr>
          <w:spacing w:val="-3"/>
        </w:rPr>
        <w:t>事会换届选举。</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日召开了公司</w:t>
      </w:r>
      <w:r>
        <w:rPr>
          <w:rFonts w:ascii="Times New Roman" w:hAnsi="Times New Roman" w:cs="Times New Roman" w:eastAsia="Times New Roman" w:hint="default"/>
          <w:spacing w:val="-3"/>
        </w:rPr>
        <w:t>2019</w:t>
      </w:r>
      <w:r>
        <w:rPr>
          <w:spacing w:val="-3"/>
        </w:rPr>
        <w:t>年第四次临时股东大会，审议通过了董事会、监事会换届选举的相关议案，</w:t>
      </w:r>
      <w:r>
        <w:rPr>
          <w:spacing w:val="82"/>
        </w:rPr>
        <w:t> </w:t>
      </w:r>
      <w:r>
        <w:rPr>
          <w:spacing w:val="82"/>
        </w:rPr>
      </w:r>
      <w:r>
        <w:rPr>
          <w:spacing w:val="-4"/>
        </w:rPr>
        <w:t>选举出公司第四届董事会、监事会成员。</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26</w:t>
      </w:r>
      <w:r>
        <w:rPr>
          <w:spacing w:val="-4"/>
        </w:rPr>
        <w:t>日公司召开职工代表大会，经全体与会职工代表审议，选举出一位职</w:t>
      </w:r>
      <w:r>
        <w:rPr>
          <w:spacing w:val="57"/>
        </w:rPr>
        <w:t> </w:t>
      </w:r>
      <w:r>
        <w:rPr>
          <w:spacing w:val="57"/>
        </w:rPr>
      </w:r>
      <w:r>
        <w:rPr>
          <w:spacing w:val="-6"/>
        </w:rPr>
        <w:t>工代表监事。至此公司董事会、监事会换届选举完成。同时，公司第四届董事会第一次会议完成了高级管理人员的聘任工作，</w:t>
      </w:r>
      <w:r>
        <w:rPr>
          <w:spacing w:val="69"/>
        </w:rPr>
        <w:t> </w:t>
      </w:r>
      <w:r>
        <w:rPr>
          <w:spacing w:val="69"/>
        </w:rPr>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月又新聘王庆丰先生为公司副总经理，充实了管理层的力量。</w:t>
      </w:r>
    </w:p>
    <w:p>
      <w:pPr>
        <w:spacing w:line="333" w:lineRule="auto" w:before="45"/>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（七）投资设立全资子公司</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北京东方通软件有限公司</w:t>
      </w:r>
      <w:r>
        <w:rPr>
          <w:rFonts w:ascii="宋体" w:hAnsi="宋体" w:cs="宋体" w:eastAsia="宋体" w:hint="default"/>
          <w:b/>
          <w:bCs/>
          <w:w w:val="100"/>
          <w:sz w:val="18"/>
          <w:szCs w:val="18"/>
        </w:rPr>
        <w:t> </w:t>
      </w:r>
      <w:r>
        <w:rPr>
          <w:rFonts w:ascii="宋体" w:hAnsi="宋体" w:cs="宋体" w:eastAsia="宋体" w:hint="default"/>
          <w:spacing w:val="-4"/>
          <w:sz w:val="18"/>
          <w:szCs w:val="18"/>
        </w:rPr>
        <w:t>为了实现公司董事会制定的整体发展战略，优化公司集团化业务管控结构，打造独立的基础软件产业体系，公司拟使用</w:t>
      </w:r>
    </w:p>
    <w:p>
      <w:pPr>
        <w:pStyle w:val="BodyText"/>
        <w:spacing w:line="302" w:lineRule="auto" w:before="6"/>
        <w:ind w:right="1122"/>
        <w:jc w:val="both"/>
      </w:pPr>
      <w:r>
        <w:rPr>
          <w:spacing w:val="-3"/>
        </w:rPr>
        <w:t>自有资金</w:t>
      </w:r>
      <w:r>
        <w:rPr>
          <w:rFonts w:ascii="Times New Roman" w:hAnsi="Times New Roman" w:cs="Times New Roman" w:eastAsia="Times New Roman" w:hint="default"/>
          <w:spacing w:val="-3"/>
        </w:rPr>
        <w:t>10,000</w:t>
      </w:r>
      <w:r>
        <w:rPr>
          <w:spacing w:val="-3"/>
        </w:rPr>
        <w:t>万元人民币投资设立全资子公司</w:t>
      </w:r>
      <w:r>
        <w:rPr>
          <w:rFonts w:ascii="Times New Roman" w:hAnsi="Times New Roman" w:cs="Times New Roman" w:eastAsia="Times New Roman" w:hint="default"/>
          <w:spacing w:val="-3"/>
        </w:rPr>
        <w:t>——</w:t>
      </w:r>
      <w:r>
        <w:rPr>
          <w:spacing w:val="-3"/>
        </w:rPr>
        <w:t>北京东方通软件有限公司。</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spacing w:val="-3"/>
        </w:rPr>
        <w:t>日召开了第四届董事会第二次会</w:t>
      </w:r>
      <w:r>
        <w:rPr>
          <w:spacing w:val="51"/>
        </w:rPr>
        <w:t> </w:t>
      </w:r>
      <w:r>
        <w:rPr>
          <w:spacing w:val="51"/>
        </w:rPr>
      </w:r>
      <w:r>
        <w:rPr>
          <w:spacing w:val="-3"/>
        </w:rPr>
        <w:t>议，审议通过了《关于投资设立全资子公司的议案》。</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18</w:t>
      </w:r>
      <w:r>
        <w:rPr>
          <w:spacing w:val="-3"/>
        </w:rPr>
        <w:t>日，该子公司取得了北京市工商行政管理局经济技术开</w:t>
      </w:r>
      <w:r>
        <w:rPr>
          <w:spacing w:val="79"/>
        </w:rPr>
        <w:t> </w:t>
      </w:r>
      <w:r>
        <w:rPr>
          <w:spacing w:val="79"/>
        </w:rPr>
      </w:r>
      <w:r>
        <w:rPr>
          <w:spacing w:val="-3"/>
        </w:rPr>
        <w:t>发区分局颁发的《营业执照》，完成了工商注册登记手续。</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4"/>
        <w:rPr>
          <w:rFonts w:ascii="宋体" w:hAnsi="宋体" w:cs="宋体" w:eastAsia="宋体" w:hint="default"/>
          <w:b/>
          <w:bCs/>
          <w:sz w:val="25"/>
          <w:szCs w:val="25"/>
        </w:rPr>
      </w:pPr>
    </w:p>
    <w:p>
      <w:pPr>
        <w:spacing w:line="544" w:lineRule="auto" w:before="0"/>
        <w:ind w:left="153" w:right="6287"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7"/>
      <w:bookmarkEnd w:id="27"/>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营业收入整体情况</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3"/>
        <w:gridCol w:w="1594"/>
        <w:gridCol w:w="1591"/>
        <w:gridCol w:w="1598"/>
        <w:gridCol w:w="1586"/>
        <w:gridCol w:w="1598"/>
      </w:tblGrid>
      <w:tr>
        <w:trPr>
          <w:trHeight w:val="206" w:hRule="exact"/>
        </w:trPr>
        <w:tc>
          <w:tcPr>
            <w:tcW w:w="16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603"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3"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9"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499,969,903.75</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372,052,345.23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w:t>
            </w:r>
          </w:p>
        </w:tc>
        <w:tc>
          <w:tcPr>
            <w:tcW w:w="1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34.38%</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242,923,680.63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216,455,389.92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58.18%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12.23%</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174,311,473.68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102,142,854.68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27.45%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70.65%</w:t>
            </w:r>
          </w:p>
        </w:tc>
      </w:tr>
      <w:tr>
        <w:trPr>
          <w:trHeight w:val="39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22,760,757.70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24,099,809.73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-5.56%</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17,768,627.06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12,944,310.73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37.27%</w:t>
            </w:r>
          </w:p>
        </w:tc>
      </w:tr>
      <w:tr>
        <w:trPr>
          <w:trHeight w:val="40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42,205,364.68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16,409,980.17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157.19%</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基础安全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173,480,180.99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150,685,298.00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40.50%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行业安全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326,489,722.76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221,367,047.23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47.49%</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218,689,352.10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153,673,828.05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42.31%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115,616,732.29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97,488,845.49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51,333,700.98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44,142,949.62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16.29%</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51,132,184.33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20,764,490.04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146.25%</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27,444,973.13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23,849,920.55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15.07%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22,460,602.66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14,359,660.60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13,292,358.26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17,772,650.88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-25.21%</w:t>
            </w:r>
          </w:p>
        </w:tc>
      </w:tr>
    </w:tbl>
    <w:p>
      <w:pPr>
        <w:pStyle w:val="BodyText"/>
        <w:spacing w:line="240" w:lineRule="auto" w:before="53"/>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771"/>
        <w:gridCol w:w="1099"/>
        <w:gridCol w:w="1095"/>
        <w:gridCol w:w="1090"/>
        <w:gridCol w:w="1176"/>
        <w:gridCol w:w="1090"/>
        <w:gridCol w:w="1090"/>
        <w:gridCol w:w="1095"/>
        <w:gridCol w:w="1181"/>
      </w:tblGrid>
      <w:tr>
        <w:trPr>
          <w:trHeight w:val="207" w:hRule="exact"/>
        </w:trPr>
        <w:tc>
          <w:tcPr>
            <w:tcW w:w="771" w:type="dxa"/>
            <w:tcBorders>
              <w:top w:val="single" w:sz="4" w:space="0" w:color="000000"/>
              <w:left w:val="single" w:sz="4" w:space="0" w:color="000000"/>
              <w:bottom w:val="nil" w:sz="6" w:space="0" w:color="auto"/>
              <w:right w:val="single" w:sz="4" w:space="0" w:color="000000"/>
            </w:tcBorders>
            <w:shd w:val="clear" w:color="auto" w:fill="D2D2D2"/>
          </w:tcPr>
          <w:p>
            <w:pPr/>
          </w:p>
        </w:tc>
        <w:tc>
          <w:tcPr>
            <w:tcW w:w="446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45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92" w:hRule="exact"/>
        </w:trPr>
        <w:tc>
          <w:tcPr>
            <w:tcW w:w="771" w:type="dxa"/>
            <w:vMerge w:val="restart"/>
            <w:tcBorders>
              <w:top w:val="nil" w:sz="6" w:space="0" w:color="auto"/>
              <w:left w:val="single" w:sz="4" w:space="0" w:color="000000"/>
              <w:right w:val="single" w:sz="4" w:space="0" w:color="000000"/>
            </w:tcBorders>
            <w:shd w:val="clear" w:color="auto" w:fill="D2D2D2"/>
          </w:tcPr>
          <w:p>
            <w:pPr/>
          </w:p>
        </w:tc>
        <w:tc>
          <w:tcPr>
            <w:tcW w:w="4461" w:type="dxa"/>
            <w:gridSpan w:val="4"/>
            <w:vMerge/>
            <w:tcBorders>
              <w:left w:val="single" w:sz="4" w:space="0" w:color="000000"/>
              <w:bottom w:val="single" w:sz="4" w:space="0" w:color="000000"/>
              <w:right w:val="single" w:sz="4" w:space="0" w:color="000000"/>
            </w:tcBorders>
            <w:shd w:val="clear" w:color="auto" w:fill="D2D2D2"/>
          </w:tcPr>
          <w:p>
            <w:pPr/>
          </w:p>
        </w:tc>
        <w:tc>
          <w:tcPr>
            <w:tcW w:w="4456"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771" w:type="dxa"/>
            <w:vMerge/>
            <w:tcBorders>
              <w:left w:val="single" w:sz="4" w:space="0" w:color="000000"/>
              <w:bottom w:val="nil" w:sz="6" w:space="0" w:color="auto"/>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9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90,298,561.61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87,992,367.40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73,854,405.63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2"/>
                <w:sz w:val="18"/>
              </w:rPr>
              <w:t>247,824,569.11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60,348,536.04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49,691,285.38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81,497,128.55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180,515,395.26</w:t>
            </w:r>
          </w:p>
        </w:tc>
      </w:tr>
      <w:tr>
        <w:trPr>
          <w:trHeight w:val="1340" w:hRule="exact"/>
        </w:trPr>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22"/>
              <w:jc w:val="both"/>
              <w:rPr>
                <w:rFonts w:ascii="宋体" w:hAnsi="宋体" w:cs="宋体" w:eastAsia="宋体" w:hint="default"/>
                <w:sz w:val="18"/>
                <w:szCs w:val="18"/>
              </w:rPr>
            </w:pPr>
            <w:r>
              <w:rPr>
                <w:rFonts w:ascii="宋体" w:hAnsi="宋体" w:cs="宋体" w:eastAsia="宋体" w:hint="default"/>
                <w:sz w:val="18"/>
                <w:szCs w:val="18"/>
              </w:rPr>
              <w:t>归属于上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东的净利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10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15,102,327.49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29,454,458.48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3,858,329.50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92,876,746.88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3,294,694.29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-1,685,331.02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20,857,082.17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99,702,121.67</w:t>
            </w:r>
          </w:p>
        </w:tc>
      </w:tr>
    </w:tbl>
    <w:p>
      <w:pPr>
        <w:pStyle w:val="BodyText"/>
        <w:spacing w:line="357" w:lineRule="auto" w:before="53"/>
        <w:ind w:left="513" w:right="0" w:hanging="360"/>
        <w:jc w:val="left"/>
      </w:pPr>
      <w:r>
        <w:rPr>
          <w:spacing w:val="-3"/>
        </w:rPr>
        <w:t>说明经营季节性（或周期性）发生的原因及波动风险</w:t>
      </w:r>
      <w:r>
        <w:rPr>
          <w:spacing w:val="-21"/>
        </w:rPr>
        <w:t> </w:t>
      </w:r>
      <w:r>
        <w:rPr>
          <w:spacing w:val="-21"/>
        </w:rPr>
      </w:r>
      <w:r>
        <w:rPr>
          <w:spacing w:val="-4"/>
        </w:rPr>
        <w:t>公司及子公司客户群体以政府、电信运营商、金融、交通等领域客户为主，受其采用的预算管理制度和集中采购制度等</w:t>
      </w:r>
    </w:p>
    <w:p>
      <w:pPr>
        <w:pStyle w:val="BodyText"/>
        <w:spacing w:line="224" w:lineRule="exact"/>
        <w:ind w:right="0"/>
        <w:jc w:val="left"/>
      </w:pPr>
      <w:r>
        <w:rPr>
          <w:spacing w:val="-4"/>
        </w:rPr>
        <w:t>影响，通常在一季度制定本年度全年的信息技术采购计划和指标；在第二季度及第三季度上半段进行相关产品现场调研、邀</w:t>
      </w:r>
    </w:p>
    <w:p>
      <w:pPr>
        <w:pStyle w:val="BodyText"/>
        <w:spacing w:line="319" w:lineRule="auto" w:before="76"/>
        <w:ind w:right="0"/>
        <w:jc w:val="left"/>
      </w:pPr>
      <w:r>
        <w:rPr>
          <w:spacing w:val="-4"/>
        </w:rPr>
        <w:t>请相关厂商进行产品测试以及对入围厂商进行招标、投标、评标和定标；第三季度下半段及第四季度才正式确定所需采购产</w:t>
      </w:r>
      <w:r>
        <w:rPr>
          <w:spacing w:val="43"/>
        </w:rPr>
        <w:t> </w:t>
      </w:r>
      <w:r>
        <w:rPr>
          <w:spacing w:val="43"/>
        </w:rPr>
      </w:r>
      <w:r>
        <w:rPr>
          <w:spacing w:val="-3"/>
        </w:rPr>
        <w:t>品并与中标厂商签订采购合同。因此，公司存在明显的季节性销售特征。本报告期公司销售和业绩的季节性特征有所改善，</w:t>
      </w:r>
      <w:r>
        <w:rPr>
          <w:spacing w:val="66"/>
        </w:rPr>
        <w:t> </w:t>
      </w:r>
      <w:r>
        <w:rPr>
          <w:spacing w:val="66"/>
        </w:rPr>
      </w:r>
      <w:r>
        <w:rPr>
          <w:spacing w:val="-3"/>
        </w:rPr>
        <w:t>但总体趋势仍不会有大的变化。</w:t>
      </w:r>
    </w:p>
    <w:p>
      <w:pPr>
        <w:pStyle w:val="BodyText"/>
        <w:spacing w:line="302" w:lineRule="auto" w:before="50"/>
        <w:ind w:right="1194" w:firstLine="360"/>
        <w:jc w:val="both"/>
      </w:pPr>
      <w:r>
        <w:rPr>
          <w:spacing w:val="-3"/>
        </w:rPr>
        <w:t>公司</w:t>
      </w:r>
      <w:r>
        <w:rPr>
          <w:rFonts w:ascii="Times New Roman" w:hAnsi="Times New Roman" w:cs="Times New Roman" w:eastAsia="Times New Roman" w:hint="default"/>
          <w:spacing w:val="-3"/>
        </w:rPr>
        <w:t>2019</w:t>
      </w:r>
      <w:r>
        <w:rPr>
          <w:spacing w:val="-3"/>
        </w:rPr>
        <w:t>年度下半年的营业收入占全年营业收入的</w:t>
      </w:r>
      <w:r>
        <w:rPr>
          <w:rFonts w:ascii="Times New Roman" w:hAnsi="Times New Roman" w:cs="Times New Roman" w:eastAsia="Times New Roman" w:hint="default"/>
          <w:spacing w:val="-3"/>
        </w:rPr>
        <w:t>64.34%</w:t>
      </w:r>
      <w:r>
        <w:rPr>
          <w:spacing w:val="-3"/>
        </w:rPr>
        <w:t>，下半年归属于上市公司股东的净利润占全年归属于上市公</w:t>
      </w:r>
      <w:r>
        <w:rPr>
          <w:w w:val="101"/>
        </w:rPr>
        <w:t> </w:t>
      </w:r>
      <w:r>
        <w:rPr>
          <w:spacing w:val="-3"/>
        </w:rPr>
        <w:t>司股东的净利润的</w:t>
      </w:r>
      <w:r>
        <w:rPr>
          <w:rFonts w:ascii="Times New Roman" w:hAnsi="Times New Roman" w:cs="Times New Roman" w:eastAsia="Times New Roman" w:hint="default"/>
          <w:spacing w:val="-3"/>
        </w:rPr>
        <w:t>68.46%</w:t>
      </w:r>
      <w:r>
        <w:rPr>
          <w:spacing w:val="-3"/>
        </w:rPr>
        <w:t>，其中第四季度归属于上市公司股东的净利润占全年的</w:t>
      </w:r>
      <w:r>
        <w:rPr>
          <w:rFonts w:ascii="Times New Roman" w:hAnsi="Times New Roman" w:cs="Times New Roman" w:eastAsia="Times New Roman" w:hint="default"/>
          <w:spacing w:val="-3"/>
        </w:rPr>
        <w:t>49.57%</w:t>
      </w:r>
      <w:r>
        <w:rPr>
          <w:spacing w:val="-3"/>
        </w:rPr>
        <w:t>；</w:t>
      </w:r>
      <w:r>
        <w:rPr>
          <w:rFonts w:ascii="Times New Roman" w:hAnsi="Times New Roman" w:cs="Times New Roman" w:eastAsia="Times New Roman" w:hint="default"/>
          <w:spacing w:val="-3"/>
        </w:rPr>
        <w:t>2018</w:t>
      </w:r>
      <w:r>
        <w:rPr>
          <w:spacing w:val="-3"/>
        </w:rPr>
        <w:t>年度下半年的营业收入占全</w:t>
      </w:r>
      <w:r>
        <w:rPr>
          <w:spacing w:val="-1"/>
        </w:rPr>
        <w:t> </w:t>
      </w:r>
      <w:r>
        <w:rPr>
          <w:spacing w:val="-1"/>
        </w:rPr>
      </w:r>
      <w:r>
        <w:rPr>
          <w:spacing w:val="-3"/>
        </w:rPr>
        <w:t>年营业收入的</w:t>
      </w:r>
      <w:r>
        <w:rPr>
          <w:rFonts w:ascii="Times New Roman" w:hAnsi="Times New Roman" w:cs="Times New Roman" w:eastAsia="Times New Roman" w:hint="default"/>
          <w:spacing w:val="-3"/>
        </w:rPr>
        <w:t>70.42%</w:t>
      </w:r>
      <w:r>
        <w:rPr>
          <w:spacing w:val="-3"/>
        </w:rPr>
        <w:t>，下半年归属于上市公司股东的净利润占全年归属于上市公司股东的净利润的</w:t>
      </w:r>
      <w:r>
        <w:rPr>
          <w:rFonts w:ascii="Times New Roman" w:hAnsi="Times New Roman" w:cs="Times New Roman" w:eastAsia="Times New Roman" w:hint="default"/>
          <w:spacing w:val="-3"/>
        </w:rPr>
        <w:t>98.68%</w:t>
      </w:r>
      <w:r>
        <w:rPr>
          <w:spacing w:val="-3"/>
        </w:rPr>
        <w:t>，其中第四季度</w:t>
      </w:r>
      <w:r>
        <w:rPr>
          <w:spacing w:val="81"/>
        </w:rPr>
        <w:t> </w:t>
      </w:r>
      <w:r>
        <w:rPr>
          <w:spacing w:val="81"/>
        </w:rPr>
      </w:r>
      <w:r>
        <w:rPr>
          <w:spacing w:val="-3"/>
        </w:rPr>
        <w:t>归属于上市公司股东的净利润占全年的</w:t>
      </w:r>
      <w:r>
        <w:rPr>
          <w:rFonts w:ascii="Times New Roman" w:hAnsi="Times New Roman" w:cs="Times New Roman" w:eastAsia="Times New Roman" w:hint="default"/>
          <w:spacing w:val="-3"/>
        </w:rPr>
        <w:t>81.61%</w:t>
      </w:r>
      <w:r>
        <w:rPr>
          <w:spacing w:val="-3"/>
        </w:rPr>
        <w:t>。</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1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right="-13"/>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63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242,923,680.63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85,496,449.49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64.81%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12.23%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8" w:right="0"/>
              <w:jc w:val="left"/>
              <w:rPr>
                <w:rFonts w:ascii="Times New Roman" w:hAnsi="Times New Roman" w:cs="Times New Roman" w:eastAsia="Times New Roman" w:hint="default"/>
                <w:sz w:val="18"/>
                <w:szCs w:val="18"/>
              </w:rPr>
            </w:pPr>
            <w:r>
              <w:rPr>
                <w:rFonts w:ascii="Times New Roman"/>
                <w:sz w:val="18"/>
              </w:rPr>
              <w:t>20.04%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6" w:right="0"/>
              <w:jc w:val="lef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174,311,473.68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22,782,156.69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95.17%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-1.64%</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基础安全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173,480,180.99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12,725,258.40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15.13%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-19.60%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行业安全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326,489,722.76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106,786,676.24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218,689,352.10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59,324,927.71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-3.30%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115,616,732.29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27,972,474.01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18.59%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2.52%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51,333,700.98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9,045,133.27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51,132,184.33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9,944,902.22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146.25%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119.12%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2.41%</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spacing w:val="-3"/>
        </w:rPr>
        <w:t>行业和产品分类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85,496,449.49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71.54%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71,223,504.26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77.85%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20.04%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22,782,156.69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11,673,019.74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95.17%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2,519,786.27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2.11%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2,839,412.86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-11.26%</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1,332,088.76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8,713,542.19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4,424,853.29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96.92%</w:t>
            </w:r>
          </w:p>
        </w:tc>
      </w:tr>
    </w:tbl>
    <w:p>
      <w:pPr>
        <w:pStyle w:val="BodyText"/>
        <w:spacing w:line="240" w:lineRule="auto" w:before="53"/>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基础安全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12,725,258.40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15,827,923.08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-19.60%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行业安全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106,786,676.24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75,664,955.83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41.13%</w:t>
            </w:r>
          </w:p>
        </w:tc>
      </w:tr>
    </w:tbl>
    <w:p>
      <w:pPr>
        <w:pStyle w:val="BodyText"/>
        <w:spacing w:line="240" w:lineRule="auto" w:before="53"/>
        <w:ind w:right="0"/>
        <w:jc w:val="left"/>
      </w:pPr>
      <w:r>
        <w:rPr/>
        <w:t>说明</w:t>
      </w:r>
    </w:p>
    <w:p>
      <w:pPr>
        <w:pStyle w:val="BodyText"/>
        <w:spacing w:line="240" w:lineRule="auto" w:before="119"/>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t>主营业务成本构成</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9"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pacing w:val="-2"/>
                <w:sz w:val="18"/>
              </w:rPr>
              <w:t>119,511,934.64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31.85%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91,492,878.91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31.69%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30.62%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65"/>
        <w:gridCol w:w="4605"/>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229,986,866.11</w:t>
            </w:r>
          </w:p>
        </w:tc>
      </w:tr>
      <w:tr>
        <w:trPr>
          <w:trHeight w:val="404"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46.00%</w:t>
            </w:r>
          </w:p>
        </w:tc>
      </w:tr>
      <w:tr>
        <w:trPr>
          <w:trHeight w:val="398"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4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117,210,684.10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23.44%</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55,016,864.59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11.00%</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24,565,661.20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4.91%</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23,628,154.50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4.73%</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9,565,501.72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1.92%</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229,986,866.11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46.00%</w:t>
            </w:r>
          </w:p>
        </w:tc>
      </w:tr>
    </w:tbl>
    <w:p>
      <w:pPr>
        <w:pStyle w:val="BodyText"/>
        <w:spacing w:line="240" w:lineRule="auto" w:before="53"/>
        <w:ind w:right="0"/>
        <w:jc w:val="left"/>
      </w:pPr>
      <w:r>
        <w:rPr/>
        <w:t>主要客户其他情况说明</w:t>
      </w:r>
    </w:p>
    <w:p>
      <w:pPr>
        <w:pStyle w:val="BodyText"/>
        <w:spacing w:line="338" w:lineRule="auto" w:before="119"/>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821"/>
        <w:gridCol w:w="4749"/>
      </w:tblGrid>
      <w:tr>
        <w:trPr>
          <w:trHeight w:val="404"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55,593,484.34</w:t>
            </w:r>
          </w:p>
        </w:tc>
      </w:tr>
      <w:tr>
        <w:trPr>
          <w:trHeight w:val="398"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31.08%</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24"/>
        <w:gridCol w:w="3169"/>
        <w:gridCol w:w="2324"/>
        <w:gridCol w:w="3140"/>
      </w:tblGrid>
      <w:tr>
        <w:trPr>
          <w:trHeight w:val="404"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3" w:right="0"/>
              <w:jc w:val="left"/>
              <w:rPr>
                <w:rFonts w:ascii="Times New Roman" w:hAnsi="Times New Roman" w:cs="Times New Roman" w:eastAsia="Times New Roman" w:hint="default"/>
                <w:sz w:val="18"/>
                <w:szCs w:val="18"/>
              </w:rPr>
            </w:pPr>
            <w:r>
              <w:rPr>
                <w:rFonts w:ascii="Times New Roman"/>
                <w:sz w:val="18"/>
              </w:rPr>
              <w:t>20,316,077.03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11.36%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14,409,397.58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8.06%</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7,032,909.73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3.93%</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7,000,000.00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3.91%</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6,835,100.00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3.82%</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55,593,484.34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31.08%</w:t>
            </w:r>
          </w:p>
        </w:tc>
      </w:tr>
    </w:tbl>
    <w:p>
      <w:pPr>
        <w:pStyle w:val="BodyText"/>
        <w:spacing w:line="240" w:lineRule="auto" w:before="53"/>
        <w:ind w:right="0"/>
        <w:jc w:val="left"/>
      </w:pPr>
      <w:r>
        <w:rPr>
          <w:spacing w:val="-3"/>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560"/>
        <w:gridCol w:w="1561"/>
        <w:gridCol w:w="1277"/>
        <w:gridCol w:w="3755"/>
      </w:tblGrid>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2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75,271,800.43</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56,862,164.97</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32.38%</w:t>
            </w:r>
          </w:p>
        </w:tc>
        <w:tc>
          <w:tcPr>
            <w:tcW w:w="3755" w:type="dxa"/>
            <w:vMerge w:val="restart"/>
            <w:tcBorders>
              <w:top w:val="single" w:sz="4" w:space="0" w:color="000000"/>
              <w:left w:val="single" w:sz="4" w:space="0" w:color="000000"/>
              <w:right w:val="single" w:sz="4" w:space="0" w:color="000000"/>
            </w:tcBorders>
          </w:tcPr>
          <w:p>
            <w:pPr>
              <w:pStyle w:val="TableParagraph"/>
              <w:spacing w:line="316" w:lineRule="auto" w:before="11"/>
              <w:ind w:left="23" w:right="12"/>
              <w:jc w:val="left"/>
              <w:rPr>
                <w:rFonts w:ascii="宋体" w:hAnsi="宋体" w:cs="宋体" w:eastAsia="宋体" w:hint="default"/>
                <w:sz w:val="18"/>
                <w:szCs w:val="18"/>
              </w:rPr>
            </w:pPr>
            <w:r>
              <w:rPr>
                <w:rFonts w:ascii="宋体" w:hAnsi="宋体" w:cs="宋体" w:eastAsia="宋体" w:hint="default"/>
                <w:spacing w:val="-6"/>
                <w:w w:val="101"/>
                <w:sz w:val="18"/>
                <w:szCs w:val="18"/>
              </w:rPr>
              <w:t>主要原因为报告期内公司业务规模持续扩大，加</w:t>
            </w:r>
            <w:r>
              <w:rPr>
                <w:rFonts w:ascii="宋体" w:hAnsi="宋体" w:cs="宋体" w:eastAsia="宋体" w:hint="default"/>
                <w:w w:val="101"/>
                <w:sz w:val="18"/>
                <w:szCs w:val="18"/>
              </w:rPr>
              <w:t> </w:t>
            </w:r>
            <w:r>
              <w:rPr>
                <w:rFonts w:ascii="宋体" w:hAnsi="宋体" w:cs="宋体" w:eastAsia="宋体" w:hint="default"/>
                <w:spacing w:val="-3"/>
                <w:sz w:val="18"/>
                <w:szCs w:val="18"/>
              </w:rPr>
              <w:t>大市场拓展深度与广度所致。</w:t>
            </w:r>
          </w:p>
        </w:tc>
      </w:tr>
      <w:tr>
        <w:trPr>
          <w:trHeight w:val="514"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vMerge/>
            <w:tcBorders>
              <w:left w:val="single" w:sz="10"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755" w:type="dxa"/>
            <w:vMerge/>
            <w:tcBorders>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68,497,009.64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0" w:right="0"/>
              <w:jc w:val="left"/>
              <w:rPr>
                <w:rFonts w:ascii="Times New Roman" w:hAnsi="Times New Roman" w:cs="Times New Roman" w:eastAsia="Times New Roman" w:hint="default"/>
                <w:sz w:val="18"/>
                <w:szCs w:val="18"/>
              </w:rPr>
            </w:pPr>
            <w:r>
              <w:rPr>
                <w:rFonts w:ascii="Times New Roman"/>
                <w:sz w:val="18"/>
              </w:rPr>
              <w:t>63,218,798.95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8.35%</w:t>
            </w:r>
          </w:p>
        </w:tc>
        <w:tc>
          <w:tcPr>
            <w:tcW w:w="375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6,494,196.60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-6,384,495.56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201.72%</w:t>
            </w:r>
          </w:p>
        </w:tc>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主要原因为报告期内贷款利息增加。</w:t>
            </w:r>
          </w:p>
        </w:tc>
      </w:tr>
      <w:tr>
        <w:trPr>
          <w:trHeight w:val="125"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99,703,630.71</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70,369,152.84</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41.69%</w:t>
            </w:r>
          </w:p>
        </w:tc>
        <w:tc>
          <w:tcPr>
            <w:tcW w:w="3755" w:type="dxa"/>
            <w:vMerge w:val="restart"/>
            <w:tcBorders>
              <w:top w:val="single" w:sz="4" w:space="0" w:color="000000"/>
              <w:left w:val="single" w:sz="4" w:space="0" w:color="000000"/>
              <w:right w:val="single" w:sz="4" w:space="0" w:color="000000"/>
            </w:tcBorders>
          </w:tcPr>
          <w:p>
            <w:pPr>
              <w:pStyle w:val="TableParagraph"/>
              <w:spacing w:line="319" w:lineRule="auto" w:before="15"/>
              <w:ind w:left="23" w:right="12"/>
              <w:jc w:val="left"/>
              <w:rPr>
                <w:rFonts w:ascii="宋体" w:hAnsi="宋体" w:cs="宋体" w:eastAsia="宋体" w:hint="default"/>
                <w:sz w:val="18"/>
                <w:szCs w:val="18"/>
              </w:rPr>
            </w:pPr>
            <w:r>
              <w:rPr>
                <w:rFonts w:ascii="宋体" w:hAnsi="宋体" w:cs="宋体" w:eastAsia="宋体" w:hint="default"/>
                <w:spacing w:val="-6"/>
                <w:w w:val="101"/>
                <w:sz w:val="18"/>
                <w:szCs w:val="18"/>
              </w:rPr>
              <w:t>主要原因为报告期内公司加大研发投入，研发人</w:t>
            </w:r>
            <w:r>
              <w:rPr>
                <w:rFonts w:ascii="宋体" w:hAnsi="宋体" w:cs="宋体" w:eastAsia="宋体" w:hint="default"/>
                <w:w w:val="101"/>
                <w:sz w:val="18"/>
                <w:szCs w:val="18"/>
              </w:rPr>
              <w:t> </w:t>
            </w:r>
            <w:r>
              <w:rPr>
                <w:rFonts w:ascii="宋体" w:hAnsi="宋体" w:cs="宋体" w:eastAsia="宋体" w:hint="default"/>
                <w:sz w:val="18"/>
                <w:szCs w:val="18"/>
              </w:rPr>
              <w:t>员较上年增长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人。</w:t>
            </w:r>
            <w:r>
              <w:rPr>
                <w:rFonts w:ascii="宋体" w:hAnsi="宋体" w:cs="宋体" w:eastAsia="宋体" w:hint="default"/>
                <w:sz w:val="18"/>
                <w:szCs w:val="18"/>
              </w:rPr>
            </w:r>
          </w:p>
        </w:tc>
      </w:tr>
      <w:tr>
        <w:trPr>
          <w:trHeight w:val="514"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60" w:type="dxa"/>
            <w:vMerge/>
            <w:tcBorders>
              <w:left w:val="single" w:sz="10"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75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33" w:lineRule="auto"/>
        <w:ind w:left="513" w:right="1123"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公司一直高度重视产品研发和技术进步，并致力于不断的技术创新提升公司的竞争力。报告期内，研发人员与研发投入</w:t>
      </w:r>
    </w:p>
    <w:p>
      <w:pPr>
        <w:pStyle w:val="BodyText"/>
        <w:spacing w:line="304" w:lineRule="auto" w:before="6"/>
        <w:ind w:right="1120"/>
        <w:jc w:val="left"/>
      </w:pPr>
      <w:r>
        <w:rPr>
          <w:spacing w:val="-10"/>
          <w:w w:val="101"/>
        </w:rPr>
        <w:t>均显著增加，其中，研发人员占比逐年提升，报告期达到</w:t>
      </w:r>
      <w:r>
        <w:rPr>
          <w:rFonts w:ascii="Times New Roman" w:hAnsi="Times New Roman" w:cs="Times New Roman" w:eastAsia="Times New Roman" w:hint="default"/>
          <w:spacing w:val="-10"/>
          <w:w w:val="101"/>
        </w:rPr>
        <w:t>70%</w:t>
      </w:r>
      <w:r>
        <w:rPr>
          <w:spacing w:val="-10"/>
          <w:w w:val="101"/>
        </w:rPr>
        <w:t>，较上年增加</w:t>
      </w:r>
      <w:r>
        <w:rPr>
          <w:rFonts w:ascii="Times New Roman" w:hAnsi="Times New Roman" w:cs="Times New Roman" w:eastAsia="Times New Roman" w:hint="default"/>
          <w:spacing w:val="-10"/>
          <w:w w:val="101"/>
        </w:rPr>
        <w:t>90</w:t>
      </w:r>
      <w:r>
        <w:rPr>
          <w:spacing w:val="-10"/>
          <w:w w:val="101"/>
        </w:rPr>
        <w:t>人，同比增长</w:t>
      </w:r>
      <w:r>
        <w:rPr>
          <w:rFonts w:ascii="Times New Roman" w:hAnsi="Times New Roman" w:cs="Times New Roman" w:eastAsia="Times New Roman" w:hint="default"/>
          <w:spacing w:val="-10"/>
          <w:w w:val="101"/>
        </w:rPr>
        <w:t>23.44%</w:t>
      </w:r>
      <w:r>
        <w:rPr>
          <w:spacing w:val="-10"/>
          <w:w w:val="101"/>
        </w:rPr>
        <w:t>；研发经费较上年增加</w:t>
      </w:r>
      <w:r>
        <w:rPr>
          <w:rFonts w:ascii="Times New Roman" w:hAnsi="Times New Roman" w:cs="Times New Roman" w:eastAsia="Times New Roman" w:hint="default"/>
          <w:spacing w:val="-10"/>
          <w:w w:val="101"/>
        </w:rPr>
        <w:t>2,933.45</w:t>
      </w:r>
      <w:r>
        <w:rPr>
          <w:rFonts w:ascii="Times New Roman" w:hAnsi="Times New Roman" w:cs="Times New Roman" w:eastAsia="Times New Roman" w:hint="default"/>
          <w:w w:val="101"/>
        </w:rPr>
        <w:t> </w:t>
      </w:r>
      <w:r>
        <w:rPr>
          <w:spacing w:val="-3"/>
        </w:rPr>
        <w:t>万元，同比增长</w:t>
      </w:r>
      <w:r>
        <w:rPr>
          <w:rFonts w:ascii="Times New Roman" w:hAnsi="Times New Roman" w:cs="Times New Roman" w:eastAsia="Times New Roman" w:hint="default"/>
          <w:spacing w:val="-3"/>
        </w:rPr>
        <w:t>41.68%</w:t>
      </w:r>
      <w:r>
        <w:rPr>
          <w:spacing w:val="-3"/>
        </w:rPr>
        <w:t>。研发投入占当期营业收入的</w:t>
      </w:r>
      <w:r>
        <w:rPr>
          <w:rFonts w:ascii="Times New Roman" w:hAnsi="Times New Roman" w:cs="Times New Roman" w:eastAsia="Times New Roman" w:hint="default"/>
          <w:spacing w:val="-3"/>
        </w:rPr>
        <w:t>19.94%</w:t>
      </w:r>
      <w:r>
        <w:rPr>
          <w:spacing w:val="-3"/>
        </w:rPr>
        <w:t>，高于上年度占比。</w:t>
      </w:r>
    </w:p>
    <w:p>
      <w:pPr>
        <w:pStyle w:val="Heading6"/>
        <w:spacing w:line="240" w:lineRule="auto" w:before="52"/>
        <w:ind w:left="153" w:right="0"/>
        <w:jc w:val="left"/>
        <w:rPr>
          <w:b w:val="0"/>
          <w:bCs w:val="0"/>
        </w:rPr>
      </w:pPr>
      <w:r>
        <w:rPr/>
        <w:t>基础安全板块（基础软件）</w:t>
      </w:r>
      <w:r>
        <w:rPr>
          <w:b w:val="0"/>
          <w:bCs w:val="0"/>
        </w:rPr>
      </w:r>
    </w:p>
    <w:p>
      <w:pPr>
        <w:pStyle w:val="BodyText"/>
        <w:spacing w:line="348" w:lineRule="auto" w:before="115"/>
        <w:ind w:left="513" w:right="1142" w:hanging="68"/>
        <w:jc w:val="left"/>
      </w:pPr>
      <w:r>
        <w:rPr>
          <w:spacing w:val="-3"/>
        </w:rPr>
        <w:t>（</w:t>
      </w:r>
      <w:r>
        <w:rPr>
          <w:rFonts w:ascii="Times New Roman" w:hAnsi="Times New Roman" w:cs="Times New Roman" w:eastAsia="Times New Roman" w:hint="default"/>
          <w:spacing w:val="-3"/>
        </w:rPr>
        <w:t>1</w:t>
      </w:r>
      <w:r>
        <w:rPr>
          <w:spacing w:val="-3"/>
        </w:rPr>
        <w:t>）标准中间件产品线</w:t>
      </w:r>
      <w:r>
        <w:rPr>
          <w:spacing w:val="-57"/>
        </w:rPr>
        <w:t> </w:t>
      </w:r>
      <w:r>
        <w:rPr>
          <w:spacing w:val="-57"/>
        </w:rPr>
      </w:r>
      <w:r>
        <w:rPr>
          <w:spacing w:val="-3"/>
        </w:rPr>
        <w:t>报告期内对标准中间件各产品线进行升级与改进，基于细分市场需求推出了多个产品的新版本，包括：</w:t>
      </w:r>
      <w:r>
        <w:rPr>
          <w:spacing w:val="-26"/>
        </w:rPr>
        <w:t> </w:t>
      </w:r>
      <w:r>
        <w:rPr>
          <w:spacing w:val="-26"/>
        </w:rPr>
      </w:r>
      <w:r>
        <w:rPr/>
        <w:t>应用服务器</w:t>
      </w:r>
      <w:r>
        <w:rPr>
          <w:rFonts w:ascii="Times New Roman" w:hAnsi="Times New Roman" w:cs="Times New Roman" w:eastAsia="Times New Roman" w:hint="default"/>
        </w:rPr>
        <w:t>TongWeb</w:t>
      </w:r>
      <w:r>
        <w:rPr/>
        <w:t>持续跟进国际</w:t>
      </w:r>
      <w:r>
        <w:rPr>
          <w:rFonts w:ascii="Times New Roman" w:hAnsi="Times New Roman" w:cs="Times New Roman" w:eastAsia="Times New Roman" w:hint="default"/>
        </w:rPr>
        <w:t>Java  </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EE</w:t>
      </w:r>
      <w:r>
        <w:rPr>
          <w:spacing w:val="-3"/>
        </w:rPr>
        <w:t>体系技术规范、研发实现弹性伸缩和智能路由、</w:t>
      </w:r>
      <w:r>
        <w:rPr>
          <w:rFonts w:ascii="Times New Roman" w:hAnsi="Times New Roman" w:cs="Times New Roman" w:eastAsia="Times New Roman" w:hint="default"/>
          <w:spacing w:val="-3"/>
        </w:rPr>
        <w:t>APM</w:t>
      </w:r>
      <w:r>
        <w:rPr>
          <w:spacing w:val="-3"/>
        </w:rPr>
        <w:t>等增量特色功能，参考</w:t>
      </w:r>
    </w:p>
    <w:p>
      <w:pPr>
        <w:pStyle w:val="BodyText"/>
        <w:spacing w:line="209" w:lineRule="exact"/>
        <w:ind w:right="0"/>
        <w:jc w:val="left"/>
      </w:pPr>
      <w:r>
        <w:rPr>
          <w:spacing w:val="-4"/>
        </w:rPr>
        <w:t>国家信息安全等级保护制度要求实现三员分立、日志审计等提升用户应用的安全级别；同时发布了针对云计算应用场景的发</w:t>
      </w:r>
    </w:p>
    <w:p>
      <w:pPr>
        <w:pStyle w:val="BodyText"/>
        <w:spacing w:line="304" w:lineRule="auto" w:before="76"/>
        <w:ind w:right="0"/>
        <w:jc w:val="left"/>
      </w:pPr>
      <w:r>
        <w:rPr>
          <w:spacing w:val="-4"/>
        </w:rPr>
        <w:t>布对应版本以满足</w:t>
      </w:r>
      <w:r>
        <w:rPr>
          <w:rFonts w:ascii="Times New Roman" w:hAnsi="Times New Roman" w:cs="Times New Roman" w:eastAsia="Times New Roman" w:hint="default"/>
          <w:spacing w:val="-4"/>
        </w:rPr>
        <w:t>Docker</w:t>
      </w:r>
      <w:r>
        <w:rPr>
          <w:spacing w:val="-4"/>
        </w:rPr>
        <w:t>容器云平台的应用部署，提供整体部署方便、启动迅速、集中配置监控与运维、灵活弹性伸缩的应</w:t>
      </w:r>
      <w:r>
        <w:rPr>
          <w:spacing w:val="56"/>
        </w:rPr>
        <w:t> </w:t>
      </w:r>
      <w:r>
        <w:rPr>
          <w:spacing w:val="56"/>
        </w:rPr>
      </w:r>
      <w:r>
        <w:rPr>
          <w:spacing w:val="-3"/>
        </w:rPr>
        <w:t>用运行环境，提升国内主流公有云及私有云平台的适配和云化整体能力。</w:t>
      </w:r>
    </w:p>
    <w:p>
      <w:pPr>
        <w:pStyle w:val="BodyText"/>
        <w:spacing w:line="304" w:lineRule="auto" w:before="62"/>
        <w:ind w:right="0" w:firstLine="360"/>
        <w:jc w:val="left"/>
      </w:pPr>
      <w:r>
        <w:rPr>
          <w:spacing w:val="-3"/>
        </w:rPr>
        <w:t>消息中间件</w:t>
      </w:r>
      <w:r>
        <w:rPr>
          <w:rFonts w:ascii="Times New Roman" w:hAnsi="Times New Roman" w:cs="Times New Roman" w:eastAsia="Times New Roman" w:hint="default"/>
          <w:spacing w:val="-3"/>
        </w:rPr>
        <w:t>TongLINK/Q</w:t>
      </w:r>
      <w:r>
        <w:rPr>
          <w:spacing w:val="-3"/>
        </w:rPr>
        <w:t>新增定时消息等多项产品功能，完成集群优化改造、新型号国产化软硬件系统适配、传输链路</w:t>
      </w:r>
      <w:r>
        <w:rPr>
          <w:w w:val="101"/>
        </w:rPr>
        <w:t> </w:t>
      </w:r>
      <w:r>
        <w:rPr>
          <w:spacing w:val="-3"/>
        </w:rPr>
        <w:t>国密安全加固等一系列的技术升级与改造，进一步提升了产品的能力和安全性，扩展了产品的应用范畴；</w:t>
      </w:r>
    </w:p>
    <w:p>
      <w:pPr>
        <w:pStyle w:val="BodyText"/>
        <w:spacing w:line="240" w:lineRule="auto" w:before="61"/>
        <w:ind w:left="513" w:right="0"/>
        <w:jc w:val="left"/>
      </w:pPr>
      <w:r>
        <w:rPr>
          <w:spacing w:val="-3"/>
        </w:rPr>
        <w:t>交易中间件</w:t>
      </w:r>
      <w:r>
        <w:rPr>
          <w:rFonts w:ascii="Times New Roman" w:hAnsi="Times New Roman" w:cs="Times New Roman" w:eastAsia="Times New Roman" w:hint="default"/>
          <w:spacing w:val="-3"/>
        </w:rPr>
        <w:t>TongEASY</w:t>
      </w:r>
      <w:r>
        <w:rPr>
          <w:spacing w:val="-3"/>
        </w:rPr>
        <w:t>基于重点客户需求实现并发布最新版本完成了对</w:t>
      </w:r>
      <w:r>
        <w:rPr>
          <w:rFonts w:ascii="Times New Roman" w:hAnsi="Times New Roman" w:cs="Times New Roman" w:eastAsia="Times New Roman" w:hint="default"/>
          <w:spacing w:val="-3"/>
        </w:rPr>
        <w:t>ipv6</w:t>
      </w:r>
      <w:r>
        <w:rPr>
          <w:spacing w:val="-3"/>
        </w:rPr>
        <w:t>的支持、</w:t>
      </w:r>
      <w:r>
        <w:rPr>
          <w:rFonts w:ascii="Times New Roman" w:hAnsi="Times New Roman" w:cs="Times New Roman" w:eastAsia="Times New Roman" w:hint="default"/>
          <w:spacing w:val="-3"/>
        </w:rPr>
        <w:t>DNS</w:t>
      </w:r>
      <w:r>
        <w:rPr>
          <w:spacing w:val="-3"/>
        </w:rPr>
        <w:t>解析的支持、</w:t>
      </w:r>
      <w:r>
        <w:rPr>
          <w:rFonts w:ascii="Times New Roman" w:hAnsi="Times New Roman" w:cs="Times New Roman" w:eastAsia="Times New Roman" w:hint="default"/>
          <w:spacing w:val="-3"/>
        </w:rPr>
        <w:t>k8s</w:t>
      </w:r>
      <w:r>
        <w:rPr>
          <w:spacing w:val="-3"/>
        </w:rPr>
        <w:t>的支持、</w:t>
      </w:r>
    </w:p>
    <w:p>
      <w:pPr>
        <w:pStyle w:val="BodyText"/>
        <w:spacing w:line="240" w:lineRule="auto" w:before="67"/>
        <w:ind w:right="0"/>
        <w:jc w:val="left"/>
      </w:pPr>
      <w:r>
        <w:rPr>
          <w:rFonts w:ascii="Times New Roman" w:hAnsi="Times New Roman" w:cs="Times New Roman" w:eastAsia="Times New Roman" w:hint="default"/>
          <w:spacing w:val="-2"/>
        </w:rPr>
        <w:t>webservice</w:t>
      </w:r>
      <w:r>
        <w:rPr>
          <w:spacing w:val="-2"/>
        </w:rPr>
        <w:t>的支持、</w:t>
      </w:r>
      <w:r>
        <w:rPr>
          <w:rFonts w:ascii="Times New Roman" w:hAnsi="Times New Roman" w:cs="Times New Roman" w:eastAsia="Times New Roman" w:hint="default"/>
          <w:spacing w:val="-2"/>
        </w:rPr>
        <w:t>weblogic</w:t>
      </w:r>
      <w:r>
        <w:rPr>
          <w:rFonts w:ascii="Times New Roman" w:hAnsi="Times New Roman" w:cs="Times New Roman" w:eastAsia="Times New Roman" w:hint="default"/>
        </w:rPr>
        <w:t>   </w:t>
      </w:r>
      <w:r>
        <w:rPr>
          <w:rFonts w:ascii="Times New Roman" w:hAnsi="Times New Roman" w:cs="Times New Roman" w:eastAsia="Times New Roman" w:hint="default"/>
          <w:spacing w:val="-2"/>
        </w:rPr>
        <w:t>wtc</w:t>
      </w:r>
      <w:r>
        <w:rPr>
          <w:spacing w:val="-2"/>
        </w:rPr>
        <w:t>的支持、所有国产化平台的支持及核心</w:t>
      </w:r>
      <w:r>
        <w:rPr>
          <w:rFonts w:ascii="Times New Roman" w:hAnsi="Times New Roman" w:cs="Times New Roman" w:eastAsia="Times New Roman" w:hint="default"/>
          <w:spacing w:val="-2"/>
        </w:rPr>
        <w:t>64</w:t>
      </w:r>
      <w:r>
        <w:rPr>
          <w:spacing w:val="-2"/>
        </w:rPr>
        <w:t>位的改造。</w:t>
      </w:r>
    </w:p>
    <w:p>
      <w:pPr>
        <w:pStyle w:val="BodyText"/>
        <w:spacing w:line="333" w:lineRule="auto" w:before="106"/>
        <w:ind w:left="422" w:right="0" w:firstLine="91"/>
        <w:jc w:val="left"/>
      </w:pPr>
      <w:r>
        <w:rPr/>
        <w:t>（</w:t>
      </w:r>
      <w:r>
        <w:rPr>
          <w:rFonts w:ascii="Times New Roman" w:hAnsi="Times New Roman" w:cs="Times New Roman" w:eastAsia="Times New Roman" w:hint="default"/>
        </w:rPr>
        <w:t>2</w:t>
      </w:r>
      <w:r>
        <w:rPr/>
        <w:t>）平台中间件产品线</w:t>
      </w:r>
      <w:r>
        <w:rPr>
          <w:w w:val="101"/>
        </w:rPr>
        <w:t> </w:t>
      </w:r>
      <w:r>
        <w:rPr>
          <w:spacing w:val="-3"/>
        </w:rPr>
        <w:t>数据交换平台</w:t>
      </w:r>
      <w:r>
        <w:rPr>
          <w:rFonts w:ascii="Times New Roman" w:hAnsi="Times New Roman" w:cs="Times New Roman" w:eastAsia="Times New Roman" w:hint="default"/>
          <w:spacing w:val="-3"/>
        </w:rPr>
        <w:t>TongDXP</w:t>
      </w:r>
      <w:r>
        <w:rPr>
          <w:spacing w:val="-3"/>
        </w:rPr>
        <w:t>产品为政府和企业实现多层级、跨地域、多部门间的数据交换共享和业务协同提供了更加安全可</w:t>
      </w:r>
    </w:p>
    <w:p>
      <w:pPr>
        <w:pStyle w:val="BodyText"/>
        <w:spacing w:line="221" w:lineRule="exact"/>
        <w:ind w:right="0"/>
        <w:jc w:val="left"/>
      </w:pPr>
      <w:r>
        <w:rPr>
          <w:spacing w:val="-4"/>
        </w:rPr>
        <w:t>靠的支撑平台。报告期内围绕着性能、功能、安全和易用四个主题，进行了全方面的改进升级。在性能方面，优化了交换机</w:t>
      </w:r>
    </w:p>
    <w:p>
      <w:pPr>
        <w:pStyle w:val="BodyText"/>
        <w:spacing w:line="316" w:lineRule="auto" w:before="76"/>
        <w:ind w:right="0"/>
        <w:jc w:val="left"/>
      </w:pPr>
      <w:r>
        <w:rPr>
          <w:spacing w:val="-4"/>
        </w:rPr>
        <w:t>制，对封、拆数据包和消息回执的逻辑与算法进行重构，消除了交换过程中的瓶颈，提高了系统运行效率。同时，增加对主</w:t>
      </w:r>
      <w:r>
        <w:rPr>
          <w:spacing w:val="40"/>
        </w:rPr>
        <w:t> </w:t>
      </w:r>
      <w:r>
        <w:rPr>
          <w:spacing w:val="40"/>
        </w:rPr>
      </w:r>
      <w:r>
        <w:rPr>
          <w:spacing w:val="-4"/>
        </w:rPr>
        <w:t>流、常用数据库的批量入库支持，降低了目标库的数据入库时间及系统资源占用。在此基础上，增强了节点的集群能力和高</w:t>
      </w:r>
    </w:p>
    <w:p>
      <w:pPr>
        <w:spacing w:after="0" w:line="316"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0"/>
        <w:jc w:val="left"/>
      </w:pPr>
      <w:r>
        <w:rPr>
          <w:spacing w:val="-6"/>
        </w:rPr>
        <w:t>可用性，能够适应复杂的网络环境，在面临单机硬件能力不足的情况是，能够通过简单的横向扩展极大的提升节点处理能力，</w:t>
      </w:r>
      <w:r>
        <w:rPr>
          <w:spacing w:val="63"/>
        </w:rPr>
        <w:t> </w:t>
      </w:r>
      <w:r>
        <w:rPr>
          <w:spacing w:val="63"/>
        </w:rPr>
      </w:r>
      <w:r>
        <w:rPr>
          <w:spacing w:val="-6"/>
        </w:rPr>
        <w:t>对主备服务器的切换支持，避免了交换网络中出现单点故障。在功能方面，积极推动和支持国产化软件在各类项目中的应用，</w:t>
      </w:r>
      <w:r>
        <w:rPr>
          <w:spacing w:val="62"/>
        </w:rPr>
        <w:t> </w:t>
      </w:r>
      <w:r>
        <w:rPr>
          <w:spacing w:val="62"/>
        </w:rPr>
      </w:r>
      <w:r>
        <w:rPr>
          <w:spacing w:val="-3"/>
        </w:rPr>
        <w:t>对国内主流厂商例如华为、达梦、南大通用等的数据库系统进行适配，提升客户在系统规划时候的技术选型范围，和客户、</w:t>
      </w:r>
      <w:r>
        <w:rPr>
          <w:spacing w:val="66"/>
        </w:rPr>
        <w:t> </w:t>
      </w:r>
      <w:r>
        <w:rPr>
          <w:spacing w:val="66"/>
        </w:rPr>
      </w:r>
      <w:r>
        <w:rPr>
          <w:spacing w:val="-4"/>
        </w:rPr>
        <w:t>友商一道构建并夯实国产软件的基础设施。同时，增加对大规模分布式数据库、国产大数据库系统的支持，能够帮助客户在</w:t>
      </w:r>
      <w:r>
        <w:rPr>
          <w:spacing w:val="40"/>
        </w:rPr>
        <w:t> </w:t>
      </w:r>
      <w:r>
        <w:rPr>
          <w:spacing w:val="40"/>
        </w:rPr>
      </w:r>
      <w:r>
        <w:rPr>
          <w:spacing w:val="-4"/>
        </w:rPr>
        <w:t>构建数据仓库、数据湖的时候，稳定、高效的满足数据归集及共享需求。为了解决在交换过程中出现的端与端数据不平、流</w:t>
      </w:r>
      <w:r>
        <w:rPr>
          <w:spacing w:val="40"/>
        </w:rPr>
        <w:t> </w:t>
      </w:r>
      <w:r>
        <w:rPr>
          <w:spacing w:val="40"/>
        </w:rPr>
      </w:r>
      <w:r>
        <w:rPr>
          <w:spacing w:val="-4"/>
        </w:rPr>
        <w:t>程阻塞问题，产品线投入大量力量，增加了交换流程监控与交换核查对账功能。确保做到流程过程可追踪，阻塞可发现、数</w:t>
      </w:r>
      <w:r>
        <w:rPr>
          <w:spacing w:val="41"/>
        </w:rPr>
        <w:t> </w:t>
      </w:r>
      <w:r>
        <w:rPr>
          <w:spacing w:val="41"/>
        </w:rPr>
      </w:r>
      <w:r>
        <w:rPr>
          <w:spacing w:val="-4"/>
        </w:rPr>
        <w:t>据差异可量化。增加了对流程定义、发布订阅的多种条件过滤支持，极大的增加了数据共享的灵活性。增加多级交换网络的</w:t>
      </w:r>
      <w:r>
        <w:rPr>
          <w:spacing w:val="40"/>
        </w:rPr>
        <w:t> </w:t>
      </w:r>
      <w:r>
        <w:rPr>
          <w:spacing w:val="40"/>
        </w:rPr>
      </w:r>
      <w:r>
        <w:rPr>
          <w:spacing w:val="-4"/>
        </w:rPr>
        <w:t>级联交换功能，能够实现跨地域、跨层级、跨部门的复杂体系交换，为垂直业务贯通、多级业务协同、跨业务合作提供了更</w:t>
      </w:r>
      <w:r>
        <w:rPr>
          <w:spacing w:val="40"/>
        </w:rPr>
        <w:t> </w:t>
      </w:r>
      <w:r>
        <w:rPr>
          <w:spacing w:val="40"/>
        </w:rPr>
      </w:r>
      <w:r>
        <w:rPr>
          <w:spacing w:val="-4"/>
        </w:rPr>
        <w:t>加安全可靠的支撑平台。在安全方面，增加对国密算法的支持，提供了传输过程中的数据加密，从一定程度上避免了敏感数</w:t>
      </w:r>
      <w:r>
        <w:rPr>
          <w:spacing w:val="40"/>
        </w:rPr>
        <w:t> </w:t>
      </w:r>
      <w:r>
        <w:rPr>
          <w:spacing w:val="40"/>
        </w:rPr>
      </w:r>
      <w:r>
        <w:rPr>
          <w:spacing w:val="-4"/>
        </w:rPr>
        <w:t>据的外流，提高了系统间数据开放的可能性。在易用方面，优化可视化操作界面，实现定义配置、流程监控、统计分析一站</w:t>
      </w:r>
      <w:r>
        <w:rPr>
          <w:spacing w:val="40"/>
        </w:rPr>
        <w:t> </w:t>
      </w:r>
      <w:r>
        <w:rPr>
          <w:spacing w:val="40"/>
        </w:rPr>
      </w:r>
      <w:r>
        <w:rPr>
          <w:spacing w:val="-4"/>
        </w:rPr>
        <w:t>式操作，帮助用户构建对整个交换网络的全方位透视和管理能力。提出主动运维概念，变被动处理问题为主动发现问题，通</w:t>
      </w:r>
      <w:r>
        <w:rPr>
          <w:spacing w:val="41"/>
        </w:rPr>
        <w:t> </w:t>
      </w:r>
      <w:r>
        <w:rPr>
          <w:spacing w:val="41"/>
        </w:rPr>
      </w:r>
      <w:r>
        <w:rPr>
          <w:spacing w:val="-4"/>
        </w:rPr>
        <w:t>过增加和优化告警信息、增加自动巡检功能、自动报告功能、数据分析功能，做到交换问题的早发现、早处理，系统运行隐</w:t>
      </w:r>
      <w:r>
        <w:rPr>
          <w:spacing w:val="40"/>
        </w:rPr>
        <w:t> </w:t>
      </w:r>
      <w:r>
        <w:rPr>
          <w:spacing w:val="40"/>
        </w:rPr>
      </w:r>
      <w:r>
        <w:rPr/>
        <w:t>患的早预警、早避免。</w:t>
      </w:r>
    </w:p>
    <w:p>
      <w:pPr>
        <w:pStyle w:val="BodyText"/>
        <w:spacing w:line="302" w:lineRule="auto" w:before="50"/>
        <w:ind w:right="1125" w:firstLine="268"/>
        <w:jc w:val="both"/>
      </w:pPr>
      <w:r>
        <w:rPr>
          <w:spacing w:val="-3"/>
        </w:rPr>
        <w:t>数据加工工具</w:t>
      </w:r>
      <w:r>
        <w:rPr>
          <w:rFonts w:ascii="Times New Roman" w:hAnsi="Times New Roman" w:cs="Times New Roman" w:eastAsia="Times New Roman" w:hint="default"/>
          <w:spacing w:val="-3"/>
        </w:rPr>
        <w:t>TongETL</w:t>
      </w:r>
      <w:r>
        <w:rPr>
          <w:spacing w:val="-3"/>
        </w:rPr>
        <w:t>产品重点进行</w:t>
      </w:r>
      <w:r>
        <w:rPr>
          <w:rFonts w:ascii="Times New Roman" w:hAnsi="Times New Roman" w:cs="Times New Roman" w:eastAsia="Times New Roman" w:hint="default"/>
          <w:spacing w:val="-3"/>
        </w:rPr>
        <w:t>Web</w:t>
      </w:r>
      <w:r>
        <w:rPr>
          <w:spacing w:val="-3"/>
        </w:rPr>
        <w:t>管理中心能力的加强和统一规划，完成</w:t>
      </w:r>
      <w:r>
        <w:rPr>
          <w:rFonts w:ascii="Times New Roman" w:hAnsi="Times New Roman" w:cs="Times New Roman" w:eastAsia="Times New Roman" w:hint="default"/>
          <w:spacing w:val="-3"/>
        </w:rPr>
        <w:t>Web</w:t>
      </w:r>
      <w:r>
        <w:rPr>
          <w:spacing w:val="-3"/>
        </w:rPr>
        <w:t>开发工具规划和组件的逐步接入，</w:t>
      </w:r>
      <w:r>
        <w:rPr>
          <w:w w:val="101"/>
        </w:rPr>
        <w:t> </w:t>
      </w:r>
      <w:r>
        <w:rPr>
          <w:spacing w:val="-4"/>
        </w:rPr>
        <w:t>实现管理、配置、运行、监控的一体化管理平台，进一步增加产品的整体竞争力。同时，</w:t>
      </w:r>
      <w:r>
        <w:rPr>
          <w:rFonts w:ascii="Times New Roman" w:hAnsi="Times New Roman" w:cs="Times New Roman" w:eastAsia="Times New Roman" w:hint="default"/>
          <w:spacing w:val="-4"/>
        </w:rPr>
        <w:t>TongETL</w:t>
      </w:r>
      <w:r>
        <w:rPr>
          <w:spacing w:val="-4"/>
        </w:rPr>
        <w:t>和企业服务总线</w:t>
      </w:r>
      <w:r>
        <w:rPr>
          <w:rFonts w:ascii="Times New Roman" w:hAnsi="Times New Roman" w:cs="Times New Roman" w:eastAsia="Times New Roman" w:hint="default"/>
          <w:spacing w:val="-4"/>
        </w:rPr>
        <w:t>TongESB</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3"/>
        </w:rPr>
        <w:t>均根据市场需求增加了流行的适配器，进一步加强产品的适应能力。</w:t>
      </w:r>
    </w:p>
    <w:p>
      <w:pPr>
        <w:pStyle w:val="BodyText"/>
        <w:spacing w:line="304" w:lineRule="auto" w:before="68"/>
        <w:ind w:right="0" w:firstLine="268"/>
        <w:jc w:val="left"/>
      </w:pPr>
      <w:r>
        <w:rPr>
          <w:spacing w:val="-3"/>
        </w:rPr>
        <w:t>服务网关</w:t>
      </w:r>
      <w:r>
        <w:rPr>
          <w:rFonts w:ascii="Times New Roman" w:hAnsi="Times New Roman" w:cs="Times New Roman" w:eastAsia="Times New Roman" w:hint="default"/>
          <w:spacing w:val="-3"/>
        </w:rPr>
        <w:t>TongGW</w:t>
      </w:r>
      <w:r>
        <w:rPr>
          <w:spacing w:val="-3"/>
        </w:rPr>
        <w:t>产品完成了预研、选型、设计、开发、测试的主要工作，形成与数据服务化、</w:t>
      </w:r>
      <w:r>
        <w:rPr>
          <w:rFonts w:ascii="Times New Roman" w:hAnsi="Times New Roman" w:cs="Times New Roman" w:eastAsia="Times New Roman" w:hint="default"/>
          <w:spacing w:val="-3"/>
        </w:rPr>
        <w:t>TongESB</w:t>
      </w:r>
      <w:r>
        <w:rPr>
          <w:spacing w:val="-3"/>
        </w:rPr>
        <w:t>产品的整体解</w:t>
      </w:r>
      <w:r>
        <w:rPr>
          <w:w w:val="101"/>
        </w:rPr>
        <w:t> </w:t>
      </w:r>
      <w:r>
        <w:rPr>
          <w:spacing w:val="-3"/>
        </w:rPr>
        <w:t>决方案，进一步完善了服务产品线的规划布局。</w:t>
      </w:r>
    </w:p>
    <w:p>
      <w:pPr>
        <w:pStyle w:val="BodyText"/>
        <w:spacing w:line="333" w:lineRule="auto" w:before="66"/>
        <w:ind w:left="513" w:right="0"/>
        <w:jc w:val="left"/>
      </w:pPr>
      <w:r>
        <w:rPr/>
        <w:t>（</w:t>
      </w:r>
      <w:r>
        <w:rPr>
          <w:rFonts w:ascii="Times New Roman" w:hAnsi="Times New Roman" w:cs="Times New Roman" w:eastAsia="Times New Roman" w:hint="default"/>
        </w:rPr>
        <w:t>3</w:t>
      </w:r>
      <w:r>
        <w:rPr/>
        <w:t>）数据中台产品线</w:t>
      </w:r>
      <w:r>
        <w:rPr>
          <w:spacing w:val="-88"/>
        </w:rPr>
        <w:t> </w:t>
      </w:r>
      <w:r>
        <w:rPr>
          <w:spacing w:val="-88"/>
        </w:rPr>
      </w:r>
      <w:r>
        <w:rPr>
          <w:spacing w:val="-5"/>
        </w:rPr>
        <w:t>数据是国家治理的重要依据，东方通在国家、部委、各省数据互联互通上已经有了很深的沉淀。报告期内，公司紧跟大</w:t>
      </w:r>
    </w:p>
    <w:p>
      <w:pPr>
        <w:pStyle w:val="BodyText"/>
        <w:spacing w:line="321" w:lineRule="auto" w:before="6"/>
        <w:ind w:right="0"/>
        <w:jc w:val="left"/>
      </w:pPr>
      <w:r>
        <w:rPr>
          <w:spacing w:val="-4"/>
        </w:rPr>
        <w:t>数据和数据中心发展趋势，依据国家和各地方政府大数据发展规划需求，在现有中间件平台的基础上，加速在算力融合、流</w:t>
      </w:r>
      <w:r>
        <w:rPr>
          <w:spacing w:val="40"/>
        </w:rPr>
        <w:t> </w:t>
      </w:r>
      <w:r>
        <w:rPr>
          <w:spacing w:val="40"/>
        </w:rPr>
      </w:r>
      <w:r>
        <w:rPr>
          <w:spacing w:val="-3"/>
        </w:rPr>
        <w:t>批融合、</w:t>
      </w:r>
      <w:r>
        <w:rPr>
          <w:rFonts w:ascii="Times New Roman" w:hAnsi="Times New Roman" w:cs="Times New Roman" w:eastAsia="Times New Roman" w:hint="default"/>
          <w:spacing w:val="-3"/>
        </w:rPr>
        <w:t>TA</w:t>
      </w:r>
      <w:r>
        <w:rPr>
          <w:spacing w:val="-3"/>
        </w:rPr>
        <w:t>融合、模块融合、云融合方面的布局，全力推进数据中台战略，赋能企业数字化转型。</w:t>
      </w:r>
    </w:p>
    <w:p>
      <w:pPr>
        <w:pStyle w:val="BodyText"/>
        <w:spacing w:line="321" w:lineRule="auto" w:before="33"/>
        <w:ind w:right="0" w:firstLine="360"/>
        <w:jc w:val="left"/>
      </w:pPr>
      <w:r>
        <w:rPr>
          <w:spacing w:val="-4"/>
        </w:rPr>
        <w:t>东方通数据中台是一个融合异构技术，汇聚和整合业务数据，洞察并引领业务创新，构建规范、智慧的数据处理和服务</w:t>
      </w:r>
      <w:r>
        <w:rPr>
          <w:w w:val="101"/>
        </w:rPr>
        <w:t> </w:t>
      </w:r>
      <w:r>
        <w:rPr>
          <w:spacing w:val="-3"/>
        </w:rPr>
        <w:t>平台，能够帮助企事业单位管理并挖掘数据价值，为数据资产增值裂变提供动力支持，加速单位数字化转型进程。</w:t>
      </w:r>
    </w:p>
    <w:p>
      <w:pPr>
        <w:pStyle w:val="BodyText"/>
        <w:spacing w:line="319" w:lineRule="auto" w:before="49"/>
        <w:ind w:right="0" w:firstLine="360"/>
        <w:jc w:val="left"/>
      </w:pPr>
      <w:r>
        <w:rPr>
          <w:spacing w:val="-5"/>
        </w:rPr>
        <w:t>东方通数据中台以现有数据采集、数据交换、数据处理、数据服务、企业总线、服务网关等中间件产品为基础，向上构</w:t>
      </w:r>
      <w:r>
        <w:rPr>
          <w:w w:val="101"/>
        </w:rPr>
        <w:t> </w:t>
      </w:r>
      <w:r>
        <w:rPr>
          <w:spacing w:val="-3"/>
        </w:rPr>
        <w:t>建以元数据为依托的数据质量、数据标准、数据建模、数据仓库、在线与离线分析、</w:t>
      </w:r>
      <w:r>
        <w:rPr>
          <w:rFonts w:ascii="宋体" w:hAnsi="宋体" w:cs="宋体" w:eastAsia="宋体" w:hint="default"/>
          <w:spacing w:val="-3"/>
        </w:rPr>
        <w:t>AI</w:t>
      </w:r>
      <w:r>
        <w:rPr>
          <w:spacing w:val="-3"/>
        </w:rPr>
        <w:t>计算的数据治理、计算、服务体系，</w:t>
      </w:r>
      <w:r>
        <w:rPr>
          <w:spacing w:val="70"/>
        </w:rPr>
        <w:t> </w:t>
      </w:r>
      <w:r>
        <w:rPr>
          <w:spacing w:val="70"/>
        </w:rPr>
      </w:r>
      <w:r>
        <w:rPr>
          <w:spacing w:val="-3"/>
        </w:rPr>
        <w:t>向下构建以云、</w:t>
      </w:r>
      <w:r>
        <w:rPr>
          <w:rFonts w:ascii="宋体" w:hAnsi="宋体" w:cs="宋体" w:eastAsia="宋体" w:hint="default"/>
          <w:spacing w:val="-3"/>
        </w:rPr>
        <w:t>docker</w:t>
      </w:r>
      <w:r>
        <w:rPr>
          <w:spacing w:val="-3"/>
        </w:rPr>
        <w:t>等基础设施为依托的统一交换网络（</w:t>
      </w:r>
      <w:r>
        <w:rPr>
          <w:rFonts w:ascii="宋体" w:hAnsi="宋体" w:cs="宋体" w:eastAsia="宋体" w:hint="default"/>
          <w:spacing w:val="-3"/>
        </w:rPr>
        <w:t>DXN</w:t>
      </w:r>
      <w:r>
        <w:rPr>
          <w:spacing w:val="-3"/>
        </w:rPr>
        <w:t>）、统一认证、基础设施、监控审计、部署运维等方面基础</w:t>
      </w:r>
      <w:r>
        <w:rPr>
          <w:spacing w:val="83"/>
        </w:rPr>
        <w:t> </w:t>
      </w:r>
      <w:r>
        <w:rPr>
          <w:spacing w:val="83"/>
        </w:rPr>
      </w:r>
      <w:r>
        <w:rPr>
          <w:spacing w:val="-4"/>
        </w:rPr>
        <w:t>支撑体系，横向构建以</w:t>
      </w:r>
      <w:r>
        <w:rPr>
          <w:rFonts w:ascii="宋体" w:hAnsi="宋体" w:cs="宋体" w:eastAsia="宋体" w:hint="default"/>
          <w:spacing w:val="-4"/>
        </w:rPr>
        <w:t>DevOps</w:t>
      </w:r>
      <w:r>
        <w:rPr>
          <w:spacing w:val="-4"/>
        </w:rPr>
        <w:t>为基础的开发、测试、质管、发布、部署、运维、保障等多部门沟通、协作与整合的全面自动</w:t>
      </w:r>
      <w:r>
        <w:rPr>
          <w:spacing w:val="51"/>
        </w:rPr>
        <w:t> </w:t>
      </w:r>
      <w:r>
        <w:rPr>
          <w:spacing w:val="51"/>
        </w:rPr>
      </w:r>
      <w:r>
        <w:rPr>
          <w:spacing w:val="-3"/>
        </w:rPr>
        <w:t>化流程，从而为企业搭建一站式全链路全域数据服务平台。</w:t>
      </w:r>
    </w:p>
    <w:p>
      <w:pPr>
        <w:pStyle w:val="BodyText"/>
        <w:spacing w:line="319" w:lineRule="auto" w:before="51"/>
        <w:ind w:right="1123" w:firstLine="360"/>
        <w:jc w:val="both"/>
      </w:pPr>
      <w:r>
        <w:rPr>
          <w:spacing w:val="-5"/>
        </w:rPr>
        <w:t>本报告期内，数据中台产品线完成了认证鉴权、资源管理与运维、监控与日志审计、统计分析等统一管控能力的规划设</w:t>
      </w:r>
      <w:r>
        <w:rPr>
          <w:w w:val="101"/>
        </w:rPr>
        <w:t> </w:t>
      </w:r>
      <w:r>
        <w:rPr>
          <w:spacing w:val="-4"/>
        </w:rPr>
        <w:t>计和开发工作；数据治理体系完成了元数据、数据质量、数据标准、数据建模的功能定义和产品开发；数据类型计算和实时</w:t>
      </w:r>
      <w:r>
        <w:rPr>
          <w:spacing w:val="40"/>
        </w:rPr>
        <w:t> </w:t>
      </w:r>
      <w:r>
        <w:rPr>
          <w:spacing w:val="40"/>
        </w:rPr>
      </w:r>
      <w:r>
        <w:rPr>
          <w:spacing w:val="-3"/>
        </w:rPr>
        <w:t>计算部分完成了产品定义、技术预研和技术路线选型。</w:t>
      </w:r>
    </w:p>
    <w:p>
      <w:pPr>
        <w:pStyle w:val="BodyText"/>
        <w:spacing w:line="319" w:lineRule="auto" w:before="55"/>
        <w:ind w:right="0" w:firstLine="360"/>
        <w:jc w:val="left"/>
      </w:pPr>
      <w:r>
        <w:rPr>
          <w:spacing w:val="-6"/>
        </w:rPr>
        <w:t>同时，为了能够快速推进数据中台的落地实施，在中台产品逐步推出的同时，同步进行了中台在政府、应急、自然资源、</w:t>
      </w:r>
      <w:r>
        <w:rPr>
          <w:w w:val="101"/>
        </w:rPr>
        <w:t> </w:t>
      </w:r>
      <w:r>
        <w:rPr>
          <w:spacing w:val="-4"/>
        </w:rPr>
        <w:t>教育、电信、能源、烟草、交通、航天等领域的建设和落地方案的规划设计和相关标准、指标、模型的梳理工作，既能够有</w:t>
      </w:r>
      <w:r>
        <w:rPr>
          <w:spacing w:val="40"/>
        </w:rPr>
        <w:t> </w:t>
      </w:r>
      <w:r>
        <w:rPr>
          <w:spacing w:val="40"/>
        </w:rPr>
      </w:r>
      <w:r>
        <w:rPr>
          <w:spacing w:val="-4"/>
        </w:rPr>
        <w:t>效的验证中台设计的合理性，也为后续中台的快速落地奠定理论基础。本报告期内，数据中台产品在某高校试点，用户的痛</w:t>
      </w:r>
      <w:r>
        <w:rPr>
          <w:spacing w:val="40"/>
        </w:rPr>
        <w:t> </w:t>
      </w:r>
      <w:r>
        <w:rPr>
          <w:spacing w:val="40"/>
        </w:rPr>
      </w:r>
      <w:r>
        <w:rPr>
          <w:spacing w:val="-6"/>
        </w:rPr>
        <w:t>点在于业务系统之间没有打通，存在系统烟囱化、数据孤岛化现场。数据中台一方面是基于数据汇聚平台之上，提供数据湖、</w:t>
      </w:r>
      <w:r>
        <w:rPr>
          <w:spacing w:val="65"/>
        </w:rPr>
        <w:t> </w:t>
      </w:r>
      <w:r>
        <w:rPr>
          <w:spacing w:val="65"/>
        </w:rPr>
      </w:r>
      <w:r>
        <w:rPr>
          <w:spacing w:val="-3"/>
        </w:rPr>
        <w:t>数据治理、</w:t>
      </w:r>
      <w:r>
        <w:rPr>
          <w:rFonts w:ascii="宋体" w:hAnsi="宋体" w:cs="宋体" w:eastAsia="宋体" w:hint="default"/>
          <w:spacing w:val="-3"/>
        </w:rPr>
        <w:t>API</w:t>
      </w:r>
      <w:r>
        <w:rPr>
          <w:spacing w:val="-3"/>
        </w:rPr>
        <w:t>网关、数据建模等功能；另一方面是基于数据安全项目，新增动态脱敏、生物特征安全等功能，为后续智慧</w:t>
      </w:r>
      <w:r>
        <w:rPr>
          <w:spacing w:val="73"/>
        </w:rPr>
        <w:t> </w:t>
      </w:r>
      <w:r>
        <w:rPr>
          <w:spacing w:val="73"/>
        </w:rPr>
      </w:r>
      <w:r>
        <w:rPr>
          <w:spacing w:val="-3"/>
        </w:rPr>
        <w:t>校园的发展打下坚实数据基础。</w:t>
      </w:r>
    </w:p>
    <w:p>
      <w:pPr>
        <w:pStyle w:val="BodyText"/>
        <w:spacing w:line="352" w:lineRule="auto" w:before="55"/>
        <w:ind w:left="513" w:right="0"/>
        <w:jc w:val="left"/>
      </w:pPr>
      <w:r>
        <w:rPr/>
        <w:t>（</w:t>
      </w:r>
      <w:r>
        <w:rPr>
          <w:rFonts w:ascii="宋体" w:hAnsi="宋体" w:cs="宋体" w:eastAsia="宋体" w:hint="default"/>
        </w:rPr>
        <w:t>4</w:t>
      </w:r>
      <w:r>
        <w:rPr/>
        <w:t>）云基础产品线</w:t>
      </w:r>
      <w:r>
        <w:rPr>
          <w:spacing w:val="-85"/>
        </w:rPr>
        <w:t> </w:t>
      </w:r>
      <w:r>
        <w:rPr>
          <w:spacing w:val="-85"/>
        </w:rPr>
      </w:r>
      <w:r>
        <w:rPr>
          <w:spacing w:val="-4"/>
        </w:rPr>
        <w:t>云基础产品线将以新一代云架构为基础，承载标准中间件产品、平台中间件产品、数据服务产品等，为企业级应用快速</w:t>
      </w:r>
    </w:p>
    <w:p>
      <w:pPr>
        <w:pStyle w:val="BodyText"/>
        <w:spacing w:line="319" w:lineRule="auto"/>
        <w:ind w:right="0"/>
        <w:jc w:val="left"/>
      </w:pPr>
      <w:r>
        <w:rPr>
          <w:spacing w:val="-4"/>
        </w:rPr>
        <w:t>上云提供一站式解决方案。在报告期内，公司完成了新一代云基础产品的定义、规划、预研和局部试点工作，完成了公司中</w:t>
      </w:r>
      <w:r>
        <w:rPr>
          <w:spacing w:val="40"/>
        </w:rPr>
        <w:t> </w:t>
      </w:r>
      <w:r>
        <w:rPr>
          <w:spacing w:val="40"/>
        </w:rPr>
      </w:r>
      <w:r>
        <w:rPr>
          <w:spacing w:val="-6"/>
          <w:w w:val="101"/>
        </w:rPr>
        <w:t>间件产品的云化方案和标准中间件的移植适配测试，同时，在部分产品研发过程中进行了</w:t>
      </w:r>
      <w:r>
        <w:rPr>
          <w:rFonts w:ascii="宋体" w:hAnsi="宋体" w:cs="宋体" w:eastAsia="宋体" w:hint="default"/>
          <w:spacing w:val="-6"/>
          <w:w w:val="101"/>
        </w:rPr>
        <w:t>DevOps</w:t>
      </w:r>
      <w:r>
        <w:rPr>
          <w:spacing w:val="-6"/>
          <w:w w:val="101"/>
        </w:rPr>
        <w:t>的试点运行和相关验证工作，</w:t>
      </w:r>
      <w:r>
        <w:rPr>
          <w:spacing w:val="-47"/>
          <w:w w:val="101"/>
        </w:rPr>
        <w:t> </w:t>
      </w:r>
      <w:r>
        <w:rPr>
          <w:spacing w:val="-47"/>
          <w:w w:val="101"/>
        </w:rPr>
      </w:r>
      <w:r>
        <w:rPr>
          <w:spacing w:val="-3"/>
        </w:rPr>
        <w:t>为后续</w:t>
      </w:r>
      <w:r>
        <w:rPr>
          <w:rFonts w:ascii="宋体" w:hAnsi="宋体" w:cs="宋体" w:eastAsia="宋体" w:hint="default"/>
          <w:spacing w:val="-3"/>
        </w:rPr>
        <w:t>DevOps</w:t>
      </w:r>
      <w:r>
        <w:rPr>
          <w:spacing w:val="-3"/>
        </w:rPr>
        <w:t>方案的落地和全面推行收集经验、  奠定基础</w:t>
      </w:r>
      <w:r>
        <w:rPr>
          <w:spacing w:val="-2"/>
        </w:rPr>
        <w:t> </w:t>
      </w:r>
      <w:r>
        <w:rPr/>
        <w:t>。</w:t>
      </w:r>
    </w:p>
    <w:p>
      <w:pPr>
        <w:spacing w:after="0" w:line="319"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6"/>
        <w:spacing w:line="240" w:lineRule="auto" w:before="46"/>
        <w:ind w:left="153" w:right="0"/>
        <w:jc w:val="left"/>
        <w:rPr>
          <w:b w:val="0"/>
          <w:bCs w:val="0"/>
        </w:rPr>
      </w:pPr>
      <w:r>
        <w:rPr/>
        <w:t>行业安全板块</w:t>
      </w:r>
      <w:r>
        <w:rPr>
          <w:b w:val="0"/>
          <w:bCs w:val="0"/>
        </w:rPr>
      </w:r>
    </w:p>
    <w:p>
      <w:pPr>
        <w:pStyle w:val="BodyText"/>
        <w:spacing w:line="357" w:lineRule="auto" w:before="119"/>
        <w:ind w:left="513" w:right="7927"/>
        <w:jc w:val="left"/>
      </w:pPr>
      <w:r>
        <w:rPr>
          <w:spacing w:val="-2"/>
        </w:rPr>
        <w:t>（</w:t>
      </w:r>
      <w:r>
        <w:rPr>
          <w:rFonts w:ascii="宋体" w:hAnsi="宋体" w:cs="宋体" w:eastAsia="宋体" w:hint="default"/>
          <w:spacing w:val="-2"/>
        </w:rPr>
        <w:t>1</w:t>
      </w:r>
      <w:r>
        <w:rPr>
          <w:spacing w:val="-2"/>
        </w:rPr>
        <w:t>）大数据信息安全</w:t>
      </w:r>
      <w:r>
        <w:rPr>
          <w:spacing w:val="-68"/>
        </w:rPr>
        <w:t> </w:t>
      </w:r>
      <w:r>
        <w:rPr>
          <w:spacing w:val="-68"/>
        </w:rPr>
      </w:r>
      <w:r>
        <w:rPr>
          <w:rFonts w:ascii="宋体" w:hAnsi="宋体" w:cs="宋体" w:eastAsia="宋体" w:hint="default"/>
        </w:rPr>
        <w:t>1)</w:t>
      </w:r>
      <w:r>
        <w:rPr/>
        <w:t>互联网安全方面</w:t>
      </w:r>
    </w:p>
    <w:p>
      <w:pPr>
        <w:pStyle w:val="BodyText"/>
        <w:spacing w:line="319" w:lineRule="auto" w:before="22"/>
        <w:ind w:right="0" w:firstLine="360"/>
        <w:jc w:val="left"/>
      </w:pPr>
      <w:r>
        <w:rPr>
          <w:spacing w:val="-4"/>
        </w:rPr>
        <w:t>针对互联网中危害日益严重的僵尸木马病毒、钓鱼</w:t>
      </w:r>
      <w:r>
        <w:rPr>
          <w:rFonts w:ascii="宋体" w:hAnsi="宋体" w:cs="宋体" w:eastAsia="宋体" w:hint="default"/>
          <w:spacing w:val="-4"/>
        </w:rPr>
        <w:t>/</w:t>
      </w:r>
      <w:r>
        <w:rPr>
          <w:spacing w:val="-4"/>
        </w:rPr>
        <w:t>仿冒应用、恶意网址</w:t>
      </w:r>
      <w:r>
        <w:rPr>
          <w:rFonts w:ascii="宋体" w:hAnsi="宋体" w:cs="宋体" w:eastAsia="宋体" w:hint="default"/>
          <w:spacing w:val="-4"/>
        </w:rPr>
        <w:t>/</w:t>
      </w:r>
      <w:r>
        <w:rPr>
          <w:spacing w:val="-4"/>
        </w:rPr>
        <w:t>软件等安全事件，在传统的防火墙、</w:t>
      </w:r>
      <w:r>
        <w:rPr>
          <w:rFonts w:ascii="宋体" w:hAnsi="宋体" w:cs="宋体" w:eastAsia="宋体" w:hint="default"/>
          <w:spacing w:val="-4"/>
        </w:rPr>
        <w:t>IDS/IPS</w:t>
      </w:r>
      <w:r>
        <w:rPr>
          <w:spacing w:val="-4"/>
        </w:rPr>
        <w:t>、</w:t>
      </w:r>
      <w:r>
        <w:rPr>
          <w:w w:val="101"/>
        </w:rPr>
        <w:t> </w:t>
      </w:r>
      <w:r>
        <w:rPr>
          <w:spacing w:val="-4"/>
        </w:rPr>
        <w:t>杀毒软件等工具手段已经无法满足需求情况下，公司基于大数据、人工智能技术持续投入研发，结合深度学习算法、贝叶斯</w:t>
      </w:r>
      <w:r>
        <w:rPr>
          <w:spacing w:val="40"/>
        </w:rPr>
        <w:t> </w:t>
      </w:r>
      <w:r>
        <w:rPr>
          <w:spacing w:val="40"/>
        </w:rPr>
      </w:r>
      <w:r>
        <w:rPr>
          <w:spacing w:val="-3"/>
        </w:rPr>
        <w:t>算法、决策树算法和</w:t>
      </w:r>
      <w:r>
        <w:rPr>
          <w:rFonts w:ascii="宋体" w:hAnsi="宋体" w:cs="宋体" w:eastAsia="宋体" w:hint="default"/>
          <w:spacing w:val="-3"/>
        </w:rPr>
        <w:t>SVM</w:t>
      </w:r>
      <w:r>
        <w:rPr>
          <w:spacing w:val="-3"/>
        </w:rPr>
        <w:t>分类算法的恶意网址检测系统。该系统目前已经在多个省级运营商用户上线使用，可以有效提升针</w:t>
      </w:r>
      <w:r>
        <w:rPr>
          <w:spacing w:val="73"/>
        </w:rPr>
        <w:t> </w:t>
      </w:r>
      <w:r>
        <w:rPr>
          <w:spacing w:val="73"/>
        </w:rPr>
      </w:r>
      <w:r>
        <w:rPr>
          <w:spacing w:val="-4"/>
        </w:rPr>
        <w:t>对互联网中的钓鱼、仿冒等恶意行为的检测能力，减少移动互联网用户面临的网络欺诈、恶意入侵等网络安全问题，也可帮</w:t>
      </w:r>
      <w:r>
        <w:rPr>
          <w:spacing w:val="40"/>
        </w:rPr>
        <w:t> </w:t>
      </w:r>
      <w:r>
        <w:rPr>
          <w:spacing w:val="40"/>
        </w:rPr>
      </w:r>
      <w:r>
        <w:rPr>
          <w:spacing w:val="-4"/>
        </w:rPr>
        <w:t>助互联网企业发现自身应用的威胁及漏洞，采取有效措施进行防范，该产品已经应用于中国电信、中国移动相关部门，并与</w:t>
      </w:r>
      <w:r>
        <w:rPr>
          <w:spacing w:val="40"/>
        </w:rPr>
        <w:t> </w:t>
      </w:r>
      <w:r>
        <w:rPr>
          <w:spacing w:val="40"/>
        </w:rPr>
      </w:r>
      <w:r>
        <w:rPr>
          <w:spacing w:val="-3"/>
        </w:rPr>
        <w:t>国家相关管理部门，互联网企业形成联动，社会效益、经济效益显著。</w:t>
      </w:r>
    </w:p>
    <w:p>
      <w:pPr>
        <w:pStyle w:val="BodyText"/>
        <w:spacing w:line="352" w:lineRule="auto" w:before="60"/>
        <w:ind w:left="513" w:right="1123"/>
        <w:jc w:val="left"/>
      </w:pPr>
      <w:r>
        <w:rPr>
          <w:rFonts w:ascii="宋体" w:hAnsi="宋体" w:cs="宋体" w:eastAsia="宋体" w:hint="default"/>
        </w:rPr>
        <w:t>2)</w:t>
      </w:r>
      <w:r>
        <w:rPr/>
        <w:t>内容安全方面</w:t>
      </w:r>
      <w:r>
        <w:rPr>
          <w:w w:val="101"/>
        </w:rPr>
        <w:t> </w:t>
      </w:r>
      <w:r>
        <w:rPr>
          <w:spacing w:val="-5"/>
        </w:rPr>
        <w:t>公司持续加大在文本识别、语义分析、图像分析、视频分析、语音分析等方面的技术和研发投入力度，采用全新的人工</w:t>
      </w:r>
    </w:p>
    <w:p>
      <w:pPr>
        <w:pStyle w:val="BodyText"/>
        <w:spacing w:line="319" w:lineRule="auto"/>
        <w:ind w:right="1123"/>
        <w:jc w:val="both"/>
      </w:pPr>
      <w:r>
        <w:rPr>
          <w:spacing w:val="-4"/>
        </w:rPr>
        <w:t>智能算法，继续巩固在网络不良信息管控和内容风控业务领域积累的技术和市场优势，在报告期内，公司对安全服务产品和</w:t>
      </w:r>
      <w:r>
        <w:rPr>
          <w:spacing w:val="43"/>
        </w:rPr>
        <w:t> </w:t>
      </w:r>
      <w:r>
        <w:rPr>
          <w:spacing w:val="43"/>
        </w:rPr>
      </w:r>
      <w:r>
        <w:rPr>
          <w:spacing w:val="-4"/>
        </w:rPr>
        <w:t>部门进行了重整，突出优势能力的同时，持续引进吸收行业先进经验，为多家省级运营商、政府部门、互联网企业提供领先</w:t>
      </w:r>
      <w:r>
        <w:rPr>
          <w:spacing w:val="40"/>
        </w:rPr>
        <w:t> </w:t>
      </w:r>
      <w:r>
        <w:rPr>
          <w:spacing w:val="40"/>
        </w:rPr>
      </w:r>
      <w:r>
        <w:rPr>
          <w:spacing w:val="-4"/>
        </w:rPr>
        <w:t>的内容风控服务；公司投入人员、技术资源搭建</w:t>
      </w:r>
      <w:r>
        <w:rPr>
          <w:rFonts w:ascii="宋体" w:hAnsi="宋体" w:cs="宋体" w:eastAsia="宋体" w:hint="default"/>
          <w:spacing w:val="-4"/>
        </w:rPr>
        <w:t>SaaS</w:t>
      </w:r>
      <w:r>
        <w:rPr>
          <w:spacing w:val="-4"/>
        </w:rPr>
        <w:t>模式内容风控云安全服务平台，可为运营商企业及网络内容提供商通过</w:t>
      </w:r>
      <w:r>
        <w:rPr>
          <w:spacing w:val="52"/>
        </w:rPr>
        <w:t> </w:t>
      </w:r>
      <w:r>
        <w:rPr>
          <w:spacing w:val="52"/>
        </w:rPr>
      </w:r>
      <w:r>
        <w:rPr>
          <w:spacing w:val="-3"/>
        </w:rPr>
        <w:t>互联网模式提供方便、快捷、高质量的内容风控服务。</w:t>
      </w:r>
    </w:p>
    <w:p>
      <w:pPr>
        <w:pStyle w:val="BodyText"/>
        <w:spacing w:line="357" w:lineRule="auto" w:before="55"/>
        <w:ind w:left="513" w:right="0"/>
        <w:jc w:val="left"/>
      </w:pPr>
      <w:r>
        <w:rPr>
          <w:rFonts w:ascii="宋体" w:hAnsi="宋体" w:cs="宋体" w:eastAsia="宋体" w:hint="default"/>
        </w:rPr>
        <w:t>3)</w:t>
      </w:r>
      <w:r>
        <w:rPr/>
        <w:t>互联网舆情分析</w:t>
      </w:r>
      <w:r>
        <w:rPr>
          <w:spacing w:val="-86"/>
        </w:rPr>
        <w:t> </w:t>
      </w:r>
      <w:r>
        <w:rPr>
          <w:spacing w:val="-86"/>
        </w:rPr>
      </w:r>
      <w:r>
        <w:rPr>
          <w:spacing w:val="-5"/>
        </w:rPr>
        <w:t>着力在数据爬取和舆情分析方面，范围包括但不限于微博、微信、知乎、百度贴吧及其它重要网站，采用内容标签技术</w:t>
      </w:r>
    </w:p>
    <w:p>
      <w:pPr>
        <w:pStyle w:val="BodyText"/>
        <w:spacing w:line="224" w:lineRule="exact"/>
        <w:ind w:right="0"/>
        <w:jc w:val="left"/>
      </w:pPr>
      <w:r>
        <w:rPr>
          <w:spacing w:val="-4"/>
        </w:rPr>
        <w:t>及话题聚类技术提炼出行业舆情信息、行业竞争动态等信息。具备完备的图片特征识别比对功能，能够对指定范围的网站内</w:t>
      </w:r>
    </w:p>
    <w:p>
      <w:pPr>
        <w:pStyle w:val="BodyText"/>
        <w:spacing w:line="319" w:lineRule="auto" w:before="76"/>
        <w:ind w:right="0"/>
        <w:jc w:val="left"/>
      </w:pPr>
      <w:r>
        <w:rPr>
          <w:spacing w:val="-3"/>
        </w:rPr>
        <w:t>容进行扫描，发现特定商标、</w:t>
      </w:r>
      <w:r>
        <w:rPr>
          <w:rFonts w:ascii="宋体" w:hAnsi="宋体" w:cs="宋体" w:eastAsia="宋体" w:hint="default"/>
          <w:spacing w:val="-3"/>
        </w:rPr>
        <w:t>logo</w:t>
      </w:r>
      <w:r>
        <w:rPr>
          <w:spacing w:val="-3"/>
        </w:rPr>
        <w:t>的疑似盗用行为并告警。实现舆情热点关注，连续跟踪事态发展，热点事件回溯等功能，</w:t>
      </w:r>
      <w:r>
        <w:rPr>
          <w:spacing w:val="71"/>
        </w:rPr>
        <w:t> </w:t>
      </w:r>
      <w:r>
        <w:rPr>
          <w:spacing w:val="71"/>
        </w:rPr>
      </w:r>
      <w:r>
        <w:rPr>
          <w:spacing w:val="-4"/>
        </w:rPr>
        <w:t>并由系统自动分析完成事件专项报告。系统采用先进的语义识别模块、构建知识库，以便语义分析模块能从舆情内容中提炼</w:t>
      </w:r>
      <w:r>
        <w:rPr>
          <w:spacing w:val="43"/>
        </w:rPr>
        <w:t> </w:t>
      </w:r>
      <w:r>
        <w:rPr>
          <w:spacing w:val="43"/>
        </w:rPr>
      </w:r>
      <w:r>
        <w:rPr>
          <w:spacing w:val="-4"/>
        </w:rPr>
        <w:t>出聚类分析所需的语义主体和上下层关系，同时引入机器学习研判、事件聚类分析等算法。舆情监测与分析系统实现了舆情</w:t>
      </w:r>
      <w:r>
        <w:rPr>
          <w:spacing w:val="44"/>
        </w:rPr>
        <w:t> </w:t>
      </w:r>
      <w:r>
        <w:rPr>
          <w:spacing w:val="44"/>
        </w:rPr>
      </w:r>
      <w:r>
        <w:rPr>
          <w:spacing w:val="-3"/>
        </w:rPr>
        <w:t>信息的采集、存储、事件分析与挖掘、社会网络社区分析、舆情信息传播分析五大基本功能。</w:t>
      </w:r>
    </w:p>
    <w:p>
      <w:pPr>
        <w:pStyle w:val="BodyText"/>
        <w:spacing w:line="357" w:lineRule="auto" w:before="55"/>
        <w:ind w:left="513" w:right="7927"/>
        <w:jc w:val="left"/>
      </w:pPr>
      <w:r>
        <w:rPr/>
        <w:t>（</w:t>
      </w:r>
      <w:r>
        <w:rPr>
          <w:rFonts w:ascii="宋体" w:hAnsi="宋体" w:cs="宋体" w:eastAsia="宋体" w:hint="default"/>
        </w:rPr>
        <w:t>2</w:t>
      </w:r>
      <w:r>
        <w:rPr/>
        <w:t>）网络安全</w:t>
      </w:r>
      <w:r>
        <w:rPr>
          <w:spacing w:val="-85"/>
        </w:rPr>
        <w:t> </w:t>
      </w:r>
      <w:r>
        <w:rPr>
          <w:spacing w:val="-85"/>
        </w:rPr>
      </w:r>
      <w:r>
        <w:rPr>
          <w:rFonts w:ascii="宋体" w:hAnsi="宋体" w:cs="宋体" w:eastAsia="宋体" w:hint="default"/>
          <w:spacing w:val="-2"/>
        </w:rPr>
        <w:t>1</w:t>
      </w:r>
      <w:r>
        <w:rPr>
          <w:spacing w:val="-2"/>
        </w:rPr>
        <w:t>）视频日志审计</w:t>
      </w:r>
    </w:p>
    <w:p>
      <w:pPr>
        <w:pStyle w:val="BodyText"/>
        <w:spacing w:line="319" w:lineRule="auto" w:before="26"/>
        <w:ind w:right="1122" w:firstLine="360"/>
        <w:jc w:val="both"/>
      </w:pPr>
      <w:r>
        <w:rPr>
          <w:spacing w:val="-4"/>
        </w:rPr>
        <w:t>本报告期内，设计实现了视频日志审计产品的研发和产品化。将传统网络安全数据与</w:t>
      </w:r>
      <w:r>
        <w:rPr>
          <w:rFonts w:ascii="宋体" w:hAnsi="宋体" w:cs="宋体" w:eastAsia="宋体" w:hint="default"/>
          <w:spacing w:val="-4"/>
        </w:rPr>
        <w:t>AI</w:t>
      </w:r>
      <w:r>
        <w:rPr>
          <w:spacing w:val="-4"/>
        </w:rPr>
        <w:t>相结合，通过将图形堡垒机的审</w:t>
      </w:r>
      <w:r>
        <w:rPr>
          <w:w w:val="101"/>
        </w:rPr>
        <w:t> </w:t>
      </w:r>
      <w:r>
        <w:rPr>
          <w:spacing w:val="-4"/>
        </w:rPr>
        <w:t>计视频录像进行智能拆分，利用深度学习算法训练模型的输出结果，实现异常操作的自动检测与告警。开发完成视频样本标</w:t>
      </w:r>
      <w:r>
        <w:rPr>
          <w:spacing w:val="43"/>
        </w:rPr>
        <w:t> </w:t>
      </w:r>
      <w:r>
        <w:rPr>
          <w:spacing w:val="43"/>
        </w:rPr>
      </w:r>
      <w:r>
        <w:rPr>
          <w:spacing w:val="-4"/>
        </w:rPr>
        <w:t>注、威胁模型训练、线上监控等重点系统，实现图像主体检测、通用物体场景识别、标题栏检测、标志检测、文本检测、用</w:t>
      </w:r>
      <w:r>
        <w:rPr>
          <w:spacing w:val="40"/>
        </w:rPr>
        <w:t> </w:t>
      </w:r>
      <w:r>
        <w:rPr>
          <w:spacing w:val="40"/>
        </w:rPr>
      </w:r>
      <w:r>
        <w:rPr>
          <w:spacing w:val="-4"/>
        </w:rPr>
        <w:t>户权限白名单创建、威胁告警、威胁检索功能，其输入为用户权限白名单及录屏视频文件，根据堡垒视频日志及训练出的威</w:t>
      </w:r>
      <w:r>
        <w:rPr>
          <w:spacing w:val="40"/>
        </w:rPr>
        <w:t> </w:t>
      </w:r>
      <w:r>
        <w:rPr>
          <w:spacing w:val="40"/>
        </w:rPr>
      </w:r>
      <w:r>
        <w:rPr>
          <w:spacing w:val="-4"/>
        </w:rPr>
        <w:t>胁场景模型、用户权限白名单，对文件进行抽帧分析、检测其中的异常操作，并将操作信息输出至数据库中进行监控告警和</w:t>
      </w:r>
      <w:r>
        <w:rPr>
          <w:spacing w:val="40"/>
        </w:rPr>
        <w:t> </w:t>
      </w:r>
      <w:r>
        <w:rPr>
          <w:spacing w:val="40"/>
        </w:rPr>
      </w:r>
      <w:r>
        <w:rPr>
          <w:spacing w:val="-3"/>
        </w:rPr>
        <w:t>供管理员查询，进行威胁告警和监控。该系统实现了在</w:t>
      </w:r>
      <w:r>
        <w:rPr>
          <w:rFonts w:ascii="宋体" w:hAnsi="宋体" w:cs="宋体" w:eastAsia="宋体" w:hint="default"/>
          <w:spacing w:val="-3"/>
        </w:rPr>
        <w:t>IT</w:t>
      </w:r>
      <w:r>
        <w:rPr>
          <w:spacing w:val="-3"/>
        </w:rPr>
        <w:t>审计领域的技术创新，具有进一步推广的空间和市场价值。</w:t>
      </w:r>
    </w:p>
    <w:p>
      <w:pPr>
        <w:pStyle w:val="BodyText"/>
        <w:spacing w:line="352" w:lineRule="auto" w:before="55"/>
        <w:ind w:left="513" w:right="0"/>
        <w:jc w:val="left"/>
      </w:pPr>
      <w:r>
        <w:rPr>
          <w:rFonts w:ascii="宋体" w:hAnsi="宋体" w:cs="宋体" w:eastAsia="宋体" w:hint="default"/>
        </w:rPr>
        <w:t>2</w:t>
      </w:r>
      <w:r>
        <w:rPr/>
        <w:t>）通信网络安全</w:t>
      </w:r>
      <w:r>
        <w:rPr>
          <w:spacing w:val="-87"/>
        </w:rPr>
        <w:t> </w:t>
      </w:r>
      <w:r>
        <w:rPr>
          <w:spacing w:val="-87"/>
        </w:rPr>
      </w:r>
      <w:r>
        <w:rPr>
          <w:spacing w:val="-5"/>
        </w:rPr>
        <w:t>近年来，骚扰、诈骗电话数量显著增加，由此引发的经济纠纷及诉讼数量激增，给电信用户、运营商、监管部门带来极</w:t>
      </w:r>
    </w:p>
    <w:p>
      <w:pPr>
        <w:pStyle w:val="BodyText"/>
        <w:spacing w:line="319" w:lineRule="auto"/>
        <w:ind w:right="0"/>
        <w:jc w:val="left"/>
      </w:pPr>
      <w:r>
        <w:rPr>
          <w:spacing w:val="-4"/>
        </w:rPr>
        <w:t>大困扰。骚扰、诈骗电话的治理工作也越来越受到运营商、公安、政府相关部门的重视。我公司一直高度重视骚扰、诈骗电</w:t>
      </w:r>
      <w:r>
        <w:rPr>
          <w:spacing w:val="42"/>
        </w:rPr>
        <w:t> </w:t>
      </w:r>
      <w:r>
        <w:rPr>
          <w:spacing w:val="42"/>
        </w:rPr>
      </w:r>
      <w:r>
        <w:rPr>
          <w:spacing w:val="-5"/>
        </w:rPr>
        <w:t>话防治领域相关技术、产品研发，持续较高投入并获得多项成果。报告期公司实现了 </w:t>
      </w:r>
      <w:r>
        <w:rPr>
          <w:spacing w:val="-3"/>
        </w:rPr>
        <w:t>“基于防通讯信息骚扰综合服务平台”</w:t>
      </w:r>
      <w:r>
        <w:rPr>
          <w:spacing w:val="-17"/>
        </w:rPr>
        <w:t> </w:t>
      </w:r>
      <w:r>
        <w:rPr>
          <w:spacing w:val="-17"/>
        </w:rPr>
      </w:r>
      <w:r>
        <w:rPr>
          <w:spacing w:val="-3"/>
        </w:rPr>
        <w:t>的技术升级工作，适应</w:t>
      </w:r>
      <w:r>
        <w:rPr>
          <w:rFonts w:ascii="宋体" w:hAnsi="宋体" w:cs="宋体" w:eastAsia="宋体" w:hint="default"/>
          <w:spacing w:val="-3"/>
        </w:rPr>
        <w:t>4G </w:t>
      </w:r>
      <w:r>
        <w:rPr>
          <w:rFonts w:ascii="宋体" w:hAnsi="宋体" w:cs="宋体" w:eastAsia="宋体" w:hint="default"/>
        </w:rPr>
        <w:t>VoLTE</w:t>
      </w:r>
      <w:r>
        <w:rPr/>
        <w:t>和</w:t>
      </w:r>
      <w:r>
        <w:rPr>
          <w:rFonts w:ascii="宋体" w:hAnsi="宋体" w:cs="宋体" w:eastAsia="宋体" w:hint="default"/>
        </w:rPr>
        <w:t>5G </w:t>
      </w:r>
      <w:r>
        <w:rPr>
          <w:rFonts w:ascii="宋体" w:hAnsi="宋体" w:cs="宋体" w:eastAsia="宋体" w:hint="default"/>
          <w:spacing w:val="-3"/>
        </w:rPr>
        <w:t>VoNR</w:t>
      </w:r>
      <w:r>
        <w:rPr>
          <w:spacing w:val="-3"/>
        </w:rPr>
        <w:t>语音业务新技术，全面支持基于</w:t>
      </w:r>
      <w:r>
        <w:rPr>
          <w:rFonts w:ascii="宋体" w:hAnsi="宋体" w:cs="宋体" w:eastAsia="宋体" w:hint="default"/>
          <w:spacing w:val="-3"/>
        </w:rPr>
        <w:t>IMS</w:t>
      </w:r>
      <w:r>
        <w:rPr>
          <w:spacing w:val="-3"/>
        </w:rPr>
        <w:t>网络的语音通话采集、识别、管控能力，使产</w:t>
      </w:r>
      <w:r>
        <w:rPr>
          <w:spacing w:val="-12"/>
        </w:rPr>
        <w:t> </w:t>
      </w:r>
      <w:r>
        <w:rPr>
          <w:spacing w:val="-12"/>
        </w:rPr>
      </w:r>
      <w:r>
        <w:rPr>
          <w:spacing w:val="-3"/>
        </w:rPr>
        <w:t>品能够满足运营商各种网络场景。系统加大引入语音识别和语义识别的</w:t>
      </w:r>
      <w:r>
        <w:rPr>
          <w:rFonts w:ascii="宋体" w:hAnsi="宋体" w:cs="宋体" w:eastAsia="宋体" w:hint="default"/>
          <w:spacing w:val="-3"/>
        </w:rPr>
        <w:t>AI</w:t>
      </w:r>
      <w:r>
        <w:rPr>
          <w:spacing w:val="-3"/>
        </w:rPr>
        <w:t>技术，为骚扰</w:t>
      </w:r>
      <w:r>
        <w:rPr>
          <w:rFonts w:ascii="宋体" w:hAnsi="宋体" w:cs="宋体" w:eastAsia="宋体" w:hint="default"/>
          <w:spacing w:val="-3"/>
        </w:rPr>
        <w:t>/</w:t>
      </w:r>
      <w:r>
        <w:rPr>
          <w:spacing w:val="-3"/>
        </w:rPr>
        <w:t>诈骗电话的智能识别、取证、治理</w:t>
      </w:r>
      <w:r>
        <w:rPr>
          <w:spacing w:val="74"/>
        </w:rPr>
        <w:t> </w:t>
      </w:r>
      <w:r>
        <w:rPr>
          <w:spacing w:val="74"/>
        </w:rPr>
      </w:r>
      <w:r>
        <w:rPr>
          <w:spacing w:val="-3"/>
        </w:rPr>
        <w:t>提供了更加智能的方法。目前系统已在国家相关监管部门通讯防骚扰治理平台建设中得到应用，为国内骚扰</w:t>
      </w:r>
      <w:r>
        <w:rPr>
          <w:rFonts w:ascii="宋体" w:hAnsi="宋体" w:cs="宋体" w:eastAsia="宋体" w:hint="default"/>
          <w:spacing w:val="-3"/>
        </w:rPr>
        <w:t>/</w:t>
      </w:r>
      <w:r>
        <w:rPr>
          <w:spacing w:val="-3"/>
        </w:rPr>
        <w:t>诈骗电话防治</w:t>
      </w:r>
      <w:r>
        <w:rPr>
          <w:spacing w:val="72"/>
        </w:rPr>
        <w:t> </w:t>
      </w:r>
      <w:r>
        <w:rPr>
          <w:spacing w:val="72"/>
        </w:rPr>
      </w:r>
      <w:r>
        <w:rPr>
          <w:spacing w:val="-4"/>
        </w:rPr>
        <w:t>起到重大推动作用和有益实践。系统同时也继续应用于电信运营商的专线资源合规管理和防范骚扰的治理工作中，对可能形</w:t>
      </w:r>
      <w:r>
        <w:rPr>
          <w:spacing w:val="44"/>
        </w:rPr>
        <w:t> </w:t>
      </w:r>
      <w:r>
        <w:rPr>
          <w:spacing w:val="44"/>
        </w:rPr>
      </w:r>
      <w:r>
        <w:rPr>
          <w:spacing w:val="-3"/>
        </w:rPr>
        <w:t>成骚扰的通信行为进行及时的发现和管理，其效果得到用户广泛认可。</w:t>
      </w:r>
    </w:p>
    <w:p>
      <w:pPr>
        <w:pStyle w:val="BodyText"/>
        <w:spacing w:line="352" w:lineRule="auto" w:before="60"/>
        <w:ind w:left="513" w:right="0"/>
        <w:jc w:val="left"/>
      </w:pPr>
      <w:r>
        <w:rPr>
          <w:rFonts w:ascii="宋体" w:hAnsi="宋体" w:cs="宋体" w:eastAsia="宋体" w:hint="default"/>
        </w:rPr>
        <w:t>3</w:t>
      </w:r>
      <w:r>
        <w:rPr/>
        <w:t>）资产安全管理</w:t>
      </w:r>
      <w:r>
        <w:rPr>
          <w:spacing w:val="-87"/>
        </w:rPr>
        <w:t> </w:t>
      </w:r>
      <w:r>
        <w:rPr>
          <w:spacing w:val="-87"/>
        </w:rPr>
      </w:r>
      <w:r>
        <w:rPr>
          <w:spacing w:val="-4"/>
        </w:rPr>
        <w:t>本报告期内，设计研发了资产安全管理系统。资产安全管理系统能够基于资产信息数据方面的行为，基于资产探测引擎</w:t>
      </w:r>
    </w:p>
    <w:p>
      <w:pPr>
        <w:spacing w:after="0" w:line="352"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1123"/>
        <w:jc w:val="both"/>
      </w:pPr>
      <w:r>
        <w:rPr>
          <w:spacing w:val="-3"/>
        </w:rPr>
        <w:t>和</w:t>
      </w:r>
      <w:r>
        <w:rPr>
          <w:rFonts w:ascii="宋体" w:hAnsi="宋体" w:cs="宋体" w:eastAsia="宋体" w:hint="default"/>
          <w:spacing w:val="-3"/>
        </w:rPr>
        <w:t>POC</w:t>
      </w:r>
      <w:r>
        <w:rPr>
          <w:spacing w:val="-3"/>
        </w:rPr>
        <w:t>漏洞检测引擎的输出结果，通过资产探测、资产管理、</w:t>
      </w:r>
      <w:r>
        <w:rPr>
          <w:rFonts w:ascii="宋体" w:hAnsi="宋体" w:cs="宋体" w:eastAsia="宋体" w:hint="default"/>
          <w:spacing w:val="-3"/>
        </w:rPr>
        <w:t>1DAY</w:t>
      </w:r>
      <w:r>
        <w:rPr>
          <w:spacing w:val="-3"/>
        </w:rPr>
        <w:t>探测等任务下发和管理，对资产运行状况、端口开放情况</w:t>
      </w:r>
      <w:r>
        <w:rPr>
          <w:spacing w:val="79"/>
        </w:rPr>
        <w:t> </w:t>
      </w:r>
      <w:r>
        <w:rPr>
          <w:spacing w:val="79"/>
        </w:rPr>
      </w:r>
      <w:r>
        <w:rPr>
          <w:spacing w:val="-4"/>
        </w:rPr>
        <w:t>和资产指纹信息的进行探测搜集，实现资产统计、资产状态动态监控、资产安全管理、资产安全评估、资产脆弱性分析、安</w:t>
      </w:r>
      <w:r>
        <w:rPr>
          <w:spacing w:val="40"/>
        </w:rPr>
        <w:t> </w:t>
      </w:r>
      <w:r>
        <w:rPr>
          <w:spacing w:val="40"/>
        </w:rPr>
      </w:r>
      <w:r>
        <w:rPr>
          <w:spacing w:val="-4"/>
        </w:rPr>
        <w:t>全检查应对的功能。系统通过探测的方式对资产进行大范围探测识别，识别全部资产，消除未知资产；关联资产漏洞，对新</w:t>
      </w:r>
      <w:r>
        <w:rPr>
          <w:spacing w:val="40"/>
        </w:rPr>
        <w:t> </w:t>
      </w:r>
      <w:r>
        <w:rPr>
          <w:spacing w:val="40"/>
        </w:rPr>
      </w:r>
      <w:r>
        <w:rPr>
          <w:spacing w:val="-4"/>
        </w:rPr>
        <w:t>的安全威胁进行应急响应，对资产风险进行管控；对资产的实时应用状态进行监控，保障网络空间资产的持续安全性，通过</w:t>
      </w:r>
      <w:r>
        <w:rPr>
          <w:spacing w:val="40"/>
        </w:rPr>
        <w:t> </w:t>
      </w:r>
      <w:r>
        <w:rPr>
          <w:spacing w:val="40"/>
        </w:rPr>
      </w:r>
      <w:r>
        <w:rPr>
          <w:spacing w:val="-3"/>
        </w:rPr>
        <w:t>状态变化，掌控资产安全态势；对资产进行安全风险评估，结合重要性分级及标记数据，掌握整体资产风险状况。</w:t>
      </w:r>
    </w:p>
    <w:p>
      <w:pPr>
        <w:pStyle w:val="BodyText"/>
        <w:spacing w:line="357" w:lineRule="auto" w:before="55"/>
        <w:ind w:left="513" w:right="0"/>
        <w:jc w:val="left"/>
      </w:pPr>
      <w:r>
        <w:rPr>
          <w:rFonts w:ascii="宋体" w:hAnsi="宋体" w:cs="宋体" w:eastAsia="宋体" w:hint="default"/>
        </w:rPr>
        <w:t>4</w:t>
      </w:r>
      <w:r>
        <w:rPr/>
        <w:t>）安全态势感知</w:t>
      </w:r>
      <w:r>
        <w:rPr>
          <w:spacing w:val="-87"/>
        </w:rPr>
        <w:t> </w:t>
      </w:r>
      <w:r>
        <w:rPr>
          <w:spacing w:val="-87"/>
        </w:rPr>
      </w:r>
      <w:r>
        <w:rPr>
          <w:spacing w:val="-4"/>
        </w:rPr>
        <w:t>本报告期内，设计研发了网络安全态势感知系统。根据国家</w:t>
      </w:r>
      <w:r>
        <w:rPr>
          <w:rFonts w:ascii="宋体" w:hAnsi="宋体" w:cs="宋体" w:eastAsia="宋体" w:hint="default"/>
          <w:spacing w:val="-4"/>
        </w:rPr>
        <w:t>CNCERT</w:t>
      </w:r>
      <w:r>
        <w:rPr>
          <w:spacing w:val="-4"/>
        </w:rPr>
        <w:t>《</w:t>
      </w:r>
      <w:r>
        <w:rPr>
          <w:rFonts w:ascii="宋体" w:hAnsi="宋体" w:cs="宋体" w:eastAsia="宋体" w:hint="default"/>
          <w:spacing w:val="-4"/>
        </w:rPr>
        <w:t>2019</w:t>
      </w:r>
      <w:r>
        <w:rPr>
          <w:spacing w:val="-4"/>
        </w:rPr>
        <w:t>年上半年我国互联网网络安全态势》</w:t>
      </w:r>
      <w:r>
        <w:rPr>
          <w:rFonts w:ascii="宋体" w:hAnsi="宋体" w:cs="宋体" w:eastAsia="宋体" w:hint="default"/>
          <w:spacing w:val="-4"/>
        </w:rPr>
        <w:t>2019</w:t>
      </w:r>
      <w:r>
        <w:rPr>
          <w:spacing w:val="-4"/>
        </w:rPr>
        <w:t>年上</w:t>
      </w:r>
      <w:r>
        <w:rPr/>
      </w:r>
    </w:p>
    <w:p>
      <w:pPr>
        <w:pStyle w:val="BodyText"/>
        <w:spacing w:line="224" w:lineRule="exact"/>
        <w:ind w:right="0"/>
        <w:jc w:val="left"/>
      </w:pPr>
      <w:r>
        <w:rPr>
          <w:spacing w:val="-4"/>
        </w:rPr>
        <w:t>半年，我国基础网络总体运行平稳，但勒索软件、</w:t>
      </w:r>
      <w:r>
        <w:rPr>
          <w:rFonts w:ascii="宋体" w:hAnsi="宋体" w:cs="宋体" w:eastAsia="宋体" w:hint="default"/>
          <w:spacing w:val="-4"/>
        </w:rPr>
        <w:t>DDoS</w:t>
      </w:r>
      <w:r>
        <w:rPr>
          <w:spacing w:val="-4"/>
        </w:rPr>
        <w:t>攻击、虚假和仿冒移动应用等安全威胁仍然复杂严峻。网络安全态势</w:t>
      </w:r>
    </w:p>
    <w:p>
      <w:pPr>
        <w:pStyle w:val="BodyText"/>
        <w:spacing w:line="319" w:lineRule="auto" w:before="77"/>
        <w:ind w:right="1123"/>
        <w:jc w:val="both"/>
      </w:pPr>
      <w:r>
        <w:rPr>
          <w:spacing w:val="-4"/>
        </w:rPr>
        <w:t>感知系统依据相关行业标准设计，为内外部各单位、部门提供安全服务，平台中大数据分析是核心，流量采集和日志收集是</w:t>
      </w:r>
      <w:r>
        <w:rPr>
          <w:spacing w:val="40"/>
        </w:rPr>
        <w:t> </w:t>
      </w:r>
      <w:r>
        <w:rPr>
          <w:spacing w:val="40"/>
        </w:rPr>
      </w:r>
      <w:r>
        <w:rPr>
          <w:spacing w:val="-4"/>
        </w:rPr>
        <w:t>基础，威胁情报库是关键，能力开放是特色。平台能够深度检测企业内外网安全威胁，智能分析辅助安全决策，感知整体安</w:t>
      </w:r>
      <w:r>
        <w:rPr>
          <w:spacing w:val="40"/>
        </w:rPr>
        <w:t> </w:t>
      </w:r>
      <w:r>
        <w:rPr>
          <w:spacing w:val="40"/>
        </w:rPr>
      </w:r>
      <w:r>
        <w:rPr>
          <w:spacing w:val="-4"/>
        </w:rPr>
        <w:t>全态势，提供风险预警、联动安全防御、指导快速响应、协助溯源取证。通过数据和能力的整合，基于需求和场景的数据挖</w:t>
      </w:r>
      <w:r>
        <w:rPr>
          <w:spacing w:val="40"/>
        </w:rPr>
        <w:t> </w:t>
      </w:r>
      <w:r>
        <w:rPr>
          <w:spacing w:val="40"/>
        </w:rPr>
      </w:r>
      <w:r>
        <w:rPr>
          <w:spacing w:val="-4"/>
        </w:rPr>
        <w:t>掘实现精准定位已知威胁、深度检测未知威胁、丰富安全事件场景、辅助安全运营决策，将安全战略由被动防御转向主动智</w:t>
      </w:r>
      <w:r>
        <w:rPr>
          <w:spacing w:val="40"/>
        </w:rPr>
        <w:t> </w:t>
      </w:r>
      <w:r>
        <w:rPr>
          <w:spacing w:val="40"/>
        </w:rPr>
      </w:r>
      <w:r>
        <w:rPr>
          <w:spacing w:val="-3"/>
        </w:rPr>
        <w:t>能，全面保障客户业务的安全——让安全可见、可知、可控，实现各个分离的安全系统数据的统一管理、统一运营。</w:t>
      </w:r>
    </w:p>
    <w:p>
      <w:pPr>
        <w:pStyle w:val="BodyText"/>
        <w:spacing w:line="352" w:lineRule="auto" w:before="55"/>
        <w:ind w:left="513" w:right="0"/>
        <w:jc w:val="left"/>
      </w:pPr>
      <w:r>
        <w:rPr>
          <w:rFonts w:ascii="宋体" w:hAnsi="宋体" w:cs="宋体" w:eastAsia="宋体" w:hint="default"/>
          <w:spacing w:val="-3"/>
        </w:rPr>
        <w:t>5</w:t>
      </w:r>
      <w:r>
        <w:rPr>
          <w:spacing w:val="-3"/>
        </w:rPr>
        <w:t>）专项安全服务（蜜罐）</w:t>
      </w:r>
      <w:r>
        <w:rPr>
          <w:spacing w:val="-52"/>
        </w:rPr>
        <w:t> </w:t>
      </w:r>
      <w:r>
        <w:rPr>
          <w:spacing w:val="-52"/>
        </w:rPr>
      </w:r>
      <w:r>
        <w:rPr>
          <w:spacing w:val="-3"/>
        </w:rPr>
        <w:t>高级蜜罐技术是结合了蜜罐技术、网络技术、网络入侵检测和防御技术（</w:t>
      </w:r>
      <w:r>
        <w:rPr>
          <w:rFonts w:ascii="宋体" w:hAnsi="宋体" w:cs="宋体" w:eastAsia="宋体" w:hint="default"/>
          <w:spacing w:val="-3"/>
        </w:rPr>
        <w:t>NIDS/NIPS</w:t>
      </w:r>
      <w:r>
        <w:rPr>
          <w:spacing w:val="-3"/>
        </w:rPr>
        <w:t>）、主机入侵检测和防御技术</w:t>
      </w:r>
    </w:p>
    <w:p>
      <w:pPr>
        <w:pStyle w:val="BodyText"/>
        <w:spacing w:line="319" w:lineRule="auto"/>
        <w:ind w:right="1123"/>
        <w:jc w:val="left"/>
      </w:pPr>
      <w:r>
        <w:rPr>
          <w:spacing w:val="-3"/>
        </w:rPr>
        <w:t>（</w:t>
      </w:r>
      <w:r>
        <w:rPr>
          <w:rFonts w:ascii="宋体" w:hAnsi="宋体" w:cs="宋体" w:eastAsia="宋体" w:hint="default"/>
          <w:spacing w:val="-3"/>
        </w:rPr>
        <w:t>HIDS/HIPS</w:t>
      </w:r>
      <w:r>
        <w:rPr>
          <w:spacing w:val="-3"/>
        </w:rPr>
        <w:t>）以及虚拟技术的高端技术形式，可以这么说：欺骗技术源于蜜罐，高于蜜罐，相对于传统的安全防御技术来</w:t>
      </w:r>
      <w:r>
        <w:rPr>
          <w:spacing w:val="82"/>
        </w:rPr>
        <w:t> </w:t>
      </w:r>
      <w:r>
        <w:rPr>
          <w:spacing w:val="82"/>
        </w:rPr>
      </w:r>
      <w:r>
        <w:rPr>
          <w:spacing w:val="-3"/>
        </w:rPr>
        <w:t>讲，欺骗技术是新型的、主动的安全防御技术。高级蜜罐系统基于蜜罐技术，通过布置虚拟主机和诱饵信标，迷惑攻击者，</w:t>
      </w:r>
      <w:r>
        <w:rPr>
          <w:spacing w:val="66"/>
        </w:rPr>
        <w:t> </w:t>
      </w:r>
      <w:r>
        <w:rPr>
          <w:spacing w:val="66"/>
        </w:rPr>
      </w:r>
      <w:r>
        <w:rPr>
          <w:spacing w:val="-4"/>
        </w:rPr>
        <w:t>降低真实主机被攻击的可能性，并且从网络和主机两个层面诱使攻击者实施攻击，从而可以对攻击行为进行捕获和分析，了</w:t>
      </w:r>
      <w:r>
        <w:rPr>
          <w:spacing w:val="43"/>
        </w:rPr>
        <w:t> </w:t>
      </w:r>
      <w:r>
        <w:rPr>
          <w:spacing w:val="43"/>
        </w:rPr>
      </w:r>
      <w:r>
        <w:rPr>
          <w:spacing w:val="-4"/>
        </w:rPr>
        <w:t>解其所使用的的攻击工具与方法，推测其攻击意图和动机，追溯其来源，最终在保护真实资产的同时使用户清晰地了解所面</w:t>
      </w:r>
      <w:r>
        <w:rPr>
          <w:spacing w:val="43"/>
        </w:rPr>
        <w:t> </w:t>
      </w:r>
      <w:r>
        <w:rPr>
          <w:spacing w:val="43"/>
        </w:rPr>
      </w:r>
      <w:r>
        <w:rPr>
          <w:spacing w:val="-3"/>
        </w:rPr>
        <w:t>对的安全威胁。</w:t>
      </w:r>
    </w:p>
    <w:p>
      <w:pPr>
        <w:pStyle w:val="BodyText"/>
        <w:spacing w:line="333" w:lineRule="auto" w:before="60"/>
        <w:ind w:left="513"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）安全管理平台</w:t>
      </w:r>
      <w:r>
        <w:rPr>
          <w:rFonts w:ascii="宋体" w:hAnsi="宋体" w:cs="宋体" w:eastAsia="宋体" w:hint="default"/>
          <w:b/>
          <w:bCs/>
          <w:spacing w:val="-86"/>
        </w:rPr>
        <w:t> </w:t>
      </w:r>
      <w:r>
        <w:rPr>
          <w:rFonts w:ascii="宋体" w:hAnsi="宋体" w:cs="宋体" w:eastAsia="宋体" w:hint="default"/>
          <w:b/>
          <w:bCs/>
          <w:spacing w:val="-86"/>
        </w:rPr>
      </w:r>
      <w:r>
        <w:rPr>
          <w:spacing w:val="-5"/>
        </w:rPr>
        <w:t>本报告期内设计开发了以数据安全、网络安全管理、合规管理为代表的一系列面向基础电信运营商和工信行业的安全管</w:t>
      </w:r>
    </w:p>
    <w:p>
      <w:pPr>
        <w:pStyle w:val="BodyText"/>
        <w:spacing w:line="240" w:lineRule="auto" w:before="11"/>
        <w:ind w:right="0"/>
        <w:jc w:val="left"/>
      </w:pPr>
      <w:r>
        <w:rPr/>
        <w:t>理系统。</w:t>
      </w:r>
    </w:p>
    <w:p>
      <w:pPr>
        <w:pStyle w:val="BodyText"/>
        <w:spacing w:line="357" w:lineRule="auto" w:before="115"/>
        <w:ind w:left="513" w:right="0"/>
        <w:jc w:val="left"/>
      </w:pPr>
      <w:r>
        <w:rPr>
          <w:rFonts w:ascii="宋体" w:hAnsi="宋体" w:cs="宋体" w:eastAsia="宋体" w:hint="default"/>
        </w:rPr>
        <w:t>1</w:t>
      </w:r>
      <w:r>
        <w:rPr/>
        <w:t>）数据安全管理平台</w:t>
      </w:r>
      <w:r>
        <w:rPr>
          <w:spacing w:val="-88"/>
        </w:rPr>
        <w:t> </w:t>
      </w:r>
      <w:r>
        <w:rPr>
          <w:spacing w:val="-88"/>
        </w:rPr>
      </w:r>
      <w:r>
        <w:rPr>
          <w:spacing w:val="-4"/>
        </w:rPr>
        <w:t>报告期内，针对日益受到重视的数据安全管控需求，开展了有关数据安全集约化管理的技术及市场论证，确定数据安全</w:t>
      </w:r>
    </w:p>
    <w:p>
      <w:pPr>
        <w:pStyle w:val="BodyText"/>
        <w:spacing w:line="224" w:lineRule="exact"/>
        <w:ind w:right="0"/>
        <w:jc w:val="left"/>
      </w:pPr>
      <w:r>
        <w:rPr>
          <w:spacing w:val="-4"/>
        </w:rPr>
        <w:t>管理平台方向，采用全方位、全内容、全过程的数据管理与安全保护技术，通过智能安全分析技术、操作系统内核技术、高</w:t>
      </w:r>
    </w:p>
    <w:p>
      <w:pPr>
        <w:pStyle w:val="BodyText"/>
        <w:spacing w:line="319" w:lineRule="auto" w:before="76"/>
        <w:ind w:right="0"/>
        <w:jc w:val="left"/>
      </w:pPr>
      <w:r>
        <w:rPr>
          <w:spacing w:val="-4"/>
        </w:rPr>
        <w:t>强度加密算法、灵活易用的安全策略，为运营商、企业提供数据资产监测、数据防泄漏、数据安全策略管理、数据访问行为</w:t>
      </w:r>
      <w:r>
        <w:rPr>
          <w:spacing w:val="40"/>
        </w:rPr>
        <w:t> </w:t>
      </w:r>
      <w:r>
        <w:rPr>
          <w:spacing w:val="40"/>
        </w:rPr>
      </w:r>
      <w:r>
        <w:rPr>
          <w:spacing w:val="-4"/>
        </w:rPr>
        <w:t>审计及监控等综合数据安全防护手段，满足监管部门合规性及考核要求。主要设计实现功能包括：数据资产管理，可以支持</w:t>
      </w:r>
      <w:r>
        <w:rPr>
          <w:spacing w:val="40"/>
        </w:rPr>
        <w:t> </w:t>
      </w:r>
      <w:r>
        <w:rPr>
          <w:spacing w:val="40"/>
        </w:rPr>
      </w:r>
      <w:r>
        <w:rPr>
          <w:spacing w:val="-3"/>
        </w:rPr>
        <w:t>各类文件系统、数据库、大数据平台的数据资产探测、发现与识别，实时掌控企业敏感数据资产信息；数据安全事件监测，</w:t>
      </w:r>
      <w:r>
        <w:rPr>
          <w:spacing w:val="66"/>
        </w:rPr>
        <w:t> </w:t>
      </w:r>
      <w:r>
        <w:rPr>
          <w:spacing w:val="66"/>
        </w:rPr>
      </w:r>
      <w:r>
        <w:rPr>
          <w:spacing w:val="-4"/>
        </w:rPr>
        <w:t>可以从用户、部门、资产多维度有效监测数据使用、接口调用、流转共享等敏感行为，监测数据生命周期过程合规性；数据</w:t>
      </w:r>
      <w:r>
        <w:rPr>
          <w:spacing w:val="40"/>
        </w:rPr>
        <w:t> </w:t>
      </w:r>
      <w:r>
        <w:rPr>
          <w:spacing w:val="40"/>
        </w:rPr>
      </w:r>
      <w:r>
        <w:rPr>
          <w:spacing w:val="-3"/>
        </w:rPr>
        <w:t>安全保护策略，可集中管理数据安全保护策略，</w:t>
      </w:r>
      <w:r>
        <w:rPr>
          <w:rFonts w:ascii="宋体" w:hAnsi="宋体" w:cs="宋体" w:eastAsia="宋体" w:hint="default"/>
          <w:spacing w:val="-3"/>
        </w:rPr>
        <w:t>DLP</w:t>
      </w:r>
      <w:r>
        <w:rPr>
          <w:spacing w:val="-3"/>
        </w:rPr>
        <w:t>、</w:t>
      </w:r>
      <w:r>
        <w:rPr>
          <w:rFonts w:ascii="宋体" w:hAnsi="宋体" w:cs="宋体" w:eastAsia="宋体" w:hint="default"/>
          <w:spacing w:val="-3"/>
        </w:rPr>
        <w:t>4A</w:t>
      </w:r>
      <w:r>
        <w:rPr>
          <w:spacing w:val="-3"/>
        </w:rPr>
        <w:t>、脱敏、加密、审计、数据库安全、网络安全设备等各类安全防护</w:t>
      </w:r>
      <w:r>
        <w:rPr>
          <w:spacing w:val="76"/>
        </w:rPr>
        <w:t> </w:t>
      </w:r>
      <w:r>
        <w:rPr>
          <w:spacing w:val="76"/>
        </w:rPr>
      </w:r>
      <w:r>
        <w:rPr>
          <w:spacing w:val="-6"/>
        </w:rPr>
        <w:t>策略的统一定义与分发；数据跨境访问监测，结合网络流量采集监测能力，实时分析数据资产跨境访问行为；终端数据监控，</w:t>
      </w:r>
      <w:r>
        <w:rPr>
          <w:spacing w:val="62"/>
        </w:rPr>
        <w:t> </w:t>
      </w:r>
      <w:r>
        <w:rPr>
          <w:spacing w:val="62"/>
        </w:rPr>
      </w:r>
      <w:r>
        <w:rPr>
          <w:spacing w:val="-3"/>
        </w:rPr>
        <w:t>可提供</w:t>
      </w:r>
      <w:r>
        <w:rPr>
          <w:rFonts w:ascii="宋体" w:hAnsi="宋体" w:cs="宋体" w:eastAsia="宋体" w:hint="default"/>
          <w:spacing w:val="-3"/>
        </w:rPr>
        <w:t>PC</w:t>
      </w:r>
      <w:r>
        <w:rPr>
          <w:spacing w:val="-3"/>
        </w:rPr>
        <w:t>和手机端数据安全监控能力。</w:t>
      </w:r>
    </w:p>
    <w:p>
      <w:pPr>
        <w:pStyle w:val="BodyText"/>
        <w:spacing w:line="352" w:lineRule="auto" w:before="55"/>
        <w:ind w:left="513" w:right="0"/>
        <w:jc w:val="left"/>
      </w:pPr>
      <w:r>
        <w:rPr>
          <w:rFonts w:ascii="宋体" w:hAnsi="宋体" w:cs="宋体" w:eastAsia="宋体" w:hint="default"/>
        </w:rPr>
        <w:t>2</w:t>
      </w:r>
      <w:r>
        <w:rPr/>
        <w:t>）网络安全管理平台（</w:t>
      </w:r>
      <w:r>
        <w:rPr>
          <w:rFonts w:ascii="宋体" w:hAnsi="宋体" w:cs="宋体" w:eastAsia="宋体" w:hint="default"/>
        </w:rPr>
        <w:t>SMP</w:t>
      </w:r>
      <w:r>
        <w:rPr/>
        <w:t>）</w:t>
      </w:r>
      <w:r>
        <w:rPr>
          <w:w w:val="101"/>
        </w:rPr>
        <w:t> </w:t>
      </w:r>
      <w:r>
        <w:rPr>
          <w:spacing w:val="-4"/>
        </w:rPr>
        <w:t>报告期内，针对网络攻击与信息安全事件日益凸显、客户信息泄密时常发生，基于电信运营商加强业务支撑网的安全管</w:t>
      </w:r>
    </w:p>
    <w:p>
      <w:pPr>
        <w:pStyle w:val="BodyText"/>
        <w:spacing w:line="319" w:lineRule="auto"/>
        <w:ind w:right="0"/>
        <w:jc w:val="left"/>
      </w:pPr>
      <w:r>
        <w:rPr>
          <w:spacing w:val="-3"/>
        </w:rPr>
        <w:t>理，提升安全防护能力的需求，公司将安全管理平台</w:t>
      </w:r>
      <w:r>
        <w:rPr>
          <w:rFonts w:ascii="宋体" w:hAnsi="宋体" w:cs="宋体" w:eastAsia="宋体" w:hint="default"/>
          <w:spacing w:val="-3"/>
        </w:rPr>
        <w:t>(SMP</w:t>
      </w:r>
      <w:r>
        <w:rPr>
          <w:spacing w:val="-3"/>
        </w:rPr>
        <w:t>，</w:t>
      </w:r>
      <w:r>
        <w:rPr>
          <w:rFonts w:ascii="宋体" w:hAnsi="宋体" w:cs="宋体" w:eastAsia="宋体" w:hint="default"/>
          <w:spacing w:val="-3"/>
        </w:rPr>
        <w:t>Security </w:t>
      </w:r>
      <w:r>
        <w:rPr>
          <w:rFonts w:ascii="宋体" w:hAnsi="宋体" w:cs="宋体" w:eastAsia="宋体" w:hint="default"/>
        </w:rPr>
        <w:t>Management Platform)</w:t>
      </w:r>
      <w:r>
        <w:rPr/>
        <w:t>的规划与开发提到了重要位置，</w:t>
      </w:r>
      <w:r>
        <w:rPr>
          <w:spacing w:val="-68"/>
        </w:rPr>
        <w:t> </w:t>
      </w:r>
      <w:r>
        <w:rPr>
          <w:spacing w:val="-68"/>
        </w:rPr>
      </w:r>
      <w:r>
        <w:rPr>
          <w:spacing w:val="-4"/>
        </w:rPr>
        <w:t>并制定了通过</w:t>
      </w:r>
      <w:r>
        <w:rPr>
          <w:rFonts w:ascii="宋体" w:hAnsi="宋体" w:cs="宋体" w:eastAsia="宋体" w:hint="default"/>
          <w:spacing w:val="-4"/>
        </w:rPr>
        <w:t>SMP</w:t>
      </w:r>
      <w:r>
        <w:rPr>
          <w:spacing w:val="-4"/>
        </w:rPr>
        <w:t>平台实现对安全事件可发现、可管理、可控制、可运维、可测量等具体目标。目前已经完成</w:t>
      </w:r>
      <w:r>
        <w:rPr>
          <w:rFonts w:ascii="宋体" w:hAnsi="宋体" w:cs="宋体" w:eastAsia="宋体" w:hint="default"/>
          <w:spacing w:val="-4"/>
        </w:rPr>
        <w:t>SMP</w:t>
      </w:r>
      <w:r>
        <w:rPr>
          <w:spacing w:val="-4"/>
        </w:rPr>
        <w:t>平台软件的</w:t>
      </w:r>
      <w:r>
        <w:rPr>
          <w:spacing w:val="51"/>
        </w:rPr>
        <w:t> </w:t>
      </w:r>
      <w:r>
        <w:rPr>
          <w:spacing w:val="51"/>
        </w:rPr>
      </w:r>
      <w:r>
        <w:rPr>
          <w:spacing w:val="-6"/>
        </w:rPr>
        <w:t>基础功能设计开发，采用微服务架构，依托自主设计、开发的底层平台，完成安全对象、安全策略、安全作业任务调度管理，</w:t>
      </w:r>
      <w:r>
        <w:rPr>
          <w:spacing w:val="63"/>
        </w:rPr>
        <w:t> </w:t>
      </w:r>
      <w:r>
        <w:rPr>
          <w:spacing w:val="63"/>
        </w:rPr>
      </w:r>
      <w:r>
        <w:rPr>
          <w:spacing w:val="-4"/>
        </w:rPr>
        <w:t>主要功能模块包括：驱动对象管理、事件管理、响应管理、脆弱性管理、报表管理、知识库管理、符合性检查等，支持安全</w:t>
      </w:r>
      <w:r>
        <w:rPr>
          <w:spacing w:val="40"/>
        </w:rPr>
        <w:t> </w:t>
      </w:r>
      <w:r>
        <w:rPr>
          <w:spacing w:val="40"/>
        </w:rPr>
      </w:r>
      <w:r>
        <w:rPr>
          <w:spacing w:val="-3"/>
        </w:rPr>
        <w:t>信息的收集、整理、分析与管控，使安全策略真正可实施、可落地，实现主动安全自动化、被动安全智能化。</w:t>
      </w:r>
    </w:p>
    <w:p>
      <w:pPr>
        <w:pStyle w:val="BodyText"/>
        <w:spacing w:line="352" w:lineRule="auto" w:before="61"/>
        <w:ind w:left="513" w:right="0"/>
        <w:jc w:val="left"/>
      </w:pPr>
      <w:r>
        <w:rPr>
          <w:rFonts w:ascii="宋体" w:hAnsi="宋体" w:cs="宋体" w:eastAsia="宋体" w:hint="default"/>
        </w:rPr>
        <w:t>3</w:t>
      </w:r>
      <w:r>
        <w:rPr/>
        <w:t>）安全合规管理</w:t>
      </w:r>
      <w:r>
        <w:rPr>
          <w:spacing w:val="-87"/>
        </w:rPr>
        <w:t> </w:t>
      </w:r>
      <w:r>
        <w:rPr>
          <w:spacing w:val="-87"/>
        </w:rPr>
      </w:r>
      <w:r>
        <w:rPr>
          <w:spacing w:val="-4"/>
        </w:rPr>
        <w:t>报告期内，公司还完成了运营商安全合规管理平台的设计开发，主要实现安全综合管理的自动化和信息化，提高企业安</w:t>
      </w:r>
    </w:p>
    <w:p>
      <w:pPr>
        <w:pStyle w:val="BodyText"/>
        <w:spacing w:line="227" w:lineRule="exact"/>
        <w:ind w:right="0"/>
        <w:jc w:val="left"/>
      </w:pPr>
      <w:r>
        <w:rPr>
          <w:spacing w:val="-4"/>
        </w:rPr>
        <w:t>全管理水平和质量。产品已经实现了与</w:t>
      </w:r>
      <w:r>
        <w:rPr>
          <w:rFonts w:ascii="宋体" w:hAnsi="宋体" w:cs="宋体" w:eastAsia="宋体" w:hint="default"/>
          <w:spacing w:val="-4"/>
        </w:rPr>
        <w:t>4A</w:t>
      </w:r>
      <w:r>
        <w:rPr>
          <w:spacing w:val="-4"/>
        </w:rPr>
        <w:t>平台、漏洞扫描工具、基线扫描工具和数据防泄漏工具等的对接，全面展现企业安</w:t>
      </w:r>
    </w:p>
    <w:p>
      <w:pPr>
        <w:spacing w:after="0" w:line="227" w:lineRule="exact"/>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0"/>
        <w:jc w:val="left"/>
      </w:pPr>
      <w:r>
        <w:rPr>
          <w:spacing w:val="-4"/>
        </w:rPr>
        <w:t>全管理状态。系统已实现主要功能包括：管理和查看已发布的内部制度、外部规范；管理公司的组织对象、业务对象、实物</w:t>
      </w:r>
      <w:r>
        <w:rPr>
          <w:spacing w:val="40"/>
        </w:rPr>
        <w:t> </w:t>
      </w:r>
      <w:r>
        <w:rPr>
          <w:spacing w:val="40"/>
        </w:rPr>
      </w:r>
      <w:r>
        <w:rPr>
          <w:spacing w:val="-4"/>
        </w:rPr>
        <w:t>对象；维护和查看控制矩阵、检查矩阵和责任矩阵；为安全管理员、接口人提供执行计划建立和提醒的功能，并监控各控制</w:t>
      </w:r>
      <w:r>
        <w:rPr>
          <w:spacing w:val="40"/>
        </w:rPr>
        <w:t> </w:t>
      </w:r>
      <w:r>
        <w:rPr>
          <w:spacing w:val="40"/>
        </w:rPr>
      </w:r>
      <w:r>
        <w:rPr>
          <w:spacing w:val="-6"/>
        </w:rPr>
        <w:t>点的执行情况；提供不合规控制点整改过程管理的能力；提供待办、待阅等业务的统一流程处理；多维度的统计分析和图形、</w:t>
      </w:r>
      <w:r>
        <w:rPr>
          <w:spacing w:val="64"/>
        </w:rPr>
        <w:t> </w:t>
      </w:r>
      <w:r>
        <w:rPr>
          <w:spacing w:val="64"/>
        </w:rPr>
      </w:r>
      <w:r>
        <w:rPr>
          <w:spacing w:val="-6"/>
        </w:rPr>
        <w:t>图表展现；针对基础安全检查，提供检查计划、整改计划、风险处置计划集中管理，调用相关检查工具和手段执行检查计划，</w:t>
      </w:r>
      <w:r>
        <w:rPr>
          <w:spacing w:val="62"/>
        </w:rPr>
        <w:t> </w:t>
      </w:r>
      <w:r>
        <w:rPr>
          <w:spacing w:val="62"/>
        </w:rPr>
      </w:r>
      <w:r>
        <w:rPr>
          <w:spacing w:val="-4"/>
        </w:rPr>
        <w:t>对检查各环节成果物提供存储和查询；深化安全防护过程中各类漏洞的管控，建立漏洞的闭环管理流程。目前，产品已在多</w:t>
      </w:r>
      <w:r>
        <w:rPr>
          <w:spacing w:val="40"/>
        </w:rPr>
        <w:t> </w:t>
      </w:r>
      <w:r>
        <w:rPr>
          <w:spacing w:val="40"/>
        </w:rPr>
      </w:r>
      <w:r>
        <w:rPr>
          <w:spacing w:val="-3"/>
        </w:rPr>
        <w:t>地应用，通过流程化安全合规执行，确保了用户每个控制要求有效执行。</w:t>
      </w:r>
    </w:p>
    <w:p>
      <w:pPr>
        <w:pStyle w:val="BodyText"/>
        <w:spacing w:line="357" w:lineRule="auto" w:before="55"/>
        <w:ind w:left="513" w:right="0"/>
        <w:jc w:val="left"/>
      </w:pPr>
      <w:r>
        <w:rPr>
          <w:spacing w:val="-3"/>
        </w:rPr>
        <w:t>（</w:t>
      </w:r>
      <w:r>
        <w:rPr>
          <w:rFonts w:ascii="宋体" w:hAnsi="宋体" w:cs="宋体" w:eastAsia="宋体" w:hint="default"/>
          <w:spacing w:val="-3"/>
        </w:rPr>
        <w:t>4</w:t>
      </w:r>
      <w:r>
        <w:rPr>
          <w:spacing w:val="-3"/>
        </w:rPr>
        <w:t>）基础通信和应急安全</w:t>
      </w:r>
      <w:r>
        <w:rPr>
          <w:spacing w:val="-52"/>
        </w:rPr>
        <w:t> </w:t>
      </w:r>
      <w:r>
        <w:rPr>
          <w:spacing w:val="-52"/>
        </w:rPr>
      </w:r>
      <w:r>
        <w:rPr>
          <w:rFonts w:ascii="宋体" w:hAnsi="宋体" w:cs="宋体" w:eastAsia="宋体" w:hint="default"/>
          <w:spacing w:val="-3"/>
        </w:rPr>
        <w:t>1</w:t>
      </w:r>
      <w:r>
        <w:rPr>
          <w:spacing w:val="-3"/>
        </w:rPr>
        <w:t>）</w:t>
      </w:r>
      <w:r>
        <w:rPr>
          <w:rFonts w:ascii="宋体" w:hAnsi="宋体" w:cs="宋体" w:eastAsia="宋体" w:hint="default"/>
          <w:spacing w:val="-3"/>
        </w:rPr>
        <w:t>DNS</w:t>
      </w:r>
      <w:r>
        <w:rPr>
          <w:spacing w:val="-3"/>
        </w:rPr>
        <w:t>解析软件：根区副本建设，根据信通院要求，在各省运营商新建根区副本系统，完成国密</w:t>
      </w:r>
      <w:r>
        <w:rPr>
          <w:rFonts w:ascii="宋体" w:hAnsi="宋体" w:cs="宋体" w:eastAsia="宋体" w:hint="default"/>
          <w:spacing w:val="-3"/>
        </w:rPr>
        <w:t>SM3</w:t>
      </w:r>
      <w:r>
        <w:rPr>
          <w:spacing w:val="-3"/>
        </w:rPr>
        <w:t>算法的加密认证；</w:t>
      </w:r>
    </w:p>
    <w:p>
      <w:pPr>
        <w:pStyle w:val="BodyText"/>
        <w:spacing w:line="224" w:lineRule="exact"/>
        <w:ind w:right="0"/>
        <w:jc w:val="left"/>
      </w:pPr>
      <w:r>
        <w:rPr>
          <w:spacing w:val="-3"/>
        </w:rPr>
        <w:t>与中兴完成虚拟化平台的双向认证，提供</w:t>
      </w:r>
      <w:r>
        <w:rPr>
          <w:rFonts w:ascii="宋体" w:hAnsi="宋体" w:cs="宋体" w:eastAsia="宋体" w:hint="default"/>
          <w:spacing w:val="-3"/>
        </w:rPr>
        <w:t>DNS</w:t>
      </w:r>
      <w:r>
        <w:rPr>
          <w:spacing w:val="-3"/>
        </w:rPr>
        <w:t>解析功能的软件镜像，完成所有对接接口；高性能的递归软件，自主开发高性</w:t>
      </w:r>
    </w:p>
    <w:p>
      <w:pPr>
        <w:pStyle w:val="BodyText"/>
        <w:spacing w:line="321" w:lineRule="auto" w:before="76"/>
        <w:ind w:right="0"/>
        <w:jc w:val="left"/>
      </w:pPr>
      <w:r>
        <w:rPr>
          <w:spacing w:val="-4"/>
        </w:rPr>
        <w:t>能的</w:t>
      </w:r>
      <w:r>
        <w:rPr>
          <w:rFonts w:ascii="宋体" w:hAnsi="宋体" w:cs="宋体" w:eastAsia="宋体" w:hint="default"/>
          <w:spacing w:val="-4"/>
        </w:rPr>
        <w:t>IPVS</w:t>
      </w:r>
      <w:r>
        <w:rPr>
          <w:spacing w:val="-4"/>
        </w:rPr>
        <w:t>功能；高性能收发包工具的性能对比，主要从</w:t>
      </w:r>
      <w:r>
        <w:rPr>
          <w:rFonts w:ascii="宋体" w:hAnsi="宋体" w:cs="宋体" w:eastAsia="宋体" w:hint="default"/>
          <w:spacing w:val="-4"/>
        </w:rPr>
        <w:t>netfilter+hook</w:t>
      </w:r>
      <w:r>
        <w:rPr>
          <w:spacing w:val="-4"/>
        </w:rPr>
        <w:t>、</w:t>
      </w:r>
      <w:r>
        <w:rPr>
          <w:rFonts w:ascii="宋体" w:hAnsi="宋体" w:cs="宋体" w:eastAsia="宋体" w:hint="default"/>
          <w:spacing w:val="-4"/>
        </w:rPr>
        <w:t>XDP</w:t>
      </w:r>
      <w:r>
        <w:rPr>
          <w:spacing w:val="-4"/>
        </w:rPr>
        <w:t>、</w:t>
      </w:r>
      <w:r>
        <w:rPr>
          <w:rFonts w:ascii="宋体" w:hAnsi="宋体" w:cs="宋体" w:eastAsia="宋体" w:hint="default"/>
          <w:spacing w:val="-4"/>
        </w:rPr>
        <w:t>DPDK</w:t>
      </w:r>
      <w:r>
        <w:rPr>
          <w:spacing w:val="-4"/>
        </w:rPr>
        <w:t>等技术入手，对比</w:t>
      </w:r>
      <w:r>
        <w:rPr>
          <w:rFonts w:ascii="宋体" w:hAnsi="宋体" w:cs="宋体" w:eastAsia="宋体" w:hint="default"/>
          <w:spacing w:val="-4"/>
        </w:rPr>
        <w:t>DNS</w:t>
      </w:r>
      <w:r>
        <w:rPr>
          <w:spacing w:val="-4"/>
        </w:rPr>
        <w:t>在各场景下的高性</w:t>
      </w:r>
      <w:r>
        <w:rPr>
          <w:spacing w:val="7"/>
        </w:rPr>
        <w:t> </w:t>
      </w:r>
      <w:r>
        <w:rPr>
          <w:spacing w:val="7"/>
        </w:rPr>
      </w:r>
      <w:r>
        <w:rPr>
          <w:spacing w:val="-3"/>
        </w:rPr>
        <w:t>能技术实现，选定</w:t>
      </w:r>
      <w:r>
        <w:rPr>
          <w:rFonts w:ascii="宋体" w:hAnsi="宋体" w:cs="宋体" w:eastAsia="宋体" w:hint="default"/>
          <w:spacing w:val="-3"/>
        </w:rPr>
        <w:t>DPDK</w:t>
      </w:r>
      <w:r>
        <w:rPr>
          <w:spacing w:val="-3"/>
        </w:rPr>
        <w:t>技术进行高性能</w:t>
      </w:r>
      <w:r>
        <w:rPr>
          <w:rFonts w:ascii="宋体" w:hAnsi="宋体" w:cs="宋体" w:eastAsia="宋体" w:hint="default"/>
          <w:spacing w:val="-3"/>
        </w:rPr>
        <w:t>DNS</w:t>
      </w:r>
      <w:r>
        <w:rPr>
          <w:spacing w:val="-3"/>
        </w:rPr>
        <w:t>的重构，以此迭代各</w:t>
      </w:r>
      <w:r>
        <w:rPr>
          <w:rFonts w:ascii="宋体" w:hAnsi="宋体" w:cs="宋体" w:eastAsia="宋体" w:hint="default"/>
          <w:spacing w:val="-3"/>
        </w:rPr>
        <w:t>DNS</w:t>
      </w:r>
      <w:r>
        <w:rPr>
          <w:spacing w:val="-3"/>
        </w:rPr>
        <w:t>功能模块。</w:t>
      </w:r>
    </w:p>
    <w:p>
      <w:pPr>
        <w:pStyle w:val="BodyText"/>
        <w:spacing w:line="357" w:lineRule="auto" w:before="53"/>
        <w:ind w:left="513" w:right="1123"/>
        <w:jc w:val="left"/>
      </w:pPr>
      <w:r>
        <w:rPr>
          <w:rFonts w:ascii="宋体" w:hAnsi="宋体" w:cs="宋体" w:eastAsia="宋体" w:hint="default"/>
        </w:rPr>
        <w:t>2</w:t>
      </w:r>
      <w:r>
        <w:rPr/>
        <w:t>）</w:t>
      </w:r>
      <w:r>
        <w:rPr>
          <w:rFonts w:ascii="宋体" w:hAnsi="宋体" w:cs="宋体" w:eastAsia="宋体" w:hint="default"/>
        </w:rPr>
        <w:t>DNS</w:t>
      </w:r>
      <w:r>
        <w:rPr/>
        <w:t>管理平台</w:t>
      </w:r>
      <w:r>
        <w:rPr>
          <w:w w:val="101"/>
        </w:rPr>
        <w:t> </w:t>
      </w:r>
      <w:r>
        <w:rPr>
          <w:spacing w:val="-3"/>
        </w:rPr>
        <w:t>根据信通院要求，完成各省管控对接工作，实现信管局和网安局对域名的管控接口，日志分析，统计上报等工作。</w:t>
      </w:r>
      <w:r>
        <w:rPr>
          <w:spacing w:val="54"/>
        </w:rPr>
        <w:t> </w:t>
      </w:r>
      <w:r>
        <w:rPr>
          <w:spacing w:val="54"/>
        </w:rPr>
      </w:r>
      <w:r>
        <w:rPr>
          <w:rFonts w:ascii="宋体" w:hAnsi="宋体" w:cs="宋体" w:eastAsia="宋体" w:hint="default"/>
        </w:rPr>
        <w:t>3</w:t>
      </w:r>
      <w:r>
        <w:rPr/>
        <w:t>）构建域名资源库</w:t>
      </w:r>
      <w:r>
        <w:rPr>
          <w:spacing w:val="-85"/>
        </w:rPr>
        <w:t> </w:t>
      </w:r>
      <w:r>
        <w:rPr>
          <w:spacing w:val="-85"/>
        </w:rPr>
      </w:r>
      <w:r>
        <w:rPr>
          <w:spacing w:val="-3"/>
        </w:rPr>
        <w:t>完成域名资源库的初步构建，域名资源</w:t>
      </w:r>
      <w:r>
        <w:rPr>
          <w:rFonts w:ascii="宋体" w:hAnsi="宋体" w:cs="宋体" w:eastAsia="宋体" w:hint="default"/>
          <w:spacing w:val="-3"/>
        </w:rPr>
        <w:t>4000W+,</w:t>
      </w:r>
      <w:r>
        <w:rPr>
          <w:spacing w:val="-3"/>
        </w:rPr>
        <w:t>全球开放</w:t>
      </w:r>
      <w:r>
        <w:rPr>
          <w:rFonts w:ascii="宋体" w:hAnsi="宋体" w:cs="宋体" w:eastAsia="宋体" w:hint="default"/>
          <w:spacing w:val="-3"/>
        </w:rPr>
        <w:t>DNS270W+</w:t>
      </w:r>
      <w:r>
        <w:rPr>
          <w:spacing w:val="-3"/>
        </w:rPr>
        <w:t>，拨测</w:t>
      </w:r>
      <w:r>
        <w:rPr>
          <w:rFonts w:ascii="宋体" w:hAnsi="宋体" w:cs="宋体" w:eastAsia="宋体" w:hint="default"/>
          <w:spacing w:val="-3"/>
        </w:rPr>
        <w:t>4000W+</w:t>
      </w:r>
      <w:r>
        <w:rPr>
          <w:spacing w:val="-3"/>
        </w:rPr>
        <w:t>域名在全国不同省级运行商以及国外样</w:t>
      </w:r>
    </w:p>
    <w:p>
      <w:pPr>
        <w:pStyle w:val="BodyText"/>
        <w:spacing w:line="357" w:lineRule="auto"/>
        <w:ind w:left="513" w:right="1123" w:hanging="360"/>
        <w:jc w:val="left"/>
      </w:pPr>
      <w:r>
        <w:rPr>
          <w:spacing w:val="-3"/>
        </w:rPr>
        <w:t>本</w:t>
      </w:r>
      <w:r>
        <w:rPr>
          <w:rFonts w:ascii="宋体" w:hAnsi="宋体" w:cs="宋体" w:eastAsia="宋体" w:hint="default"/>
          <w:spacing w:val="-3"/>
        </w:rPr>
        <w:t>DNS</w:t>
      </w:r>
      <w:r>
        <w:rPr>
          <w:spacing w:val="-3"/>
        </w:rPr>
        <w:t>的解析结果。爬取域名备案信息</w:t>
      </w:r>
      <w:r>
        <w:rPr>
          <w:rFonts w:ascii="宋体" w:hAnsi="宋体" w:cs="宋体" w:eastAsia="宋体" w:hint="default"/>
          <w:spacing w:val="-3"/>
        </w:rPr>
        <w:t>90W+</w:t>
      </w:r>
      <w:r>
        <w:rPr>
          <w:spacing w:val="-3"/>
        </w:rPr>
        <w:t>，完成域名库资源的初始化，之后进行拨测分析等功能的持续完善。</w:t>
      </w:r>
      <w:r>
        <w:rPr>
          <w:spacing w:val="67"/>
        </w:rPr>
        <w:t> </w:t>
      </w:r>
      <w:r>
        <w:rPr>
          <w:spacing w:val="67"/>
        </w:rPr>
      </w:r>
      <w:r>
        <w:rPr>
          <w:rFonts w:ascii="宋体" w:hAnsi="宋体" w:cs="宋体" w:eastAsia="宋体" w:hint="default"/>
        </w:rPr>
        <w:t>4</w:t>
      </w:r>
      <w:r>
        <w:rPr/>
        <w:t>）应急管理信息化</w:t>
      </w:r>
      <w:r>
        <w:rPr>
          <w:w w:val="101"/>
        </w:rPr>
        <w:t> </w:t>
      </w:r>
      <w:r>
        <w:rPr>
          <w:spacing w:val="-5"/>
        </w:rPr>
        <w:t>报告期内，深入研究应急管理信息化业务，发挥东方通自主的中间件技术优势，重点开发应急管理业务一张图产品，以</w:t>
      </w:r>
    </w:p>
    <w:p>
      <w:pPr>
        <w:pStyle w:val="BodyText"/>
        <w:spacing w:line="224" w:lineRule="exact"/>
        <w:ind w:right="0"/>
        <w:jc w:val="left"/>
      </w:pPr>
      <w:r>
        <w:rPr>
          <w:spacing w:val="-4"/>
        </w:rPr>
        <w:t>应急管理数据资源目录治理为核心服务内容，研究应急信息目录资源池和应急信息数据交换标准规范，建立预案</w:t>
      </w:r>
      <w:r>
        <w:rPr>
          <w:rFonts w:ascii="宋体" w:hAnsi="宋体" w:cs="宋体" w:eastAsia="宋体" w:hint="default"/>
          <w:spacing w:val="-4"/>
        </w:rPr>
        <w:t>/</w:t>
      </w:r>
      <w:r>
        <w:rPr>
          <w:spacing w:val="-4"/>
        </w:rPr>
        <w:t>案例</w:t>
      </w:r>
      <w:r>
        <w:rPr>
          <w:rFonts w:ascii="宋体" w:hAnsi="宋体" w:cs="宋体" w:eastAsia="宋体" w:hint="default"/>
          <w:spacing w:val="-4"/>
        </w:rPr>
        <w:t>/</w:t>
      </w:r>
      <w:r>
        <w:rPr>
          <w:spacing w:val="-4"/>
        </w:rPr>
        <w:t>知识</w:t>
      </w:r>
    </w:p>
    <w:p>
      <w:pPr>
        <w:pStyle w:val="BodyText"/>
        <w:spacing w:line="240" w:lineRule="auto" w:before="81"/>
        <w:ind w:right="0"/>
        <w:jc w:val="left"/>
      </w:pPr>
      <w:r>
        <w:rPr>
          <w:spacing w:val="-3"/>
        </w:rPr>
        <w:t>等专题库，为应急决策提供支持技术、开发“应急管理一张图”产品线，面向基层应急管理的应用产品等。</w:t>
      </w:r>
    </w:p>
    <w:p>
      <w:pPr>
        <w:pStyle w:val="BodyText"/>
        <w:spacing w:line="357" w:lineRule="auto" w:before="115"/>
        <w:ind w:left="513" w:right="1039"/>
        <w:jc w:val="left"/>
      </w:pPr>
      <w:r>
        <w:rPr/>
        <w:t>（</w:t>
      </w:r>
      <w:r>
        <w:rPr>
          <w:rFonts w:ascii="宋体" w:hAnsi="宋体" w:cs="宋体" w:eastAsia="宋体" w:hint="default"/>
        </w:rPr>
        <w:t>5</w:t>
      </w:r>
      <w:r>
        <w:rPr/>
        <w:t>）</w:t>
      </w:r>
      <w:r>
        <w:rPr>
          <w:rFonts w:ascii="宋体" w:hAnsi="宋体" w:cs="宋体" w:eastAsia="宋体" w:hint="default"/>
        </w:rPr>
        <w:t>5G</w:t>
      </w:r>
      <w:r>
        <w:rPr/>
        <w:t>业务方向</w:t>
      </w:r>
      <w:r>
        <w:rPr>
          <w:spacing w:val="-87"/>
        </w:rPr>
        <w:t> </w:t>
      </w:r>
      <w:r>
        <w:rPr>
          <w:spacing w:val="-87"/>
        </w:rPr>
      </w:r>
      <w:r>
        <w:rPr>
          <w:spacing w:val="-3"/>
        </w:rPr>
        <w:t>我国已明确提出将在</w:t>
      </w:r>
      <w:r>
        <w:rPr>
          <w:rFonts w:ascii="宋体" w:hAnsi="宋体" w:cs="宋体" w:eastAsia="宋体" w:hint="default"/>
          <w:spacing w:val="-3"/>
        </w:rPr>
        <w:t>2020</w:t>
      </w:r>
      <w:r>
        <w:rPr>
          <w:spacing w:val="-3"/>
        </w:rPr>
        <w:t>年实现</w:t>
      </w:r>
      <w:r>
        <w:rPr>
          <w:rFonts w:ascii="宋体" w:hAnsi="宋体" w:cs="宋体" w:eastAsia="宋体" w:hint="default"/>
          <w:spacing w:val="-3"/>
        </w:rPr>
        <w:t>5G</w:t>
      </w:r>
      <w:r>
        <w:rPr>
          <w:spacing w:val="-3"/>
        </w:rPr>
        <w:t>全面商用服务。</w:t>
      </w:r>
      <w:r>
        <w:rPr>
          <w:rFonts w:ascii="宋体" w:hAnsi="宋体" w:cs="宋体" w:eastAsia="宋体" w:hint="default"/>
          <w:spacing w:val="-3"/>
        </w:rPr>
        <w:t>2019</w:t>
      </w:r>
      <w:r>
        <w:rPr>
          <w:spacing w:val="-3"/>
        </w:rPr>
        <w:t>年已经完成</w:t>
      </w:r>
      <w:r>
        <w:rPr>
          <w:rFonts w:ascii="宋体" w:hAnsi="宋体" w:cs="宋体" w:eastAsia="宋体" w:hint="default"/>
          <w:spacing w:val="-3"/>
        </w:rPr>
        <w:t>5G</w:t>
      </w:r>
      <w:r>
        <w:rPr>
          <w:spacing w:val="-3"/>
        </w:rPr>
        <w:t>商用牌照颁发，标志着</w:t>
      </w:r>
      <w:r>
        <w:rPr>
          <w:rFonts w:ascii="宋体" w:hAnsi="宋体" w:cs="宋体" w:eastAsia="宋体" w:hint="default"/>
          <w:spacing w:val="-3"/>
        </w:rPr>
        <w:t>5G</w:t>
      </w:r>
      <w:r>
        <w:rPr>
          <w:spacing w:val="-3"/>
        </w:rPr>
        <w:t>网络建设元年的到来。</w:t>
      </w:r>
      <w:r>
        <w:rPr>
          <w:spacing w:val="79"/>
        </w:rPr>
        <w:t> </w:t>
      </w:r>
      <w:r>
        <w:rPr>
          <w:spacing w:val="79"/>
        </w:rPr>
      </w:r>
      <w:r>
        <w:rPr>
          <w:rFonts w:ascii="宋体" w:hAnsi="宋体" w:cs="宋体" w:eastAsia="宋体" w:hint="default"/>
        </w:rPr>
        <w:t>1</w:t>
      </w:r>
      <w:r>
        <w:rPr/>
        <w:t>）</w:t>
      </w:r>
      <w:r>
        <w:rPr>
          <w:rFonts w:ascii="宋体" w:hAnsi="宋体" w:cs="宋体" w:eastAsia="宋体" w:hint="default"/>
        </w:rPr>
        <w:t>5G</w:t>
      </w:r>
      <w:r>
        <w:rPr/>
        <w:t>路测（无线网络优化）</w:t>
      </w:r>
      <w:r>
        <w:rPr>
          <w:spacing w:val="-85"/>
        </w:rPr>
        <w:t> </w:t>
      </w:r>
      <w:r>
        <w:rPr>
          <w:spacing w:val="-85"/>
        </w:rPr>
      </w:r>
      <w:r>
        <w:rPr>
          <w:spacing w:val="-3"/>
        </w:rPr>
        <w:t>报告期内，立足于公司优势资源，在网优路测仪表领域不断突破创新。完成</w:t>
      </w:r>
      <w:r>
        <w:rPr>
          <w:rFonts w:ascii="宋体" w:hAnsi="宋体" w:cs="宋体" w:eastAsia="宋体" w:hint="default"/>
          <w:spacing w:val="-3"/>
        </w:rPr>
        <w:t>CDS</w:t>
      </w:r>
      <w:r>
        <w:rPr>
          <w:spacing w:val="-3"/>
        </w:rPr>
        <w:t>路测软件中</w:t>
      </w:r>
      <w:r>
        <w:rPr>
          <w:rFonts w:ascii="宋体" w:hAnsi="宋体" w:cs="宋体" w:eastAsia="宋体" w:hint="default"/>
          <w:spacing w:val="-3"/>
        </w:rPr>
        <w:t>5G </w:t>
      </w:r>
      <w:r>
        <w:rPr>
          <w:rFonts w:ascii="宋体" w:hAnsi="宋体" w:cs="宋体" w:eastAsia="宋体" w:hint="default"/>
          <w:spacing w:val="70"/>
        </w:rPr>
        <w:t> </w:t>
      </w:r>
      <w:r>
        <w:rPr>
          <w:rFonts w:ascii="宋体" w:hAnsi="宋体" w:cs="宋体" w:eastAsia="宋体" w:hint="default"/>
          <w:spacing w:val="-3"/>
        </w:rPr>
        <w:t>NR</w:t>
      </w:r>
      <w:r>
        <w:rPr>
          <w:spacing w:val="-3"/>
        </w:rPr>
        <w:t>功能模块的开发工作，</w:t>
      </w:r>
    </w:p>
    <w:p>
      <w:pPr>
        <w:pStyle w:val="BodyText"/>
        <w:spacing w:line="224" w:lineRule="exact"/>
        <w:ind w:right="0"/>
        <w:jc w:val="left"/>
      </w:pPr>
      <w:r>
        <w:rPr>
          <w:spacing w:val="-4"/>
        </w:rPr>
        <w:t>于</w:t>
      </w:r>
      <w:r>
        <w:rPr>
          <w:rFonts w:ascii="宋体" w:hAnsi="宋体" w:cs="宋体" w:eastAsia="宋体" w:hint="default"/>
          <w:spacing w:val="-4"/>
        </w:rPr>
        <w:t>2019</w:t>
      </w:r>
      <w:r>
        <w:rPr>
          <w:spacing w:val="-4"/>
        </w:rPr>
        <w:t>年第二季度推出</w:t>
      </w:r>
      <w:r>
        <w:rPr>
          <w:rFonts w:ascii="宋体" w:hAnsi="宋体" w:cs="宋体" w:eastAsia="宋体" w:hint="default"/>
          <w:spacing w:val="-4"/>
        </w:rPr>
        <w:t>CDS8.0</w:t>
      </w:r>
      <w:r>
        <w:rPr>
          <w:spacing w:val="-4"/>
        </w:rPr>
        <w:t>版本，开始正式投放市场，在各大运营商及设备厂商实验网中广泛使用。后续根据技术演进方</w:t>
      </w:r>
    </w:p>
    <w:p>
      <w:pPr>
        <w:pStyle w:val="BodyText"/>
        <w:spacing w:line="319" w:lineRule="auto" w:before="76"/>
        <w:ind w:right="1036"/>
        <w:jc w:val="left"/>
      </w:pPr>
      <w:r>
        <w:rPr>
          <w:spacing w:val="-3"/>
        </w:rPr>
        <w:t>向及运营商需求不断改进和完善功能，下半年推出</w:t>
      </w:r>
      <w:r>
        <w:rPr>
          <w:rFonts w:ascii="宋体" w:hAnsi="宋体" w:cs="宋体" w:eastAsia="宋体" w:hint="default"/>
          <w:spacing w:val="-3"/>
        </w:rPr>
        <w:t>CDS8.1</w:t>
      </w:r>
      <w:r>
        <w:rPr>
          <w:spacing w:val="-3"/>
        </w:rPr>
        <w:t>版本，已经具备</w:t>
      </w:r>
      <w:r>
        <w:rPr>
          <w:rFonts w:ascii="宋体" w:hAnsi="宋体" w:cs="宋体" w:eastAsia="宋体" w:hint="default"/>
          <w:spacing w:val="-3"/>
        </w:rPr>
        <w:t>5G</w:t>
      </w:r>
      <w:r>
        <w:rPr>
          <w:spacing w:val="-3"/>
        </w:rPr>
        <w:t>网络</w:t>
      </w:r>
      <w:r>
        <w:rPr>
          <w:rFonts w:ascii="宋体" w:hAnsi="宋体" w:cs="宋体" w:eastAsia="宋体" w:hint="default"/>
          <w:spacing w:val="-3"/>
        </w:rPr>
        <w:t>NSA</w:t>
      </w:r>
      <w:r>
        <w:rPr>
          <w:spacing w:val="-3"/>
        </w:rPr>
        <w:t>和</w:t>
      </w:r>
      <w:r>
        <w:rPr>
          <w:rFonts w:ascii="宋体" w:hAnsi="宋体" w:cs="宋体" w:eastAsia="宋体" w:hint="default"/>
          <w:spacing w:val="-3"/>
        </w:rPr>
        <w:t>SA</w:t>
      </w:r>
      <w:r>
        <w:rPr>
          <w:spacing w:val="-3"/>
        </w:rPr>
        <w:t>两种组网方式下的测试及分析的能</w:t>
      </w:r>
      <w:r>
        <w:rPr>
          <w:spacing w:val="-1"/>
        </w:rPr>
        <w:t> </w:t>
      </w:r>
      <w:r>
        <w:rPr>
          <w:spacing w:val="-1"/>
        </w:rPr>
      </w:r>
      <w:r>
        <w:rPr>
          <w:spacing w:val="-3"/>
        </w:rPr>
        <w:t>力，同时向前兼容</w:t>
      </w:r>
      <w:r>
        <w:rPr>
          <w:rFonts w:ascii="宋体" w:hAnsi="宋体" w:cs="宋体" w:eastAsia="宋体" w:hint="default"/>
          <w:spacing w:val="-3"/>
        </w:rPr>
        <w:t>2G/3G/4G/NB-IoT</w:t>
      </w:r>
      <w:r>
        <w:rPr>
          <w:spacing w:val="-3"/>
        </w:rPr>
        <w:t>网络，实现一套软件测试目前所有无线通信网络的目的。软件支持目前的主流的高通和</w:t>
      </w:r>
      <w:r>
        <w:rPr>
          <w:spacing w:val="3"/>
        </w:rPr>
        <w:t> </w:t>
      </w:r>
      <w:r>
        <w:rPr>
          <w:spacing w:val="3"/>
        </w:rPr>
      </w:r>
      <w:r>
        <w:rPr/>
        <w:t>海思芯片、支持主流终端厂商的众多终端机型，如华为</w:t>
      </w:r>
      <w:r>
        <w:rPr>
          <w:rFonts w:ascii="宋体" w:hAnsi="宋体" w:cs="宋体" w:eastAsia="宋体" w:hint="default"/>
        </w:rPr>
        <w:t>Mate20X</w:t>
      </w:r>
      <w:r>
        <w:rPr/>
        <w:t>、</w:t>
      </w:r>
      <w:r>
        <w:rPr>
          <w:rFonts w:ascii="宋体" w:hAnsi="宋体" w:cs="宋体" w:eastAsia="宋体" w:hint="default"/>
        </w:rPr>
        <w:t>Mate30</w:t>
      </w:r>
      <w:r>
        <w:rPr/>
        <w:t>、</w:t>
      </w:r>
      <w:r>
        <w:rPr>
          <w:rFonts w:ascii="宋体" w:hAnsi="宋体" w:cs="宋体" w:eastAsia="宋体" w:hint="default"/>
        </w:rPr>
        <w:t>Mate30Pro</w:t>
      </w:r>
      <w:r>
        <w:rPr/>
        <w:t>、小米</w:t>
      </w:r>
      <w:r>
        <w:rPr>
          <w:rFonts w:ascii="宋体" w:hAnsi="宋体" w:cs="宋体" w:eastAsia="宋体" w:hint="default"/>
        </w:rPr>
        <w:t>9Pro</w:t>
      </w:r>
      <w:r>
        <w:rPr/>
        <w:t>、</w:t>
      </w:r>
      <w:r>
        <w:rPr>
          <w:rFonts w:ascii="宋体" w:hAnsi="宋体" w:cs="宋体" w:eastAsia="宋体" w:hint="default"/>
        </w:rPr>
        <w:t>OPPO Reno</w:t>
      </w:r>
      <w:r>
        <w:rPr/>
        <w:t>、</w:t>
      </w:r>
      <w:r>
        <w:rPr>
          <w:rFonts w:ascii="宋体" w:hAnsi="宋体" w:cs="宋体" w:eastAsia="宋体" w:hint="default"/>
        </w:rPr>
        <w:t>VIVO</w:t>
      </w:r>
      <w:r>
        <w:rPr>
          <w:rFonts w:ascii="宋体" w:hAnsi="宋体" w:cs="宋体" w:eastAsia="宋体" w:hint="default"/>
          <w:spacing w:val="-7"/>
        </w:rPr>
        <w:t> </w:t>
      </w:r>
      <w:r>
        <w:rPr>
          <w:rFonts w:ascii="宋体" w:hAnsi="宋体" w:cs="宋体" w:eastAsia="宋体" w:hint="default"/>
        </w:rPr>
        <w:t>NEX3</w:t>
      </w:r>
      <w:r>
        <w:rPr/>
        <w:t>、</w:t>
      </w:r>
      <w:r>
        <w:rPr>
          <w:w w:val="101"/>
        </w:rPr>
        <w:t> </w:t>
      </w:r>
      <w:r>
        <w:rPr/>
        <w:t>中兴</w:t>
      </w:r>
      <w:r>
        <w:rPr>
          <w:rFonts w:ascii="宋体" w:hAnsi="宋体" w:cs="宋体" w:eastAsia="宋体" w:hint="default"/>
        </w:rPr>
        <w:t>Axon</w:t>
      </w:r>
      <w:r>
        <w:rPr>
          <w:rFonts w:ascii="宋体" w:hAnsi="宋体" w:cs="宋体" w:eastAsia="宋体" w:hint="default"/>
          <w:spacing w:val="18"/>
        </w:rPr>
        <w:t> </w:t>
      </w:r>
      <w:r>
        <w:rPr>
          <w:rFonts w:ascii="宋体" w:hAnsi="宋体" w:cs="宋体" w:eastAsia="宋体" w:hint="default"/>
        </w:rPr>
        <w:t>10Pro</w:t>
      </w:r>
      <w:r>
        <w:rPr/>
        <w:t>等。</w:t>
      </w:r>
      <w:r>
        <w:rPr>
          <w:rFonts w:ascii="宋体" w:hAnsi="宋体" w:cs="宋体" w:eastAsia="宋体" w:hint="default"/>
        </w:rPr>
        <w:t>CDS8.1</w:t>
      </w:r>
      <w:r>
        <w:rPr/>
        <w:t>新增</w:t>
      </w:r>
      <w:r>
        <w:rPr>
          <w:rFonts w:ascii="宋体" w:hAnsi="宋体" w:cs="宋体" w:eastAsia="宋体" w:hint="default"/>
        </w:rPr>
        <w:t>5G</w:t>
      </w:r>
      <w:r>
        <w:rPr>
          <w:rFonts w:ascii="宋体" w:hAnsi="宋体" w:cs="宋体" w:eastAsia="宋体" w:hint="default"/>
          <w:spacing w:val="25"/>
        </w:rPr>
        <w:t> </w:t>
      </w:r>
      <w:r>
        <w:rPr>
          <w:rFonts w:ascii="宋体" w:hAnsi="宋体" w:cs="宋体" w:eastAsia="宋体" w:hint="default"/>
          <w:spacing w:val="-3"/>
        </w:rPr>
        <w:t>NR</w:t>
      </w:r>
      <w:r>
        <w:rPr>
          <w:spacing w:val="-3"/>
        </w:rPr>
        <w:t>扫频功能，如</w:t>
      </w:r>
      <w:r>
        <w:rPr>
          <w:rFonts w:ascii="宋体" w:hAnsi="宋体" w:cs="宋体" w:eastAsia="宋体" w:hint="default"/>
          <w:spacing w:val="-3"/>
        </w:rPr>
        <w:t>TopN</w:t>
      </w:r>
      <w:r>
        <w:rPr>
          <w:spacing w:val="-3"/>
        </w:rPr>
        <w:t>扫描、频谱扫描、连续波扫描等等，目前支持</w:t>
      </w:r>
      <w:r>
        <w:rPr>
          <w:rFonts w:ascii="宋体" w:hAnsi="宋体" w:cs="宋体" w:eastAsia="宋体" w:hint="default"/>
          <w:spacing w:val="-3"/>
        </w:rPr>
        <w:t>PCTEL</w:t>
      </w:r>
      <w:r>
        <w:rPr>
          <w:rFonts w:ascii="宋体" w:hAnsi="宋体" w:cs="宋体" w:eastAsia="宋体" w:hint="default"/>
          <w:spacing w:val="18"/>
        </w:rPr>
        <w:t> </w:t>
      </w:r>
      <w:r>
        <w:rPr>
          <w:rFonts w:ascii="宋体" w:hAnsi="宋体" w:cs="宋体" w:eastAsia="宋体" w:hint="default"/>
        </w:rPr>
        <w:t>IBfex</w:t>
      </w:r>
      <w:r>
        <w:rPr>
          <w:rFonts w:ascii="宋体" w:hAnsi="宋体" w:cs="宋体" w:eastAsia="宋体" w:hint="default"/>
          <w:spacing w:val="25"/>
        </w:rPr>
        <w:t> </w:t>
      </w:r>
      <w:r>
        <w:rPr>
          <w:rFonts w:ascii="宋体" w:hAnsi="宋体" w:cs="宋体" w:eastAsia="宋体" w:hint="default"/>
          <w:spacing w:val="-4"/>
        </w:rPr>
        <w:t>5G</w:t>
      </w:r>
      <w:r>
        <w:rPr>
          <w:spacing w:val="-4"/>
        </w:rPr>
        <w:t>扫频</w:t>
      </w:r>
      <w:r>
        <w:rPr>
          <w:spacing w:val="-59"/>
        </w:rPr>
        <w:t> </w:t>
      </w:r>
      <w:r>
        <w:rPr>
          <w:spacing w:val="-4"/>
        </w:rPr>
        <w:t>仪，同时正在适配更多厂家的扫频仪设备。</w:t>
      </w:r>
      <w:r>
        <w:rPr>
          <w:rFonts w:ascii="宋体" w:hAnsi="宋体" w:cs="宋体" w:eastAsia="宋体" w:hint="default"/>
          <w:spacing w:val="-4"/>
        </w:rPr>
        <w:t>CDS8.1</w:t>
      </w:r>
      <w:r>
        <w:rPr>
          <w:spacing w:val="-4"/>
        </w:rPr>
        <w:t>路测仪表能够对</w:t>
      </w:r>
      <w:r>
        <w:rPr>
          <w:rFonts w:ascii="宋体" w:hAnsi="宋体" w:cs="宋体" w:eastAsia="宋体" w:hint="default"/>
          <w:spacing w:val="-4"/>
        </w:rPr>
        <w:t>5G</w:t>
      </w:r>
      <w:r>
        <w:rPr>
          <w:spacing w:val="-4"/>
        </w:rPr>
        <w:t>的信令、事件、参数等进行正确解析，能够有效测评网</w:t>
      </w:r>
      <w:r>
        <w:rPr>
          <w:spacing w:val="56"/>
        </w:rPr>
        <w:t> </w:t>
      </w:r>
      <w:r>
        <w:rPr>
          <w:spacing w:val="56"/>
        </w:rPr>
      </w:r>
      <w:r>
        <w:rPr>
          <w:spacing w:val="-6"/>
        </w:rPr>
        <w:t>络状况。同时数据通过仪表自带的后分析功能能够准确定位网络问题，并出具相应的分析结果。仪表集网络数据采集、存储、</w:t>
      </w:r>
      <w:r>
        <w:rPr>
          <w:spacing w:val="61"/>
        </w:rPr>
        <w:t> </w:t>
      </w:r>
      <w:r>
        <w:rPr>
          <w:spacing w:val="61"/>
        </w:rPr>
      </w:r>
      <w:r>
        <w:rPr>
          <w:spacing w:val="-6"/>
        </w:rPr>
        <w:t>分析、定位、报告等众多功能于一身，适用于网络评估、网络优化、单站验证、投诉处理、故障处理、室内优化等多种场景。</w:t>
      </w:r>
      <w:r>
        <w:rPr>
          <w:spacing w:val="57"/>
        </w:rPr>
        <w:t> </w:t>
      </w:r>
      <w:r>
        <w:rPr>
          <w:spacing w:val="57"/>
        </w:rPr>
      </w:r>
      <w:r>
        <w:rPr>
          <w:spacing w:val="-4"/>
        </w:rPr>
        <w:t>另外在原有分析模块中增加专项分析模块，针对运营商专项优化工作定制开发，有效提升软件分析能力及在网络优化中的实</w:t>
      </w:r>
      <w:r>
        <w:rPr>
          <w:spacing w:val="43"/>
        </w:rPr>
        <w:t> </w:t>
      </w:r>
      <w:r>
        <w:rPr>
          <w:spacing w:val="43"/>
        </w:rPr>
      </w:r>
      <w:r>
        <w:rPr>
          <w:spacing w:val="-3"/>
        </w:rPr>
        <w:t>用性，受到用户的广泛好评。</w:t>
      </w:r>
    </w:p>
    <w:p>
      <w:pPr>
        <w:pStyle w:val="BodyText"/>
        <w:spacing w:line="357" w:lineRule="auto" w:before="56"/>
        <w:ind w:left="513" w:right="0"/>
        <w:jc w:val="left"/>
      </w:pPr>
      <w:r>
        <w:rPr>
          <w:rFonts w:ascii="宋体" w:hAnsi="宋体" w:cs="宋体" w:eastAsia="宋体" w:hint="default"/>
        </w:rPr>
        <w:t>2</w:t>
      </w:r>
      <w:r>
        <w:rPr/>
        <w:t>）</w:t>
      </w:r>
      <w:r>
        <w:rPr>
          <w:rFonts w:ascii="宋体" w:hAnsi="宋体" w:cs="宋体" w:eastAsia="宋体" w:hint="default"/>
        </w:rPr>
        <w:t>5G DPI</w:t>
      </w:r>
      <w:r>
        <w:rPr/>
        <w:t>（信令采集监测）</w:t>
      </w:r>
      <w:r>
        <w:rPr>
          <w:spacing w:val="-86"/>
        </w:rPr>
        <w:t> </w:t>
      </w:r>
      <w:r>
        <w:rPr>
          <w:spacing w:val="-86"/>
        </w:rPr>
      </w:r>
      <w:r>
        <w:rPr>
          <w:spacing w:val="-3"/>
        </w:rPr>
        <w:t>随着</w:t>
      </w:r>
      <w:r>
        <w:rPr>
          <w:rFonts w:ascii="宋体" w:hAnsi="宋体" w:cs="宋体" w:eastAsia="宋体" w:hint="default"/>
          <w:spacing w:val="-3"/>
        </w:rPr>
        <w:t>5G</w:t>
      </w:r>
      <w:r>
        <w:rPr>
          <w:spacing w:val="-3"/>
        </w:rPr>
        <w:t>牌照的正式发放，</w:t>
      </w:r>
      <w:r>
        <w:rPr>
          <w:rFonts w:ascii="宋体" w:hAnsi="宋体" w:cs="宋体" w:eastAsia="宋体" w:hint="default"/>
          <w:spacing w:val="-3"/>
        </w:rPr>
        <w:t>2019</w:t>
      </w:r>
      <w:r>
        <w:rPr>
          <w:spacing w:val="-3"/>
        </w:rPr>
        <w:t>年的</w:t>
      </w:r>
      <w:r>
        <w:rPr>
          <w:rFonts w:ascii="宋体" w:hAnsi="宋体" w:cs="宋体" w:eastAsia="宋体" w:hint="default"/>
          <w:spacing w:val="-3"/>
        </w:rPr>
        <w:t>5G</w:t>
      </w:r>
      <w:r>
        <w:rPr>
          <w:spacing w:val="-3"/>
        </w:rPr>
        <w:t>建设业务进入高速发展阶段，在陆续完成混合组网模式（</w:t>
      </w:r>
      <w:r>
        <w:rPr>
          <w:rFonts w:ascii="宋体" w:hAnsi="宋体" w:cs="宋体" w:eastAsia="宋体" w:hint="default"/>
          <w:spacing w:val="-3"/>
        </w:rPr>
        <w:t>NSA</w:t>
      </w:r>
      <w:r>
        <w:rPr>
          <w:spacing w:val="-3"/>
        </w:rPr>
        <w:t>）的商用后，各家运</w:t>
      </w:r>
    </w:p>
    <w:p>
      <w:pPr>
        <w:pStyle w:val="BodyText"/>
        <w:spacing w:line="224" w:lineRule="exact"/>
        <w:ind w:right="0"/>
        <w:jc w:val="left"/>
      </w:pPr>
      <w:r>
        <w:rPr>
          <w:spacing w:val="-4"/>
        </w:rPr>
        <w:t>营商陆续开始针对独立组网（</w:t>
      </w:r>
      <w:r>
        <w:rPr>
          <w:rFonts w:ascii="宋体" w:hAnsi="宋体" w:cs="宋体" w:eastAsia="宋体" w:hint="default"/>
          <w:spacing w:val="-4"/>
        </w:rPr>
        <w:t>SA</w:t>
      </w:r>
      <w:r>
        <w:rPr>
          <w:spacing w:val="-4"/>
        </w:rPr>
        <w:t>）的建设阶段。随着电信业务</w:t>
      </w:r>
      <w:r>
        <w:rPr>
          <w:rFonts w:ascii="宋体" w:hAnsi="宋体" w:cs="宋体" w:eastAsia="宋体" w:hint="default"/>
          <w:spacing w:val="-4"/>
        </w:rPr>
        <w:t>IP</w:t>
      </w:r>
      <w:r>
        <w:rPr>
          <w:spacing w:val="-4"/>
        </w:rPr>
        <w:t>化和统计复用在降低成本的同时也为业务识别等方面带来挑</w:t>
      </w:r>
    </w:p>
    <w:p>
      <w:pPr>
        <w:pStyle w:val="BodyText"/>
        <w:spacing w:line="319" w:lineRule="auto" w:before="76"/>
        <w:ind w:right="0"/>
        <w:jc w:val="left"/>
      </w:pPr>
      <w:r>
        <w:rPr>
          <w:spacing w:val="-3"/>
        </w:rPr>
        <w:t>战，</w:t>
      </w:r>
      <w:r>
        <w:rPr>
          <w:rFonts w:ascii="宋体" w:hAnsi="宋体" w:cs="宋体" w:eastAsia="宋体" w:hint="default"/>
          <w:spacing w:val="-3"/>
        </w:rPr>
        <w:t>DPI</w:t>
      </w:r>
      <w:r>
        <w:rPr>
          <w:spacing w:val="-3"/>
        </w:rPr>
        <w:t>通过分析网络中数据包的深度特征值和协议行为可以识别出数据属性和业务类型，进而对网络中不同业务流进行区</w:t>
      </w:r>
      <w:r>
        <w:rPr>
          <w:spacing w:val="73"/>
        </w:rPr>
        <w:t> </w:t>
      </w:r>
      <w:r>
        <w:rPr>
          <w:spacing w:val="73"/>
        </w:rPr>
      </w:r>
      <w:r>
        <w:rPr>
          <w:spacing w:val="-4"/>
        </w:rPr>
        <w:t>分。</w:t>
      </w:r>
      <w:r>
        <w:rPr>
          <w:rFonts w:ascii="宋体" w:hAnsi="宋体" w:cs="宋体" w:eastAsia="宋体" w:hint="default"/>
          <w:spacing w:val="-4"/>
        </w:rPr>
        <w:t>DPI</w:t>
      </w:r>
      <w:r>
        <w:rPr>
          <w:spacing w:val="-4"/>
        </w:rPr>
        <w:t>解析组件主要包括业务特征库和</w:t>
      </w:r>
      <w:r>
        <w:rPr>
          <w:rFonts w:ascii="宋体" w:hAnsi="宋体" w:cs="宋体" w:eastAsia="宋体" w:hint="default"/>
          <w:spacing w:val="-4"/>
        </w:rPr>
        <w:t>DPI</w:t>
      </w:r>
      <w:r>
        <w:rPr>
          <w:spacing w:val="-4"/>
        </w:rPr>
        <w:t>引擎，当业务数据流经过</w:t>
      </w:r>
      <w:r>
        <w:rPr>
          <w:rFonts w:ascii="宋体" w:hAnsi="宋体" w:cs="宋体" w:eastAsia="宋体" w:hint="default"/>
          <w:spacing w:val="-4"/>
        </w:rPr>
        <w:t>DPI</w:t>
      </w:r>
      <w:r>
        <w:rPr>
          <w:spacing w:val="-4"/>
        </w:rPr>
        <w:t>引擎模块时对其进行特征匹配处理。基于业务识别，</w:t>
      </w:r>
      <w:r>
        <w:rPr>
          <w:spacing w:val="64"/>
        </w:rPr>
        <w:t> </w:t>
      </w:r>
      <w:r>
        <w:rPr>
          <w:spacing w:val="64"/>
        </w:rPr>
      </w:r>
      <w:r>
        <w:rPr>
          <w:spacing w:val="-4"/>
        </w:rPr>
        <w:t>移动运营商可实现对不同业务的差异化调度，提高每比特的业务收入，并优先保证关键业务的用户感知。根据各家运营商的</w:t>
      </w:r>
      <w:r>
        <w:rPr>
          <w:spacing w:val="43"/>
        </w:rPr>
        <w:t> </w:t>
      </w:r>
      <w:r>
        <w:rPr>
          <w:spacing w:val="43"/>
        </w:rPr>
      </w:r>
      <w:r>
        <w:rPr>
          <w:spacing w:val="-3"/>
        </w:rPr>
        <w:t>核心网组网模式，</w:t>
      </w:r>
      <w:r>
        <w:rPr>
          <w:rFonts w:ascii="宋体" w:hAnsi="宋体" w:cs="宋体" w:eastAsia="宋体" w:hint="default"/>
          <w:spacing w:val="-3"/>
        </w:rPr>
        <w:t>DPI</w:t>
      </w:r>
      <w:r>
        <w:rPr>
          <w:spacing w:val="-3"/>
        </w:rPr>
        <w:t>产品提供了多种部署方式，并且满足全部信令面和用户面的数据采集和解析功能，该产品能够满足基</w:t>
      </w:r>
      <w:r>
        <w:rPr>
          <w:spacing w:val="72"/>
        </w:rPr>
        <w:t> </w:t>
      </w:r>
      <w:r>
        <w:rPr>
          <w:spacing w:val="72"/>
        </w:rPr>
      </w:r>
      <w:r>
        <w:rPr>
          <w:spacing w:val="-3"/>
        </w:rPr>
        <w:t>础电信运营商在</w:t>
      </w:r>
      <w:r>
        <w:rPr>
          <w:rFonts w:ascii="宋体" w:hAnsi="宋体" w:cs="宋体" w:eastAsia="宋体" w:hint="default"/>
          <w:spacing w:val="-3"/>
        </w:rPr>
        <w:t>5G</w:t>
      </w:r>
      <w:r>
        <w:rPr>
          <w:spacing w:val="-3"/>
        </w:rPr>
        <w:t>安全、</w:t>
      </w:r>
      <w:r>
        <w:rPr>
          <w:rFonts w:ascii="宋体" w:hAnsi="宋体" w:cs="宋体" w:eastAsia="宋体" w:hint="default"/>
          <w:spacing w:val="-3"/>
        </w:rPr>
        <w:t>5G</w:t>
      </w:r>
      <w:r>
        <w:rPr>
          <w:spacing w:val="-3"/>
        </w:rPr>
        <w:t>网络优化、业务运营分析等方面的需求。</w:t>
      </w:r>
    </w:p>
    <w:p>
      <w:pPr>
        <w:spacing w:after="0" w:line="319"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52" w:lineRule="auto" w:before="46"/>
        <w:ind w:left="513" w:right="0"/>
        <w:jc w:val="left"/>
      </w:pPr>
      <w:r>
        <w:rPr/>
        <w:t>（</w:t>
      </w:r>
      <w:r>
        <w:rPr>
          <w:rFonts w:ascii="宋体" w:hAnsi="宋体" w:cs="宋体" w:eastAsia="宋体" w:hint="default"/>
        </w:rPr>
        <w:t>6</w:t>
      </w:r>
      <w:r>
        <w:rPr/>
        <w:t>）工业互联网安全</w:t>
      </w:r>
      <w:r>
        <w:rPr>
          <w:spacing w:val="-88"/>
        </w:rPr>
        <w:t> </w:t>
      </w:r>
      <w:r>
        <w:rPr>
          <w:spacing w:val="-88"/>
        </w:rPr>
      </w:r>
      <w:r>
        <w:rPr>
          <w:spacing w:val="-3"/>
        </w:rPr>
        <w:t>国务院于</w:t>
      </w: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27</w:t>
      </w:r>
      <w:r>
        <w:rPr>
          <w:spacing w:val="-3"/>
        </w:rPr>
        <w:t>发布《关于深化“互联网</w:t>
      </w:r>
      <w:r>
        <w:rPr>
          <w:rFonts w:ascii="宋体" w:hAnsi="宋体" w:cs="宋体" w:eastAsia="宋体" w:hint="default"/>
          <w:spacing w:val="-3"/>
        </w:rPr>
        <w:t>+</w:t>
      </w:r>
      <w:r>
        <w:rPr>
          <w:spacing w:val="-3"/>
        </w:rPr>
        <w:t>先进制造业”发展工业互联网的指导意见》，进一步作出建设和发展</w:t>
      </w:r>
    </w:p>
    <w:p>
      <w:pPr>
        <w:pStyle w:val="BodyText"/>
        <w:spacing w:line="324" w:lineRule="auto"/>
        <w:ind w:right="0"/>
        <w:jc w:val="left"/>
      </w:pPr>
      <w:r>
        <w:rPr>
          <w:spacing w:val="-4"/>
        </w:rPr>
        <w:t>工业互联网的战略部署，安全体系是工业互联网发展的前提和保障。在工业互联网安全领域，公司结合已有技术储备，重点</w:t>
      </w:r>
      <w:r>
        <w:rPr>
          <w:spacing w:val="40"/>
        </w:rPr>
        <w:t> </w:t>
      </w:r>
      <w:r>
        <w:rPr>
          <w:spacing w:val="40"/>
        </w:rPr>
      </w:r>
      <w:r>
        <w:rPr>
          <w:spacing w:val="-3"/>
        </w:rPr>
        <w:t>关注工业互联网边缘计算敏感数据保护技术研发，产品已开始验证推广。</w:t>
      </w:r>
    </w:p>
    <w:p>
      <w:pPr>
        <w:pStyle w:val="BodyText"/>
        <w:spacing w:line="319" w:lineRule="auto" w:before="52"/>
        <w:ind w:right="1123" w:firstLine="360"/>
        <w:jc w:val="both"/>
      </w:pPr>
      <w:r>
        <w:rPr>
          <w:spacing w:val="-5"/>
        </w:rPr>
        <w:t>随着智能手机、平板电脑等移动设备的飞速发展，移动计算的应用范围不断扩大，提供的服务也更加广泛。用户接入的</w:t>
      </w:r>
      <w:r>
        <w:rPr>
          <w:w w:val="101"/>
        </w:rPr>
        <w:t> </w:t>
      </w:r>
      <w:r>
        <w:rPr>
          <w:spacing w:val="-5"/>
        </w:rPr>
        <w:t>地点、时间、设备、人员、网络环境不再受传统网络的限制。接入设备、接入地点、接入时间的灵活性可以为用户带来更加</w:t>
      </w:r>
      <w:r>
        <w:rPr>
          <w:spacing w:val="4"/>
        </w:rPr>
        <w:t> </w:t>
      </w:r>
      <w:r>
        <w:rPr>
          <w:spacing w:val="4"/>
        </w:rPr>
      </w:r>
      <w:r>
        <w:rPr>
          <w:spacing w:val="-3"/>
        </w:rPr>
        <w:t>便捷的用户体验，但同时也破坏了跨域网络的安全防护边界，为网络的可控性带来了挑战。</w:t>
      </w:r>
    </w:p>
    <w:p>
      <w:pPr>
        <w:pStyle w:val="BodyText"/>
        <w:spacing w:line="321" w:lineRule="auto" w:before="50"/>
        <w:ind w:right="1123" w:firstLine="360"/>
        <w:jc w:val="both"/>
      </w:pPr>
      <w:r>
        <w:rPr>
          <w:spacing w:val="-5"/>
        </w:rPr>
        <w:t>边缘计算是在靠近物或数据源头的网络边缘侧，构建融合网络、计算、存储、应用核心能力的分布式开放体系，通过边</w:t>
      </w:r>
      <w:r>
        <w:rPr>
          <w:w w:val="101"/>
        </w:rPr>
        <w:t> </w:t>
      </w:r>
      <w:r>
        <w:rPr>
          <w:spacing w:val="-4"/>
        </w:rPr>
        <w:t>缘计算能够“就近”提供边缘智能服务，满足工业在敏捷联接、实时业务、数据优化、应用智能、安全与隐私保护等方面的</w:t>
      </w:r>
      <w:r>
        <w:rPr>
          <w:spacing w:val="40"/>
        </w:rPr>
        <w:t> </w:t>
      </w:r>
      <w:r>
        <w:rPr>
          <w:spacing w:val="40"/>
        </w:rPr>
      </w:r>
      <w:r>
        <w:rPr>
          <w:spacing w:val="-3"/>
        </w:rPr>
        <w:t>关键需求。公司工业互联网边缘计算安全产品研发，主要聚焦以下方向：</w:t>
      </w:r>
    </w:p>
    <w:p>
      <w:pPr>
        <w:pStyle w:val="BodyText"/>
        <w:spacing w:line="357" w:lineRule="auto" w:before="53"/>
        <w:ind w:left="513" w:right="0"/>
        <w:jc w:val="left"/>
      </w:pPr>
      <w:r>
        <w:rPr>
          <w:rFonts w:ascii="宋体" w:hAnsi="宋体" w:cs="宋体" w:eastAsia="宋体" w:hint="default"/>
          <w:spacing w:val="-3"/>
        </w:rPr>
        <w:t>1)</w:t>
      </w:r>
      <w:r>
        <w:rPr>
          <w:spacing w:val="-3"/>
        </w:rPr>
        <w:t>跨域安全互联互通技术</w:t>
      </w:r>
      <w:r>
        <w:rPr>
          <w:spacing w:val="-53"/>
        </w:rPr>
        <w:t> </w:t>
      </w:r>
      <w:r>
        <w:rPr>
          <w:spacing w:val="-53"/>
        </w:rPr>
      </w:r>
      <w:r>
        <w:rPr>
          <w:spacing w:val="-4"/>
        </w:rPr>
        <w:t>针对用户和边缘计算设备端到端双向认证、群组认证和跨域认证需求，研究面向工业级且具有自主知识产权的安全通信</w:t>
      </w:r>
    </w:p>
    <w:p>
      <w:pPr>
        <w:pStyle w:val="BodyText"/>
        <w:spacing w:line="224" w:lineRule="exact"/>
        <w:ind w:right="0"/>
        <w:jc w:val="left"/>
      </w:pPr>
      <w:r>
        <w:rPr>
          <w:spacing w:val="-3"/>
        </w:rPr>
        <w:t>协议套件，实现跨域互联模型、安全隧道技术、并行报文技术、移动通信技术、域内路由技术、域间路由技术等关键技术，</w:t>
      </w:r>
    </w:p>
    <w:p>
      <w:pPr>
        <w:pStyle w:val="BodyText"/>
        <w:spacing w:line="357" w:lineRule="auto" w:before="82"/>
        <w:ind w:left="513" w:right="2475" w:hanging="360"/>
        <w:jc w:val="left"/>
      </w:pPr>
      <w:r>
        <w:rPr>
          <w:spacing w:val="-3"/>
        </w:rPr>
        <w:t>保证网络边缘设备、网络接入终端、网络用户的安全认证、可靠通信、高效传输。</w:t>
      </w:r>
      <w:r>
        <w:rPr>
          <w:spacing w:val="14"/>
        </w:rPr>
        <w:t> </w:t>
      </w:r>
      <w:r>
        <w:rPr>
          <w:spacing w:val="14"/>
        </w:rPr>
      </w:r>
      <w:r>
        <w:rPr>
          <w:rFonts w:ascii="宋体" w:hAnsi="宋体" w:cs="宋体" w:eastAsia="宋体" w:hint="default"/>
          <w:spacing w:val="-3"/>
        </w:rPr>
        <w:t>2)</w:t>
      </w:r>
      <w:r>
        <w:rPr>
          <w:spacing w:val="-3"/>
        </w:rPr>
        <w:t>边缘网络边界控制技术</w:t>
      </w:r>
    </w:p>
    <w:p>
      <w:pPr>
        <w:pStyle w:val="BodyText"/>
        <w:spacing w:line="319" w:lineRule="auto" w:before="22"/>
        <w:ind w:right="0" w:firstLine="360"/>
        <w:jc w:val="left"/>
      </w:pPr>
      <w:r>
        <w:rPr>
          <w:spacing w:val="-6"/>
        </w:rPr>
        <w:t>针对边缘计算的内容感知、实时计算、并行处理需求与边缘网络节点的网络防护、系统边界、内容审计、数据隐私矛盾，</w:t>
      </w:r>
      <w:r>
        <w:rPr>
          <w:w w:val="101"/>
        </w:rPr>
        <w:t> </w:t>
      </w:r>
      <w:r>
        <w:rPr>
          <w:spacing w:val="-4"/>
        </w:rPr>
        <w:t>研究基于软件定义网络、软件定义安全和安全定义边界方法论的边缘网络边界控制技术，通过网络功能虚拟化将传统安全功</w:t>
      </w:r>
      <w:r>
        <w:rPr>
          <w:spacing w:val="43"/>
        </w:rPr>
        <w:t> </w:t>
      </w:r>
      <w:r>
        <w:rPr>
          <w:spacing w:val="43"/>
        </w:rPr>
      </w:r>
      <w:r>
        <w:rPr>
          <w:spacing w:val="-3"/>
        </w:rPr>
        <w:t>能抽象为全局共享的服务与资源，重点研究软件定义技术、拓扑管理技术、状态同步技术、安全防护技术与边界控制技术，</w:t>
      </w:r>
      <w:r>
        <w:rPr>
          <w:spacing w:val="66"/>
        </w:rPr>
        <w:t> </w:t>
      </w:r>
      <w:r>
        <w:rPr>
          <w:spacing w:val="66"/>
        </w:rPr>
      </w:r>
      <w:r>
        <w:rPr>
          <w:spacing w:val="-3"/>
        </w:rPr>
        <w:t>实现安全功能集中控制和弹性扩展。</w:t>
      </w:r>
    </w:p>
    <w:p>
      <w:pPr>
        <w:pStyle w:val="BodyText"/>
        <w:spacing w:line="352" w:lineRule="auto" w:before="60"/>
        <w:ind w:left="513" w:right="0"/>
        <w:jc w:val="left"/>
      </w:pPr>
      <w:r>
        <w:rPr>
          <w:rFonts w:ascii="宋体" w:hAnsi="宋体" w:cs="宋体" w:eastAsia="宋体" w:hint="default"/>
          <w:spacing w:val="-3"/>
        </w:rPr>
        <w:t>3)</w:t>
      </w:r>
      <w:r>
        <w:rPr>
          <w:spacing w:val="-3"/>
        </w:rPr>
        <w:t>边缘安全资源调度技术</w:t>
      </w:r>
      <w:r>
        <w:rPr>
          <w:spacing w:val="-53"/>
        </w:rPr>
        <w:t> </w:t>
      </w:r>
      <w:r>
        <w:rPr>
          <w:spacing w:val="-53"/>
        </w:rPr>
      </w:r>
      <w:r>
        <w:rPr>
          <w:spacing w:val="-4"/>
        </w:rPr>
        <w:t>针对边缘网络节点的异构性、边缘网络服务的多样性和边缘网络链路的差异化特点，研究基于边缘计算和软件定义网络</w:t>
      </w:r>
    </w:p>
    <w:p>
      <w:pPr>
        <w:pStyle w:val="BodyText"/>
        <w:spacing w:line="321" w:lineRule="auto"/>
        <w:ind w:right="0"/>
        <w:jc w:val="left"/>
      </w:pPr>
      <w:r>
        <w:rPr>
          <w:spacing w:val="-3"/>
        </w:rPr>
        <w:t>的资源管理与调度技术、服务功能链技术、服务编排技术和任务调度技术，构建边缘计算网络的全网资源池、功能服务链、</w:t>
      </w:r>
      <w:r>
        <w:rPr>
          <w:spacing w:val="66"/>
        </w:rPr>
        <w:t> </w:t>
      </w:r>
      <w:r>
        <w:rPr>
          <w:spacing w:val="66"/>
        </w:rPr>
      </w:r>
      <w:r>
        <w:rPr>
          <w:spacing w:val="-6"/>
        </w:rPr>
        <w:t>业务生命周期等控制模型，优化多域网络资源的统一管理、动态调度、周期管理算法，实现轻量化安全资源管理和维护需求。</w:t>
      </w:r>
    </w:p>
    <w:p>
      <w:pPr>
        <w:pStyle w:val="BodyText"/>
        <w:spacing w:line="357" w:lineRule="auto" w:before="53"/>
        <w:ind w:left="513" w:right="0"/>
        <w:jc w:val="left"/>
      </w:pPr>
      <w:r>
        <w:rPr>
          <w:rFonts w:ascii="宋体" w:hAnsi="宋体" w:cs="宋体" w:eastAsia="宋体" w:hint="default"/>
          <w:spacing w:val="-3"/>
        </w:rPr>
        <w:t>4)</w:t>
      </w:r>
      <w:r>
        <w:rPr>
          <w:spacing w:val="-3"/>
        </w:rPr>
        <w:t>边缘敏感数据保护技术</w:t>
      </w:r>
      <w:r>
        <w:rPr>
          <w:spacing w:val="-53"/>
        </w:rPr>
        <w:t> </w:t>
      </w:r>
      <w:r>
        <w:rPr>
          <w:spacing w:val="-53"/>
        </w:rPr>
      </w:r>
      <w:r>
        <w:rPr>
          <w:spacing w:val="-4"/>
        </w:rPr>
        <w:t>针对抵御终端侧非授权侵入、流量拦截攻击、敏感信息窃取等数据安全威胁的迫切需求，研究基于大数据和人工智能技</w:t>
      </w:r>
    </w:p>
    <w:p>
      <w:pPr>
        <w:pStyle w:val="BodyText"/>
        <w:spacing w:line="224" w:lineRule="exact"/>
        <w:ind w:right="0"/>
        <w:jc w:val="left"/>
      </w:pPr>
      <w:r>
        <w:rPr>
          <w:spacing w:val="-4"/>
        </w:rPr>
        <w:t>术的边缘敏感数据保护技术，重点突破其中跨域内容细粒度管控技术、跨域网络系统攻击隔离技术和跨域网络态势统一监控</w:t>
      </w:r>
    </w:p>
    <w:p>
      <w:pPr>
        <w:pStyle w:val="BodyText"/>
        <w:spacing w:line="357" w:lineRule="auto" w:before="81"/>
        <w:ind w:left="513" w:right="2475" w:hanging="360"/>
        <w:jc w:val="left"/>
      </w:pPr>
      <w:r>
        <w:rPr>
          <w:spacing w:val="-3"/>
        </w:rPr>
        <w:t>技术，实现边缘敏感数据的识别、监控、跟踪、审计、预警和保护手段的分析和决策。</w:t>
      </w:r>
      <w:r>
        <w:rPr>
          <w:spacing w:val="20"/>
        </w:rPr>
        <w:t> </w:t>
      </w:r>
      <w:r>
        <w:rPr>
          <w:spacing w:val="20"/>
        </w:rPr>
      </w:r>
      <w:r>
        <w:rPr>
          <w:rFonts w:ascii="宋体" w:hAnsi="宋体" w:cs="宋体" w:eastAsia="宋体" w:hint="default"/>
          <w:spacing w:val="-3"/>
        </w:rPr>
        <w:t>5)</w:t>
      </w:r>
      <w:r>
        <w:rPr>
          <w:spacing w:val="-3"/>
        </w:rPr>
        <w:t>工业时序数据安全管控</w:t>
      </w:r>
    </w:p>
    <w:p>
      <w:pPr>
        <w:pStyle w:val="BodyText"/>
        <w:spacing w:line="324" w:lineRule="auto" w:before="22"/>
        <w:ind w:right="1124" w:firstLine="360"/>
        <w:jc w:val="both"/>
      </w:pPr>
      <w:r>
        <w:rPr>
          <w:spacing w:val="-4"/>
        </w:rPr>
        <w:t>针对主流工业协议实现数据采集与深度解析，完成对时序数据库的审计技术研发，实现了对工业时序数据中的敏感数据</w:t>
      </w:r>
      <w:r>
        <w:rPr>
          <w:w w:val="101"/>
        </w:rPr>
        <w:t> </w:t>
      </w:r>
      <w:r>
        <w:rPr>
          <w:spacing w:val="-3"/>
        </w:rPr>
        <w:t>识别与挖掘模型训练与识别能力，解决了时序数据的共享与交换过程的安全可控、数据可追溯等数据安全共享问题。</w:t>
      </w:r>
    </w:p>
    <w:p>
      <w:pPr>
        <w:pStyle w:val="BodyText"/>
        <w:spacing w:line="715" w:lineRule="auto" w:before="56"/>
        <w:ind w:right="1037" w:firstLine="360"/>
        <w:jc w:val="both"/>
      </w:pPr>
      <w:r>
        <w:rPr/>
        <w:pict>
          <v:shape style="position:absolute;margin-left:57.023998pt;margin-top:54.831753pt;width:478.65pt;height:141.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2"/>
                    <w:gridCol w:w="2420"/>
                    <w:gridCol w:w="1705"/>
                    <w:gridCol w:w="1911"/>
                  </w:tblGrid>
                  <w:tr>
                    <w:trPr>
                      <w:trHeight w:val="399"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305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69.71%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63.02%</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99,703,630.71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70,369,152.84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62,092,582.36</w:t>
                        </w:r>
                      </w:p>
                    </w:tc>
                  </w:tr>
                  <w:tr>
                    <w:trPr>
                      <w:trHeight w:val="399"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21.21%</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研发支出资本化的金额（元）</w:t>
                        </w:r>
                      </w:p>
                    </w:tc>
                    <w:tc>
                      <w:tcPr>
                        <w:tcW w:w="2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资本化研发支出占研发投入的比例</w:t>
                        </w:r>
                      </w:p>
                    </w:tc>
                    <w:tc>
                      <w:tcPr>
                        <w:tcW w:w="2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
              </w:txbxContent>
            </v:textbox>
            <w10:wrap type="none"/>
          </v:shape>
        </w:pict>
      </w:r>
      <w:r>
        <w:rPr>
          <w:spacing w:val="-6"/>
        </w:rPr>
        <w:t>目前工业互联网安全相关产品已经与汽车、印刷、医药、通信、能源等行业进行了交流，试用或商用事宜正在稳步推进。</w:t>
      </w:r>
      <w:r>
        <w:rPr>
          <w:w w:val="101"/>
        </w:rPr>
        <w:t> </w:t>
      </w:r>
      <w:r>
        <w:rPr>
          <w:spacing w:val="-3"/>
        </w:rPr>
        <w:t>近三年公司研发投入金额及占营业收入的比例</w:t>
      </w:r>
    </w:p>
    <w:p>
      <w:pPr>
        <w:spacing w:after="0" w:line="715" w:lineRule="auto"/>
        <w:jc w:val="both"/>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534"/>
        <w:gridCol w:w="2420"/>
        <w:gridCol w:w="1705"/>
        <w:gridCol w:w="1911"/>
      </w:tblGrid>
      <w:tr>
        <w:trPr>
          <w:trHeight w:val="403" w:hRule="exact"/>
        </w:trPr>
        <w:tc>
          <w:tcPr>
            <w:tcW w:w="3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资本化研发支出占当期净利润的比重</w:t>
            </w:r>
          </w:p>
        </w:tc>
        <w:tc>
          <w:tcPr>
            <w:tcW w:w="24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43" w:lineRule="auto" w:before="115"/>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1820"/>
        <w:gridCol w:w="2391"/>
        <w:gridCol w:w="2391"/>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543,727,640.22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486,574,965.62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11.75%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456,140,006.71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359,919,388.69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26.73%</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87,587,633.51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126,655,576.93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-30.85%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-70.00%</w:t>
            </w:r>
          </w:p>
        </w:tc>
      </w:tr>
      <w:tr>
        <w:trPr>
          <w:trHeight w:val="39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133,239,240.34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362,565,489.26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-63.25%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-133,237,290.34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-362,558,989.26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63.25%</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112,085,929.87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-29.95%</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86,043,844.25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151,004,584.16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-43.02%</w:t>
            </w:r>
          </w:p>
        </w:tc>
      </w:tr>
      <w:tr>
        <w:trPr>
          <w:trHeight w:val="39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26,042,085.62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8,995,415.84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189.50%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182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-19,607,571.21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-226,907,996.49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91.36%</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123" w:firstLine="360"/>
        <w:jc w:val="left"/>
      </w:pPr>
      <w:r>
        <w:rPr>
          <w:rFonts w:ascii="Times New Roman" w:hAnsi="Times New Roman" w:cs="Times New Roman" w:eastAsia="Times New Roman" w:hint="default"/>
          <w:spacing w:val="-3"/>
        </w:rPr>
        <w:t>1</w:t>
      </w:r>
      <w:r>
        <w:rPr>
          <w:spacing w:val="-3"/>
        </w:rPr>
        <w:t>、报告期内，经营活动产生的现金流量净额</w:t>
      </w:r>
      <w:r>
        <w:rPr>
          <w:rFonts w:ascii="Times New Roman" w:hAnsi="Times New Roman" w:cs="Times New Roman" w:eastAsia="Times New Roman" w:hint="default"/>
          <w:spacing w:val="-3"/>
        </w:rPr>
        <w:t>87,587,633.51</w:t>
      </w:r>
      <w:r>
        <w:rPr>
          <w:spacing w:val="-3"/>
        </w:rPr>
        <w:t>元，同比减少</w:t>
      </w:r>
      <w:r>
        <w:rPr>
          <w:rFonts w:ascii="Times New Roman" w:hAnsi="Times New Roman" w:cs="Times New Roman" w:eastAsia="Times New Roman" w:hint="default"/>
          <w:spacing w:val="-3"/>
        </w:rPr>
        <w:t>30.85%</w:t>
      </w:r>
      <w:r>
        <w:rPr>
          <w:spacing w:val="-3"/>
        </w:rPr>
        <w:t>，主要原因为本期支付员工工资、缴纳</w:t>
      </w:r>
      <w:r>
        <w:rPr>
          <w:w w:val="101"/>
        </w:rPr>
        <w:t> </w:t>
      </w:r>
      <w:r>
        <w:rPr/>
        <w:t>各种税费等。</w:t>
      </w:r>
    </w:p>
    <w:p>
      <w:pPr>
        <w:pStyle w:val="BodyText"/>
        <w:spacing w:line="300" w:lineRule="auto" w:before="31"/>
        <w:ind w:right="0" w:firstLine="360"/>
        <w:jc w:val="left"/>
      </w:pPr>
      <w:r>
        <w:rPr>
          <w:rFonts w:ascii="Times New Roman" w:hAnsi="Times New Roman" w:cs="Times New Roman" w:eastAsia="Times New Roman" w:hint="default"/>
          <w:spacing w:val="-3"/>
        </w:rPr>
        <w:t>2</w:t>
      </w:r>
      <w:r>
        <w:rPr>
          <w:spacing w:val="-3"/>
        </w:rPr>
        <w:t>、报告期内，投资活动产生的现金流量净额</w:t>
      </w:r>
      <w:r>
        <w:rPr>
          <w:rFonts w:ascii="Times New Roman" w:hAnsi="Times New Roman" w:cs="Times New Roman" w:eastAsia="Times New Roman" w:hint="default"/>
          <w:spacing w:val="-3"/>
        </w:rPr>
        <w:t>-133,237,290.34</w:t>
      </w:r>
      <w:r>
        <w:rPr>
          <w:spacing w:val="-3"/>
        </w:rPr>
        <w:t>元，上年同期为</w:t>
      </w:r>
      <w:r>
        <w:rPr>
          <w:rFonts w:ascii="Times New Roman" w:hAnsi="Times New Roman" w:cs="Times New Roman" w:eastAsia="Times New Roman" w:hint="default"/>
          <w:spacing w:val="-3"/>
        </w:rPr>
        <w:t>-362,558,989.26</w:t>
      </w:r>
      <w:r>
        <w:rPr>
          <w:spacing w:val="-3"/>
        </w:rPr>
        <w:t>元，主要原因为支付并购泰</w:t>
      </w:r>
      <w:r>
        <w:rPr>
          <w:w w:val="101"/>
        </w:rPr>
        <w:t> </w:t>
      </w:r>
      <w:r>
        <w:rPr>
          <w:spacing w:val="-3"/>
        </w:rPr>
        <w:t>策科技对价款、追加清响基金投资、新增海淀上市公司协同创新基金，以及办公用房装修。</w:t>
      </w:r>
    </w:p>
    <w:p>
      <w:pPr>
        <w:pStyle w:val="BodyText"/>
        <w:spacing w:line="300" w:lineRule="auto" w:before="32"/>
        <w:ind w:right="0" w:firstLine="360"/>
        <w:jc w:val="left"/>
      </w:pPr>
      <w:r>
        <w:rPr>
          <w:rFonts w:ascii="Times New Roman" w:hAnsi="Times New Roman" w:cs="Times New Roman" w:eastAsia="Times New Roman" w:hint="default"/>
          <w:spacing w:val="-3"/>
        </w:rPr>
        <w:t>3</w:t>
      </w:r>
      <w:r>
        <w:rPr>
          <w:spacing w:val="-3"/>
        </w:rPr>
        <w:t>、报告期内，筹资活动产生的现金流量净额</w:t>
      </w:r>
      <w:r>
        <w:rPr>
          <w:rFonts w:ascii="Times New Roman" w:hAnsi="Times New Roman" w:cs="Times New Roman" w:eastAsia="Times New Roman" w:hint="default"/>
          <w:spacing w:val="-3"/>
        </w:rPr>
        <w:t>26,042,085.62</w:t>
      </w:r>
      <w:r>
        <w:rPr>
          <w:spacing w:val="-3"/>
        </w:rPr>
        <w:t>元，同比增加</w:t>
      </w:r>
      <w:r>
        <w:rPr>
          <w:rFonts w:ascii="Times New Roman" w:hAnsi="Times New Roman" w:cs="Times New Roman" w:eastAsia="Times New Roman" w:hint="default"/>
          <w:spacing w:val="-3"/>
        </w:rPr>
        <w:t>189.5%</w:t>
      </w:r>
      <w:r>
        <w:rPr>
          <w:spacing w:val="-3"/>
        </w:rPr>
        <w:t>，本期流入主要为报告期内员工股票期</w:t>
      </w:r>
      <w:r>
        <w:rPr>
          <w:w w:val="101"/>
        </w:rPr>
        <w:t> </w:t>
      </w:r>
      <w:r>
        <w:rPr>
          <w:spacing w:val="-3"/>
        </w:rPr>
        <w:t>权行权所致，本期流出主要为偿还银行长期贷款及支付相关利息所致。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spacing w:val="-3"/>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13"/>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2" w:space="390"/>
            <w:col w:w="2008"/>
          </w:cols>
        </w:sectPr>
      </w:pP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282"/>
        <w:gridCol w:w="1275"/>
        <w:gridCol w:w="1076"/>
        <w:gridCol w:w="1210"/>
        <w:gridCol w:w="1080"/>
        <w:gridCol w:w="806"/>
        <w:gridCol w:w="2958"/>
      </w:tblGrid>
      <w:tr>
        <w:trPr>
          <w:trHeight w:val="3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29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55" w:right="166" w:hanging="183"/>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55" w:right="171" w:hanging="183"/>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8"/>
              <w:ind w:left="3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8"/>
              <w:ind w:left="93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6"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vMerge/>
            <w:tcBorders>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2958" w:type="dxa"/>
            <w:vMerge/>
            <w:tcBorders>
              <w:left w:val="single" w:sz="4" w:space="0" w:color="000000"/>
              <w:bottom w:val="nil" w:sz="6" w:space="0" w:color="auto"/>
              <w:right w:val="single" w:sz="4" w:space="0" w:color="000000"/>
            </w:tcBorders>
            <w:shd w:val="clear" w:color="auto" w:fill="D2D2D2"/>
          </w:tcPr>
          <w:p>
            <w:pPr/>
          </w:p>
        </w:tc>
      </w:tr>
      <w:tr>
        <w:trPr>
          <w:trHeight w:val="322"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29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5"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1"/>
                <w:sz w:val="18"/>
              </w:rPr>
              <w:t>355,932,386.88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16.51%</w:t>
            </w:r>
          </w:p>
        </w:tc>
        <w:tc>
          <w:tcPr>
            <w:tcW w:w="1210"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1"/>
                <w:sz w:val="18"/>
              </w:rPr>
              <w:t>370,094,606.09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-1.70%</w:t>
            </w:r>
          </w:p>
        </w:tc>
        <w:tc>
          <w:tcPr>
            <w:tcW w:w="295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449,446,677.41</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20.84%</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350,312,838.59</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17.24%</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3.60%</w:t>
            </w:r>
          </w:p>
        </w:tc>
        <w:tc>
          <w:tcPr>
            <w:tcW w:w="2958"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37"/>
              <w:jc w:val="left"/>
              <w:rPr>
                <w:rFonts w:ascii="宋体" w:hAnsi="宋体" w:cs="宋体" w:eastAsia="宋体" w:hint="default"/>
                <w:sz w:val="18"/>
                <w:szCs w:val="18"/>
              </w:rPr>
            </w:pPr>
            <w:r>
              <w:rPr>
                <w:rFonts w:ascii="宋体" w:hAnsi="宋体" w:cs="宋体" w:eastAsia="宋体" w:hint="default"/>
                <w:spacing w:val="-3"/>
                <w:sz w:val="18"/>
                <w:szCs w:val="18"/>
              </w:rPr>
              <w:t>报告期内业务增长，导致应收账款相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应增加。</w:t>
            </w:r>
          </w:p>
        </w:tc>
      </w:tr>
      <w:tr>
        <w:trPr>
          <w:trHeight w:val="389"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5" w:type="dxa"/>
            <w:vMerge/>
            <w:tcBorders>
              <w:left w:val="single" w:sz="10" w:space="0" w:color="D2D2D2"/>
              <w:right w:val="single" w:sz="4" w:space="0" w:color="000000"/>
            </w:tcBorders>
          </w:tcPr>
          <w:p>
            <w:pPr/>
          </w:p>
        </w:tc>
        <w:tc>
          <w:tcPr>
            <w:tcW w:w="1076"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2958"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10" w:space="0" w:color="D2D2D2"/>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2958" w:type="dxa"/>
            <w:vMerge/>
            <w:tcBorders>
              <w:left w:val="single" w:sz="4" w:space="0" w:color="000000"/>
              <w:bottom w:val="single" w:sz="4" w:space="0" w:color="000000"/>
              <w:right w:val="single" w:sz="4" w:space="0" w:color="000000"/>
            </w:tcBorders>
          </w:tcPr>
          <w:p>
            <w:pPr/>
          </w:p>
        </w:tc>
      </w:tr>
      <w:tr>
        <w:trPr>
          <w:trHeight w:val="404"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26,615,480.10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38,577,722.60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-0.67%</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报告期存货周转加快。</w:t>
            </w: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88,853,818.89</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4.12%</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67,605,343.76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3.33%</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0.79%</w:t>
            </w:r>
          </w:p>
        </w:tc>
        <w:tc>
          <w:tcPr>
            <w:tcW w:w="2958"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报告期内对清响基金追加投资</w:t>
            </w:r>
            <w:r>
              <w:rPr>
                <w:rFonts w:ascii="宋体" w:hAnsi="宋体" w:cs="宋体" w:eastAsia="宋体" w:hint="default"/>
                <w:spacing w:val="-8"/>
                <w:sz w:val="18"/>
                <w:szCs w:val="18"/>
              </w:rPr>
              <w:t> </w:t>
            </w:r>
            <w:r>
              <w:rPr>
                <w:rFonts w:ascii="Times New Roman" w:hAnsi="Times New Roman" w:cs="Times New Roman" w:eastAsia="Times New Roman" w:hint="default"/>
                <w:spacing w:val="-2"/>
                <w:sz w:val="18"/>
                <w:szCs w:val="18"/>
              </w:rPr>
              <w:t>2,000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394"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5" w:type="dxa"/>
            <w:vMerge/>
            <w:tcBorders>
              <w:left w:val="single" w:sz="13" w:space="0" w:color="D2D2D2"/>
              <w:right w:val="single" w:sz="4" w:space="0" w:color="000000"/>
            </w:tcBorders>
          </w:tcPr>
          <w:p>
            <w:pPr/>
          </w:p>
        </w:tc>
        <w:tc>
          <w:tcPr>
            <w:tcW w:w="1076"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2958"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13" w:space="0" w:color="D2D2D2"/>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2958" w:type="dxa"/>
            <w:vMerge/>
            <w:tcBorders>
              <w:left w:val="single" w:sz="4" w:space="0" w:color="000000"/>
              <w:bottom w:val="single" w:sz="4" w:space="0" w:color="000000"/>
              <w:right w:val="single" w:sz="4" w:space="0" w:color="000000"/>
            </w:tcBorders>
          </w:tcPr>
          <w:p>
            <w:pPr/>
          </w:p>
        </w:tc>
      </w:tr>
      <w:tr>
        <w:trPr>
          <w:trHeight w:val="16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84,597,253.75</w:t>
            </w:r>
          </w:p>
        </w:tc>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3.92%</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4,050,192.08</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0.20%</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3.72%</w:t>
            </w:r>
          </w:p>
        </w:tc>
        <w:tc>
          <w:tcPr>
            <w:tcW w:w="2958" w:type="dxa"/>
            <w:vMerge w:val="restart"/>
            <w:tcBorders>
              <w:top w:val="single" w:sz="4" w:space="0" w:color="000000"/>
              <w:left w:val="single" w:sz="4" w:space="0" w:color="000000"/>
              <w:right w:val="single" w:sz="4" w:space="0" w:color="000000"/>
            </w:tcBorders>
          </w:tcPr>
          <w:p>
            <w:pPr>
              <w:pStyle w:val="TableParagraph"/>
              <w:spacing w:line="324" w:lineRule="auto" w:before="53"/>
              <w:ind w:left="23" w:right="37"/>
              <w:jc w:val="left"/>
              <w:rPr>
                <w:rFonts w:ascii="宋体" w:hAnsi="宋体" w:cs="宋体" w:eastAsia="宋体" w:hint="default"/>
                <w:sz w:val="18"/>
                <w:szCs w:val="18"/>
              </w:rPr>
            </w:pPr>
            <w:r>
              <w:rPr>
                <w:rFonts w:ascii="宋体" w:hAnsi="宋体" w:cs="宋体" w:eastAsia="宋体" w:hint="default"/>
                <w:spacing w:val="-3"/>
                <w:sz w:val="18"/>
                <w:szCs w:val="18"/>
              </w:rPr>
              <w:t>主要原因是报告期内购买房产由其他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非流动资产转入固定资产。</w:t>
            </w:r>
          </w:p>
        </w:tc>
      </w:tr>
      <w:tr>
        <w:trPr>
          <w:trHeight w:val="394"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5" w:type="dxa"/>
            <w:vMerge/>
            <w:tcBorders>
              <w:left w:val="single" w:sz="10" w:space="0" w:color="D2D2D2"/>
              <w:right w:val="single" w:sz="4" w:space="0" w:color="000000"/>
            </w:tcBorders>
          </w:tcPr>
          <w:p>
            <w:pPr/>
          </w:p>
        </w:tc>
        <w:tc>
          <w:tcPr>
            <w:tcW w:w="1076"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2958" w:type="dxa"/>
            <w:vMerge/>
            <w:tcBorders>
              <w:left w:val="single" w:sz="4" w:space="0" w:color="000000"/>
              <w:right w:val="single" w:sz="4" w:space="0" w:color="000000"/>
            </w:tcBorders>
          </w:tcPr>
          <w:p>
            <w:pPr/>
          </w:p>
        </w:tc>
      </w:tr>
      <w:tr>
        <w:trPr>
          <w:trHeight w:val="159"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10" w:space="0" w:color="D2D2D2"/>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2958" w:type="dxa"/>
            <w:vMerge/>
            <w:tcBorders>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10,168,552.09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0.47%</w:t>
            </w:r>
          </w:p>
        </w:tc>
        <w:tc>
          <w:tcPr>
            <w:tcW w:w="121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0.47%</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报告期内新增银行流动资金贷款。</w:t>
            </w: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-2.54%</w:t>
            </w:r>
          </w:p>
        </w:tc>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报告期内归还银行并购贷款。</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line="542"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bookmarkStart w:name="3、截至报告期末的资产权利受限情况" w:id="43"/>
      <w:bookmarkEnd w:id="43"/>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18"/>
          <w:szCs w:val="18"/>
        </w:rPr>
        <w:t>不适用</w:t>
      </w:r>
    </w:p>
    <w:p>
      <w:pPr>
        <w:pStyle w:val="Heading2"/>
        <w:spacing w:line="240" w:lineRule="auto" w:before="97"/>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612,000,000.00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-95.92%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after="0" w:line="240" w:lineRule="auto"/>
        <w:jc w:val="right"/>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027"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69"/>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54" w:right="65"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5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5" w:right="45"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5" w:right="5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0" w:right="36" w:hanging="183"/>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95" w:right="89"/>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89"/>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 w:right="84"/>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1038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北京海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资联动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w w:val="101"/>
                <w:sz w:val="18"/>
                <w:szCs w:val="18"/>
              </w:rPr>
              <w:t>心（有限</w:t>
            </w:r>
            <w:r>
              <w:rPr>
                <w:rFonts w:ascii="宋体" w:hAnsi="宋体" w:cs="宋体" w:eastAsia="宋体" w:hint="default"/>
                <w:w w:val="101"/>
                <w:sz w:val="18"/>
                <w:szCs w:val="18"/>
              </w:rPr>
              <w:t> </w:t>
            </w:r>
            <w:r>
              <w:rPr>
                <w:rFonts w:ascii="宋体" w:hAnsi="宋体" w:cs="宋体" w:eastAsia="宋体" w:hint="default"/>
                <w:sz w:val="18"/>
                <w:szCs w:val="18"/>
              </w:rPr>
              <w:t>合伙）</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23" w:right="12"/>
              <w:jc w:val="left"/>
              <w:rPr>
                <w:rFonts w:ascii="宋体" w:hAnsi="宋体" w:cs="宋体" w:eastAsia="宋体" w:hint="default"/>
                <w:sz w:val="18"/>
                <w:szCs w:val="18"/>
              </w:rPr>
            </w:pPr>
            <w:r>
              <w:rPr>
                <w:rFonts w:ascii="宋体" w:hAnsi="宋体" w:cs="宋体" w:eastAsia="宋体" w:hint="default"/>
                <w:sz w:val="18"/>
                <w:szCs w:val="18"/>
              </w:rPr>
              <w:t>创业投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w w:val="101"/>
                <w:sz w:val="18"/>
                <w:szCs w:val="18"/>
              </w:rPr>
              <w:t>资；股权</w:t>
            </w:r>
            <w:r>
              <w:rPr>
                <w:rFonts w:ascii="宋体" w:hAnsi="宋体" w:cs="宋体" w:eastAsia="宋体" w:hint="default"/>
                <w:w w:val="101"/>
                <w:sz w:val="18"/>
                <w:szCs w:val="18"/>
              </w:rPr>
              <w:t> </w:t>
            </w:r>
            <w:r>
              <w:rPr>
                <w:rFonts w:ascii="宋体" w:hAnsi="宋体" w:cs="宋体" w:eastAsia="宋体" w:hint="default"/>
                <w:spacing w:val="-22"/>
                <w:w w:val="101"/>
                <w:sz w:val="18"/>
                <w:szCs w:val="18"/>
              </w:rPr>
              <w:t>投资；投</w:t>
            </w:r>
            <w:r>
              <w:rPr>
                <w:rFonts w:ascii="宋体" w:hAnsi="宋体" w:cs="宋体" w:eastAsia="宋体" w:hint="default"/>
                <w:w w:val="101"/>
                <w:sz w:val="18"/>
                <w:szCs w:val="18"/>
              </w:rPr>
              <w:t> </w:t>
            </w:r>
            <w:r>
              <w:rPr>
                <w:rFonts w:ascii="宋体" w:hAnsi="宋体" w:cs="宋体" w:eastAsia="宋体" w:hint="default"/>
                <w:sz w:val="18"/>
                <w:szCs w:val="18"/>
              </w:rPr>
              <w:t>资管理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195" w:lineRule="exact"/>
              <w:ind w:left="-12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5394"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7"/>
                <w:sz w:val="20"/>
                <w:szCs w:val="20"/>
              </w:rPr>
              <w:pict>
                <v:group style="width:32.7pt;height:269.75pt;mso-position-horizontal-relative:char;mso-position-vertical-relative:line" coordorigin="0,0" coordsize="654,5395">
                  <v:group style="position:absolute;left:12;top:12;width:2;height:390" coordorigin="12,12" coordsize="2,390">
                    <v:shape style="position:absolute;left:12;top:12;width:2;height:390" coordorigin="12,12" coordsize="0,390" path="m12,12l12,401e" filled="false" stroked="true" strokeweight="1.2pt" strokecolor="#ffffff">
                      <v:path arrowok="t"/>
                    </v:shape>
                  </v:group>
                  <v:group style="position:absolute;left:0;top:401;width:654;height:4994" coordorigin="0,401" coordsize="654,4994">
                    <v:shape style="position:absolute;left:0;top:401;width:654;height:4994" coordorigin="0,401" coordsize="654,4994" path="m0,5395l653,5395,653,401,0,401,0,5395xe" filled="true" fillcolor="#ffffff" stroked="false">
                      <v:path arrowok="t"/>
                      <v:fill type="solid"/>
                    </v:shape>
                  </v:group>
                  <v:group style="position:absolute;left:24;top:12;width:606;height:390" coordorigin="24,12" coordsize="606,390">
                    <v:shape style="position:absolute;left:24;top:12;width:606;height:390" coordorigin="24,12" coordsize="606,390" path="m24,401l629,401,629,12,24,12,24,401xe" filled="true" fillcolor="#ffffff" stroked="false">
                      <v:path arrowok="t"/>
                      <v:fill type="solid"/>
                    </v:shape>
                  </v:group>
                </v:group>
              </w:pict>
            </w:r>
            <w:r>
              <w:rPr>
                <w:rFonts w:ascii="Times New Roman" w:hAnsi="Times New Roman" w:cs="Times New Roman" w:eastAsia="Times New Roman" w:hint="default"/>
                <w:position w:val="-107"/>
                <w:sz w:val="20"/>
                <w:szCs w:val="20"/>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28"/>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9"/>
              <w:jc w:val="left"/>
              <w:rPr>
                <w:rFonts w:ascii="宋体" w:hAnsi="宋体" w:cs="宋体" w:eastAsia="宋体" w:hint="default"/>
                <w:sz w:val="18"/>
                <w:szCs w:val="18"/>
              </w:rPr>
            </w:pPr>
            <w:r>
              <w:rPr>
                <w:rFonts w:ascii="宋体" w:hAnsi="宋体" w:cs="宋体" w:eastAsia="宋体" w:hint="default"/>
                <w:sz w:val="18"/>
                <w:szCs w:val="18"/>
              </w:rPr>
              <w:t>腾飞天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京市海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淀区国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理中</w:t>
            </w:r>
            <w:r>
              <w:rPr>
                <w:rFonts w:ascii="宋体" w:hAnsi="宋体" w:cs="宋体" w:eastAsia="宋体" w:hint="default"/>
                <w:spacing w:val="-86"/>
                <w:sz w:val="18"/>
                <w:szCs w:val="18"/>
              </w:rPr>
              <w:t> </w:t>
            </w:r>
            <w:r>
              <w:rPr>
                <w:rFonts w:ascii="宋体" w:hAnsi="宋体" w:cs="宋体" w:eastAsia="宋体" w:hint="default"/>
                <w:sz w:val="18"/>
                <w:szCs w:val="18"/>
              </w:rPr>
              <w:t>心；国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家军民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融合产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苑资产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云春；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豪投资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银万国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创新证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34"/>
              <w:jc w:val="left"/>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讯网《关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资入伙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海淀上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协同创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的公告》</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074</w:t>
            </w:r>
            <w:r>
              <w:rPr>
                <w:rFonts w:ascii="宋体" w:hAnsi="宋体" w:cs="宋体" w:eastAsia="宋体" w:hint="default"/>
                <w:spacing w:val="-92"/>
                <w:w w:val="101"/>
                <w:sz w:val="18"/>
                <w:szCs w:val="18"/>
              </w:rPr>
              <w:t>）、</w:t>
            </w:r>
            <w:r>
              <w:rPr>
                <w:rFonts w:ascii="宋体" w:hAnsi="宋体" w:cs="宋体" w:eastAsia="宋体" w:hint="default"/>
                <w:sz w:val="18"/>
                <w:szCs w:val="18"/>
              </w:rPr>
            </w:r>
          </w:p>
          <w:p>
            <w:pPr>
              <w:pStyle w:val="TableParagraph"/>
              <w:spacing w:line="316" w:lineRule="auto" w:before="63"/>
              <w:ind w:left="23" w:right="146"/>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伙海淀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司协同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创新基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金的进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展公</w:t>
            </w:r>
            <w:r>
              <w:rPr>
                <w:rFonts w:ascii="宋体" w:hAnsi="宋体" w:cs="宋体" w:eastAsia="宋体" w:hint="default"/>
                <w:spacing w:val="-86"/>
                <w:sz w:val="18"/>
                <w:szCs w:val="18"/>
              </w:rPr>
              <w:t> </w:t>
            </w:r>
            <w:r>
              <w:rPr>
                <w:rFonts w:ascii="宋体" w:hAnsi="宋体" w:cs="宋体" w:eastAsia="宋体" w:hint="default"/>
                <w:sz w:val="18"/>
                <w:szCs w:val="18"/>
              </w:rPr>
              <w:t>告</w:t>
            </w:r>
            <w:r>
              <w:rPr>
                <w:rFonts w:ascii="宋体" w:hAnsi="宋体" w:cs="宋体" w:eastAsia="宋体" w:hint="default"/>
                <w:spacing w:val="5"/>
                <w:sz w:val="18"/>
                <w:szCs w:val="18"/>
              </w:rPr>
              <w:t> </w:t>
            </w:r>
            <w:r>
              <w:rPr>
                <w:rFonts w:ascii="宋体" w:hAnsi="宋体" w:cs="宋体" w:eastAsia="宋体" w:hint="default"/>
                <w:sz w:val="18"/>
                <w:szCs w:val="18"/>
              </w:rPr>
              <w:t>》</w:t>
            </w:r>
          </w:p>
          <w:p>
            <w:pPr>
              <w:pStyle w:val="TableParagraph"/>
              <w:spacing w:line="304" w:lineRule="auto" w:before="19"/>
              <w:ind w:left="23" w:right="8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086</w:t>
            </w:r>
            <w:r>
              <w:rPr>
                <w:rFonts w:ascii="宋体" w:hAnsi="宋体" w:cs="宋体" w:eastAsia="宋体" w:hint="default"/>
                <w:sz w:val="18"/>
                <w:szCs w:val="18"/>
              </w:rPr>
              <w:t>）</w:t>
            </w:r>
          </w:p>
        </w:tc>
      </w:tr>
      <w:tr>
        <w:trPr>
          <w:trHeight w:val="2237"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6" w:lineRule="auto"/>
              <w:ind w:left="24" w:right="117"/>
              <w:jc w:val="both"/>
              <w:rPr>
                <w:rFonts w:ascii="宋体" w:hAnsi="宋体" w:cs="宋体" w:eastAsia="宋体" w:hint="default"/>
                <w:sz w:val="18"/>
                <w:szCs w:val="18"/>
              </w:rPr>
            </w:pPr>
            <w:r>
              <w:rPr>
                <w:rFonts w:ascii="宋体" w:hAnsi="宋体" w:cs="宋体" w:eastAsia="宋体" w:hint="default"/>
                <w:sz w:val="18"/>
                <w:szCs w:val="18"/>
              </w:rPr>
              <w:t>杭州清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321" w:lineRule="auto" w:before="19"/>
              <w:ind w:left="24" w:right="117"/>
              <w:jc w:val="both"/>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w w:val="101"/>
                <w:sz w:val="18"/>
                <w:szCs w:val="18"/>
              </w:rPr>
              <w:t>理、投资</w:t>
            </w:r>
            <w:r>
              <w:rPr>
                <w:rFonts w:ascii="宋体" w:hAnsi="宋体" w:cs="宋体" w:eastAsia="宋体" w:hint="default"/>
                <w:w w:val="101"/>
                <w:sz w:val="18"/>
                <w:szCs w:val="18"/>
              </w:rPr>
              <w:t> </w:t>
            </w:r>
            <w:r>
              <w:rPr>
                <w:rFonts w:ascii="宋体" w:hAnsi="宋体" w:cs="宋体" w:eastAsia="宋体" w:hint="default"/>
                <w:spacing w:val="-22"/>
                <w:w w:val="101"/>
                <w:sz w:val="18"/>
                <w:szCs w:val="18"/>
              </w:rPr>
              <w:t>咨询、实</w:t>
            </w:r>
            <w:r>
              <w:rPr>
                <w:rFonts w:ascii="宋体" w:hAnsi="宋体" w:cs="宋体" w:eastAsia="宋体" w:hint="default"/>
                <w:w w:val="101"/>
                <w:sz w:val="18"/>
                <w:szCs w:val="18"/>
              </w:rPr>
              <w:t> </w:t>
            </w:r>
            <w:r>
              <w:rPr>
                <w:rFonts w:ascii="宋体" w:hAnsi="宋体" w:cs="宋体" w:eastAsia="宋体" w:hint="default"/>
                <w:sz w:val="18"/>
                <w:szCs w:val="18"/>
              </w:rPr>
              <w:t>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5" w:lineRule="exact" w:before="142"/>
              <w:ind w:left="23"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195" w:lineRule="exact"/>
              <w:ind w:left="-12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1322"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32.7pt;height:66.150pt;mso-position-horizontal-relative:char;mso-position-vertical-relative:line" coordorigin="0,0" coordsize="654,1323">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0;top:406;width:654;height:918" coordorigin="0,406" coordsize="654,918">
                    <v:shape style="position:absolute;left:0;top:406;width:654;height:918" coordorigin="0,406" coordsize="654,918" path="m0,1323l653,1323,653,406,0,406,0,1323xe" filled="true" fillcolor="#ffffff" stroked="false">
                      <v:path arrowok="t"/>
                      <v:fill type="solid"/>
                    </v:shape>
                  </v:group>
                  <v:group style="position:absolute;left:24;top:12;width:606;height:394" coordorigin="24,12" coordsize="606,394">
                    <v:shape style="position:absolute;left:24;top:12;width:606;height:394" coordorigin="24,12" coordsize="606,394" path="m24,406l629,406,629,12,24,12,24,406xe" filled="true" fillcolor="#ffffff" stroked="false">
                      <v:path arrowok="t"/>
                      <v:fill type="solid"/>
                    </v:shape>
                  </v:group>
                </v:group>
              </w:pict>
            </w:r>
            <w:r>
              <w:rPr>
                <w:rFonts w:ascii="Times New Roman" w:hAnsi="Times New Roman" w:cs="Times New Roman" w:eastAsia="Times New Roman" w:hint="default"/>
                <w:position w:val="-25"/>
                <w:sz w:val="20"/>
                <w:szCs w:val="20"/>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3" w:right="79"/>
              <w:jc w:val="both"/>
              <w:rPr>
                <w:rFonts w:ascii="宋体" w:hAnsi="宋体" w:cs="宋体" w:eastAsia="宋体" w:hint="default"/>
                <w:sz w:val="18"/>
                <w:szCs w:val="18"/>
              </w:rPr>
            </w:pPr>
            <w:r>
              <w:rPr>
                <w:rFonts w:ascii="宋体" w:hAnsi="宋体" w:cs="宋体" w:eastAsia="宋体" w:hint="default"/>
                <w:sz w:val="18"/>
                <w:szCs w:val="18"/>
              </w:rPr>
              <w:t>深圳前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海觅贝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1,262,11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讯网《关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于参与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设立的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金变更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普通合</w:t>
            </w:r>
          </w:p>
        </w:tc>
      </w:tr>
    </w:tbl>
    <w:p>
      <w:pPr>
        <w:spacing w:after="0" w:line="316"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609" w:hRule="exact"/>
        </w:trPr>
        <w:tc>
          <w:tcPr>
            <w:tcW w:w="69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伙人及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的公告》</w:t>
            </w:r>
          </w:p>
          <w:p>
            <w:pPr>
              <w:pStyle w:val="TableParagraph"/>
              <w:spacing w:line="304" w:lineRule="auto" w:before="19"/>
              <w:ind w:left="23" w:right="8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058</w:t>
            </w:r>
            <w:r>
              <w:rPr>
                <w:rFonts w:ascii="宋体" w:hAnsi="宋体" w:cs="宋体" w:eastAsia="宋体" w:hint="default"/>
                <w:sz w:val="18"/>
                <w:szCs w:val="18"/>
              </w:rPr>
              <w:t>）</w:t>
            </w:r>
          </w:p>
        </w:tc>
      </w:tr>
      <w:tr>
        <w:trPr>
          <w:trHeight w:val="715"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1,262,11</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2.36</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公司报告期无募集资金使用情况。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1" w:footer="979" w:top="110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4" w:space="4068"/>
            <w:col w:w="2008"/>
          </w:cols>
        </w:sectPr>
      </w:pP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961"/>
        <w:gridCol w:w="1104"/>
        <w:gridCol w:w="950"/>
        <w:gridCol w:w="956"/>
        <w:gridCol w:w="1181"/>
        <w:gridCol w:w="1181"/>
        <w:gridCol w:w="1181"/>
        <w:gridCol w:w="1090"/>
        <w:gridCol w:w="1095"/>
      </w:tblGrid>
      <w:tr>
        <w:trPr>
          <w:trHeight w:val="403" w:hRule="exact"/>
        </w:trPr>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2"/>
              <w:jc w:val="both"/>
              <w:rPr>
                <w:rFonts w:ascii="宋体" w:hAnsi="宋体" w:cs="宋体" w:eastAsia="宋体" w:hint="default"/>
                <w:sz w:val="18"/>
                <w:szCs w:val="18"/>
              </w:rPr>
            </w:pPr>
            <w:r>
              <w:rPr>
                <w:rFonts w:ascii="宋体" w:hAnsi="宋体" w:cs="宋体" w:eastAsia="宋体" w:hint="default"/>
                <w:spacing w:val="-2"/>
                <w:sz w:val="18"/>
                <w:szCs w:val="18"/>
              </w:rPr>
              <w:t>北京微智信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89"/>
              <w:jc w:val="left"/>
              <w:rPr>
                <w:rFonts w:ascii="宋体" w:hAnsi="宋体" w:cs="宋体" w:eastAsia="宋体" w:hint="default"/>
                <w:sz w:val="18"/>
                <w:szCs w:val="18"/>
              </w:rPr>
            </w:pPr>
            <w:r>
              <w:rPr>
                <w:rFonts w:ascii="宋体" w:hAnsi="宋体" w:cs="宋体" w:eastAsia="宋体" w:hint="default"/>
                <w:sz w:val="18"/>
                <w:szCs w:val="18"/>
              </w:rPr>
              <w:t>大数据信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息安全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477,626,612.38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326,415,392.52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222,855,617.56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77,415,622.84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71,589,325.88</w:t>
            </w:r>
          </w:p>
        </w:tc>
      </w:tr>
      <w:tr>
        <w:trPr>
          <w:trHeight w:val="715" w:hRule="exact"/>
        </w:trPr>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pacing w:val="-2"/>
                <w:sz w:val="18"/>
                <w:szCs w:val="18"/>
              </w:rPr>
              <w:t>北京泰策科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技有限公司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3" w:right="189"/>
              <w:jc w:val="left"/>
              <w:rPr>
                <w:rFonts w:ascii="宋体" w:hAnsi="宋体" w:cs="宋体" w:eastAsia="宋体" w:hint="default"/>
                <w:sz w:val="18"/>
                <w:szCs w:val="18"/>
              </w:rPr>
            </w:pPr>
            <w:r>
              <w:rPr>
                <w:rFonts w:ascii="宋体" w:hAnsi="宋体" w:cs="宋体" w:eastAsia="宋体" w:hint="default"/>
                <w:sz w:val="18"/>
                <w:szCs w:val="18"/>
              </w:rPr>
              <w:t>域名解析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137,813,378.25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122,322,579.80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94,541,379.63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62,463,062.85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53,529,451.80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961"/>
        <w:gridCol w:w="1104"/>
        <w:gridCol w:w="950"/>
        <w:gridCol w:w="956"/>
        <w:gridCol w:w="1181"/>
        <w:gridCol w:w="1181"/>
        <w:gridCol w:w="1181"/>
        <w:gridCol w:w="1090"/>
        <w:gridCol w:w="1095"/>
      </w:tblGrid>
      <w:tr>
        <w:trPr>
          <w:trHeight w:val="1297" w:hRule="exact"/>
        </w:trPr>
        <w:tc>
          <w:tcPr>
            <w:tcW w:w="96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89"/>
              <w:jc w:val="left"/>
              <w:rPr>
                <w:rFonts w:ascii="宋体" w:hAnsi="宋体" w:cs="宋体" w:eastAsia="宋体" w:hint="default"/>
                <w:sz w:val="18"/>
                <w:szCs w:val="18"/>
              </w:rPr>
            </w:pPr>
            <w:r>
              <w:rPr>
                <w:rFonts w:ascii="宋体" w:hAnsi="宋体" w:cs="宋体" w:eastAsia="宋体" w:hint="default"/>
                <w:spacing w:val="-21"/>
                <w:w w:val="101"/>
                <w:sz w:val="18"/>
                <w:szCs w:val="18"/>
              </w:rPr>
              <w:t>（</w:t>
            </w:r>
            <w:r>
              <w:rPr>
                <w:rFonts w:ascii="Times New Roman" w:hAnsi="Times New Roman" w:cs="Times New Roman" w:eastAsia="Times New Roman" w:hint="default"/>
                <w:spacing w:val="-21"/>
                <w:w w:val="101"/>
                <w:sz w:val="18"/>
                <w:szCs w:val="18"/>
              </w:rPr>
              <w:t>DNS)</w:t>
            </w:r>
            <w:r>
              <w:rPr>
                <w:rFonts w:ascii="宋体" w:hAnsi="宋体" w:cs="宋体" w:eastAsia="宋体" w:hint="default"/>
                <w:spacing w:val="-21"/>
                <w:w w:val="101"/>
                <w:sz w:val="18"/>
                <w:szCs w:val="18"/>
              </w:rPr>
              <w:t>、应</w:t>
            </w:r>
            <w:r>
              <w:rPr>
                <w:rFonts w:ascii="宋体" w:hAnsi="宋体" w:cs="宋体" w:eastAsia="宋体" w:hint="default"/>
                <w:spacing w:val="-72"/>
                <w:w w:val="101"/>
                <w:sz w:val="18"/>
                <w:szCs w:val="18"/>
              </w:rPr>
              <w:t> </w:t>
            </w:r>
            <w:r>
              <w:rPr>
                <w:rFonts w:ascii="宋体" w:hAnsi="宋体" w:cs="宋体" w:eastAsia="宋体" w:hint="default"/>
                <w:sz w:val="18"/>
                <w:szCs w:val="18"/>
              </w:rPr>
              <w:t>急通信系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统和数据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安全系统</w:t>
            </w:r>
          </w:p>
        </w:tc>
        <w:tc>
          <w:tcPr>
            <w:tcW w:w="95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报告期内取得和处置子公司的情况</w:t>
      </w:r>
    </w:p>
    <w:p>
      <w:pPr>
        <w:pStyle w:val="BodyText"/>
        <w:spacing w:line="338" w:lineRule="auto" w:before="119"/>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主要控股参股公司情况说明</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446" w:right="0"/>
        <w:jc w:val="left"/>
      </w:pPr>
      <w:r>
        <w:rPr>
          <w:spacing w:val="-3"/>
        </w:rPr>
        <w:t>（一）行业格局和趋势</w:t>
      </w:r>
    </w:p>
    <w:p>
      <w:pPr>
        <w:pStyle w:val="BodyText"/>
        <w:spacing w:line="343" w:lineRule="auto" w:before="76"/>
        <w:ind w:left="633" w:right="0" w:hanging="116"/>
        <w:jc w:val="left"/>
      </w:pPr>
      <w:r>
        <w:rPr>
          <w:rFonts w:ascii="Times New Roman" w:hAnsi="Times New Roman" w:cs="Times New Roman" w:eastAsia="Times New Roman" w:hint="default"/>
          <w:spacing w:val="-3"/>
        </w:rPr>
        <w:t>1</w:t>
      </w:r>
      <w:r>
        <w:rPr>
          <w:spacing w:val="-3"/>
        </w:rPr>
        <w:t>、自主可控与信息安全</w:t>
      </w:r>
      <w:r>
        <w:rPr>
          <w:spacing w:val="-57"/>
        </w:rPr>
        <w:t> </w:t>
      </w:r>
      <w:r>
        <w:rPr>
          <w:spacing w:val="-57"/>
        </w:rPr>
      </w:r>
      <w:r>
        <w:rPr>
          <w:spacing w:val="-4"/>
        </w:rPr>
        <w:t>随着云计算、大数据、人工智能、</w:t>
      </w:r>
      <w:r>
        <w:rPr>
          <w:rFonts w:ascii="Times New Roman" w:hAnsi="Times New Roman" w:cs="Times New Roman" w:eastAsia="Times New Roman" w:hint="default"/>
          <w:spacing w:val="-4"/>
        </w:rPr>
        <w:t>5G</w:t>
      </w:r>
      <w:r>
        <w:rPr>
          <w:spacing w:val="-4"/>
        </w:rPr>
        <w:t>、物联网等新技术的推广应用，软件基础设施产品和技术正发生巨大的变化，传</w:t>
      </w:r>
    </w:p>
    <w:p>
      <w:pPr>
        <w:pStyle w:val="BodyText"/>
        <w:spacing w:line="208" w:lineRule="exact"/>
        <w:ind w:right="0"/>
        <w:jc w:val="left"/>
      </w:pPr>
      <w:r>
        <w:rPr>
          <w:spacing w:val="-4"/>
        </w:rPr>
        <w:t>统中间件软件正逐渐发展成为软件基础设施。同时，国家网络空间安全战略也让关键核心技术的自主可控、安全可靠受到越</w:t>
      </w:r>
    </w:p>
    <w:p>
      <w:pPr>
        <w:pStyle w:val="BodyText"/>
        <w:spacing w:line="309" w:lineRule="auto" w:before="76"/>
        <w:ind w:right="0"/>
        <w:jc w:val="left"/>
      </w:pPr>
      <w:r>
        <w:rPr>
          <w:spacing w:val="-4"/>
        </w:rPr>
        <w:t>来越多的关注，大力推进安全、可信国产软件基础设施在党政、金融、电信、能源、交通、军工等关键领域应用，将成为大</w:t>
      </w:r>
      <w:r>
        <w:rPr>
          <w:spacing w:val="40"/>
        </w:rPr>
        <w:t> </w:t>
      </w:r>
      <w:r>
        <w:rPr>
          <w:spacing w:val="40"/>
        </w:rPr>
      </w:r>
      <w:r>
        <w:rPr>
          <w:spacing w:val="-3"/>
        </w:rPr>
        <w:t>势所趋，相应市场规模也处于持续增长的态势。在整个基础软件市场竞争格局中，外资厂商</w:t>
      </w:r>
      <w:r>
        <w:rPr>
          <w:rFonts w:ascii="Times New Roman" w:hAnsi="Times New Roman" w:cs="Times New Roman" w:eastAsia="Times New Roman" w:hint="default"/>
          <w:spacing w:val="-3"/>
        </w:rPr>
        <w:t>IBM</w:t>
      </w:r>
      <w:r>
        <w:rPr>
          <w:spacing w:val="-3"/>
        </w:rPr>
        <w:t>、</w:t>
      </w:r>
      <w:r>
        <w:rPr>
          <w:rFonts w:ascii="Times New Roman" w:hAnsi="Times New Roman" w:cs="Times New Roman" w:eastAsia="Times New Roman" w:hint="default"/>
          <w:spacing w:val="-3"/>
        </w:rPr>
        <w:t>Oracle</w:t>
      </w:r>
      <w:r>
        <w:rPr>
          <w:spacing w:val="-3"/>
        </w:rPr>
        <w:t>在市场中仍占有较</w:t>
      </w:r>
      <w:r>
        <w:rPr>
          <w:spacing w:val="75"/>
        </w:rPr>
        <w:t> </w:t>
      </w:r>
      <w:r>
        <w:rPr>
          <w:spacing w:val="75"/>
        </w:rPr>
      </w:r>
      <w:r>
        <w:rPr>
          <w:spacing w:val="-4"/>
        </w:rPr>
        <w:t>大的份额，还处于主导地位，但在科技强军、国产化的大背景下，自主、可控、安全的理念逐步深入人心，国产信息技术保</w:t>
      </w:r>
      <w:r>
        <w:rPr>
          <w:spacing w:val="40"/>
        </w:rPr>
        <w:t> </w:t>
      </w:r>
      <w:r>
        <w:rPr>
          <w:spacing w:val="40"/>
        </w:rPr>
      </w:r>
      <w:r>
        <w:rPr>
          <w:spacing w:val="-3"/>
        </w:rPr>
        <w:t>障国家信息安全，自主可控助推民族</w:t>
      </w:r>
      <w:r>
        <w:rPr>
          <w:rFonts w:ascii="Times New Roman" w:hAnsi="Times New Roman" w:cs="Times New Roman" w:eastAsia="Times New Roman" w:hint="default"/>
          <w:spacing w:val="-3"/>
        </w:rPr>
        <w:t>IT</w:t>
      </w:r>
      <w:r>
        <w:rPr>
          <w:spacing w:val="-3"/>
        </w:rPr>
        <w:t>产业腾飞</w:t>
      </w:r>
      <w:r>
        <w:rPr>
          <w:rFonts w:ascii="Times New Roman" w:hAnsi="Times New Roman" w:cs="Times New Roman" w:eastAsia="Times New Roman" w:hint="default"/>
          <w:spacing w:val="-3"/>
        </w:rPr>
        <w:t>,</w:t>
      </w:r>
      <w:r>
        <w:rPr>
          <w:spacing w:val="-3"/>
        </w:rPr>
        <w:t>强力推进国产自主化建设应用，是信息化发展战略的大势所趋，也是全面</w:t>
      </w:r>
      <w:r>
        <w:rPr>
          <w:spacing w:val="75"/>
        </w:rPr>
        <w:t> </w:t>
      </w:r>
      <w:r>
        <w:rPr>
          <w:spacing w:val="75"/>
        </w:rPr>
      </w:r>
      <w:r>
        <w:rPr>
          <w:spacing w:val="-3"/>
        </w:rPr>
        <w:t>深化改革的潮流所向。为了在关键领域不受制于人，从自主可控到软件国产化，将是构建安全基础设施的重中之重。当前，</w:t>
      </w:r>
      <w:r>
        <w:rPr>
          <w:spacing w:val="67"/>
        </w:rPr>
        <w:t> </w:t>
      </w:r>
      <w:r>
        <w:rPr>
          <w:spacing w:val="67"/>
        </w:rPr>
      </w:r>
      <w:r>
        <w:rPr>
          <w:spacing w:val="-4"/>
        </w:rPr>
        <w:t>信息技术应用创新产业已是当前经济社会发展的基石，包含了从</w:t>
      </w:r>
      <w:r>
        <w:rPr>
          <w:rFonts w:ascii="Times New Roman" w:hAnsi="Times New Roman" w:cs="Times New Roman" w:eastAsia="Times New Roman" w:hint="default"/>
          <w:spacing w:val="-4"/>
        </w:rPr>
        <w:t>IT</w:t>
      </w:r>
      <w:r>
        <w:rPr>
          <w:spacing w:val="-4"/>
        </w:rPr>
        <w:t>底层的基础软硬件到上层的应用软件全产业链的安全、可</w:t>
      </w:r>
      <w:r>
        <w:rPr>
          <w:spacing w:val="58"/>
        </w:rPr>
        <w:t> </w:t>
      </w:r>
      <w:r>
        <w:rPr>
          <w:spacing w:val="58"/>
        </w:rPr>
      </w:r>
      <w:r>
        <w:rPr>
          <w:spacing w:val="-4"/>
        </w:rPr>
        <w:t>控，围绕</w:t>
      </w:r>
      <w:r>
        <w:rPr>
          <w:rFonts w:ascii="Times New Roman" w:hAnsi="Times New Roman" w:cs="Times New Roman" w:eastAsia="Times New Roman" w:hint="default"/>
          <w:spacing w:val="-4"/>
        </w:rPr>
        <w:t>“</w:t>
      </w:r>
      <w:r>
        <w:rPr>
          <w:spacing w:val="-4"/>
        </w:rPr>
        <w:t>核心关键技术联合攻坚、促进重大科技成果转化</w:t>
      </w:r>
      <w:r>
        <w:rPr>
          <w:rFonts w:ascii="Times New Roman" w:hAnsi="Times New Roman" w:cs="Times New Roman" w:eastAsia="Times New Roman" w:hint="default"/>
          <w:spacing w:val="-4"/>
        </w:rPr>
        <w:t>”</w:t>
      </w:r>
      <w:r>
        <w:rPr>
          <w:spacing w:val="-4"/>
        </w:rPr>
        <w:t>的任务目标，各地的信息技术应用创新融合发展正在提速，将率</w:t>
      </w:r>
      <w:r>
        <w:rPr>
          <w:spacing w:val="66"/>
        </w:rPr>
        <w:t> </w:t>
      </w:r>
      <w:r>
        <w:rPr>
          <w:spacing w:val="66"/>
        </w:rPr>
      </w:r>
      <w:r>
        <w:rPr>
          <w:spacing w:val="-3"/>
        </w:rPr>
        <w:t>先实现在党政行业的应用，未来将延伸至金融、电信、能源等其他重点行业。</w:t>
      </w:r>
    </w:p>
    <w:p>
      <w:pPr>
        <w:pStyle w:val="BodyText"/>
        <w:spacing w:line="307" w:lineRule="auto" w:before="62"/>
        <w:ind w:right="0" w:firstLine="480"/>
        <w:jc w:val="left"/>
      </w:pPr>
      <w:r>
        <w:rPr>
          <w:spacing w:val="-3"/>
        </w:rPr>
        <w:t>受</w:t>
      </w:r>
      <w:r>
        <w:rPr>
          <w:rFonts w:ascii="Times New Roman" w:hAnsi="Times New Roman" w:cs="Times New Roman" w:eastAsia="Times New Roman" w:hint="default"/>
          <w:spacing w:val="-3"/>
        </w:rPr>
        <w:t>“</w:t>
      </w:r>
      <w:r>
        <w:rPr>
          <w:spacing w:val="-3"/>
        </w:rPr>
        <w:t>棱镜门</w:t>
      </w:r>
      <w:r>
        <w:rPr>
          <w:rFonts w:ascii="Times New Roman" w:hAnsi="Times New Roman" w:cs="Times New Roman" w:eastAsia="Times New Roman" w:hint="default"/>
          <w:spacing w:val="-3"/>
        </w:rPr>
        <w:t>”</w:t>
      </w:r>
      <w:r>
        <w:rPr>
          <w:spacing w:val="-3"/>
        </w:rPr>
        <w:t>事件爆发催化</w:t>
      </w:r>
      <w:r>
        <w:rPr>
          <w:rFonts w:ascii="Times New Roman" w:hAnsi="Times New Roman" w:cs="Times New Roman" w:eastAsia="Times New Roman" w:hint="default"/>
          <w:spacing w:val="-3"/>
        </w:rPr>
        <w:t>,</w:t>
      </w:r>
      <w:r>
        <w:rPr>
          <w:spacing w:val="-3"/>
        </w:rPr>
        <w:t>以及近年来国内网络安全事件地频繁发生，我国现已掀起了建设自主信息安全体系的浪潮</w:t>
      </w:r>
      <w:r>
        <w:rPr>
          <w:rFonts w:ascii="Times New Roman" w:hAnsi="Times New Roman" w:cs="Times New Roman" w:eastAsia="Times New Roman" w:hint="default"/>
          <w:spacing w:val="-3"/>
        </w:rPr>
        <w:t>,</w:t>
      </w:r>
      <w:r>
        <w:rPr>
          <w:rFonts w:ascii="Times New Roman" w:hAnsi="Times New Roman" w:cs="Times New Roman" w:eastAsia="Times New Roman" w:hint="default"/>
          <w:w w:val="101"/>
        </w:rPr>
        <w:t> </w:t>
      </w:r>
      <w:r>
        <w:rPr>
          <w:spacing w:val="-4"/>
        </w:rPr>
        <w:t>对于信息安全防护建设的政策支持力度不断上升，其中网络信息安全与自主可控将构成国防信息安全市场的两大基石。中信</w:t>
      </w:r>
      <w:r>
        <w:rPr>
          <w:spacing w:val="45"/>
        </w:rPr>
        <w:t> </w:t>
      </w:r>
      <w:r>
        <w:rPr>
          <w:spacing w:val="45"/>
        </w:rPr>
      </w:r>
      <w:r>
        <w:rPr>
          <w:spacing w:val="-3"/>
        </w:rPr>
        <w:t>建投证券研究所预测</w:t>
      </w:r>
      <w:r>
        <w:rPr>
          <w:rFonts w:ascii="Times New Roman" w:hAnsi="Times New Roman" w:cs="Times New Roman" w:eastAsia="Times New Roman" w:hint="default"/>
          <w:spacing w:val="-3"/>
        </w:rPr>
        <w:t>,</w:t>
      </w:r>
      <w:r>
        <w:rPr>
          <w:spacing w:val="-3"/>
        </w:rPr>
        <w:t>中国信息安全市场规模将由</w:t>
      </w:r>
      <w:r>
        <w:rPr>
          <w:rFonts w:ascii="Times New Roman" w:hAnsi="Times New Roman" w:cs="Times New Roman" w:eastAsia="Times New Roman" w:hint="default"/>
          <w:spacing w:val="-3"/>
        </w:rPr>
        <w:t>2015</w:t>
      </w:r>
      <w:r>
        <w:rPr>
          <w:spacing w:val="-3"/>
        </w:rPr>
        <w:t>年的</w:t>
      </w:r>
      <w:r>
        <w:rPr>
          <w:rFonts w:ascii="Times New Roman" w:hAnsi="Times New Roman" w:cs="Times New Roman" w:eastAsia="Times New Roman" w:hint="default"/>
          <w:spacing w:val="-3"/>
        </w:rPr>
        <w:t>2367</w:t>
      </w:r>
      <w:r>
        <w:rPr>
          <w:spacing w:val="-3"/>
        </w:rPr>
        <w:t>亿元增长至</w:t>
      </w:r>
      <w:r>
        <w:rPr>
          <w:rFonts w:ascii="Times New Roman" w:hAnsi="Times New Roman" w:cs="Times New Roman" w:eastAsia="Times New Roman" w:hint="default"/>
          <w:spacing w:val="-3"/>
        </w:rPr>
        <w:t>2025</w:t>
      </w:r>
      <w:r>
        <w:rPr>
          <w:spacing w:val="-3"/>
        </w:rPr>
        <w:t>年的</w:t>
      </w:r>
      <w:r>
        <w:rPr>
          <w:rFonts w:ascii="Times New Roman" w:hAnsi="Times New Roman" w:cs="Times New Roman" w:eastAsia="Times New Roman" w:hint="default"/>
          <w:spacing w:val="-3"/>
        </w:rPr>
        <w:t>7320</w:t>
      </w:r>
      <w:r>
        <w:rPr>
          <w:spacing w:val="-3"/>
        </w:rPr>
        <w:t>亿元</w:t>
      </w:r>
      <w:r>
        <w:rPr>
          <w:rFonts w:ascii="Times New Roman" w:hAnsi="Times New Roman" w:cs="Times New Roman" w:eastAsia="Times New Roman" w:hint="default"/>
          <w:spacing w:val="-3"/>
        </w:rPr>
        <w:t>,</w:t>
      </w:r>
      <w:r>
        <w:rPr>
          <w:spacing w:val="-3"/>
        </w:rPr>
        <w:t>十年增长两倍</w:t>
      </w:r>
      <w:r>
        <w:rPr>
          <w:rFonts w:ascii="Times New Roman" w:hAnsi="Times New Roman" w:cs="Times New Roman" w:eastAsia="Times New Roman" w:hint="default"/>
          <w:spacing w:val="-3"/>
        </w:rPr>
        <w:t>,</w:t>
      </w:r>
      <w:r>
        <w:rPr>
          <w:spacing w:val="-3"/>
        </w:rPr>
        <w:t>复合增长率达</w:t>
      </w:r>
      <w:r>
        <w:rPr>
          <w:spacing w:val="7"/>
        </w:rPr>
        <w:t> </w:t>
      </w:r>
      <w:r>
        <w:rPr>
          <w:spacing w:val="7"/>
        </w:rPr>
      </w:r>
      <w:r>
        <w:rPr>
          <w:rFonts w:ascii="Times New Roman" w:hAnsi="Times New Roman" w:cs="Times New Roman" w:eastAsia="Times New Roman" w:hint="default"/>
          <w:spacing w:val="-5"/>
        </w:rPr>
        <w:t>11%</w:t>
      </w:r>
      <w:r>
        <w:rPr>
          <w:spacing w:val="-5"/>
        </w:rPr>
        <w:t>。匹配国家层面的战略规划，各项信息安全建设的落实支持政策陆续出台，《网络安全法》、《国家网络空间安全战略》</w:t>
      </w:r>
      <w:r>
        <w:rPr>
          <w:spacing w:val="44"/>
        </w:rPr>
        <w:t> </w:t>
      </w:r>
      <w:r>
        <w:rPr>
          <w:spacing w:val="44"/>
        </w:rPr>
      </w:r>
      <w:r>
        <w:rPr>
          <w:spacing w:val="-3"/>
        </w:rPr>
        <w:t>等多项重磅政策密集出台，加速推动信息安全产品需求释放。</w:t>
      </w:r>
    </w:p>
    <w:p>
      <w:pPr>
        <w:pStyle w:val="BodyText"/>
        <w:spacing w:line="304" w:lineRule="auto" w:before="59"/>
        <w:ind w:right="0" w:firstLine="48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月，国家市场监督管理总局、国家标准化管理委员会召开新闻发布会，等保</w:t>
      </w:r>
      <w:r>
        <w:rPr>
          <w:rFonts w:ascii="Times New Roman" w:hAnsi="Times New Roman" w:cs="Times New Roman" w:eastAsia="Times New Roman" w:hint="default"/>
          <w:spacing w:val="-3"/>
        </w:rPr>
        <w:t>2.0</w:t>
      </w:r>
      <w:r>
        <w:rPr>
          <w:spacing w:val="-3"/>
        </w:rPr>
        <w:t>相关的《信息安全技术网络安</w:t>
      </w:r>
      <w:r>
        <w:rPr>
          <w:w w:val="101"/>
        </w:rPr>
        <w:t> </w:t>
      </w:r>
      <w:r>
        <w:rPr>
          <w:spacing w:val="-3"/>
        </w:rPr>
        <w:t>全等级保护基本要求》《信息安全技术网络安全等级保护测评要求》《信息安全技术网络安全等级保护安全设计技术要求》</w:t>
      </w:r>
      <w:r>
        <w:rPr>
          <w:spacing w:val="68"/>
        </w:rPr>
        <w:t> </w:t>
      </w:r>
      <w:r>
        <w:rPr>
          <w:spacing w:val="68"/>
        </w:rPr>
      </w:r>
      <w:r>
        <w:rPr>
          <w:spacing w:val="-3"/>
        </w:rPr>
        <w:t>等国家标准正式发布，于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w:t>
      </w:r>
      <w:r>
        <w:rPr>
          <w:spacing w:val="-3"/>
        </w:rPr>
        <w:t>日开始实施。相较于以往，等保</w:t>
      </w:r>
      <w:r>
        <w:rPr>
          <w:rFonts w:ascii="Times New Roman" w:hAnsi="Times New Roman" w:cs="Times New Roman" w:eastAsia="Times New Roman" w:hint="default"/>
          <w:spacing w:val="-3"/>
        </w:rPr>
        <w:t>2.0</w:t>
      </w:r>
      <w:r>
        <w:rPr>
          <w:spacing w:val="-3"/>
        </w:rPr>
        <w:t>扩大了保护对象的范围、丰富了保护方法、增加了</w:t>
      </w:r>
      <w:r>
        <w:rPr>
          <w:spacing w:val="47"/>
        </w:rPr>
        <w:t> </w:t>
      </w:r>
      <w:r>
        <w:rPr>
          <w:spacing w:val="47"/>
        </w:rPr>
      </w:r>
      <w:r>
        <w:rPr>
          <w:spacing w:val="-3"/>
        </w:rPr>
        <w:t>技术标准。等保</w:t>
      </w:r>
      <w:r>
        <w:rPr>
          <w:rFonts w:ascii="Times New Roman" w:hAnsi="Times New Roman" w:cs="Times New Roman" w:eastAsia="Times New Roman" w:hint="default"/>
          <w:spacing w:val="-3"/>
        </w:rPr>
        <w:t>2.0</w:t>
      </w:r>
      <w:r>
        <w:rPr>
          <w:spacing w:val="-3"/>
        </w:rPr>
        <w:t>将网络基础设施、重要信息系统、大型互联网站、大数据中心、云计算平台、物联网系统、工业控制系</w:t>
      </w:r>
      <w:r>
        <w:rPr>
          <w:spacing w:val="73"/>
        </w:rPr>
        <w:t> </w:t>
      </w:r>
      <w:r>
        <w:rPr>
          <w:spacing w:val="73"/>
        </w:rPr>
      </w:r>
      <w:r>
        <w:rPr>
          <w:spacing w:val="-4"/>
        </w:rPr>
        <w:t>统、公众服务平台等全部纳入等级保护对象，并将风险评估、安全监测、通报预警、事件调查、数据防护、灾难备份、应急</w:t>
      </w:r>
      <w:r>
        <w:rPr>
          <w:spacing w:val="40"/>
        </w:rPr>
        <w:t> </w:t>
      </w:r>
      <w:r>
        <w:rPr>
          <w:spacing w:val="40"/>
        </w:rPr>
      </w:r>
      <w:r>
        <w:rPr>
          <w:spacing w:val="-3"/>
        </w:rPr>
        <w:t>处置、自主可控、供应链安全、效果评价、综治考核、安全员培训等工作措施全部纳入等级保护制度。</w:t>
      </w:r>
      <w:r>
        <w:rPr>
          <w:rFonts w:ascii="Times New Roman" w:hAnsi="Times New Roman" w:cs="Times New Roman" w:eastAsia="Times New Roman" w:hint="default"/>
          <w:spacing w:val="-3"/>
        </w:rPr>
        <w:t>2019</w:t>
      </w:r>
      <w:r>
        <w:rPr>
          <w:spacing w:val="-3"/>
        </w:rPr>
        <w:t>年等级保护</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3"/>
        </w:rPr>
        <w:t>的发布是国内网络安全的一次重大升级，将催生网络安全新需求，为符合</w:t>
      </w:r>
      <w:r>
        <w:rPr>
          <w:rFonts w:ascii="Times New Roman" w:hAnsi="Times New Roman" w:cs="Times New Roman" w:eastAsia="Times New Roman" w:hint="default"/>
          <w:spacing w:val="-3"/>
        </w:rPr>
        <w:t>2.0</w:t>
      </w:r>
      <w:r>
        <w:rPr>
          <w:spacing w:val="-3"/>
        </w:rPr>
        <w:t>的要求，相关政府机关、金融、通信、能源等</w:t>
      </w:r>
      <w:r>
        <w:rPr>
          <w:spacing w:val="70"/>
        </w:rPr>
        <w:t> </w:t>
      </w:r>
      <w:r>
        <w:rPr>
          <w:spacing w:val="70"/>
        </w:rPr>
      </w:r>
      <w:r>
        <w:rPr>
          <w:spacing w:val="-3"/>
        </w:rPr>
        <w:t>重点行业，需要对信息系统重新进行定级、备案、整改、测评，将加大信息安全产品和服务的投入。</w:t>
      </w:r>
      <w:r>
        <w:rPr>
          <w:rFonts w:ascii="Times New Roman" w:hAnsi="Times New Roman" w:cs="Times New Roman" w:eastAsia="Times New Roman" w:hint="default"/>
          <w:spacing w:val="-3"/>
        </w:rPr>
        <w:t>2019</w:t>
      </w:r>
      <w:r>
        <w:rPr>
          <w:spacing w:val="-3"/>
        </w:rPr>
        <w:t>年等级保护</w:t>
      </w:r>
      <w:r>
        <w:rPr>
          <w:rFonts w:ascii="Times New Roman" w:hAnsi="Times New Roman" w:cs="Times New Roman" w:eastAsia="Times New Roman" w:hint="default"/>
          <w:spacing w:val="-3"/>
        </w:rPr>
        <w:t>2.0</w:t>
      </w:r>
      <w:r>
        <w:rPr>
          <w:spacing w:val="-3"/>
        </w:rPr>
        <w:t>全</w:t>
      </w:r>
      <w:r>
        <w:rPr>
          <w:spacing w:val="75"/>
        </w:rPr>
        <w:t> </w:t>
      </w:r>
      <w:r>
        <w:rPr>
          <w:spacing w:val="-3"/>
        </w:rPr>
        <w:t>面实施将会成为信息安全下一个大周期的开始。</w:t>
      </w:r>
    </w:p>
    <w:p>
      <w:pPr>
        <w:pStyle w:val="BodyText"/>
        <w:spacing w:line="312" w:lineRule="auto" w:before="62"/>
        <w:ind w:right="1122" w:firstLine="480"/>
        <w:jc w:val="both"/>
      </w:pPr>
      <w:r>
        <w:rPr>
          <w:spacing w:val="-4"/>
        </w:rPr>
        <w:t>随着德国</w:t>
      </w:r>
      <w:r>
        <w:rPr>
          <w:rFonts w:ascii="Times New Roman" w:hAnsi="Times New Roman" w:cs="Times New Roman" w:eastAsia="Times New Roman" w:hint="default"/>
          <w:spacing w:val="-4"/>
        </w:rPr>
        <w:t>“</w:t>
      </w:r>
      <w:r>
        <w:rPr>
          <w:spacing w:val="-4"/>
        </w:rPr>
        <w:t>工业</w:t>
      </w:r>
      <w:r>
        <w:rPr>
          <w:rFonts w:ascii="Times New Roman" w:hAnsi="Times New Roman" w:cs="Times New Roman" w:eastAsia="Times New Roman" w:hint="default"/>
          <w:spacing w:val="-4"/>
        </w:rPr>
        <w:t>4.0”</w:t>
      </w:r>
      <w:r>
        <w:rPr>
          <w:spacing w:val="-4"/>
        </w:rPr>
        <w:t>、英国</w:t>
      </w:r>
      <w:r>
        <w:rPr>
          <w:rFonts w:ascii="Times New Roman" w:hAnsi="Times New Roman" w:cs="Times New Roman" w:eastAsia="Times New Roman" w:hint="default"/>
          <w:spacing w:val="-4"/>
        </w:rPr>
        <w:t>“</w:t>
      </w:r>
      <w:r>
        <w:rPr>
          <w:spacing w:val="-4"/>
        </w:rPr>
        <w:t>高值制造</w:t>
      </w:r>
      <w:r>
        <w:rPr>
          <w:rFonts w:ascii="Times New Roman" w:hAnsi="Times New Roman" w:cs="Times New Roman" w:eastAsia="Times New Roman" w:hint="default"/>
          <w:spacing w:val="-4"/>
        </w:rPr>
        <w:t>”</w:t>
      </w:r>
      <w:r>
        <w:rPr>
          <w:spacing w:val="-4"/>
        </w:rPr>
        <w:t>、美国</w:t>
      </w:r>
      <w:r>
        <w:rPr>
          <w:rFonts w:ascii="Times New Roman" w:hAnsi="Times New Roman" w:cs="Times New Roman" w:eastAsia="Times New Roman" w:hint="default"/>
          <w:spacing w:val="-4"/>
        </w:rPr>
        <w:t>“</w:t>
      </w:r>
      <w:r>
        <w:rPr>
          <w:spacing w:val="-4"/>
        </w:rPr>
        <w:t>先进制造</w:t>
      </w:r>
      <w:r>
        <w:rPr>
          <w:rFonts w:ascii="Times New Roman" w:hAnsi="Times New Roman" w:cs="Times New Roman" w:eastAsia="Times New Roman" w:hint="default"/>
          <w:spacing w:val="-4"/>
        </w:rPr>
        <w:t>”</w:t>
      </w:r>
      <w:r>
        <w:rPr>
          <w:spacing w:val="-4"/>
        </w:rPr>
        <w:t>以及</w:t>
      </w:r>
      <w:r>
        <w:rPr>
          <w:rFonts w:ascii="Times New Roman" w:hAnsi="Times New Roman" w:cs="Times New Roman" w:eastAsia="Times New Roman" w:hint="default"/>
          <w:spacing w:val="-4"/>
        </w:rPr>
        <w:t>“</w:t>
      </w:r>
      <w:r>
        <w:rPr>
          <w:spacing w:val="-4"/>
        </w:rPr>
        <w:t>中国制造</w:t>
      </w:r>
      <w:r>
        <w:rPr>
          <w:spacing w:val="20"/>
        </w:rPr>
        <w:t> </w:t>
      </w:r>
      <w:r>
        <w:rPr>
          <w:rFonts w:ascii="Times New Roman" w:hAnsi="Times New Roman" w:cs="Times New Roman" w:eastAsia="Times New Roman" w:hint="default"/>
          <w:spacing w:val="-4"/>
        </w:rPr>
        <w:t>2025”</w:t>
      </w:r>
      <w:r>
        <w:rPr>
          <w:spacing w:val="-4"/>
        </w:rPr>
        <w:t>战略的陆续推出，工业领域设备联网实现</w:t>
      </w:r>
      <w:r>
        <w:rPr>
          <w:w w:val="101"/>
        </w:rPr>
        <w:t> </w:t>
      </w:r>
      <w:r>
        <w:rPr>
          <w:spacing w:val="-4"/>
        </w:rPr>
        <w:t>智能化将成为必然的趋势。工控领域的信息安全威胁也将迅速上升，而目前工控系统的安全防护主要以边界防护为主，在漏</w:t>
      </w:r>
      <w:r>
        <w:rPr>
          <w:spacing w:val="43"/>
        </w:rPr>
        <w:t> </w:t>
      </w:r>
      <w:r>
        <w:rPr>
          <w:spacing w:val="43"/>
        </w:rPr>
      </w:r>
      <w:r>
        <w:rPr>
          <w:spacing w:val="-3"/>
        </w:rPr>
        <w:t>洞监测、安全审计、未知威胁检测、综合预警等方面存在较大的市场空白，产业具备大规模商业扩张的基础。</w:t>
      </w:r>
    </w:p>
    <w:p>
      <w:pPr>
        <w:spacing w:after="0" w:line="312"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4" w:lineRule="auto" w:before="46"/>
        <w:ind w:right="0" w:firstLine="480"/>
        <w:jc w:val="left"/>
      </w:pPr>
      <w:r>
        <w:rPr>
          <w:spacing w:val="-5"/>
        </w:rPr>
        <w:t>工业互联网是新一代信息技术和制造业深度融合的产物，其核心是通过自动化、信息化、联网化、智能化等技术手段，</w:t>
      </w:r>
      <w:r>
        <w:rPr>
          <w:w w:val="101"/>
        </w:rPr>
        <w:t> </w:t>
      </w:r>
      <w:r>
        <w:rPr>
          <w:spacing w:val="-3"/>
        </w:rPr>
        <w:t>激发生产力，优化资源配置，最终重构工业产业格局。自</w:t>
      </w:r>
      <w:r>
        <w:rPr>
          <w:rFonts w:ascii="Times New Roman" w:hAnsi="Times New Roman" w:cs="Times New Roman" w:eastAsia="Times New Roman" w:hint="default"/>
          <w:spacing w:val="-3"/>
        </w:rPr>
        <w:t>2015</w:t>
      </w:r>
      <w:r>
        <w:rPr>
          <w:spacing w:val="-3"/>
        </w:rPr>
        <w:t>年以来国家各个层面密集出台相关政策，大力支持和发展</w:t>
      </w:r>
      <w:r>
        <w:rPr>
          <w:rFonts w:ascii="Times New Roman" w:hAnsi="Times New Roman" w:cs="Times New Roman" w:eastAsia="Times New Roman" w:hint="default"/>
          <w:spacing w:val="-3"/>
        </w:rPr>
        <w:t>“</w:t>
      </w:r>
      <w:r>
        <w:rPr>
          <w:spacing w:val="-3"/>
        </w:rPr>
        <w:t>互</w:t>
      </w:r>
      <w:r>
        <w:rPr>
          <w:spacing w:val="71"/>
        </w:rPr>
        <w:t> </w:t>
      </w:r>
      <w:r>
        <w:rPr>
          <w:spacing w:val="-3"/>
        </w:rPr>
        <w:t>联网</w:t>
      </w:r>
      <w:r>
        <w:rPr>
          <w:rFonts w:ascii="Times New Roman" w:hAnsi="Times New Roman" w:cs="Times New Roman" w:eastAsia="Times New Roman" w:hint="default"/>
          <w:spacing w:val="-3"/>
        </w:rPr>
        <w:t>+</w:t>
      </w:r>
      <w:r>
        <w:rPr>
          <w:spacing w:val="-3"/>
        </w:rPr>
        <w:t>制造业</w:t>
      </w:r>
      <w:r>
        <w:rPr>
          <w:rFonts w:ascii="Times New Roman" w:hAnsi="Times New Roman" w:cs="Times New Roman" w:eastAsia="Times New Roman" w:hint="default"/>
          <w:spacing w:val="-3"/>
        </w:rPr>
        <w:t>”</w:t>
      </w:r>
      <w:r>
        <w:rPr>
          <w:spacing w:val="-3"/>
        </w:rPr>
        <w:t>的融合发展，力推工业互联网发展以支撑我国制造业转型升级。为深入贯彻落实国务院《关于深化</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5"/>
        </w:rPr>
        <w:t> </w:t>
      </w:r>
      <w:r>
        <w:rPr>
          <w:spacing w:val="-3"/>
        </w:rPr>
        <w:t>先进制造业</w:t>
      </w:r>
      <w:r>
        <w:rPr>
          <w:rFonts w:ascii="Times New Roman" w:hAnsi="Times New Roman" w:cs="Times New Roman" w:eastAsia="Times New Roman" w:hint="default"/>
          <w:spacing w:val="-3"/>
        </w:rPr>
        <w:t>”</w:t>
      </w:r>
      <w:r>
        <w:rPr>
          <w:spacing w:val="-3"/>
        </w:rPr>
        <w:t>发展工业互联网的指导意见》，工信部先后发布了《工业互联网发展行动计划</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w:t>
      </w:r>
      <w:r>
        <w:rPr>
          <w:spacing w:val="-3"/>
        </w:rPr>
        <w:t>》、《工业互联</w:t>
      </w:r>
      <w:r>
        <w:rPr>
          <w:spacing w:val="81"/>
        </w:rPr>
        <w:t> </w:t>
      </w:r>
      <w:r>
        <w:rPr>
          <w:spacing w:val="81"/>
        </w:rPr>
      </w:r>
      <w:r>
        <w:rPr>
          <w:spacing w:val="-3"/>
        </w:rPr>
        <w:t>网专项工作组</w:t>
      </w:r>
      <w:r>
        <w:rPr>
          <w:rFonts w:ascii="Times New Roman" w:hAnsi="Times New Roman" w:cs="Times New Roman" w:eastAsia="Times New Roman" w:hint="default"/>
          <w:spacing w:val="-3"/>
        </w:rPr>
        <w:t>2018</w:t>
      </w:r>
      <w:r>
        <w:rPr>
          <w:spacing w:val="-3"/>
        </w:rPr>
        <w:t>年工作计划》、《工业互联网</w:t>
      </w:r>
      <w:r>
        <w:rPr>
          <w:rFonts w:ascii="Times New Roman" w:hAnsi="Times New Roman" w:cs="Times New Roman" w:eastAsia="Times New Roman" w:hint="default"/>
          <w:spacing w:val="-3"/>
        </w:rPr>
        <w:t>APP</w:t>
      </w:r>
      <w:r>
        <w:rPr>
          <w:spacing w:val="-3"/>
        </w:rPr>
        <w:t>培育工程方案</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w:t>
      </w:r>
      <w:r>
        <w:rPr>
          <w:spacing w:val="-3"/>
        </w:rPr>
        <w:t>》，可以说，国家支持工业互联网发展的</w:t>
      </w:r>
      <w:r>
        <w:rPr>
          <w:spacing w:val="5"/>
        </w:rPr>
        <w:t> </w:t>
      </w:r>
      <w:r>
        <w:rPr>
          <w:spacing w:val="5"/>
        </w:rPr>
      </w:r>
      <w:r>
        <w:rPr>
          <w:spacing w:val="-3"/>
        </w:rPr>
        <w:t>政策体系基本形成。</w:t>
      </w:r>
    </w:p>
    <w:p>
      <w:pPr>
        <w:pStyle w:val="BodyText"/>
        <w:spacing w:line="316" w:lineRule="auto" w:before="61"/>
        <w:ind w:right="1123" w:firstLine="480"/>
        <w:jc w:val="left"/>
      </w:pPr>
      <w:r>
        <w:rPr>
          <w:spacing w:val="-3"/>
        </w:rPr>
        <w:t>目前网络空间的对抗已演变成大国间对抗的首选战场，工业互联网广泛涉及到能源、智能制造、交通、电子与通信等</w:t>
      </w:r>
      <w:r>
        <w:rPr>
          <w:w w:val="101"/>
        </w:rPr>
        <w:t> </w:t>
      </w:r>
      <w:r>
        <w:rPr>
          <w:spacing w:val="-4"/>
        </w:rPr>
        <w:t>众多重要行业或领域，其安全关乎国计民生、公共利益和国家安全。震网病毒、乌克兰和委内瑞拉电网事件等说明工业互联</w:t>
      </w:r>
      <w:r>
        <w:rPr>
          <w:spacing w:val="40"/>
        </w:rPr>
        <w:t> </w:t>
      </w:r>
      <w:r>
        <w:rPr>
          <w:spacing w:val="40"/>
        </w:rPr>
      </w:r>
      <w:r>
        <w:rPr>
          <w:spacing w:val="-4"/>
        </w:rPr>
        <w:t>网已经成为国家间对抗的重要目标，工业互联网安全形势不容乐观。因此，在大力发展工业互联网过程中，没有安全一切都</w:t>
      </w:r>
      <w:r>
        <w:rPr>
          <w:spacing w:val="40"/>
        </w:rPr>
        <w:t> </w:t>
      </w:r>
      <w:r>
        <w:rPr>
          <w:spacing w:val="40"/>
        </w:rPr>
      </w:r>
      <w:r>
        <w:rPr>
          <w:spacing w:val="-3"/>
        </w:rPr>
        <w:t>是</w:t>
      </w:r>
      <w:r>
        <w:rPr>
          <w:rFonts w:ascii="Times New Roman" w:hAnsi="Times New Roman" w:cs="Times New Roman" w:eastAsia="Times New Roman" w:hint="default"/>
          <w:spacing w:val="-3"/>
        </w:rPr>
        <w:t>“</w:t>
      </w:r>
      <w:r>
        <w:rPr>
          <w:spacing w:val="-3"/>
        </w:rPr>
        <w:t>纸上谈兵</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月，工信部等十部委联合印发《加强工业互联网安全工作的指导意见》</w:t>
      </w:r>
      <w:r>
        <w:rPr>
          <w:rFonts w:ascii="Times New Roman" w:hAnsi="Times New Roman" w:cs="Times New Roman" w:eastAsia="Times New Roman" w:hint="default"/>
          <w:spacing w:val="-3"/>
        </w:rPr>
        <w:t>(</w:t>
      </w:r>
      <w:r>
        <w:rPr>
          <w:spacing w:val="-3"/>
        </w:rPr>
        <w:t>以下简称《意见》</w:t>
      </w:r>
      <w:r>
        <w:rPr>
          <w:rFonts w:ascii="Times New Roman" w:hAnsi="Times New Roman" w:cs="Times New Roman" w:eastAsia="Times New Roman" w:hint="default"/>
          <w:spacing w:val="-3"/>
        </w:rPr>
        <w:t>)</w:t>
      </w:r>
      <w:r>
        <w:rPr>
          <w:spacing w:val="-3"/>
        </w:rPr>
        <w:t>，以指</w:t>
      </w:r>
      <w:r>
        <w:rPr>
          <w:spacing w:val="78"/>
        </w:rPr>
        <w:t> </w:t>
      </w:r>
      <w:r>
        <w:rPr>
          <w:spacing w:val="78"/>
        </w:rPr>
      </w:r>
      <w:r>
        <w:rPr>
          <w:spacing w:val="-4"/>
        </w:rPr>
        <w:t>导工业互联网安全体系顶层规划的贯彻落实，加快工业互联网安全保障体系构建，提升工业互联网安全保障能力，促进工业</w:t>
      </w:r>
      <w:r>
        <w:rPr>
          <w:spacing w:val="43"/>
        </w:rPr>
        <w:t> </w:t>
      </w:r>
      <w:r>
        <w:rPr>
          <w:spacing w:val="43"/>
        </w:rPr>
      </w:r>
      <w:r>
        <w:rPr>
          <w:spacing w:val="-4"/>
        </w:rPr>
        <w:t>互联网高质量发展，护航制造强国和网络强国战略实施。《意见》指出，应根据安全风险程度等因素，对企业实施分类分级</w:t>
      </w:r>
      <w:r>
        <w:rPr>
          <w:spacing w:val="41"/>
        </w:rPr>
        <w:t> </w:t>
      </w:r>
      <w:r>
        <w:rPr>
          <w:spacing w:val="41"/>
        </w:rPr>
      </w:r>
      <w:r>
        <w:rPr>
          <w:spacing w:val="-4"/>
        </w:rPr>
        <w:t>管理，建立健全重点设备装置和系统平台联网前后的风险评估等制度，开展安全评估认证，推动工业互联网安全科技创新与</w:t>
      </w:r>
      <w:r>
        <w:rPr>
          <w:spacing w:val="43"/>
        </w:rPr>
        <w:t> </w:t>
      </w:r>
      <w:r>
        <w:rPr>
          <w:spacing w:val="43"/>
        </w:rPr>
      </w:r>
      <w:r>
        <w:rPr/>
        <w:t>产业发展。</w:t>
      </w:r>
    </w:p>
    <w:p>
      <w:pPr>
        <w:pStyle w:val="BodyText"/>
        <w:spacing w:line="319" w:lineRule="auto" w:before="58"/>
        <w:ind w:right="1124" w:firstLine="360"/>
        <w:jc w:val="both"/>
      </w:pPr>
      <w:r>
        <w:rPr>
          <w:spacing w:val="-4"/>
        </w:rPr>
        <w:t>从政策趋势来看，未来我国对信息安全建设的支持力度有望持续提升。作为中国基础软件和信息安全的领先企业，公司</w:t>
      </w:r>
      <w:r>
        <w:rPr>
          <w:w w:val="101"/>
        </w:rPr>
        <w:t> </w:t>
      </w:r>
      <w:r>
        <w:rPr>
          <w:spacing w:val="-3"/>
        </w:rPr>
        <w:t>的基础软件与信息安全业务，在国家自主可控、安全可靠的理念指引与政策导向下， 将进一步受益，在未来市场竞争中继</w:t>
      </w:r>
      <w:r>
        <w:rPr>
          <w:spacing w:val="-35"/>
        </w:rPr>
        <w:t> </w:t>
      </w:r>
      <w:r>
        <w:rPr>
          <w:spacing w:val="-35"/>
        </w:rPr>
      </w:r>
      <w:r>
        <w:rPr>
          <w:spacing w:val="-3"/>
        </w:rPr>
        <w:t>续保持优势，赢得更多发展机遇。</w:t>
      </w:r>
    </w:p>
    <w:p>
      <w:pPr>
        <w:pStyle w:val="BodyText"/>
        <w:spacing w:line="343" w:lineRule="auto" w:before="50"/>
        <w:ind w:left="633" w:right="0" w:hanging="188"/>
        <w:jc w:val="left"/>
      </w:pPr>
      <w:r>
        <w:rPr>
          <w:rFonts w:ascii="Times New Roman" w:hAnsi="Times New Roman" w:cs="Times New Roman" w:eastAsia="Times New Roman" w:hint="default"/>
          <w:spacing w:val="-3"/>
        </w:rPr>
        <w:t>2</w:t>
      </w:r>
      <w:r>
        <w:rPr>
          <w:spacing w:val="-3"/>
        </w:rPr>
        <w:t>、国防军工信息化领域</w:t>
      </w:r>
      <w:r>
        <w:rPr>
          <w:spacing w:val="-57"/>
        </w:rPr>
        <w:t> </w:t>
      </w:r>
      <w:r>
        <w:rPr>
          <w:spacing w:val="-57"/>
        </w:rPr>
      </w:r>
      <w:r>
        <w:rPr>
          <w:spacing w:val="-3"/>
        </w:rPr>
        <w:t>习总书记在十九大报告提出，坚持走中国特色强军之路，全面推进国防和军队现代化。适应世界新军事革命发展趋势</w:t>
      </w:r>
    </w:p>
    <w:p>
      <w:pPr>
        <w:pStyle w:val="BodyText"/>
        <w:spacing w:line="314" w:lineRule="auto"/>
        <w:ind w:right="0"/>
        <w:jc w:val="left"/>
      </w:pPr>
      <w:r>
        <w:rPr>
          <w:spacing w:val="-4"/>
        </w:rPr>
        <w:t>和国家安全需求，提高建设质量和效益，确保到二〇二〇年基本实现机械化，信息化建设取得重大进展，战略能力有大的提</w:t>
      </w:r>
      <w:r>
        <w:rPr>
          <w:spacing w:val="40"/>
        </w:rPr>
        <w:t> </w:t>
      </w:r>
      <w:r>
        <w:rPr>
          <w:spacing w:val="40"/>
        </w:rPr>
      </w:r>
      <w:r>
        <w:rPr>
          <w:spacing w:val="-3"/>
        </w:rPr>
        <w:t>升。树立科技是核心战斗力的思想，建设世界一流军队，就是全面提高国防和军队现代化水平，构建能够打赢信息化战争、</w:t>
      </w:r>
      <w:r>
        <w:rPr>
          <w:spacing w:val="66"/>
        </w:rPr>
        <w:t> </w:t>
      </w:r>
      <w:r>
        <w:rPr>
          <w:spacing w:val="66"/>
        </w:rPr>
      </w:r>
      <w:r>
        <w:rPr>
          <w:spacing w:val="-4"/>
        </w:rPr>
        <w:t>有效履行使命任务的中国特色现代军事力量体系。尽管我国国防信息化建设已全面开展，但由于产业基础薄弱，未来仍有非</w:t>
      </w:r>
      <w:r>
        <w:rPr>
          <w:spacing w:val="44"/>
        </w:rPr>
        <w:t> </w:t>
      </w:r>
      <w:r>
        <w:rPr>
          <w:spacing w:val="44"/>
        </w:rPr>
      </w:r>
      <w:r>
        <w:rPr>
          <w:spacing w:val="-4"/>
        </w:rPr>
        <w:t>常大的提升空间。根据据前瞻产业研究院提供的《中国军工产业深度市场调研与投资战略规划分析报告》数据，</w:t>
      </w:r>
      <w:r>
        <w:rPr>
          <w:rFonts w:ascii="Times New Roman" w:hAnsi="Times New Roman" w:cs="Times New Roman" w:eastAsia="Times New Roman" w:hint="default"/>
          <w:spacing w:val="-4"/>
        </w:rPr>
        <w:t>2015</w:t>
      </w:r>
      <w:r>
        <w:rPr>
          <w:spacing w:val="-4"/>
        </w:rPr>
        <w:t>年，我</w:t>
      </w:r>
      <w:r>
        <w:rPr>
          <w:spacing w:val="49"/>
        </w:rPr>
        <w:t> </w:t>
      </w:r>
      <w:r>
        <w:rPr>
          <w:spacing w:val="49"/>
        </w:rPr>
      </w:r>
      <w:r>
        <w:rPr>
          <w:spacing w:val="-3"/>
        </w:rPr>
        <w:t>国国防信息化开支约为</w:t>
      </w:r>
      <w:r>
        <w:rPr>
          <w:rFonts w:ascii="Times New Roman" w:hAnsi="Times New Roman" w:cs="Times New Roman" w:eastAsia="Times New Roman" w:hint="default"/>
          <w:spacing w:val="-3"/>
        </w:rPr>
        <w:t>875</w:t>
      </w:r>
      <w:r>
        <w:rPr>
          <w:spacing w:val="-3"/>
        </w:rPr>
        <w:t>亿元，同比增长</w:t>
      </w:r>
      <w:r>
        <w:rPr>
          <w:rFonts w:ascii="Times New Roman" w:hAnsi="Times New Roman" w:cs="Times New Roman" w:eastAsia="Times New Roman" w:hint="default"/>
          <w:spacing w:val="-3"/>
        </w:rPr>
        <w:t>17%</w:t>
      </w:r>
      <w:r>
        <w:rPr>
          <w:spacing w:val="-3"/>
        </w:rPr>
        <w:t>；预计到</w:t>
      </w:r>
      <w:r>
        <w:rPr>
          <w:rFonts w:ascii="Times New Roman" w:hAnsi="Times New Roman" w:cs="Times New Roman" w:eastAsia="Times New Roman" w:hint="default"/>
          <w:spacing w:val="-3"/>
        </w:rPr>
        <w:t>2025</w:t>
      </w:r>
      <w:r>
        <w:rPr>
          <w:spacing w:val="-3"/>
        </w:rPr>
        <w:t>年，国防信息化开支增至</w:t>
      </w:r>
      <w:r>
        <w:rPr>
          <w:rFonts w:ascii="Times New Roman" w:hAnsi="Times New Roman" w:cs="Times New Roman" w:eastAsia="Times New Roman" w:hint="default"/>
          <w:spacing w:val="-3"/>
        </w:rPr>
        <w:t>2513</w:t>
      </w:r>
      <w:r>
        <w:rPr>
          <w:spacing w:val="-3"/>
        </w:rPr>
        <w:t>亿元，年复合增长率达到</w:t>
      </w:r>
      <w:r>
        <w:rPr>
          <w:rFonts w:ascii="Times New Roman" w:hAnsi="Times New Roman" w:cs="Times New Roman" w:eastAsia="Times New Roman" w:hint="default"/>
          <w:spacing w:val="-3"/>
        </w:rPr>
        <w:t>11.6%</w:t>
      </w:r>
      <w:r>
        <w:rPr>
          <w:spacing w:val="-3"/>
        </w:rPr>
        <w:t>。</w:t>
      </w:r>
    </w:p>
    <w:p>
      <w:pPr>
        <w:pStyle w:val="BodyText"/>
        <w:spacing w:line="307" w:lineRule="auto" w:before="40"/>
        <w:ind w:right="1123" w:firstLine="480"/>
        <w:jc w:val="both"/>
      </w:pPr>
      <w:r>
        <w:rPr>
          <w:spacing w:val="-5"/>
        </w:rPr>
        <w:t>国防信息安全涵盖硬件、软件、数据与管理安全</w:t>
      </w:r>
      <w:r>
        <w:rPr>
          <w:rFonts w:ascii="Times New Roman" w:hAnsi="Times New Roman" w:cs="Times New Roman" w:eastAsia="Times New Roman" w:hint="default"/>
          <w:spacing w:val="-5"/>
        </w:rPr>
        <w:t>,</w:t>
      </w:r>
      <w:r>
        <w:rPr>
          <w:spacing w:val="-5"/>
        </w:rPr>
        <w:t>是国防信息化建设软实力的体现。美军拥有完整的信息安全防护网络</w:t>
      </w:r>
      <w:r>
        <w:rPr>
          <w:rFonts w:ascii="Times New Roman" w:hAnsi="Times New Roman" w:cs="Times New Roman" w:eastAsia="Times New Roman" w:hint="default"/>
          <w:spacing w:val="-5"/>
        </w:rPr>
        <w:t>,</w:t>
      </w:r>
      <w:r>
        <w:rPr>
          <w:rFonts w:ascii="Times New Roman" w:hAnsi="Times New Roman" w:cs="Times New Roman" w:eastAsia="Times New Roman" w:hint="default"/>
          <w:w w:val="101"/>
        </w:rPr>
        <w:t> </w:t>
      </w:r>
      <w:r>
        <w:rPr>
          <w:spacing w:val="-4"/>
        </w:rPr>
        <w:t>具备高效的信息安全协同作战能力。而我国国防信息安全则面临着核心软硬件自主程度低、信息技术标准遭垄断与网络攻击</w:t>
      </w:r>
      <w:r>
        <w:rPr>
          <w:spacing w:val="43"/>
        </w:rPr>
        <w:t> </w:t>
      </w:r>
      <w:r>
        <w:rPr>
          <w:spacing w:val="43"/>
        </w:rPr>
      </w:r>
      <w:r>
        <w:rPr>
          <w:spacing w:val="-4"/>
        </w:rPr>
        <w:t>日益增多的严峻形势。随着</w:t>
      </w:r>
      <w:r>
        <w:rPr>
          <w:rFonts w:ascii="Times New Roman" w:hAnsi="Times New Roman" w:cs="Times New Roman" w:eastAsia="Times New Roman" w:hint="default"/>
          <w:spacing w:val="-4"/>
        </w:rPr>
        <w:t>2016</w:t>
      </w:r>
      <w:r>
        <w:rPr>
          <w:spacing w:val="-4"/>
        </w:rPr>
        <w:t>年以来国家军改稳步推进，军品软件市场需求稳步提升，相关政策扶持力度逐渐加大，民参</w:t>
      </w:r>
      <w:r>
        <w:rPr>
          <w:spacing w:val="48"/>
        </w:rPr>
        <w:t> </w:t>
      </w:r>
      <w:r>
        <w:rPr>
          <w:spacing w:val="48"/>
        </w:rPr>
      </w:r>
      <w:r>
        <w:rPr/>
        <w:t>军企业重点受益。</w:t>
      </w:r>
    </w:p>
    <w:p>
      <w:pPr>
        <w:pStyle w:val="BodyText"/>
        <w:spacing w:line="240" w:lineRule="auto" w:before="64"/>
        <w:ind w:left="518" w:right="0"/>
        <w:jc w:val="left"/>
      </w:pPr>
      <w:r>
        <w:rPr>
          <w:rFonts w:ascii="Times New Roman" w:hAnsi="Times New Roman" w:cs="Times New Roman" w:eastAsia="Times New Roman" w:hint="default"/>
          <w:spacing w:val="-3"/>
        </w:rPr>
        <w:t>3</w:t>
      </w:r>
      <w:r>
        <w:rPr>
          <w:spacing w:val="-3"/>
        </w:rPr>
        <w:t>、基础通信和基础安全领域</w:t>
      </w:r>
    </w:p>
    <w:p>
      <w:pPr>
        <w:pStyle w:val="BodyText"/>
        <w:spacing w:line="302" w:lineRule="auto" w:before="97"/>
        <w:ind w:right="0" w:firstLine="480"/>
        <w:jc w:val="left"/>
      </w:pPr>
      <w:r>
        <w:rPr>
          <w:spacing w:val="-3"/>
        </w:rPr>
        <w:t>为了更好地迎接</w:t>
      </w:r>
      <w:r>
        <w:rPr>
          <w:rFonts w:ascii="Times New Roman" w:hAnsi="Times New Roman" w:cs="Times New Roman" w:eastAsia="Times New Roman" w:hint="default"/>
          <w:spacing w:val="-3"/>
        </w:rPr>
        <w:t>5G</w:t>
      </w:r>
      <w:r>
        <w:rPr>
          <w:spacing w:val="-3"/>
        </w:rPr>
        <w:t>时代的到来，</w:t>
      </w:r>
      <w:r>
        <w:rPr>
          <w:spacing w:val="54"/>
        </w:rPr>
        <w:t> </w:t>
      </w:r>
      <w:r>
        <w:rPr>
          <w:rFonts w:ascii="Times New Roman" w:hAnsi="Times New Roman" w:cs="Times New Roman" w:eastAsia="Times New Roman" w:hint="default"/>
          <w:spacing w:val="-3"/>
        </w:rPr>
        <w:t>DNS</w:t>
      </w:r>
      <w:r>
        <w:rPr>
          <w:spacing w:val="-3"/>
        </w:rPr>
        <w:t>系统需要向虚拟化和容器化方向演进；关于国家在</w:t>
      </w:r>
      <w:r>
        <w:rPr>
          <w:rFonts w:ascii="Times New Roman" w:hAnsi="Times New Roman" w:cs="Times New Roman" w:eastAsia="Times New Roman" w:hint="default"/>
          <w:spacing w:val="-3"/>
        </w:rPr>
        <w:t>Ipv6</w:t>
      </w:r>
      <w:r>
        <w:rPr>
          <w:spacing w:val="-3"/>
        </w:rPr>
        <w:t>工作推进方面，中办、</w:t>
      </w:r>
      <w:r>
        <w:rPr>
          <w:w w:val="101"/>
        </w:rPr>
        <w:t> </w:t>
      </w:r>
      <w:r>
        <w:rPr>
          <w:spacing w:val="-6"/>
          <w:w w:val="101"/>
        </w:rPr>
        <w:t>国办文件中，对于各级政府和企业网站支持</w:t>
      </w:r>
      <w:r>
        <w:rPr>
          <w:rFonts w:ascii="Times New Roman" w:hAnsi="Times New Roman" w:cs="Times New Roman" w:eastAsia="Times New Roman" w:hint="default"/>
          <w:spacing w:val="-6"/>
          <w:w w:val="101"/>
        </w:rPr>
        <w:t>IPv6</w:t>
      </w:r>
      <w:r>
        <w:rPr>
          <w:spacing w:val="-6"/>
          <w:w w:val="101"/>
        </w:rPr>
        <w:t>提出了明确的时间要求，公司为此专门研发了</w:t>
      </w:r>
      <w:r>
        <w:rPr>
          <w:rFonts w:ascii="Times New Roman" w:hAnsi="Times New Roman" w:cs="Times New Roman" w:eastAsia="Times New Roman" w:hint="default"/>
          <w:spacing w:val="-6"/>
          <w:w w:val="101"/>
        </w:rPr>
        <w:t>IPv6/IPv4</w:t>
      </w:r>
      <w:r>
        <w:rPr>
          <w:spacing w:val="-6"/>
          <w:w w:val="101"/>
        </w:rPr>
        <w:t>转换系统，可以让</w:t>
      </w:r>
      <w:r>
        <w:rPr>
          <w:rFonts w:ascii="Times New Roman" w:hAnsi="Times New Roman" w:cs="Times New Roman" w:eastAsia="Times New Roman" w:hint="default"/>
          <w:spacing w:val="-6"/>
          <w:w w:val="101"/>
        </w:rPr>
        <w:t>IPv6</w:t>
      </w:r>
      <w:r>
        <w:rPr>
          <w:rFonts w:ascii="Times New Roman" w:hAnsi="Times New Roman" w:cs="Times New Roman" w:eastAsia="Times New Roman" w:hint="default"/>
          <w:spacing w:val="-42"/>
          <w:w w:val="101"/>
        </w:rPr>
        <w:t> </w:t>
      </w:r>
      <w:r>
        <w:rPr>
          <w:rFonts w:ascii="Times New Roman" w:hAnsi="Times New Roman" w:cs="Times New Roman" w:eastAsia="Times New Roman" w:hint="default"/>
          <w:spacing w:val="-42"/>
          <w:w w:val="101"/>
        </w:rPr>
      </w:r>
      <w:r>
        <w:rPr>
          <w:spacing w:val="-3"/>
        </w:rPr>
        <w:t>终端畅通访问</w:t>
      </w:r>
      <w:r>
        <w:rPr>
          <w:rFonts w:ascii="Times New Roman" w:hAnsi="Times New Roman" w:cs="Times New Roman" w:eastAsia="Times New Roman" w:hint="default"/>
          <w:spacing w:val="-3"/>
        </w:rPr>
        <w:t>IPv4</w:t>
      </w:r>
      <w:r>
        <w:rPr>
          <w:spacing w:val="-3"/>
        </w:rPr>
        <w:t>网站，目前该产品已经在客户测试中。</w:t>
      </w:r>
    </w:p>
    <w:p>
      <w:pPr>
        <w:pStyle w:val="BodyText"/>
        <w:spacing w:line="307" w:lineRule="auto" w:before="49"/>
        <w:ind w:right="1124" w:firstLine="480"/>
        <w:jc w:val="both"/>
      </w:pPr>
      <w:r>
        <w:rPr/>
        <w:t>数据安全，国家标准</w:t>
      </w:r>
      <w:r>
        <w:rPr>
          <w:rFonts w:ascii="Times New Roman" w:hAnsi="Times New Roman" w:cs="Times New Roman" w:eastAsia="Times New Roman" w:hint="default"/>
        </w:rPr>
        <w:t>GB/T 35273-2017</w:t>
      </w:r>
      <w:r>
        <w:rPr>
          <w:rFonts w:ascii="Times New Roman" w:hAnsi="Times New Roman" w:cs="Times New Roman" w:eastAsia="Times New Roman" w:hint="default"/>
          <w:spacing w:val="7"/>
        </w:rPr>
        <w:t> </w:t>
      </w:r>
      <w:r>
        <w:rPr>
          <w:spacing w:val="-3"/>
        </w:rPr>
        <w:t>《信息安全技术个人信息安全规范》发布和实施，促进数据安全保障再上新台</w:t>
      </w:r>
      <w:r>
        <w:rPr>
          <w:w w:val="101"/>
        </w:rPr>
        <w:t> </w:t>
      </w:r>
      <w:r>
        <w:rPr>
          <w:spacing w:val="-3"/>
        </w:rPr>
        <w:t>阶。个人敏感信息防护、</w:t>
      </w:r>
      <w:r>
        <w:rPr>
          <w:rFonts w:ascii="Times New Roman" w:hAnsi="Times New Roman" w:cs="Times New Roman" w:eastAsia="Times New Roman" w:hint="default"/>
          <w:spacing w:val="-3"/>
        </w:rPr>
        <w:t>APP</w:t>
      </w:r>
      <w:r>
        <w:rPr>
          <w:spacing w:val="-3"/>
        </w:rPr>
        <w:t>应用安全监控的要求对移动互联网、互联网</w:t>
      </w:r>
      <w:r>
        <w:rPr>
          <w:rFonts w:ascii="Times New Roman" w:hAnsi="Times New Roman" w:cs="Times New Roman" w:eastAsia="Times New Roman" w:hint="default"/>
          <w:spacing w:val="-3"/>
        </w:rPr>
        <w:t>+</w:t>
      </w:r>
      <w:r>
        <w:rPr>
          <w:spacing w:val="-3"/>
        </w:rPr>
        <w:t>中的各行各业的都将产生巨大影响，同时也给信</w:t>
      </w:r>
      <w:r>
        <w:rPr>
          <w:spacing w:val="72"/>
        </w:rPr>
        <w:t> </w:t>
      </w:r>
      <w:r>
        <w:rPr>
          <w:spacing w:val="72"/>
        </w:rPr>
      </w:r>
      <w:r>
        <w:rPr>
          <w:spacing w:val="-4"/>
        </w:rPr>
        <w:t>息安全防护产品带来巨大的市场空间。全资子公司泰策科技将在之前部分客户成功试点的基础上，加大市场力度并不断完善</w:t>
      </w:r>
      <w:r>
        <w:rPr>
          <w:spacing w:val="43"/>
        </w:rPr>
        <w:t> </w:t>
      </w:r>
      <w:r>
        <w:rPr>
          <w:spacing w:val="43"/>
        </w:rPr>
      </w:r>
      <w:r>
        <w:rPr>
          <w:spacing w:val="-3"/>
        </w:rPr>
        <w:t>产品，力争取得多行业规模化突破。</w:t>
      </w:r>
    </w:p>
    <w:p>
      <w:pPr>
        <w:pStyle w:val="BodyText"/>
        <w:spacing w:line="240" w:lineRule="auto" w:before="64"/>
        <w:ind w:left="518" w:right="0"/>
        <w:jc w:val="left"/>
      </w:pPr>
      <w:r>
        <w:rPr>
          <w:rFonts w:ascii="Times New Roman" w:hAnsi="Times New Roman" w:cs="Times New Roman" w:eastAsia="Times New Roman" w:hint="default"/>
          <w:spacing w:val="-3"/>
        </w:rPr>
        <w:t>4</w:t>
      </w:r>
      <w:r>
        <w:rPr>
          <w:spacing w:val="-3"/>
        </w:rPr>
        <w:t>、应急安全领域</w:t>
      </w:r>
    </w:p>
    <w:p>
      <w:pPr>
        <w:pStyle w:val="BodyText"/>
        <w:spacing w:line="314" w:lineRule="auto" w:before="96"/>
        <w:ind w:right="1103" w:firstLine="480"/>
        <w:jc w:val="both"/>
      </w:pPr>
      <w:r>
        <w:rPr>
          <w:rFonts w:ascii="Times New Roman" w:hAnsi="Times New Roman" w:cs="Times New Roman" w:eastAsia="Times New Roman" w:hint="default"/>
          <w:spacing w:val="-3"/>
        </w:rPr>
        <w:t>2003</w:t>
      </w:r>
      <w:r>
        <w:rPr>
          <w:spacing w:val="-3"/>
        </w:rPr>
        <w:t>年非典发生后，国家十分重视应急管理工作。习总书记在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日中央政治局第十九次集体学习时强调，</w:t>
      </w:r>
      <w:r>
        <w:rPr>
          <w:w w:val="101"/>
        </w:rPr>
        <w:t> </w:t>
      </w:r>
      <w:r>
        <w:rPr>
          <w:spacing w:val="-4"/>
        </w:rPr>
        <w:t>充分发挥我国应急管理体系特色和优势，积极推进我国应急管理体系和能力现代化。要强化应急管理装备技术支撑，优化整</w:t>
      </w:r>
      <w:r>
        <w:rPr>
          <w:spacing w:val="44"/>
        </w:rPr>
        <w:t> </w:t>
      </w:r>
      <w:r>
        <w:rPr>
          <w:spacing w:val="44"/>
        </w:rPr>
      </w:r>
      <w:r>
        <w:rPr>
          <w:spacing w:val="-4"/>
        </w:rPr>
        <w:t>合各类科技资源，推进应急管理科技自主创新，依靠科技提高应急管理的科学化、专业化、智能化、精细化水平。要加大先</w:t>
      </w:r>
      <w:r>
        <w:rPr>
          <w:spacing w:val="40"/>
        </w:rPr>
        <w:t> </w:t>
      </w:r>
      <w:r>
        <w:rPr>
          <w:spacing w:val="40"/>
        </w:rPr>
      </w:r>
      <w:r>
        <w:rPr>
          <w:spacing w:val="-4"/>
        </w:rPr>
        <w:t>进适用装备的配备力度，加强关键技术研发，提高突发事件响应和处置能力。要适应科技信息化发展大势，以信息化推进应</w:t>
      </w:r>
      <w:r>
        <w:rPr>
          <w:spacing w:val="40"/>
        </w:rPr>
        <w:t> </w:t>
      </w:r>
      <w:r>
        <w:rPr>
          <w:spacing w:val="40"/>
        </w:rPr>
      </w:r>
      <w:r>
        <w:rPr>
          <w:spacing w:val="-3"/>
        </w:rPr>
        <w:t>急管理现代化，提高监测预警能力、监管执法能力、辅助指挥决策能力、救援实战能力和社会动员能力。</w:t>
      </w:r>
    </w:p>
    <w:p>
      <w:pPr>
        <w:pStyle w:val="BodyText"/>
        <w:spacing w:line="240" w:lineRule="auto" w:before="59"/>
        <w:ind w:left="633" w:right="0"/>
        <w:jc w:val="left"/>
      </w:pPr>
      <w:r>
        <w:rPr>
          <w:spacing w:val="-3"/>
        </w:rPr>
        <w:t>目前，新冠肺炎疫情正在全球肆虐蔓延，全球经济遭受沉重打击，对人类的生命安全带来严重威胁，习近平总书记指</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4" w:lineRule="auto" w:before="46"/>
        <w:ind w:right="1122"/>
        <w:jc w:val="both"/>
      </w:pPr>
      <w:r>
        <w:rPr>
          <w:spacing w:val="-3"/>
        </w:rPr>
        <w:t>出：</w:t>
      </w:r>
      <w:r>
        <w:rPr>
          <w:rFonts w:ascii="Times New Roman" w:hAnsi="Times New Roman" w:cs="Times New Roman" w:eastAsia="Times New Roman" w:hint="default"/>
          <w:spacing w:val="-3"/>
        </w:rPr>
        <w:t>“</w:t>
      </w:r>
      <w:r>
        <w:rPr>
          <w:spacing w:val="-3"/>
        </w:rPr>
        <w:t>我们一定要总结经验、吸取教训。要针对这次疫情应对中暴露出来的短板和不足，健全国家应急管理体系，提高处理</w:t>
      </w:r>
      <w:r>
        <w:rPr>
          <w:spacing w:val="66"/>
        </w:rPr>
        <w:t> </w:t>
      </w:r>
      <w:r>
        <w:rPr>
          <w:spacing w:val="66"/>
        </w:rPr>
      </w:r>
      <w:r>
        <w:rPr>
          <w:spacing w:val="-3"/>
        </w:rPr>
        <w:t>急难险重任务能力</w:t>
      </w:r>
      <w:r>
        <w:rPr>
          <w:rFonts w:ascii="Times New Roman" w:hAnsi="Times New Roman" w:cs="Times New Roman" w:eastAsia="Times New Roman" w:hint="default"/>
          <w:spacing w:val="-3"/>
        </w:rPr>
        <w:t>”</w:t>
      </w:r>
      <w:r>
        <w:rPr>
          <w:spacing w:val="-3"/>
        </w:rPr>
        <w:t>。应急产业涵盖了消防安全、防灾减灾、信息安全、公共安全等领域。发展应急产业既可以为装备、材</w:t>
      </w:r>
      <w:r>
        <w:rPr>
          <w:spacing w:val="65"/>
        </w:rPr>
        <w:t> </w:t>
      </w:r>
      <w:r>
        <w:rPr>
          <w:spacing w:val="65"/>
        </w:rPr>
      </w:r>
      <w:r>
        <w:rPr>
          <w:spacing w:val="-4"/>
        </w:rPr>
        <w:t>料、医药、通信等领域提供新的发展空间，也可能孕育出紧急救援服务等新的产业形态。据初步估算，全国安全应急、应急</w:t>
      </w:r>
      <w:r>
        <w:rPr>
          <w:spacing w:val="40"/>
        </w:rPr>
        <w:t> </w:t>
      </w:r>
      <w:r>
        <w:rPr>
          <w:spacing w:val="40"/>
        </w:rPr>
      </w:r>
      <w:r>
        <w:rPr>
          <w:spacing w:val="-4"/>
        </w:rPr>
        <w:t>装备等领域专用产品和服务的产值达到近万亿元规模，近三年来我国应急产业产值规模年均增长速度在</w:t>
      </w:r>
      <w:r>
        <w:rPr>
          <w:rFonts w:ascii="Times New Roman" w:hAnsi="Times New Roman" w:cs="Times New Roman" w:eastAsia="Times New Roman" w:hint="default"/>
          <w:spacing w:val="-4"/>
        </w:rPr>
        <w:t>20%</w:t>
      </w:r>
      <w:r>
        <w:rPr>
          <w:spacing w:val="-4"/>
        </w:rPr>
        <w:t>左右，高于同期</w:t>
      </w:r>
      <w:r>
        <w:rPr>
          <w:spacing w:val="78"/>
        </w:rPr>
        <w:t> </w:t>
      </w:r>
      <w:r>
        <w:rPr>
          <w:spacing w:val="78"/>
        </w:rPr>
      </w:r>
      <w:r>
        <w:rPr>
          <w:spacing w:val="-3"/>
        </w:rPr>
        <w:t>工业经济平均增速。根据前瞻产业研究院发布的《</w:t>
      </w:r>
      <w:r>
        <w:rPr>
          <w:rFonts w:ascii="Times New Roman" w:hAnsi="Times New Roman" w:cs="Times New Roman" w:eastAsia="Times New Roman" w:hint="default"/>
          <w:spacing w:val="-3"/>
        </w:rPr>
        <w:t>2018-2023</w:t>
      </w:r>
      <w:r>
        <w:rPr>
          <w:spacing w:val="-3"/>
        </w:rPr>
        <w:t>年中国应急通信行业发展前景预测与投资战略规划分析报告》</w:t>
      </w:r>
      <w:r>
        <w:rPr>
          <w:spacing w:val="77"/>
        </w:rPr>
        <w:t> </w:t>
      </w:r>
      <w:r>
        <w:rPr>
          <w:spacing w:val="77"/>
        </w:rPr>
      </w:r>
      <w:r>
        <w:rPr>
          <w:spacing w:val="-3"/>
        </w:rPr>
        <w:t>资料显示，在应急产业链中，应急通信作为最基本的保障，同时也是最关键的保障。</w:t>
      </w:r>
    </w:p>
    <w:p>
      <w:pPr>
        <w:pStyle w:val="BodyText"/>
        <w:spacing w:line="314" w:lineRule="auto" w:before="61"/>
        <w:ind w:right="0" w:firstLine="480"/>
        <w:jc w:val="left"/>
      </w:pPr>
      <w:r>
        <w:rPr>
          <w:spacing w:val="-3"/>
        </w:rPr>
        <w:t>公司紧随国家应急产业政策和发展规划，在未来</w:t>
      </w:r>
      <w:r>
        <w:rPr>
          <w:rFonts w:ascii="Times New Roman" w:hAnsi="Times New Roman" w:cs="Times New Roman" w:eastAsia="Times New Roman" w:hint="default"/>
          <w:spacing w:val="-3"/>
        </w:rPr>
        <w:t>3</w:t>
      </w:r>
      <w:r>
        <w:rPr>
          <w:spacing w:val="-3"/>
        </w:rPr>
        <w:t>年里，面向国家公共安全重大需求，围绕应急平台体系架构进行产</w:t>
      </w:r>
      <w:r>
        <w:rPr>
          <w:w w:val="101"/>
        </w:rPr>
        <w:t> </w:t>
      </w:r>
      <w:r>
        <w:rPr>
          <w:spacing w:val="-4"/>
        </w:rPr>
        <w:t>品研发，形成面向各级政府、行业和社区的应急平台软件及装备产品体系，并提供数据、基础支撑系统及场所的建设与集成</w:t>
      </w:r>
      <w:r>
        <w:rPr>
          <w:spacing w:val="40"/>
        </w:rPr>
        <w:t> </w:t>
      </w:r>
      <w:r>
        <w:rPr>
          <w:spacing w:val="40"/>
        </w:rPr>
      </w:r>
      <w:r>
        <w:rPr>
          <w:spacing w:val="-6"/>
        </w:rPr>
        <w:t>服务，解决各级政府应急管理需求提供强有力的保障。积极推动应急领域体系化建设，以政府应急平台作为应急体系的节点，</w:t>
      </w:r>
      <w:r>
        <w:rPr>
          <w:spacing w:val="63"/>
        </w:rPr>
        <w:t> </w:t>
      </w:r>
      <w:r>
        <w:rPr>
          <w:spacing w:val="63"/>
        </w:rPr>
      </w:r>
      <w:r>
        <w:rPr>
          <w:spacing w:val="-4"/>
        </w:rPr>
        <w:t>形成国家、省、地市、区县到基层单位上下贯通，行业部门左右协同、互联互通、信息共享、互有侧重、互为支撑、安全畅</w:t>
      </w:r>
      <w:r>
        <w:rPr>
          <w:spacing w:val="40"/>
        </w:rPr>
        <w:t> </w:t>
      </w:r>
      <w:r>
        <w:rPr>
          <w:spacing w:val="40"/>
        </w:rPr>
      </w:r>
      <w:r>
        <w:rPr>
          <w:spacing w:val="-4"/>
        </w:rPr>
        <w:t>通的应急平台体系。同时针对城市应急建设需求，公司积极探索构建全面的智慧应急综合解决方案，积极探索城市智能化的</w:t>
      </w:r>
      <w:r>
        <w:rPr>
          <w:spacing w:val="43"/>
        </w:rPr>
        <w:t> </w:t>
      </w:r>
      <w:r>
        <w:rPr>
          <w:spacing w:val="43"/>
        </w:rPr>
      </w:r>
      <w:r>
        <w:rPr>
          <w:spacing w:val="-4"/>
        </w:rPr>
        <w:t>发展途径，形成围绕应急信息化规划与设计服务、软件产品与系统定制化开发服务、系统集成与工程实施服务、应急指挥信</w:t>
      </w:r>
      <w:r>
        <w:rPr>
          <w:spacing w:val="40"/>
        </w:rPr>
        <w:t> </w:t>
      </w:r>
      <w:r>
        <w:rPr>
          <w:spacing w:val="40"/>
        </w:rPr>
      </w:r>
      <w:r>
        <w:rPr>
          <w:spacing w:val="-4"/>
        </w:rPr>
        <w:t>息化建设的核心技术与重要成果，业务涉及政府服务、公共安全、应急指挥等领域。公司将全力打造</w:t>
      </w:r>
      <w:r>
        <w:rPr>
          <w:rFonts w:ascii="Times New Roman" w:hAnsi="Times New Roman" w:cs="Times New Roman" w:eastAsia="Times New Roman" w:hint="default"/>
          <w:spacing w:val="-4"/>
        </w:rPr>
        <w:t>“</w:t>
      </w:r>
      <w:r>
        <w:rPr>
          <w:spacing w:val="-4"/>
        </w:rPr>
        <w:t>智慧应急先行者</w:t>
      </w:r>
      <w:r>
        <w:rPr>
          <w:rFonts w:ascii="Times New Roman" w:hAnsi="Times New Roman" w:cs="Times New Roman" w:eastAsia="Times New Roman" w:hint="default"/>
          <w:spacing w:val="-4"/>
        </w:rPr>
        <w:t>”</w:t>
      </w:r>
      <w:r>
        <w:rPr>
          <w:spacing w:val="-4"/>
        </w:rPr>
        <w:t>，助</w:t>
      </w:r>
      <w:r>
        <w:rPr>
          <w:spacing w:val="40"/>
        </w:rPr>
        <w:t> </w:t>
      </w:r>
      <w:r>
        <w:rPr>
          <w:spacing w:val="-3"/>
        </w:rPr>
        <w:t>力各级政府和行业用户应急管理工作的创新。</w:t>
      </w:r>
    </w:p>
    <w:p>
      <w:pPr>
        <w:pStyle w:val="BodyText"/>
        <w:spacing w:line="333" w:lineRule="auto" w:before="64"/>
        <w:ind w:left="633"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5G</w:t>
      </w:r>
      <w:r>
        <w:rPr/>
        <w:t>通信技术领域</w:t>
      </w:r>
      <w:r>
        <w:rPr>
          <w:spacing w:val="-87"/>
        </w:rPr>
        <w:t> </w:t>
      </w:r>
      <w:r>
        <w:rPr>
          <w:spacing w:val="-87"/>
        </w:rPr>
      </w:r>
      <w:r>
        <w:rPr>
          <w:spacing w:val="-3"/>
        </w:rPr>
        <w:t>我国在</w:t>
      </w:r>
      <w:r>
        <w:rPr>
          <w:rFonts w:ascii="Times New Roman" w:hAnsi="Times New Roman" w:cs="Times New Roman" w:eastAsia="Times New Roman" w:hint="default"/>
          <w:spacing w:val="-3"/>
        </w:rPr>
        <w:t>5G</w:t>
      </w:r>
      <w:r>
        <w:rPr>
          <w:spacing w:val="-3"/>
        </w:rPr>
        <w:t>的发展上，已经处在世界前列。近期举行的中央经济工作会议指出，加快</w:t>
      </w:r>
      <w:r>
        <w:rPr>
          <w:rFonts w:ascii="Times New Roman" w:hAnsi="Times New Roman" w:cs="Times New Roman" w:eastAsia="Times New Roman" w:hint="default"/>
          <w:spacing w:val="-3"/>
        </w:rPr>
        <w:t>5G</w:t>
      </w:r>
      <w:r>
        <w:rPr>
          <w:spacing w:val="-3"/>
        </w:rPr>
        <w:t>的研发和商用步伐，将</w:t>
      </w:r>
      <w:r>
        <w:rPr>
          <w:rFonts w:ascii="Times New Roman" w:hAnsi="Times New Roman" w:cs="Times New Roman" w:eastAsia="Times New Roman" w:hint="default"/>
          <w:spacing w:val="-3"/>
        </w:rPr>
        <w:t>5G</w:t>
      </w:r>
      <w:r>
        <w:rPr>
          <w:spacing w:val="-3"/>
        </w:rPr>
        <w:t>的发</w:t>
      </w:r>
      <w:r>
        <w:rPr/>
      </w:r>
    </w:p>
    <w:p>
      <w:pPr>
        <w:pStyle w:val="BodyText"/>
        <w:spacing w:line="234" w:lineRule="exact"/>
        <w:ind w:right="0"/>
        <w:jc w:val="left"/>
      </w:pPr>
      <w:r>
        <w:rPr>
          <w:spacing w:val="-3"/>
        </w:rPr>
        <w:t>展作为科技强国的基础建设，抢占全球技术竞争的制高点，</w:t>
      </w:r>
      <w:r>
        <w:rPr>
          <w:rFonts w:ascii="Times New Roman" w:hAnsi="Times New Roman" w:cs="Times New Roman" w:eastAsia="Times New Roman" w:hint="default"/>
          <w:spacing w:val="-3"/>
        </w:rPr>
        <w:t>5G</w:t>
      </w:r>
      <w:r>
        <w:rPr>
          <w:spacing w:val="-3"/>
        </w:rPr>
        <w:t>已升级为国家战略。国内三大电信运营商作为</w:t>
      </w:r>
      <w:r>
        <w:rPr>
          <w:rFonts w:ascii="Times New Roman" w:hAnsi="Times New Roman" w:cs="Times New Roman" w:eastAsia="Times New Roman" w:hint="default"/>
          <w:spacing w:val="-3"/>
        </w:rPr>
        <w:t>5G</w:t>
      </w:r>
      <w:r>
        <w:rPr>
          <w:spacing w:val="-3"/>
        </w:rPr>
        <w:t>网络建设的</w:t>
      </w:r>
    </w:p>
    <w:p>
      <w:pPr>
        <w:pStyle w:val="BodyText"/>
        <w:spacing w:line="312" w:lineRule="auto" w:before="63"/>
        <w:ind w:right="0"/>
        <w:jc w:val="left"/>
      </w:pPr>
      <w:r>
        <w:rPr>
          <w:spacing w:val="-3"/>
        </w:rPr>
        <w:t>主力军，已全力开展</w:t>
      </w:r>
      <w:r>
        <w:rPr>
          <w:rFonts w:ascii="Times New Roman" w:hAnsi="Times New Roman" w:cs="Times New Roman" w:eastAsia="Times New Roman" w:hint="default"/>
          <w:spacing w:val="-3"/>
        </w:rPr>
        <w:t>5G</w:t>
      </w:r>
      <w:r>
        <w:rPr>
          <w:spacing w:val="-3"/>
        </w:rPr>
        <w:t>的预商用工作，未来几年，我国将迎来</w:t>
      </w:r>
      <w:r>
        <w:rPr>
          <w:rFonts w:ascii="Times New Roman" w:hAnsi="Times New Roman" w:cs="Times New Roman" w:eastAsia="Times New Roman" w:hint="default"/>
          <w:spacing w:val="-3"/>
        </w:rPr>
        <w:t>5G</w:t>
      </w:r>
      <w:r>
        <w:rPr>
          <w:spacing w:val="-3"/>
        </w:rPr>
        <w:t>建设的高峰。</w:t>
      </w:r>
      <w:r>
        <w:rPr>
          <w:rFonts w:ascii="Times New Roman" w:hAnsi="Times New Roman" w:cs="Times New Roman" w:eastAsia="Times New Roman" w:hint="default"/>
          <w:spacing w:val="-3"/>
        </w:rPr>
        <w:t>5G</w:t>
      </w:r>
      <w:r>
        <w:rPr>
          <w:spacing w:val="-3"/>
        </w:rPr>
        <w:t>相比</w:t>
      </w:r>
      <w:r>
        <w:rPr>
          <w:rFonts w:ascii="Times New Roman" w:hAnsi="Times New Roman" w:cs="Times New Roman" w:eastAsia="Times New Roman" w:hint="default"/>
          <w:spacing w:val="-3"/>
        </w:rPr>
        <w:t>4G</w:t>
      </w:r>
      <w:r>
        <w:rPr>
          <w:spacing w:val="-3"/>
        </w:rPr>
        <w:t>带来的网络能力的升级是巨大的，</w:t>
      </w:r>
      <w:r>
        <w:rPr>
          <w:spacing w:val="80"/>
        </w:rPr>
        <w:t> </w:t>
      </w:r>
      <w:r>
        <w:rPr>
          <w:spacing w:val="80"/>
        </w:rPr>
      </w:r>
      <w:r>
        <w:rPr>
          <w:spacing w:val="-4"/>
        </w:rPr>
        <w:t>将改变整个社会的运行模式，是发展智能制造、工业互联网、智慧城市、智慧生活的网络基础，其所能承载的数据数量将是</w:t>
      </w:r>
      <w:r>
        <w:rPr>
          <w:spacing w:val="40"/>
        </w:rPr>
        <w:t> </w:t>
      </w:r>
      <w:r>
        <w:rPr>
          <w:spacing w:val="40"/>
        </w:rPr>
      </w:r>
      <w:r>
        <w:rPr>
          <w:spacing w:val="-6"/>
        </w:rPr>
        <w:t>指数级的增长，所能支持的业务类型也将远超现有的范围，原有的安全技术已经无法满足这样的海量数据、高度复杂的业务、</w:t>
      </w:r>
      <w:r>
        <w:rPr>
          <w:spacing w:val="63"/>
        </w:rPr>
        <w:t> </w:t>
      </w:r>
      <w:r>
        <w:rPr>
          <w:spacing w:val="63"/>
        </w:rPr>
      </w:r>
      <w:r>
        <w:rPr>
          <w:spacing w:val="-3"/>
        </w:rPr>
        <w:t>数据处理需求，只有通过</w:t>
      </w:r>
      <w:r>
        <w:rPr>
          <w:rFonts w:ascii="Times New Roman" w:hAnsi="Times New Roman" w:cs="Times New Roman" w:eastAsia="Times New Roman" w:hint="default"/>
          <w:spacing w:val="-3"/>
        </w:rPr>
        <w:t>AI</w:t>
      </w:r>
      <w:r>
        <w:rPr>
          <w:spacing w:val="-3"/>
        </w:rPr>
        <w:t>的加持，才能适应</w:t>
      </w:r>
      <w:r>
        <w:rPr>
          <w:rFonts w:ascii="Times New Roman" w:hAnsi="Times New Roman" w:cs="Times New Roman" w:eastAsia="Times New Roman" w:hint="default"/>
          <w:spacing w:val="-3"/>
        </w:rPr>
        <w:t>5G</w:t>
      </w:r>
      <w:r>
        <w:rPr>
          <w:spacing w:val="-3"/>
        </w:rPr>
        <w:t>环境下的新的信息安全需求。东方通与国内一流高校进行产学研合作，持</w:t>
      </w:r>
      <w:r>
        <w:rPr>
          <w:spacing w:val="74"/>
        </w:rPr>
        <w:t> </w:t>
      </w:r>
      <w:r>
        <w:rPr>
          <w:spacing w:val="74"/>
        </w:rPr>
      </w:r>
      <w:r>
        <w:rPr>
          <w:spacing w:val="-4"/>
        </w:rPr>
        <w:t>续加大研发投入，将人工智能领域的语言识别、语言理解、机器学习等能力应用到东方通的安全解决方案产品中，用全面升</w:t>
      </w:r>
      <w:r>
        <w:rPr>
          <w:spacing w:val="40"/>
        </w:rPr>
        <w:t> </w:t>
      </w:r>
      <w:r>
        <w:rPr>
          <w:spacing w:val="40"/>
        </w:rPr>
      </w:r>
      <w:r>
        <w:rPr>
          <w:spacing w:val="-3"/>
        </w:rPr>
        <w:t>级的安全产品和服务来迎接</w:t>
      </w:r>
      <w:r>
        <w:rPr>
          <w:rFonts w:ascii="Times New Roman" w:hAnsi="Times New Roman" w:cs="Times New Roman" w:eastAsia="Times New Roman" w:hint="default"/>
          <w:spacing w:val="-3"/>
        </w:rPr>
        <w:t>5G</w:t>
      </w:r>
      <w:r>
        <w:rPr>
          <w:spacing w:val="-3"/>
        </w:rPr>
        <w:t>的大潮。</w:t>
      </w:r>
    </w:p>
    <w:p>
      <w:pPr>
        <w:pStyle w:val="Heading6"/>
        <w:spacing w:line="240" w:lineRule="auto" w:before="118"/>
        <w:ind w:left="508" w:right="0"/>
        <w:jc w:val="left"/>
        <w:rPr>
          <w:b w:val="0"/>
          <w:bCs w:val="0"/>
        </w:rPr>
      </w:pPr>
      <w:r>
        <w:rPr/>
        <w:t>（二）公司发展战略</w:t>
      </w:r>
      <w:r>
        <w:rPr>
          <w:b w:val="0"/>
          <w:bCs w:val="0"/>
        </w:rPr>
      </w:r>
    </w:p>
    <w:p>
      <w:pPr>
        <w:spacing w:line="240" w:lineRule="auto" w:before="1"/>
        <w:rPr>
          <w:rFonts w:ascii="宋体" w:hAnsi="宋体" w:cs="宋体" w:eastAsia="宋体" w:hint="default"/>
          <w:b/>
          <w:bCs/>
          <w:sz w:val="15"/>
          <w:szCs w:val="15"/>
        </w:rPr>
      </w:pPr>
    </w:p>
    <w:p>
      <w:pPr>
        <w:pStyle w:val="BodyText"/>
        <w:spacing w:line="319" w:lineRule="auto"/>
        <w:ind w:right="1124" w:firstLine="480"/>
        <w:jc w:val="both"/>
      </w:pPr>
      <w:r>
        <w:rPr>
          <w:spacing w:val="-3"/>
        </w:rPr>
        <w:t>我国对信息安全的重视已提升到前所未有的高度，为了要从根本上消除我国信息安全的隐患，保护国家安全，我国大</w:t>
      </w:r>
      <w:r>
        <w:rPr>
          <w:w w:val="101"/>
        </w:rPr>
        <w:t> </w:t>
      </w:r>
      <w:r>
        <w:rPr>
          <w:spacing w:val="-4"/>
        </w:rPr>
        <w:t>力推进国产替代，在芯片技术、基础软硬件等关键技术领域，要求国产厂家快速成长，掌握核心技术，提供安全、可信的产</w:t>
      </w:r>
      <w:r>
        <w:rPr>
          <w:spacing w:val="40"/>
        </w:rPr>
        <w:t> </w:t>
      </w:r>
      <w:r>
        <w:rPr>
          <w:spacing w:val="40"/>
        </w:rPr>
      </w:r>
      <w:r>
        <w:rPr/>
        <w:t>品。</w:t>
      </w:r>
    </w:p>
    <w:p>
      <w:pPr>
        <w:pStyle w:val="BodyText"/>
        <w:spacing w:line="319" w:lineRule="auto" w:before="50"/>
        <w:ind w:right="1123" w:firstLine="480"/>
        <w:jc w:val="left"/>
      </w:pPr>
      <w:r>
        <w:rPr>
          <w:spacing w:val="-5"/>
        </w:rPr>
        <w:t>东方通从</w:t>
      </w:r>
      <w:r>
        <w:rPr>
          <w:rFonts w:ascii="宋体" w:hAnsi="宋体" w:cs="宋体" w:eastAsia="宋体" w:hint="default"/>
          <w:spacing w:val="-5"/>
        </w:rPr>
        <w:t>2018</w:t>
      </w:r>
      <w:r>
        <w:rPr>
          <w:spacing w:val="-5"/>
        </w:rPr>
        <w:t>年开始更专注于智能安全领域的深耕与拓展，主推“自主可控、安全可靠”的全线安全产品和解决方案，</w:t>
      </w:r>
      <w:r>
        <w:rPr>
          <w:w w:val="101"/>
        </w:rPr>
        <w:t> </w:t>
      </w:r>
      <w:r>
        <w:rPr>
          <w:spacing w:val="-4"/>
        </w:rPr>
        <w:t>致力于成为大安全领域的核心企业。经过对公司主航道业务的梳理，将公司业务分为基础安全和行业安全两大板块，并分别</w:t>
      </w:r>
      <w:r>
        <w:rPr>
          <w:spacing w:val="43"/>
        </w:rPr>
        <w:t> </w:t>
      </w:r>
      <w:r>
        <w:rPr>
          <w:spacing w:val="43"/>
        </w:rPr>
      </w:r>
      <w:r>
        <w:rPr>
          <w:spacing w:val="-3"/>
        </w:rPr>
        <w:t>建立覆盖全国的营销及服务平台。基于多年积累的人工智能、</w:t>
      </w:r>
      <w:r>
        <w:rPr>
          <w:rFonts w:ascii="宋体" w:hAnsi="宋体" w:cs="宋体" w:eastAsia="宋体" w:hint="default"/>
          <w:spacing w:val="-3"/>
        </w:rPr>
        <w:t>4G/5G</w:t>
      </w:r>
      <w:r>
        <w:rPr>
          <w:spacing w:val="-3"/>
        </w:rPr>
        <w:t>技术能力储备进行产品技术升级，大力布局基础安全及</w:t>
      </w:r>
      <w:r>
        <w:rPr>
          <w:spacing w:val="77"/>
        </w:rPr>
        <w:t> </w:t>
      </w:r>
      <w:r>
        <w:rPr>
          <w:spacing w:val="77"/>
        </w:rPr>
      </w:r>
      <w:r>
        <w:rPr>
          <w:spacing w:val="-3"/>
        </w:rPr>
        <w:t>行业安全产业。</w:t>
      </w:r>
    </w:p>
    <w:p>
      <w:pPr>
        <w:pStyle w:val="BodyText"/>
        <w:spacing w:line="319" w:lineRule="auto" w:before="55"/>
        <w:ind w:right="1122" w:firstLine="480"/>
        <w:jc w:val="both"/>
      </w:pPr>
      <w:r>
        <w:rPr>
          <w:spacing w:val="-3"/>
        </w:rPr>
        <w:t>在基础安全领域，全面打造更丰富的基础安全产品线和生态环境。基于公司在产品、销售渠道、研发、售前、售后非</w:t>
      </w:r>
      <w:r>
        <w:rPr>
          <w:w w:val="101"/>
        </w:rPr>
        <w:t> </w:t>
      </w:r>
      <w:r>
        <w:rPr/>
        <w:t>常完善的组织体系 </w:t>
      </w:r>
      <w:r>
        <w:rPr>
          <w:spacing w:val="-3"/>
        </w:rPr>
        <w:t>，在市场方面，进一步聚焦重点市场，保证传统客群市场份额优势，基于产品生态引入新产品扩大市场</w:t>
      </w:r>
      <w:r>
        <w:rPr>
          <w:spacing w:val="-47"/>
        </w:rPr>
        <w:t> </w:t>
      </w:r>
      <w:r>
        <w:rPr>
          <w:spacing w:val="-47"/>
        </w:rPr>
      </w:r>
      <w:r>
        <w:rPr>
          <w:spacing w:val="-4"/>
        </w:rPr>
        <w:t>份额；同时关注新兴增量市场带来的商机，提前进行市场布局和产品技术布局；针对传统产品找差距、补短板，继续保持至</w:t>
      </w:r>
      <w:r>
        <w:rPr>
          <w:spacing w:val="41"/>
        </w:rPr>
        <w:t> </w:t>
      </w:r>
      <w:r>
        <w:rPr>
          <w:spacing w:val="41"/>
        </w:rPr>
      </w:r>
      <w:r>
        <w:rPr>
          <w:spacing w:val="-4"/>
        </w:rPr>
        <w:t>少半年的领先优势；布局未来技术趋势产品，聚焦</w:t>
      </w:r>
      <w:r>
        <w:rPr>
          <w:rFonts w:ascii="宋体" w:hAnsi="宋体" w:cs="宋体" w:eastAsia="宋体" w:hint="default"/>
          <w:spacing w:val="-4"/>
        </w:rPr>
        <w:t>B</w:t>
      </w:r>
      <w:r>
        <w:rPr>
          <w:spacing w:val="-4"/>
        </w:rPr>
        <w:t>端、</w:t>
      </w:r>
      <w:r>
        <w:rPr>
          <w:rFonts w:ascii="宋体" w:hAnsi="宋体" w:cs="宋体" w:eastAsia="宋体" w:hint="default"/>
          <w:spacing w:val="-4"/>
        </w:rPr>
        <w:t>G</w:t>
      </w:r>
      <w:r>
        <w:rPr>
          <w:spacing w:val="-4"/>
        </w:rPr>
        <w:t>端的私有云化中间件、安全中间件及行业中间件产品；同时全面整</w:t>
      </w:r>
      <w:r>
        <w:rPr>
          <w:spacing w:val="44"/>
        </w:rPr>
        <w:t> </w:t>
      </w:r>
      <w:r>
        <w:rPr>
          <w:spacing w:val="44"/>
        </w:rPr>
      </w:r>
      <w:r>
        <w:rPr>
          <w:spacing w:val="-4"/>
        </w:rPr>
        <w:t>合集团各业务板块的解决方案能力，提升复杂解决方案的交付能力。在组织机制方面优化流程、完善制度，加强赋能，持续</w:t>
      </w:r>
      <w:r>
        <w:rPr>
          <w:spacing w:val="40"/>
        </w:rPr>
        <w:t> </w:t>
      </w:r>
      <w:r>
        <w:rPr>
          <w:spacing w:val="40"/>
        </w:rPr>
      </w:r>
      <w:r>
        <w:rPr>
          <w:spacing w:val="-3"/>
        </w:rPr>
        <w:t>提升经营效率。</w:t>
      </w:r>
    </w:p>
    <w:p>
      <w:pPr>
        <w:pStyle w:val="BodyText"/>
        <w:spacing w:line="319" w:lineRule="auto" w:before="50"/>
        <w:ind w:right="1046" w:firstLine="480"/>
        <w:jc w:val="left"/>
      </w:pPr>
      <w:r>
        <w:rPr>
          <w:spacing w:val="-3"/>
        </w:rPr>
        <w:t>在行业安全领域，顺应国家</w:t>
      </w:r>
      <w:r>
        <w:rPr>
          <w:rFonts w:ascii="宋体" w:hAnsi="宋体" w:cs="宋体" w:eastAsia="宋体" w:hint="default"/>
          <w:spacing w:val="-3"/>
        </w:rPr>
        <w:t>5G</w:t>
      </w:r>
      <w:r>
        <w:rPr>
          <w:spacing w:val="-3"/>
        </w:rPr>
        <w:t>、工业互联网等“新基建”产业发展良好机遇，主打“安全</w:t>
      </w:r>
      <w:r>
        <w:rPr>
          <w:rFonts w:ascii="宋体" w:hAnsi="宋体" w:cs="宋体" w:eastAsia="宋体" w:hint="default"/>
          <w:spacing w:val="-3"/>
        </w:rPr>
        <w:t>+</w:t>
      </w:r>
      <w:r>
        <w:rPr>
          <w:spacing w:val="-3"/>
        </w:rPr>
        <w:t>”市场升级战略，将安全</w:t>
      </w:r>
      <w:r>
        <w:rPr>
          <w:w w:val="101"/>
        </w:rPr>
        <w:t> </w:t>
      </w:r>
      <w:r>
        <w:rPr>
          <w:spacing w:val="-3"/>
        </w:rPr>
        <w:t>融入工业互联网、智慧政务、社会治理、军工信息化等新兴领域，从运营商信息安全扩展到多个行业的信息安全解决方案，</w:t>
      </w:r>
      <w:r>
        <w:rPr>
          <w:spacing w:val="66"/>
        </w:rPr>
        <w:t> </w:t>
      </w:r>
      <w:r>
        <w:rPr>
          <w:spacing w:val="66"/>
        </w:rPr>
      </w:r>
      <w:r>
        <w:rPr>
          <w:spacing w:val="-3"/>
        </w:rPr>
        <w:t>拓展出网络安全、行业数据安全、工业互联网安全、应急安全、军工信息化等新的行业安全领域。其中，在应急安全领域，</w:t>
      </w:r>
      <w:r>
        <w:rPr>
          <w:spacing w:val="66"/>
        </w:rPr>
        <w:t> </w:t>
      </w:r>
      <w:r>
        <w:rPr>
          <w:spacing w:val="66"/>
        </w:rPr>
      </w:r>
      <w:r>
        <w:rPr>
          <w:spacing w:val="-4"/>
        </w:rPr>
        <w:t>公司依托大数据、云计算、人工智能、</w:t>
      </w:r>
      <w:r>
        <w:rPr>
          <w:rFonts w:ascii="宋体" w:hAnsi="宋体" w:cs="宋体" w:eastAsia="宋体" w:hint="default"/>
          <w:spacing w:val="-4"/>
        </w:rPr>
        <w:t>5G</w:t>
      </w:r>
      <w:r>
        <w:rPr>
          <w:spacing w:val="-4"/>
        </w:rPr>
        <w:t>通信等新技术为手段，强化应急平台顶层设计能力，不断优化和完善公司应急产品</w:t>
      </w:r>
      <w:r>
        <w:rPr>
          <w:spacing w:val="45"/>
        </w:rPr>
        <w:t> </w:t>
      </w:r>
      <w:r>
        <w:rPr>
          <w:spacing w:val="45"/>
        </w:rPr>
      </w:r>
      <w:r>
        <w:rPr>
          <w:spacing w:val="-4"/>
        </w:rPr>
        <w:t>在市场上的应用，努力打造从数字应急</w:t>
      </w:r>
      <w:r>
        <w:rPr>
          <w:rFonts w:ascii="宋体" w:hAnsi="宋体" w:cs="宋体" w:eastAsia="宋体" w:hint="default"/>
          <w:spacing w:val="-4"/>
        </w:rPr>
        <w:t>-&gt;</w:t>
      </w:r>
      <w:r>
        <w:rPr>
          <w:spacing w:val="-4"/>
        </w:rPr>
        <w:t>智能应急</w:t>
      </w:r>
      <w:r>
        <w:rPr>
          <w:rFonts w:ascii="宋体" w:hAnsi="宋体" w:cs="宋体" w:eastAsia="宋体" w:hint="default"/>
          <w:spacing w:val="-4"/>
        </w:rPr>
        <w:t>-&gt;</w:t>
      </w:r>
      <w:r>
        <w:rPr>
          <w:spacing w:val="-4"/>
        </w:rPr>
        <w:t>智慧应急的产品发展战略，为我国应急产业的发展提供强有力的技术支</w:t>
      </w:r>
      <w:r>
        <w:rPr>
          <w:spacing w:val="50"/>
        </w:rPr>
        <w:t> </w:t>
      </w:r>
      <w:r>
        <w:rPr>
          <w:spacing w:val="50"/>
        </w:rPr>
      </w:r>
      <w:r>
        <w:rPr/>
        <w:t>撑。</w:t>
      </w:r>
    </w:p>
    <w:p>
      <w:pPr>
        <w:spacing w:after="0" w:line="319"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633" w:right="0"/>
        <w:jc w:val="left"/>
      </w:pPr>
      <w:r>
        <w:rPr>
          <w:spacing w:val="-3"/>
        </w:rPr>
        <w:t>东方通在大安全领域将致力于形成横向根植于基础安全建设，纵向实现覆盖各行业的安全解决方案的能力。</w:t>
      </w:r>
    </w:p>
    <w:p>
      <w:pPr>
        <w:spacing w:line="240" w:lineRule="auto" w:before="8"/>
        <w:rPr>
          <w:rFonts w:ascii="宋体" w:hAnsi="宋体" w:cs="宋体" w:eastAsia="宋体" w:hint="default"/>
          <w:sz w:val="14"/>
          <w:szCs w:val="14"/>
        </w:rPr>
      </w:pPr>
    </w:p>
    <w:p>
      <w:pPr>
        <w:pStyle w:val="Heading6"/>
        <w:spacing w:line="240" w:lineRule="auto"/>
        <w:ind w:left="508" w:right="0"/>
        <w:jc w:val="left"/>
        <w:rPr>
          <w:b w:val="0"/>
          <w:bCs w:val="0"/>
        </w:rPr>
      </w:pPr>
      <w:r>
        <w:rPr/>
        <w:t>（三）经营计划</w:t>
      </w:r>
      <w:r>
        <w:rPr>
          <w:b w:val="0"/>
          <w:bCs w:val="0"/>
        </w:rPr>
      </w:r>
    </w:p>
    <w:p>
      <w:pPr>
        <w:spacing w:line="240" w:lineRule="auto" w:before="6"/>
        <w:rPr>
          <w:rFonts w:ascii="宋体" w:hAnsi="宋体" w:cs="宋体" w:eastAsia="宋体" w:hint="default"/>
          <w:b/>
          <w:bCs/>
          <w:sz w:val="15"/>
          <w:szCs w:val="15"/>
        </w:rPr>
      </w:pPr>
    </w:p>
    <w:p>
      <w:pPr>
        <w:pStyle w:val="Heading6"/>
        <w:spacing w:line="333" w:lineRule="auto"/>
        <w:ind w:right="8661" w:hanging="5"/>
        <w:jc w:val="left"/>
        <w:rPr>
          <w:b w:val="0"/>
          <w:bCs w:val="0"/>
        </w:rPr>
      </w:pPr>
      <w:r>
        <w:rPr>
          <w:rFonts w:ascii="Times New Roman" w:hAnsi="Times New Roman" w:cs="Times New Roman" w:eastAsia="Times New Roman" w:hint="default"/>
          <w:spacing w:val="-2"/>
        </w:rPr>
        <w:t>1</w:t>
      </w:r>
      <w:r>
        <w:rPr>
          <w:spacing w:val="-2"/>
        </w:rPr>
        <w:t>、基础安全板块</w:t>
      </w:r>
      <w:r>
        <w:rPr>
          <w:spacing w:val="-72"/>
        </w:rPr>
        <w:t> </w:t>
      </w:r>
      <w:r>
        <w:rPr>
          <w:spacing w:val="-72"/>
        </w:rPr>
      </w:r>
      <w:r>
        <w:rPr>
          <w:u w:val="single" w:color="000000"/>
        </w:rPr>
        <w:t>业务拓展：</w:t>
      </w:r>
      <w:r>
        <w:rPr/>
      </w:r>
      <w:r>
        <w:rPr>
          <w:b w:val="0"/>
          <w:bCs w:val="0"/>
        </w:rPr>
      </w:r>
    </w:p>
    <w:p>
      <w:pPr>
        <w:pStyle w:val="BodyText"/>
        <w:spacing w:line="321" w:lineRule="auto" w:before="49"/>
        <w:ind w:right="0" w:firstLine="480"/>
        <w:jc w:val="left"/>
      </w:pPr>
      <w:r>
        <w:rPr>
          <w:spacing w:val="-3"/>
        </w:rPr>
        <w:t>通过加大市场拓展力度、加强人员培养、完善渠道机制，提高组织效能等举措，充分挖掘已有客户资源，保持核心业</w:t>
      </w:r>
      <w:r>
        <w:rPr>
          <w:w w:val="101"/>
        </w:rPr>
        <w:t> </w:t>
      </w:r>
      <w:r>
        <w:rPr>
          <w:spacing w:val="-3"/>
        </w:rPr>
        <w:t>务的优势，在成长业务和新兴业务方面实现新的突破。</w:t>
      </w:r>
    </w:p>
    <w:p>
      <w:pPr>
        <w:pStyle w:val="BodyText"/>
        <w:spacing w:line="324" w:lineRule="auto" w:before="49"/>
        <w:ind w:right="0" w:firstLine="480"/>
        <w:jc w:val="left"/>
      </w:pPr>
      <w:r>
        <w:rPr>
          <w:rFonts w:ascii="宋体" w:hAnsi="宋体" w:cs="宋体" w:eastAsia="宋体" w:hint="default"/>
          <w:spacing w:val="-3"/>
        </w:rPr>
        <w:t>(1)</w:t>
      </w:r>
      <w:r>
        <w:rPr>
          <w:spacing w:val="-3"/>
        </w:rPr>
        <w:t>继续加大经营产出，保持政务、交通、金融、电信等行业的优势，做好深耕细作，持续提升业绩；完善渠道建设，</w:t>
      </w:r>
      <w:r>
        <w:rPr>
          <w:w w:val="101"/>
        </w:rPr>
        <w:t> </w:t>
      </w:r>
      <w:r>
        <w:rPr>
          <w:spacing w:val="-3"/>
        </w:rPr>
        <w:t>加强与合作伙伴的互动，建立业务生态圈；</w:t>
      </w:r>
    </w:p>
    <w:p>
      <w:pPr>
        <w:pStyle w:val="BodyText"/>
        <w:spacing w:line="321" w:lineRule="auto" w:before="47"/>
        <w:ind w:right="0" w:firstLine="480"/>
        <w:jc w:val="left"/>
      </w:pPr>
      <w:r>
        <w:rPr>
          <w:rFonts w:ascii="宋体" w:hAnsi="宋体" w:cs="宋体" w:eastAsia="宋体" w:hint="default"/>
          <w:spacing w:val="-3"/>
        </w:rPr>
        <w:t>(2)</w:t>
      </w:r>
      <w:r>
        <w:rPr>
          <w:spacing w:val="-3"/>
        </w:rPr>
        <w:t>提高整体效能，优化各部门结构，建立健全人员梯队；通过制度完善和流程优化，进一步提高人均效能；完善定</w:t>
      </w:r>
      <w:r>
        <w:rPr>
          <w:w w:val="101"/>
        </w:rPr>
        <w:t> </w:t>
      </w:r>
      <w:r>
        <w:rPr>
          <w:spacing w:val="-3"/>
        </w:rPr>
        <w:t>岗定编制度和薪酬体系；加强全员的培训，持续赋能。</w:t>
      </w:r>
    </w:p>
    <w:p>
      <w:pPr>
        <w:pStyle w:val="BodyText"/>
        <w:spacing w:line="357" w:lineRule="auto" w:before="58"/>
        <w:ind w:left="633" w:right="0"/>
        <w:jc w:val="left"/>
      </w:pPr>
      <w:r>
        <w:rPr>
          <w:rFonts w:ascii="宋体" w:hAnsi="宋体" w:cs="宋体" w:eastAsia="宋体" w:hint="default"/>
          <w:spacing w:val="-3"/>
        </w:rPr>
        <w:t>(3)</w:t>
      </w:r>
      <w:r>
        <w:rPr>
          <w:spacing w:val="-3"/>
        </w:rPr>
        <w:t>加大产品研发投入，加强技术和产品管理，做好产品的全生命周期管理。</w:t>
      </w:r>
      <w:r>
        <w:rPr>
          <w:spacing w:val="15"/>
        </w:rPr>
        <w:t> </w:t>
      </w:r>
      <w:r>
        <w:rPr>
          <w:spacing w:val="15"/>
        </w:rPr>
      </w:r>
      <w:r>
        <w:rPr>
          <w:rFonts w:ascii="宋体" w:hAnsi="宋体" w:cs="宋体" w:eastAsia="宋体" w:hint="default"/>
          <w:spacing w:val="-3"/>
        </w:rPr>
        <w:t>(4)</w:t>
      </w:r>
      <w:r>
        <w:rPr>
          <w:spacing w:val="-3"/>
        </w:rPr>
        <w:t>提升专利和软著的申请数量，从而保护企业成果并提高市场竞争力。</w:t>
      </w:r>
    </w:p>
    <w:p>
      <w:pPr>
        <w:pStyle w:val="BodyText"/>
        <w:spacing w:line="362" w:lineRule="auto" w:before="27"/>
        <w:ind w:left="513" w:right="1123" w:hanging="5"/>
        <w:jc w:val="left"/>
      </w:pPr>
      <w:r>
        <w:rPr>
          <w:rFonts w:ascii="宋体" w:hAnsi="宋体" w:cs="宋体" w:eastAsia="宋体" w:hint="default"/>
          <w:b/>
          <w:bCs/>
          <w:w w:val="100"/>
        </w:rPr>
      </w:r>
      <w:r>
        <w:rPr>
          <w:rFonts w:ascii="宋体" w:hAnsi="宋体" w:cs="宋体" w:eastAsia="宋体" w:hint="default"/>
          <w:b/>
          <w:bCs/>
          <w:u w:val="single" w:color="000000"/>
        </w:rPr>
        <w:t>产品研发：</w:t>
      </w:r>
      <w:r>
        <w:rPr>
          <w:rFonts w:ascii="宋体" w:hAnsi="宋体" w:cs="宋体" w:eastAsia="宋体" w:hint="default"/>
          <w:b/>
          <w:bCs/>
          <w:spacing w:val="-88"/>
          <w:u w:val="single" w:color="000000"/>
        </w:rPr>
        <w:t> </w:t>
      </w:r>
      <w:r>
        <w:rPr>
          <w:rFonts w:ascii="宋体" w:hAnsi="宋体" w:cs="宋体" w:eastAsia="宋体" w:hint="default"/>
          <w:b/>
          <w:bCs/>
          <w:spacing w:val="-88"/>
        </w:rPr>
      </w:r>
      <w:r>
        <w:rPr>
          <w:rFonts w:ascii="宋体" w:hAnsi="宋体" w:cs="宋体" w:eastAsia="宋体" w:hint="default"/>
          <w:b/>
          <w:bCs/>
          <w:spacing w:val="-88"/>
        </w:rPr>
      </w:r>
      <w:r>
        <w:rPr>
          <w:spacing w:val="-3"/>
        </w:rPr>
        <w:t>未来市场在云计算、大数据、安全和运维领域会是关注的焦点，结合公司自身优势，优选以下三个方向进行聚焦：</w:t>
      </w:r>
    </w:p>
    <w:p>
      <w:pPr>
        <w:pStyle w:val="BodyText"/>
        <w:spacing w:line="240" w:lineRule="auto" w:before="23"/>
        <w:ind w:left="633" w:right="0"/>
        <w:jc w:val="left"/>
      </w:pPr>
      <w:r>
        <w:rPr>
          <w:spacing w:val="-3"/>
        </w:rPr>
        <w:t>（</w:t>
      </w:r>
      <w:r>
        <w:rPr>
          <w:rFonts w:ascii="Times New Roman" w:hAnsi="Times New Roman" w:cs="Times New Roman" w:eastAsia="Times New Roman" w:hint="default"/>
          <w:spacing w:val="-3"/>
        </w:rPr>
        <w:t>1</w:t>
      </w:r>
      <w:r>
        <w:rPr>
          <w:spacing w:val="-3"/>
        </w:rPr>
        <w:t>）基于传统中间件的特性延伸：基于现有中间件产品，进行安全赋能及微服务化，提升差异化竞争优势</w:t>
      </w:r>
    </w:p>
    <w:p>
      <w:pPr>
        <w:pStyle w:val="BodyText"/>
        <w:spacing w:line="304" w:lineRule="auto" w:before="96"/>
        <w:ind w:right="0" w:firstLine="480"/>
        <w:jc w:val="left"/>
      </w:pPr>
      <w:r>
        <w:rPr>
          <w:spacing w:val="-3"/>
        </w:rPr>
        <w:t>（</w:t>
      </w:r>
      <w:r>
        <w:rPr>
          <w:rFonts w:ascii="Times New Roman" w:hAnsi="Times New Roman" w:cs="Times New Roman" w:eastAsia="Times New Roman" w:hint="default"/>
          <w:spacing w:val="-3"/>
        </w:rPr>
        <w:t>2</w:t>
      </w:r>
      <w:r>
        <w:rPr>
          <w:spacing w:val="-3"/>
        </w:rPr>
        <w:t>）基于中间件的业务场景化：目前中间件定位于跨行业的基础软件范畴，基于中间件自身基础延伸业务场景形成</w:t>
      </w:r>
      <w:r>
        <w:rPr>
          <w:w w:val="101"/>
        </w:rPr>
        <w:t> </w:t>
      </w:r>
      <w:r>
        <w:rPr>
          <w:spacing w:val="-3"/>
        </w:rPr>
        <w:t>行业中间件，提升在垂直行业领域的竞争力</w:t>
      </w:r>
    </w:p>
    <w:p>
      <w:pPr>
        <w:pStyle w:val="BodyText"/>
        <w:spacing w:line="319" w:lineRule="auto" w:before="66"/>
        <w:ind w:right="1122" w:firstLine="480"/>
        <w:jc w:val="both"/>
      </w:pPr>
      <w:r>
        <w:rPr>
          <w:spacing w:val="-3"/>
        </w:rPr>
        <w:t>（</w:t>
      </w:r>
      <w:r>
        <w:rPr>
          <w:rFonts w:ascii="宋体" w:hAnsi="宋体" w:cs="宋体" w:eastAsia="宋体" w:hint="default"/>
          <w:spacing w:val="-3"/>
        </w:rPr>
        <w:t>3</w:t>
      </w:r>
      <w:r>
        <w:rPr>
          <w:spacing w:val="-3"/>
        </w:rPr>
        <w:t>）新技术</w:t>
      </w:r>
      <w:r>
        <w:rPr>
          <w:rFonts w:ascii="宋体" w:hAnsi="宋体" w:cs="宋体" w:eastAsia="宋体" w:hint="default"/>
          <w:spacing w:val="-3"/>
        </w:rPr>
        <w:t>/</w:t>
      </w:r>
      <w:r>
        <w:rPr>
          <w:spacing w:val="-3"/>
        </w:rPr>
        <w:t>产品创新与预研：增加传统产品对新的容器云平台以及各种云原生、微服务应用场景的能力支持。探索</w:t>
      </w:r>
      <w:r>
        <w:rPr>
          <w:w w:val="101"/>
        </w:rPr>
        <w:t> </w:t>
      </w:r>
      <w:r>
        <w:rPr>
          <w:spacing w:val="-4"/>
        </w:rPr>
        <w:t>云原生、智能运维、边缘计算的新技术，以联合研发、科技课题等项目态方式孵化云环境下的整体解决方案，提供完整容器</w:t>
      </w:r>
      <w:r>
        <w:rPr>
          <w:spacing w:val="41"/>
        </w:rPr>
        <w:t> </w:t>
      </w:r>
      <w:r>
        <w:rPr>
          <w:spacing w:val="41"/>
        </w:rPr>
      </w:r>
      <w:r>
        <w:rPr>
          <w:spacing w:val="-3"/>
        </w:rPr>
        <w:t>云管能力和</w:t>
      </w:r>
      <w:r>
        <w:rPr>
          <w:rFonts w:ascii="宋体" w:hAnsi="宋体" w:cs="宋体" w:eastAsia="宋体" w:hint="default"/>
          <w:spacing w:val="-3"/>
        </w:rPr>
        <w:t>Devops</w:t>
      </w:r>
      <w:r>
        <w:rPr>
          <w:spacing w:val="-3"/>
        </w:rPr>
        <w:t>支持能力，支持云原生应用的开发、运行和维护，为微服务、边缘计算等新型应用提供更好的支撑。</w:t>
      </w:r>
    </w:p>
    <w:p>
      <w:pPr>
        <w:pStyle w:val="Heading6"/>
        <w:spacing w:line="333" w:lineRule="auto" w:before="55"/>
        <w:ind w:right="8661" w:hanging="5"/>
        <w:jc w:val="left"/>
        <w:rPr>
          <w:b w:val="0"/>
          <w:bCs w:val="0"/>
        </w:rPr>
      </w:pPr>
      <w:r>
        <w:rPr>
          <w:rFonts w:ascii="Times New Roman" w:hAnsi="Times New Roman" w:cs="Times New Roman" w:eastAsia="Times New Roman" w:hint="default"/>
          <w:spacing w:val="-2"/>
        </w:rPr>
        <w:t>2</w:t>
      </w:r>
      <w:r>
        <w:rPr>
          <w:spacing w:val="-2"/>
        </w:rPr>
        <w:t>、行业安全板块</w:t>
      </w:r>
      <w:r>
        <w:rPr>
          <w:spacing w:val="-72"/>
        </w:rPr>
        <w:t> </w:t>
      </w:r>
      <w:r>
        <w:rPr>
          <w:spacing w:val="-72"/>
        </w:rPr>
      </w:r>
      <w:r>
        <w:rPr>
          <w:u w:val="single" w:color="000000"/>
        </w:rPr>
        <w:t>业务拓展：</w:t>
      </w:r>
      <w:r>
        <w:rPr/>
      </w:r>
      <w:r>
        <w:rPr>
          <w:b w:val="0"/>
          <w:bCs w:val="0"/>
        </w:rPr>
      </w:r>
    </w:p>
    <w:p>
      <w:pPr>
        <w:pStyle w:val="BodyText"/>
        <w:spacing w:line="321" w:lineRule="auto" w:before="50"/>
        <w:ind w:right="0" w:firstLine="480"/>
        <w:jc w:val="left"/>
      </w:pPr>
      <w:r>
        <w:rPr>
          <w:spacing w:val="-3"/>
        </w:rPr>
        <w:t>（</w:t>
      </w:r>
      <w:r>
        <w:rPr>
          <w:rFonts w:ascii="宋体" w:hAnsi="宋体" w:cs="宋体" w:eastAsia="宋体" w:hint="default"/>
          <w:spacing w:val="-3"/>
        </w:rPr>
        <w:t>1</w:t>
      </w:r>
      <w:r>
        <w:rPr>
          <w:spacing w:val="-3"/>
        </w:rPr>
        <w:t>）加大人工智能、中台等新技术投入，持续拓展信息安全、网络安全、应急安全、数据安全、业务安全、工业互</w:t>
      </w:r>
      <w:r>
        <w:rPr>
          <w:w w:val="101"/>
        </w:rPr>
        <w:t> </w:t>
      </w:r>
      <w:r>
        <w:rPr>
          <w:spacing w:val="-3"/>
        </w:rPr>
        <w:t>联网等领域。联合各类科研机构形成多个新技术孵化创新平台。</w:t>
      </w:r>
    </w:p>
    <w:p>
      <w:pPr>
        <w:pStyle w:val="BodyText"/>
        <w:spacing w:line="321" w:lineRule="auto" w:before="49"/>
        <w:ind w:right="0" w:firstLine="480"/>
        <w:jc w:val="left"/>
      </w:pPr>
      <w:r>
        <w:rPr>
          <w:spacing w:val="-5"/>
        </w:rPr>
        <w:t>（</w:t>
      </w:r>
      <w:r>
        <w:rPr>
          <w:rFonts w:ascii="宋体" w:hAnsi="宋体" w:cs="宋体" w:eastAsia="宋体" w:hint="default"/>
          <w:spacing w:val="-5"/>
        </w:rPr>
        <w:t>2</w:t>
      </w:r>
      <w:r>
        <w:rPr>
          <w:spacing w:val="-5"/>
        </w:rPr>
        <w:t>）巩固现有电信运营商客户资源基础上，继续提高市场占有率。拓展“安全</w:t>
      </w:r>
      <w:r>
        <w:rPr>
          <w:rFonts w:ascii="宋体" w:hAnsi="宋体" w:cs="宋体" w:eastAsia="宋体" w:hint="default"/>
          <w:spacing w:val="-5"/>
        </w:rPr>
        <w:t>+</w:t>
      </w:r>
      <w:r>
        <w:rPr>
          <w:spacing w:val="-5"/>
        </w:rPr>
        <w:t>”业务覆盖领域，在工业互联网安全、</w:t>
      </w:r>
      <w:r>
        <w:rPr>
          <w:w w:val="101"/>
        </w:rPr>
        <w:t> </w:t>
      </w:r>
      <w:r>
        <w:rPr>
          <w:spacing w:val="-3"/>
        </w:rPr>
        <w:t>内容安全、数据安全领域拓展更大的市场空间。</w:t>
      </w:r>
    </w:p>
    <w:p>
      <w:pPr>
        <w:pStyle w:val="BodyText"/>
        <w:spacing w:line="240" w:lineRule="auto" w:before="53"/>
        <w:ind w:left="633" w:right="0"/>
        <w:jc w:val="left"/>
      </w:pPr>
      <w:r>
        <w:rPr>
          <w:spacing w:val="-3"/>
        </w:rPr>
        <w:t>（</w:t>
      </w:r>
      <w:r>
        <w:rPr>
          <w:rFonts w:ascii="宋体" w:hAnsi="宋体" w:cs="宋体" w:eastAsia="宋体" w:hint="default"/>
          <w:spacing w:val="-3"/>
        </w:rPr>
        <w:t>3</w:t>
      </w:r>
      <w:r>
        <w:rPr>
          <w:spacing w:val="-3"/>
        </w:rPr>
        <w:t>）进一步优化内部组织架构及标准化流程管理，提高研发和交付能力，实现运营效率再升级。</w:t>
      </w:r>
    </w:p>
    <w:p>
      <w:pPr>
        <w:pStyle w:val="BodyText"/>
        <w:spacing w:line="240" w:lineRule="auto" w:before="120"/>
        <w:ind w:left="633" w:right="0"/>
        <w:jc w:val="left"/>
      </w:pPr>
      <w:r>
        <w:rPr>
          <w:spacing w:val="-3"/>
        </w:rPr>
        <w:t>（</w:t>
      </w:r>
      <w:r>
        <w:rPr>
          <w:rFonts w:ascii="宋体" w:hAnsi="宋体" w:cs="宋体" w:eastAsia="宋体" w:hint="default"/>
          <w:spacing w:val="-3"/>
        </w:rPr>
        <w:t>4</w:t>
      </w:r>
      <w:r>
        <w:rPr>
          <w:spacing w:val="-3"/>
        </w:rPr>
        <w:t>）加大</w:t>
      </w:r>
      <w:r>
        <w:rPr>
          <w:rFonts w:ascii="宋体" w:hAnsi="宋体" w:cs="宋体" w:eastAsia="宋体" w:hint="default"/>
          <w:spacing w:val="-3"/>
        </w:rPr>
        <w:t>5G</w:t>
      </w:r>
      <w:r>
        <w:rPr>
          <w:spacing w:val="-3"/>
        </w:rPr>
        <w:t>相关业务创新应用投入，布局</w:t>
      </w:r>
      <w:r>
        <w:rPr>
          <w:rFonts w:ascii="宋体" w:hAnsi="宋体" w:cs="宋体" w:eastAsia="宋体" w:hint="default"/>
          <w:spacing w:val="-3"/>
        </w:rPr>
        <w:t>5G</w:t>
      </w:r>
      <w:r>
        <w:rPr>
          <w:spacing w:val="-3"/>
        </w:rPr>
        <w:t>网络优化、内容安全、业务安全、物联网等方向。</w:t>
      </w:r>
    </w:p>
    <w:p>
      <w:pPr>
        <w:pStyle w:val="BodyText"/>
        <w:spacing w:line="357" w:lineRule="auto" w:before="115"/>
        <w:ind w:left="508" w:right="4275" w:firstLine="124"/>
        <w:jc w:val="left"/>
        <w:rPr>
          <w:rFonts w:ascii="宋体" w:hAnsi="宋体" w:cs="宋体" w:eastAsia="宋体" w:hint="default"/>
        </w:rPr>
      </w:pPr>
      <w:r>
        <w:rPr>
          <w:spacing w:val="-3"/>
        </w:rPr>
        <w:t>（</w:t>
      </w:r>
      <w:r>
        <w:rPr>
          <w:rFonts w:ascii="宋体" w:hAnsi="宋体" w:cs="宋体" w:eastAsia="宋体" w:hint="default"/>
          <w:spacing w:val="-3"/>
        </w:rPr>
        <w:t>5</w:t>
      </w:r>
      <w:r>
        <w:rPr>
          <w:spacing w:val="-3"/>
        </w:rPr>
        <w:t>）关注卫星通信等新兴通信领域，实现已有产品的移植和推广。</w:t>
      </w:r>
      <w:r>
        <w:rPr>
          <w:w w:val="101"/>
        </w:rPr>
        <w:t> </w:t>
      </w:r>
      <w:r>
        <w:rPr>
          <w:rFonts w:ascii="宋体" w:hAnsi="宋体" w:cs="宋体" w:eastAsia="宋体" w:hint="default"/>
          <w:b/>
          <w:bCs/>
          <w:w w:val="100"/>
        </w:rPr>
      </w:r>
      <w:r>
        <w:rPr>
          <w:rFonts w:ascii="宋体" w:hAnsi="宋体" w:cs="宋体" w:eastAsia="宋体" w:hint="default"/>
          <w:b/>
          <w:bCs/>
          <w:u w:val="single" w:color="000000"/>
        </w:rPr>
        <w:t>产品研发：</w:t>
      </w:r>
      <w:r>
        <w:rPr>
          <w:rFonts w:ascii="宋体" w:hAnsi="宋体" w:cs="宋体" w:eastAsia="宋体" w:hint="default"/>
          <w:b/>
          <w:bCs/>
        </w:rPr>
      </w:r>
      <w:r>
        <w:rPr>
          <w:rFonts w:ascii="宋体" w:hAnsi="宋体" w:cs="宋体" w:eastAsia="宋体" w:hint="default"/>
        </w:rPr>
      </w:r>
    </w:p>
    <w:p>
      <w:pPr>
        <w:pStyle w:val="BodyText"/>
        <w:spacing w:line="319" w:lineRule="auto" w:before="26"/>
        <w:ind w:right="0" w:firstLine="480"/>
        <w:jc w:val="left"/>
      </w:pPr>
      <w:r>
        <w:rPr>
          <w:spacing w:val="-3"/>
        </w:rPr>
        <w:t>（</w:t>
      </w:r>
      <w:r>
        <w:rPr>
          <w:rFonts w:ascii="宋体" w:hAnsi="宋体" w:cs="宋体" w:eastAsia="宋体" w:hint="default"/>
          <w:spacing w:val="-3"/>
        </w:rPr>
        <w:t>1</w:t>
      </w:r>
      <w:r>
        <w:rPr>
          <w:spacing w:val="-3"/>
        </w:rPr>
        <w:t>）加大研发创新投入。继续加大新技术、新产品研发投入，联合高校等科研机构共建技术创新平台；积极参与信</w:t>
      </w:r>
      <w:r>
        <w:rPr>
          <w:w w:val="101"/>
        </w:rPr>
        <w:t> </w:t>
      </w:r>
      <w:r>
        <w:rPr>
          <w:spacing w:val="-6"/>
        </w:rPr>
        <w:t>息安全标准建设，加强对行业技术发展方向的把控；重点关注</w:t>
      </w:r>
      <w:r>
        <w:rPr>
          <w:rFonts w:ascii="宋体" w:hAnsi="宋体" w:cs="宋体" w:eastAsia="宋体" w:hint="default"/>
          <w:spacing w:val="-6"/>
        </w:rPr>
        <w:t>5G/</w:t>
      </w:r>
      <w:r>
        <w:rPr>
          <w:spacing w:val="-6"/>
        </w:rPr>
        <w:t>物联网</w:t>
      </w:r>
      <w:r>
        <w:rPr>
          <w:rFonts w:ascii="宋体" w:hAnsi="宋体" w:cs="宋体" w:eastAsia="宋体" w:hint="default"/>
          <w:spacing w:val="-6"/>
        </w:rPr>
        <w:t>/</w:t>
      </w:r>
      <w:r>
        <w:rPr>
          <w:spacing w:val="-6"/>
        </w:rPr>
        <w:t>工业互联网领域的网络安全、信息安全和数据安全，</w:t>
      </w:r>
      <w:r>
        <w:rPr>
          <w:spacing w:val="74"/>
        </w:rPr>
        <w:t> </w:t>
      </w:r>
      <w:r>
        <w:rPr>
          <w:spacing w:val="74"/>
        </w:rPr>
      </w:r>
      <w:r>
        <w:rPr>
          <w:spacing w:val="-6"/>
        </w:rPr>
        <w:t>加大</w:t>
      </w:r>
      <w:r>
        <w:rPr>
          <w:rFonts w:ascii="宋体" w:hAnsi="宋体" w:cs="宋体" w:eastAsia="宋体" w:hint="default"/>
          <w:spacing w:val="-6"/>
        </w:rPr>
        <w:t>AI</w:t>
      </w:r>
      <w:r>
        <w:rPr>
          <w:spacing w:val="-6"/>
        </w:rPr>
        <w:t>技术在安全领域应用的研发工作，充分利用公司在多年的技术和数据积累，借助</w:t>
      </w:r>
      <w:r>
        <w:rPr>
          <w:rFonts w:ascii="宋体" w:hAnsi="宋体" w:cs="宋体" w:eastAsia="宋体" w:hint="default"/>
          <w:spacing w:val="-6"/>
        </w:rPr>
        <w:t>AI</w:t>
      </w:r>
      <w:r>
        <w:rPr>
          <w:spacing w:val="-6"/>
        </w:rPr>
        <w:t>技术实现视频、图片内容的高精度、</w:t>
      </w:r>
      <w:r>
        <w:rPr>
          <w:spacing w:val="75"/>
        </w:rPr>
        <w:t> </w:t>
      </w:r>
      <w:r>
        <w:rPr>
          <w:spacing w:val="75"/>
        </w:rPr>
      </w:r>
      <w:r>
        <w:rPr>
          <w:spacing w:val="-4"/>
        </w:rPr>
        <w:t>高准确率识别。跟踪工业互联网领域有关安全需求，实现有关工业协议和时序数据的精确识别，工业边缘计算场景的敏感信</w:t>
      </w:r>
      <w:r>
        <w:rPr>
          <w:spacing w:val="43"/>
        </w:rPr>
        <w:t> </w:t>
      </w:r>
      <w:r>
        <w:rPr>
          <w:spacing w:val="43"/>
        </w:rPr>
      </w:r>
      <w:r>
        <w:rPr>
          <w:spacing w:val="-3"/>
        </w:rPr>
        <w:t>息识别等，提供专业的工业互联网数据安全产品和方案。</w:t>
      </w:r>
    </w:p>
    <w:p>
      <w:pPr>
        <w:pStyle w:val="BodyText"/>
        <w:spacing w:line="319" w:lineRule="auto" w:before="50"/>
        <w:ind w:right="1122" w:firstLine="48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5G</w:t>
      </w:r>
      <w:r>
        <w:rPr>
          <w:spacing w:val="-3"/>
        </w:rPr>
        <w:t>业务方向。立足于公司已有产品，保持公司已有产品各自领域的领先性，加强技术服务力度，提升用户满意</w:t>
      </w:r>
      <w:r>
        <w:rPr>
          <w:w w:val="101"/>
        </w:rPr>
        <w:t> </w:t>
      </w:r>
      <w:r>
        <w:rPr>
          <w:spacing w:val="-3"/>
        </w:rPr>
        <w:t>度，维护健康市场环境。重点业务包括</w:t>
      </w:r>
      <w:r>
        <w:rPr>
          <w:rFonts w:ascii="宋体" w:hAnsi="宋体" w:cs="宋体" w:eastAsia="宋体" w:hint="default"/>
          <w:spacing w:val="-3"/>
        </w:rPr>
        <w:t>5G</w:t>
      </w:r>
      <w:r>
        <w:rPr>
          <w:spacing w:val="-3"/>
        </w:rPr>
        <w:t>路测</w:t>
      </w:r>
      <w:r>
        <w:rPr>
          <w:rFonts w:ascii="宋体" w:hAnsi="宋体" w:cs="宋体" w:eastAsia="宋体" w:hint="default"/>
          <w:spacing w:val="-3"/>
        </w:rPr>
        <w:t>/</w:t>
      </w:r>
      <w:r>
        <w:rPr>
          <w:spacing w:val="-3"/>
        </w:rPr>
        <w:t>拨测工具、</w:t>
      </w:r>
      <w:r>
        <w:rPr>
          <w:rFonts w:ascii="宋体" w:hAnsi="宋体" w:cs="宋体" w:eastAsia="宋体" w:hint="default"/>
          <w:spacing w:val="-3"/>
        </w:rPr>
        <w:t>5G DPI</w:t>
      </w:r>
      <w:r>
        <w:rPr>
          <w:spacing w:val="-3"/>
        </w:rPr>
        <w:t>分析工具、</w:t>
      </w:r>
      <w:r>
        <w:rPr>
          <w:rFonts w:ascii="宋体" w:hAnsi="宋体" w:cs="宋体" w:eastAsia="宋体" w:hint="default"/>
          <w:spacing w:val="-3"/>
        </w:rPr>
        <w:t>5G</w:t>
      </w:r>
      <w:r>
        <w:rPr>
          <w:spacing w:val="-3"/>
        </w:rPr>
        <w:t>无线网络性能规划、智慧运维产品、内容安 全产品、恶意软件监控产品等。在此基础上，一方面，整合优势资源，建立</w:t>
      </w:r>
      <w:r>
        <w:rPr>
          <w:rFonts w:ascii="宋体" w:hAnsi="宋体" w:cs="宋体" w:eastAsia="宋体" w:hint="default"/>
          <w:spacing w:val="-3"/>
        </w:rPr>
        <w:t>5G</w:t>
      </w:r>
      <w:r>
        <w:rPr>
          <w:spacing w:val="-3"/>
        </w:rPr>
        <w:t>产品生态，将路测、拨测、</w:t>
      </w:r>
      <w:r>
        <w:rPr>
          <w:rFonts w:ascii="宋体" w:hAnsi="宋体" w:cs="宋体" w:eastAsia="宋体" w:hint="default"/>
          <w:spacing w:val="-3"/>
        </w:rPr>
        <w:t>DPI</w:t>
      </w:r>
      <w:r>
        <w:rPr>
          <w:spacing w:val="-3"/>
        </w:rPr>
        <w:t>、核心网仿真</w:t>
      </w:r>
      <w:r>
        <w:rPr>
          <w:spacing w:val="77"/>
        </w:rPr>
        <w:t> </w:t>
      </w:r>
      <w:r>
        <w:rPr>
          <w:spacing w:val="77"/>
        </w:rPr>
      </w:r>
      <w:r>
        <w:rPr>
          <w:spacing w:val="-4"/>
        </w:rPr>
        <w:t>等进行产品整合，建立完整的通信网络数据采集分析系统及方案、形成规模优势。另一方面，从传统网络测试分析产品向</w:t>
      </w:r>
      <w:r>
        <w:rPr>
          <w:rFonts w:ascii="宋体" w:hAnsi="宋体" w:cs="宋体" w:eastAsia="宋体" w:hint="default"/>
          <w:spacing w:val="-4"/>
        </w:rPr>
        <w:t>5G</w:t>
      </w:r>
      <w:r>
        <w:rPr>
          <w:rFonts w:ascii="宋体" w:hAnsi="宋体" w:cs="宋体" w:eastAsia="宋体" w:hint="default"/>
          <w:spacing w:val="46"/>
        </w:rPr>
        <w:t> </w:t>
      </w:r>
      <w:r>
        <w:rPr>
          <w:spacing w:val="-3"/>
        </w:rPr>
        <w:t>的</w:t>
      </w:r>
      <w:r>
        <w:rPr>
          <w:rFonts w:ascii="宋体" w:hAnsi="宋体" w:cs="宋体" w:eastAsia="宋体" w:hint="default"/>
          <w:spacing w:val="-3"/>
        </w:rPr>
        <w:t>eMBB</w:t>
      </w:r>
      <w:r>
        <w:rPr>
          <w:spacing w:val="-3"/>
        </w:rPr>
        <w:t>、</w:t>
      </w:r>
      <w:r>
        <w:rPr>
          <w:rFonts w:ascii="宋体" w:hAnsi="宋体" w:cs="宋体" w:eastAsia="宋体" w:hint="default"/>
          <w:spacing w:val="-3"/>
        </w:rPr>
        <w:t>uRLLC</w:t>
      </w:r>
      <w:r>
        <w:rPr>
          <w:spacing w:val="-3"/>
        </w:rPr>
        <w:t>及</w:t>
      </w:r>
      <w:r>
        <w:rPr>
          <w:rFonts w:ascii="宋体" w:hAnsi="宋体" w:cs="宋体" w:eastAsia="宋体" w:hint="default"/>
          <w:spacing w:val="-3"/>
        </w:rPr>
        <w:t>mMTC</w:t>
      </w:r>
      <w:r>
        <w:rPr>
          <w:spacing w:val="-3"/>
        </w:rPr>
        <w:t>三大场景延伸，深入到垂直领域，有效开拓业务渠道。</w:t>
      </w:r>
    </w:p>
    <w:p>
      <w:pPr>
        <w:pStyle w:val="BodyText"/>
        <w:spacing w:line="240" w:lineRule="auto" w:before="50"/>
        <w:ind w:left="633" w:right="0"/>
        <w:jc w:val="left"/>
      </w:pPr>
      <w:r>
        <w:rPr>
          <w:spacing w:val="-3"/>
        </w:rPr>
        <w:t>（</w:t>
      </w:r>
      <w:r>
        <w:rPr>
          <w:rFonts w:ascii="宋体" w:hAnsi="宋体" w:cs="宋体" w:eastAsia="宋体" w:hint="default"/>
          <w:spacing w:val="-3"/>
        </w:rPr>
        <w:t>3</w:t>
      </w:r>
      <w:r>
        <w:rPr>
          <w:spacing w:val="-3"/>
        </w:rPr>
        <w:t>）基础通信安全方向。加强基于域名解析系统（</w:t>
      </w:r>
      <w:r>
        <w:rPr>
          <w:rFonts w:ascii="宋体" w:hAnsi="宋体" w:cs="宋体" w:eastAsia="宋体" w:hint="default"/>
          <w:spacing w:val="-3"/>
        </w:rPr>
        <w:t>DNS</w:t>
      </w:r>
      <w:r>
        <w:rPr>
          <w:spacing w:val="-3"/>
        </w:rPr>
        <w:t>）大数据的异常域名检测开发，同时进行可运营</w:t>
      </w:r>
      <w:r>
        <w:rPr>
          <w:rFonts w:ascii="宋体" w:hAnsi="宋体" w:cs="宋体" w:eastAsia="宋体" w:hint="default"/>
          <w:spacing w:val="-3"/>
        </w:rPr>
        <w:t>DNS</w:t>
      </w:r>
      <w:r>
        <w:rPr>
          <w:spacing w:val="-3"/>
        </w:rPr>
        <w:t>系统的调</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0"/>
        <w:jc w:val="left"/>
      </w:pPr>
      <w:r>
        <w:rPr>
          <w:spacing w:val="-3"/>
        </w:rPr>
        <w:t>研与研发工作，力争将</w:t>
      </w:r>
      <w:r>
        <w:rPr>
          <w:rFonts w:ascii="宋体" w:hAnsi="宋体" w:cs="宋体" w:eastAsia="宋体" w:hint="default"/>
          <w:spacing w:val="-3"/>
        </w:rPr>
        <w:t>DNS</w:t>
      </w:r>
      <w:r>
        <w:rPr>
          <w:spacing w:val="-3"/>
        </w:rPr>
        <w:t>与业务深度融合，开创商用</w:t>
      </w:r>
      <w:r>
        <w:rPr>
          <w:rFonts w:ascii="宋体" w:hAnsi="宋体" w:cs="宋体" w:eastAsia="宋体" w:hint="default"/>
          <w:spacing w:val="-3"/>
        </w:rPr>
        <w:t>DNS</w:t>
      </w:r>
      <w:r>
        <w:rPr>
          <w:spacing w:val="-3"/>
        </w:rPr>
        <w:t>市场的新格局；作为</w:t>
      </w:r>
      <w:r>
        <w:rPr>
          <w:rFonts w:ascii="宋体" w:hAnsi="宋体" w:cs="宋体" w:eastAsia="宋体" w:hint="default"/>
          <w:spacing w:val="-3"/>
        </w:rPr>
        <w:t>IP</w:t>
      </w:r>
      <w:r>
        <w:rPr>
          <w:spacing w:val="-3"/>
        </w:rPr>
        <w:t>网络的基础和核心，</w:t>
      </w:r>
      <w:r>
        <w:rPr>
          <w:rFonts w:ascii="宋体" w:hAnsi="宋体" w:cs="宋体" w:eastAsia="宋体" w:hint="default"/>
          <w:spacing w:val="-3"/>
        </w:rPr>
        <w:t>DNS</w:t>
      </w:r>
      <w:r>
        <w:rPr>
          <w:spacing w:val="-3"/>
        </w:rPr>
        <w:t>在</w:t>
      </w:r>
      <w:r>
        <w:rPr>
          <w:rFonts w:ascii="宋体" w:hAnsi="宋体" w:cs="宋体" w:eastAsia="宋体" w:hint="default"/>
          <w:spacing w:val="-3"/>
        </w:rPr>
        <w:t>5G</w:t>
      </w:r>
      <w:r>
        <w:rPr>
          <w:spacing w:val="-3"/>
        </w:rPr>
        <w:t>网络中也是重</w:t>
      </w:r>
      <w:r>
        <w:rPr/>
        <w:t> </w:t>
      </w:r>
      <w:r>
        <w:rPr/>
      </w:r>
      <w:r>
        <w:rPr>
          <w:spacing w:val="-3"/>
        </w:rPr>
        <w:t>要的网络设施，既服务于普通用户终端，也要服务</w:t>
      </w:r>
      <w:r>
        <w:rPr>
          <w:rFonts w:ascii="宋体" w:hAnsi="宋体" w:cs="宋体" w:eastAsia="宋体" w:hint="default"/>
          <w:spacing w:val="-3"/>
        </w:rPr>
        <w:t>5G</w:t>
      </w:r>
      <w:r>
        <w:rPr>
          <w:spacing w:val="-3"/>
        </w:rPr>
        <w:t>网络设备的互通，公司将完成基于</w:t>
      </w:r>
      <w:r>
        <w:rPr>
          <w:rFonts w:ascii="宋体" w:hAnsi="宋体" w:cs="宋体" w:eastAsia="宋体" w:hint="default"/>
          <w:spacing w:val="-3"/>
        </w:rPr>
        <w:t>5G</w:t>
      </w:r>
      <w:r>
        <w:rPr>
          <w:spacing w:val="-3"/>
        </w:rPr>
        <w:t>网络环境下的</w:t>
      </w:r>
      <w:r>
        <w:rPr>
          <w:rFonts w:ascii="宋体" w:hAnsi="宋体" w:cs="宋体" w:eastAsia="宋体" w:hint="default"/>
          <w:spacing w:val="-3"/>
        </w:rPr>
        <w:t>DNS</w:t>
      </w:r>
      <w:r>
        <w:rPr>
          <w:spacing w:val="-3"/>
        </w:rPr>
        <w:t>系统开发。</w:t>
      </w:r>
    </w:p>
    <w:p>
      <w:pPr>
        <w:pStyle w:val="BodyText"/>
        <w:spacing w:line="319" w:lineRule="auto" w:before="49"/>
        <w:ind w:right="0" w:firstLine="480"/>
        <w:jc w:val="left"/>
      </w:pPr>
      <w:r>
        <w:rPr>
          <w:spacing w:val="-3"/>
        </w:rPr>
        <w:t>（</w:t>
      </w:r>
      <w:r>
        <w:rPr>
          <w:rFonts w:ascii="宋体" w:hAnsi="宋体" w:cs="宋体" w:eastAsia="宋体" w:hint="default"/>
          <w:spacing w:val="-3"/>
        </w:rPr>
        <w:t>4</w:t>
      </w:r>
      <w:r>
        <w:rPr>
          <w:spacing w:val="-3"/>
        </w:rPr>
        <w:t>）应急安全方向。</w:t>
      </w:r>
      <w:r>
        <w:rPr>
          <w:rFonts w:ascii="宋体" w:hAnsi="宋体" w:cs="宋体" w:eastAsia="宋体" w:hint="default"/>
          <w:spacing w:val="-3"/>
        </w:rPr>
        <w:t>2020</w:t>
      </w:r>
      <w:r>
        <w:rPr>
          <w:spacing w:val="-3"/>
        </w:rPr>
        <w:t>年，公司将根据应急产业的发展趋势以及用户需求的变化，持续加大对产品研发的投入。</w:t>
      </w:r>
      <w:r>
        <w:rPr>
          <w:w w:val="101"/>
        </w:rPr>
        <w:t> </w:t>
      </w:r>
      <w:r>
        <w:rPr>
          <w:spacing w:val="-4"/>
        </w:rPr>
        <w:t>在原有应急通信产品的基础上扩展至行业应急和政府应急，按照国家应急管理部的统一指挥、上下联动、平战结合的应急管</w:t>
      </w:r>
      <w:r>
        <w:rPr>
          <w:spacing w:val="43"/>
        </w:rPr>
        <w:t> </w:t>
      </w:r>
      <w:r>
        <w:rPr>
          <w:spacing w:val="43"/>
        </w:rPr>
      </w:r>
      <w:r>
        <w:rPr>
          <w:spacing w:val="-4"/>
        </w:rPr>
        <w:t>理思想，重点加强在预测预警、指挥调度、应急保障、综合评估、模拟演练、大数据分析等方面的研发投入。同时对应急通</w:t>
      </w:r>
      <w:r>
        <w:rPr>
          <w:spacing w:val="40"/>
        </w:rPr>
        <w:t> </w:t>
      </w:r>
      <w:r>
        <w:rPr>
          <w:spacing w:val="40"/>
        </w:rPr>
      </w:r>
      <w:r>
        <w:rPr>
          <w:spacing w:val="-4"/>
        </w:rPr>
        <w:t>信指挥系统、应急决策支持系统、应急卫星终端管理系统、应急管理信息化平台、应急管理“一张图”、应急物资储备及调</w:t>
      </w:r>
      <w:r>
        <w:rPr>
          <w:spacing w:val="42"/>
        </w:rPr>
        <w:t> </w:t>
      </w:r>
      <w:r>
        <w:rPr>
          <w:spacing w:val="42"/>
        </w:rPr>
      </w:r>
      <w:r>
        <w:rPr>
          <w:spacing w:val="-3"/>
        </w:rPr>
        <w:t>度平台、应急大数据分析系统等产品进行持续改进、升级，提升产品竞争能力。</w:t>
      </w:r>
    </w:p>
    <w:p>
      <w:pPr>
        <w:pStyle w:val="BodyText"/>
        <w:spacing w:line="324" w:lineRule="auto" w:before="55"/>
        <w:ind w:right="0" w:firstLine="480"/>
        <w:jc w:val="left"/>
      </w:pPr>
      <w:r>
        <w:rPr>
          <w:spacing w:val="-3"/>
        </w:rPr>
        <w:t>（</w:t>
      </w:r>
      <w:r>
        <w:rPr>
          <w:rFonts w:ascii="宋体" w:hAnsi="宋体" w:cs="宋体" w:eastAsia="宋体" w:hint="default"/>
          <w:spacing w:val="-3"/>
        </w:rPr>
        <w:t>5</w:t>
      </w:r>
      <w:r>
        <w:rPr>
          <w:spacing w:val="-3"/>
        </w:rPr>
        <w:t>）工业互联网方向。立足自身数据识别优势，跟踪工业互联网有关技术需求和行业动态，继续在敏感数据识别管</w:t>
      </w:r>
      <w:r>
        <w:rPr>
          <w:w w:val="101"/>
        </w:rPr>
        <w:t> </w:t>
      </w:r>
      <w:r>
        <w:rPr>
          <w:spacing w:val="-3"/>
        </w:rPr>
        <w:t>控、时序数据安全网关等方向深入开展研发工作，与汽车、环保等领域合作推广，在系统使用过程中，不断迭代优化。</w:t>
      </w:r>
    </w:p>
    <w:p>
      <w:pPr>
        <w:pStyle w:val="BodyText"/>
        <w:spacing w:line="319" w:lineRule="auto" w:before="47"/>
        <w:ind w:right="0" w:firstLine="480"/>
        <w:jc w:val="left"/>
      </w:pPr>
      <w:r>
        <w:rPr>
          <w:spacing w:val="-3"/>
        </w:rPr>
        <w:t>（</w:t>
      </w:r>
      <w:r>
        <w:rPr>
          <w:rFonts w:ascii="宋体" w:hAnsi="宋体" w:cs="宋体" w:eastAsia="宋体" w:hint="default"/>
          <w:spacing w:val="-3"/>
        </w:rPr>
        <w:t>6</w:t>
      </w:r>
      <w:r>
        <w:rPr>
          <w:spacing w:val="-3"/>
        </w:rPr>
        <w:t>）数据安全方向。关注有关法律法规、标准规范的要求，整合现有产品技术积累和服务经验，推动敏感数据识别</w:t>
      </w:r>
      <w:r>
        <w:rPr>
          <w:w w:val="101"/>
        </w:rPr>
        <w:t> </w:t>
      </w:r>
      <w:r>
        <w:rPr>
          <w:spacing w:val="-4"/>
        </w:rPr>
        <w:t>管控、加密脱敏、流转监控等产品研发推广。推进数据安全集中管控平台研发，助力企业实现数据安全集约化管理，实现数</w:t>
      </w:r>
      <w:r>
        <w:rPr>
          <w:spacing w:val="40"/>
        </w:rPr>
        <w:t> </w:t>
      </w:r>
      <w:r>
        <w:rPr>
          <w:spacing w:val="40"/>
        </w:rPr>
      </w:r>
      <w:r>
        <w:rPr>
          <w:spacing w:val="-3"/>
        </w:rPr>
        <w:t>据安全态势感知分析能力，力争引领行业技术方向。</w:t>
      </w:r>
    </w:p>
    <w:p>
      <w:pPr>
        <w:spacing w:line="343" w:lineRule="auto" w:before="55"/>
        <w:ind w:left="633" w:right="2475" w:hanging="12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、集团管理重点工作</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spacing w:val="-3"/>
          <w:sz w:val="18"/>
          <w:szCs w:val="18"/>
        </w:rPr>
        <w:t>整体目标为深化集团建设，提升管理效率，优化协同机制，为业务板块提供服务和支撑：</w:t>
      </w:r>
    </w:p>
    <w:p>
      <w:pPr>
        <w:pStyle w:val="BodyText"/>
        <w:spacing w:line="352" w:lineRule="auto" w:before="37"/>
        <w:ind w:left="633" w:right="0"/>
        <w:jc w:val="left"/>
      </w:pPr>
      <w:r>
        <w:rPr>
          <w:spacing w:val="-3"/>
        </w:rPr>
        <w:t>（</w:t>
      </w:r>
      <w:r>
        <w:rPr>
          <w:rFonts w:ascii="宋体" w:hAnsi="宋体" w:cs="宋体" w:eastAsia="宋体" w:hint="default"/>
          <w:spacing w:val="-3"/>
        </w:rPr>
        <w:t>1</w:t>
      </w:r>
      <w:r>
        <w:rPr>
          <w:spacing w:val="-3"/>
        </w:rPr>
        <w:t>）完善公司组织架构和制度，深化集团化建设，</w:t>
      </w:r>
      <w:r>
        <w:rPr>
          <w:spacing w:val="-17"/>
        </w:rPr>
        <w:t> </w:t>
      </w:r>
      <w:r>
        <w:rPr>
          <w:spacing w:val="-17"/>
        </w:rPr>
      </w:r>
      <w:r>
        <w:rPr>
          <w:spacing w:val="-5"/>
        </w:rPr>
        <w:t>着力制度和流程优化，致力完善决策机制及职责分工、提升经营水平，努力在经营管理各方面取得创新性进步与突破。</w:t>
      </w:r>
    </w:p>
    <w:p>
      <w:pPr>
        <w:pStyle w:val="BodyText"/>
        <w:spacing w:line="319" w:lineRule="auto"/>
        <w:ind w:right="1123"/>
        <w:jc w:val="both"/>
      </w:pPr>
      <w:r>
        <w:rPr>
          <w:spacing w:val="-4"/>
        </w:rPr>
        <w:t>完善决策机制及职责分工。进一步规范明确决策机构、执行机构的职责范围，优化集团组织架构，完善董事会、管理层和各</w:t>
      </w:r>
      <w:r>
        <w:rPr>
          <w:spacing w:val="40"/>
        </w:rPr>
        <w:t> </w:t>
      </w:r>
      <w:r>
        <w:rPr>
          <w:spacing w:val="40"/>
        </w:rPr>
      </w:r>
      <w:r>
        <w:rPr>
          <w:spacing w:val="-4"/>
        </w:rPr>
        <w:t>子公司之间的分工、权责和管控模式，不断完善各子公司法人治理结构，强化组织管理原则，建立规范的决策程序和管理流</w:t>
      </w:r>
      <w:r>
        <w:rPr>
          <w:spacing w:val="40"/>
        </w:rPr>
        <w:t> </w:t>
      </w:r>
      <w:r>
        <w:rPr>
          <w:spacing w:val="40"/>
        </w:rPr>
      </w:r>
      <w:r>
        <w:rPr>
          <w:spacing w:val="-3"/>
        </w:rPr>
        <w:t>程，提高决策水平和决策效率。提高经营管控能力。完善战略规划体系，加大战略规划的执行力度。</w:t>
      </w:r>
    </w:p>
    <w:p>
      <w:pPr>
        <w:pStyle w:val="BodyText"/>
        <w:spacing w:line="352" w:lineRule="auto" w:before="60"/>
        <w:ind w:left="633" w:right="0"/>
        <w:jc w:val="left"/>
      </w:pPr>
      <w:r>
        <w:rPr>
          <w:spacing w:val="-3"/>
        </w:rPr>
        <w:t>（</w:t>
      </w:r>
      <w:r>
        <w:rPr>
          <w:rFonts w:ascii="宋体" w:hAnsi="宋体" w:cs="宋体" w:eastAsia="宋体" w:hint="default"/>
          <w:spacing w:val="-3"/>
        </w:rPr>
        <w:t>2</w:t>
      </w:r>
      <w:r>
        <w:rPr>
          <w:spacing w:val="-3"/>
        </w:rPr>
        <w:t>）集团内深入整合协同，强化内部控制</w:t>
      </w:r>
      <w:r>
        <w:rPr>
          <w:spacing w:val="-29"/>
        </w:rPr>
        <w:t> </w:t>
      </w:r>
      <w:r>
        <w:rPr>
          <w:spacing w:val="-29"/>
        </w:rPr>
      </w:r>
      <w:r>
        <w:rPr>
          <w:spacing w:val="-3"/>
        </w:rPr>
        <w:t>将管理水平的提升视为公司基业常青的根本保证。公司将从人才队伍、激励及考核机制、各项业务流程、建立企业文</w:t>
      </w:r>
    </w:p>
    <w:p>
      <w:pPr>
        <w:pStyle w:val="BodyText"/>
        <w:spacing w:line="321" w:lineRule="auto"/>
        <w:ind w:right="0"/>
        <w:jc w:val="left"/>
      </w:pPr>
      <w:r>
        <w:rPr>
          <w:spacing w:val="-6"/>
        </w:rPr>
        <w:t>化、内控制度监督等各个方面全面提升公司的管理水平。进一步进行集团内的协同整合，遵循公开、公平、公正的三公原则，</w:t>
      </w:r>
      <w:r>
        <w:rPr>
          <w:spacing w:val="67"/>
        </w:rPr>
        <w:t> </w:t>
      </w:r>
      <w:r>
        <w:rPr>
          <w:spacing w:val="67"/>
        </w:rPr>
      </w:r>
      <w:r>
        <w:rPr>
          <w:spacing w:val="-3"/>
        </w:rPr>
        <w:t>建立建全集团内部交易结算制度。</w:t>
      </w:r>
    </w:p>
    <w:p>
      <w:pPr>
        <w:pStyle w:val="BodyText"/>
        <w:spacing w:line="357" w:lineRule="auto" w:before="53"/>
        <w:ind w:left="633" w:right="0"/>
        <w:jc w:val="left"/>
      </w:pPr>
      <w:r>
        <w:rPr/>
        <w:t>（</w:t>
      </w:r>
      <w:r>
        <w:rPr>
          <w:rFonts w:ascii="宋体" w:hAnsi="宋体" w:cs="宋体" w:eastAsia="宋体" w:hint="default"/>
        </w:rPr>
        <w:t>3</w:t>
      </w:r>
      <w:r>
        <w:rPr/>
        <w:t>）加强品牌推广与投资者交流</w:t>
      </w:r>
      <w:r>
        <w:rPr>
          <w:spacing w:val="-86"/>
        </w:rPr>
        <w:t> </w:t>
      </w:r>
      <w:r>
        <w:rPr>
          <w:spacing w:val="-86"/>
        </w:rPr>
      </w:r>
      <w:r>
        <w:rPr>
          <w:rFonts w:ascii="宋体" w:hAnsi="宋体" w:cs="宋体" w:eastAsia="宋体" w:hint="default"/>
          <w:spacing w:val="-3"/>
        </w:rPr>
        <w:t>2020</w:t>
      </w:r>
      <w:r>
        <w:rPr>
          <w:spacing w:val="-3"/>
        </w:rPr>
        <w:t>年公司将继续加强品牌价值管理，提高资源配置效率，提升传播效果。在国内领先的大安全领域产品及解决方案</w:t>
      </w:r>
    </w:p>
    <w:p>
      <w:pPr>
        <w:pStyle w:val="BodyText"/>
        <w:spacing w:line="224" w:lineRule="exact"/>
        <w:ind w:right="0"/>
        <w:jc w:val="left"/>
      </w:pPr>
      <w:r>
        <w:rPr>
          <w:spacing w:val="-4"/>
        </w:rPr>
        <w:t>提供商品牌形象的基础上，加大数据业务、面向</w:t>
      </w:r>
      <w:r>
        <w:rPr>
          <w:rFonts w:ascii="宋体" w:hAnsi="宋体" w:cs="宋体" w:eastAsia="宋体" w:hint="default"/>
          <w:spacing w:val="-4"/>
        </w:rPr>
        <w:t>5G</w:t>
      </w:r>
      <w:r>
        <w:rPr>
          <w:spacing w:val="-4"/>
        </w:rPr>
        <w:t>等领域的网络空间安全技术创新与应用成果的宣传；作为中国中间件开拓</w:t>
      </w:r>
    </w:p>
    <w:p>
      <w:pPr>
        <w:pStyle w:val="BodyText"/>
        <w:spacing w:line="319" w:lineRule="auto" w:before="76"/>
        <w:ind w:right="0"/>
        <w:jc w:val="left"/>
      </w:pPr>
      <w:r>
        <w:rPr>
          <w:spacing w:val="-4"/>
        </w:rPr>
        <w:t>者和领导者，扩大在信息技术应用创新领域生态及产业联盟的合作推广；针对重点行业领域开展线上、线下的客户交流体验</w:t>
      </w:r>
      <w:r>
        <w:rPr>
          <w:spacing w:val="43"/>
        </w:rPr>
        <w:t> </w:t>
      </w:r>
      <w:r>
        <w:rPr>
          <w:spacing w:val="43"/>
        </w:rPr>
      </w:r>
      <w:r>
        <w:rPr>
          <w:spacing w:val="-6"/>
        </w:rPr>
        <w:t>活动，提升品牌效益。与行业用户、合作伙伴等各方传递公司的品牌价值，持续塑造专业、专注、领先、可信赖的品牌形象。</w:t>
      </w:r>
      <w:r>
        <w:rPr>
          <w:spacing w:val="67"/>
        </w:rPr>
        <w:t> </w:t>
      </w:r>
      <w:r>
        <w:rPr>
          <w:spacing w:val="67"/>
        </w:rPr>
      </w:r>
      <w:r>
        <w:rPr>
          <w:spacing w:val="-4"/>
        </w:rPr>
        <w:t>继续通过业绩说明会、互动易平台、投资者调研会、投资者关系热线等多渠道常态互动外，进一步加强投资者与上市公司交</w:t>
      </w:r>
      <w:r>
        <w:rPr>
          <w:spacing w:val="40"/>
        </w:rPr>
        <w:t> </w:t>
      </w:r>
      <w:r>
        <w:rPr>
          <w:spacing w:val="40"/>
        </w:rPr>
      </w:r>
      <w:r>
        <w:rPr>
          <w:spacing w:val="-3"/>
        </w:rPr>
        <w:t>流的渠道，增强公司运作透明度。</w:t>
      </w:r>
    </w:p>
    <w:p>
      <w:pPr>
        <w:pStyle w:val="BodyText"/>
        <w:spacing w:line="352" w:lineRule="auto" w:before="55"/>
        <w:ind w:left="633" w:right="0"/>
        <w:jc w:val="left"/>
      </w:pPr>
      <w:r>
        <w:rPr>
          <w:spacing w:val="-3"/>
        </w:rPr>
        <w:t>（</w:t>
      </w:r>
      <w:r>
        <w:rPr>
          <w:rFonts w:ascii="宋体" w:hAnsi="宋体" w:cs="宋体" w:eastAsia="宋体" w:hint="default"/>
          <w:spacing w:val="-3"/>
        </w:rPr>
        <w:t>4</w:t>
      </w:r>
      <w:r>
        <w:rPr>
          <w:spacing w:val="-3"/>
        </w:rPr>
        <w:t>）着力做好员工激励相关事宜，建立长效激励机制</w:t>
      </w:r>
      <w:r>
        <w:rPr>
          <w:spacing w:val="-17"/>
        </w:rPr>
        <w:t> </w:t>
      </w:r>
      <w:r>
        <w:rPr>
          <w:spacing w:val="-17"/>
        </w:rPr>
      </w:r>
      <w:r>
        <w:rPr>
          <w:spacing w:val="-3"/>
        </w:rPr>
        <w:t>做好</w:t>
      </w:r>
      <w:r>
        <w:rPr>
          <w:rFonts w:ascii="宋体" w:hAnsi="宋体" w:cs="宋体" w:eastAsia="宋体" w:hint="default"/>
          <w:spacing w:val="-3"/>
        </w:rPr>
        <w:t>2018</w:t>
      </w:r>
      <w:r>
        <w:rPr>
          <w:spacing w:val="-3"/>
        </w:rPr>
        <w:t>年股票期权激励计划第二个可行权期的配套工作；完成公司第一期员工持股计划的非交易过户等落地工作，</w:t>
      </w:r>
    </w:p>
    <w:p>
      <w:pPr>
        <w:pStyle w:val="BodyText"/>
        <w:spacing w:line="232" w:lineRule="exact"/>
        <w:ind w:right="0"/>
        <w:jc w:val="left"/>
      </w:pPr>
      <w:r>
        <w:rPr>
          <w:spacing w:val="-3"/>
        </w:rPr>
        <w:t>与管理机构协同做好后续锁定期相关工作。</w:t>
      </w:r>
    </w:p>
    <w:p>
      <w:pPr>
        <w:pStyle w:val="BodyText"/>
        <w:spacing w:line="352" w:lineRule="auto" w:before="119"/>
        <w:ind w:left="633" w:right="0"/>
        <w:jc w:val="left"/>
      </w:pPr>
      <w:r>
        <w:rPr/>
        <w:t>（</w:t>
      </w:r>
      <w:r>
        <w:rPr>
          <w:rFonts w:ascii="宋体" w:hAnsi="宋体" w:cs="宋体" w:eastAsia="宋体" w:hint="default"/>
        </w:rPr>
        <w:t>5</w:t>
      </w:r>
      <w:r>
        <w:rPr/>
        <w:t>）以人为本，培养和引进人才</w:t>
      </w:r>
      <w:r>
        <w:rPr>
          <w:spacing w:val="-86"/>
        </w:rPr>
        <w:t> </w:t>
      </w:r>
      <w:r>
        <w:rPr>
          <w:spacing w:val="-86"/>
        </w:rPr>
      </w:r>
      <w:r>
        <w:rPr>
          <w:spacing w:val="-3"/>
        </w:rPr>
        <w:t>公司始终把人才选拔、培养和引进作为工作的重中之重，是公司高速发展的保障。</w:t>
      </w:r>
      <w:r>
        <w:rPr>
          <w:rFonts w:ascii="宋体" w:hAnsi="宋体" w:cs="宋体" w:eastAsia="宋体" w:hint="default"/>
          <w:spacing w:val="-3"/>
        </w:rPr>
        <w:t>2020</w:t>
      </w:r>
      <w:r>
        <w:rPr>
          <w:spacing w:val="-3"/>
        </w:rPr>
        <w:t>年度公司将继续从人才培养和</w:t>
      </w:r>
    </w:p>
    <w:p>
      <w:pPr>
        <w:pStyle w:val="BodyText"/>
        <w:spacing w:line="319" w:lineRule="auto"/>
        <w:ind w:right="0"/>
        <w:jc w:val="left"/>
      </w:pPr>
      <w:r>
        <w:rPr>
          <w:spacing w:val="-4"/>
        </w:rPr>
        <w:t>激励机制两方面来完善公司人才建设。公司将继续探讨激励制度的创新及完善，建立科学合理的绩效奖励制度、公平的竞争</w:t>
      </w:r>
      <w:r>
        <w:rPr>
          <w:spacing w:val="43"/>
        </w:rPr>
        <w:t> </w:t>
      </w:r>
      <w:r>
        <w:rPr>
          <w:spacing w:val="43"/>
        </w:rPr>
      </w:r>
      <w:r>
        <w:rPr>
          <w:spacing w:val="-6"/>
        </w:rPr>
        <w:t>晋升机制，提升员工积极性，优化员工结构。此外，将加强培训体系建设，提供全面、完善的培训计划，提升员工业务能力，</w:t>
      </w:r>
      <w:r>
        <w:rPr>
          <w:spacing w:val="65"/>
        </w:rPr>
        <w:t> </w:t>
      </w:r>
      <w:r>
        <w:rPr>
          <w:spacing w:val="65"/>
        </w:rPr>
      </w:r>
      <w:r>
        <w:rPr>
          <w:spacing w:val="-3"/>
        </w:rPr>
        <w:t>还要面向用户与合作伙伴开展包括认证证书等能力资质的线上线下业务培训，积极参与信息技术应用创新领域的生态建设。</w:t>
      </w:r>
    </w:p>
    <w:p>
      <w:pPr>
        <w:pStyle w:val="BodyText"/>
        <w:spacing w:line="357" w:lineRule="auto" w:before="55"/>
        <w:ind w:left="633" w:right="0"/>
        <w:jc w:val="left"/>
      </w:pPr>
      <w:r>
        <w:rPr>
          <w:spacing w:val="-3"/>
        </w:rPr>
        <w:t>（</w:t>
      </w:r>
      <w:r>
        <w:rPr>
          <w:rFonts w:ascii="宋体" w:hAnsi="宋体" w:cs="宋体" w:eastAsia="宋体" w:hint="default"/>
          <w:spacing w:val="-3"/>
        </w:rPr>
        <w:t>6</w:t>
      </w:r>
      <w:r>
        <w:rPr>
          <w:spacing w:val="-3"/>
        </w:rPr>
        <w:t>）投资设立全资子公司</w:t>
      </w:r>
      <w:r>
        <w:rPr>
          <w:spacing w:val="-52"/>
        </w:rPr>
        <w:t> </w:t>
      </w:r>
      <w:r>
        <w:rPr>
          <w:spacing w:val="-52"/>
        </w:rPr>
      </w:r>
      <w:r>
        <w:rPr>
          <w:spacing w:val="-3"/>
        </w:rPr>
        <w:t>为了实现公司董事会制定的整体发展战略，优化公司集团化业务管控结构，打造独立的基础软件产业体系，公司拟使</w:t>
      </w:r>
    </w:p>
    <w:p>
      <w:pPr>
        <w:pStyle w:val="BodyText"/>
        <w:spacing w:line="224" w:lineRule="exact"/>
        <w:ind w:right="0"/>
        <w:jc w:val="left"/>
      </w:pPr>
      <w:r>
        <w:rPr>
          <w:spacing w:val="-4"/>
        </w:rPr>
        <w:t>用自有资金</w:t>
      </w:r>
      <w:r>
        <w:rPr>
          <w:rFonts w:ascii="宋体" w:hAnsi="宋体" w:cs="宋体" w:eastAsia="宋体" w:hint="default"/>
          <w:spacing w:val="-4"/>
        </w:rPr>
        <w:t>10,000</w:t>
      </w:r>
      <w:r>
        <w:rPr>
          <w:spacing w:val="-4"/>
        </w:rPr>
        <w:t>万元人民币投资设立全资子公司——北京东方通软件有限公司。</w:t>
      </w:r>
      <w:r>
        <w:rPr>
          <w:rFonts w:ascii="宋体" w:hAnsi="宋体" w:cs="宋体" w:eastAsia="宋体" w:hint="default"/>
          <w:spacing w:val="-4"/>
        </w:rPr>
        <w:t>2020</w:t>
      </w:r>
      <w:r>
        <w:rPr>
          <w:spacing w:val="-4"/>
        </w:rPr>
        <w:t>年</w:t>
      </w:r>
      <w:r>
        <w:rPr>
          <w:rFonts w:ascii="宋体" w:hAnsi="宋体" w:cs="宋体" w:eastAsia="宋体" w:hint="default"/>
          <w:spacing w:val="-4"/>
        </w:rPr>
        <w:t>2</w:t>
      </w:r>
      <w:r>
        <w:rPr>
          <w:spacing w:val="-4"/>
        </w:rPr>
        <w:t>月</w:t>
      </w:r>
      <w:r>
        <w:rPr>
          <w:rFonts w:ascii="宋体" w:hAnsi="宋体" w:cs="宋体" w:eastAsia="宋体" w:hint="default"/>
          <w:spacing w:val="-4"/>
        </w:rPr>
        <w:t>6</w:t>
      </w:r>
      <w:r>
        <w:rPr>
          <w:spacing w:val="-4"/>
        </w:rPr>
        <w:t>日，公司召开了第四届董事会</w:t>
      </w:r>
    </w:p>
    <w:p>
      <w:pPr>
        <w:pStyle w:val="BodyText"/>
        <w:spacing w:line="240" w:lineRule="auto" w:before="76"/>
        <w:ind w:right="0"/>
        <w:jc w:val="left"/>
      </w:pPr>
      <w:r>
        <w:rPr>
          <w:spacing w:val="-3"/>
        </w:rPr>
        <w:t>第二次会议，审议通过了《关于投资设立全资子公司的议案》。</w:t>
      </w:r>
      <w:r>
        <w:rPr>
          <w:rFonts w:ascii="宋体" w:hAnsi="宋体" w:cs="宋体" w:eastAsia="宋体" w:hint="default"/>
          <w:spacing w:val="-3"/>
        </w:rPr>
        <w:t>2020</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18</w:t>
      </w:r>
      <w:r>
        <w:rPr>
          <w:spacing w:val="-3"/>
        </w:rPr>
        <w:t>日，该子公司取得了北京市工商行政管理局经</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spacing w:val="-3"/>
        </w:rPr>
        <w:t>济技术开发区分局颁发的《营业执照》，完成了工商注册登记手续。</w:t>
      </w:r>
    </w:p>
    <w:p>
      <w:pPr>
        <w:pStyle w:val="BodyText"/>
        <w:spacing w:line="432" w:lineRule="exact" w:before="56"/>
        <w:ind w:left="633" w:right="0" w:hanging="212"/>
        <w:jc w:val="left"/>
      </w:pPr>
      <w:r>
        <w:rPr>
          <w:rFonts w:ascii="宋体" w:hAnsi="宋体" w:cs="宋体" w:eastAsia="宋体" w:hint="default"/>
          <w:b/>
          <w:bCs/>
        </w:rPr>
        <w:t>（四）可能面临的风险</w:t>
      </w:r>
      <w:r>
        <w:rPr>
          <w:rFonts w:ascii="宋体" w:hAnsi="宋体" w:cs="宋体" w:eastAsia="宋体" w:hint="default"/>
          <w:b/>
          <w:bCs/>
          <w:w w:val="100"/>
        </w:rPr>
        <w:t> </w:t>
      </w:r>
      <w:r>
        <w:rPr>
          <w:rFonts w:ascii="宋体" w:hAnsi="宋体" w:cs="宋体" w:eastAsia="宋体" w:hint="default"/>
          <w:spacing w:val="-3"/>
        </w:rPr>
        <w:t>1</w:t>
      </w:r>
      <w:r>
        <w:rPr>
          <w:spacing w:val="-3"/>
        </w:rPr>
        <w:t>、市场竞争风险。报告期内，基础软件和信息安全业务仍是公司营业收入的重要组成部分。在国内基础软件中间件</w:t>
      </w:r>
    </w:p>
    <w:p>
      <w:pPr>
        <w:pStyle w:val="BodyText"/>
        <w:spacing w:line="319" w:lineRule="auto" w:before="15"/>
        <w:ind w:right="0"/>
        <w:jc w:val="left"/>
      </w:pPr>
      <w:r>
        <w:rPr>
          <w:spacing w:val="-3"/>
        </w:rPr>
        <w:t>领域，</w:t>
      </w:r>
      <w:r>
        <w:rPr>
          <w:rFonts w:ascii="宋体" w:hAnsi="宋体" w:cs="宋体" w:eastAsia="宋体" w:hint="default"/>
          <w:spacing w:val="-3"/>
        </w:rPr>
        <w:t>IBM</w:t>
      </w:r>
      <w:r>
        <w:rPr>
          <w:spacing w:val="-3"/>
        </w:rPr>
        <w:t>、</w:t>
      </w:r>
      <w:r>
        <w:rPr>
          <w:rFonts w:ascii="宋体" w:hAnsi="宋体" w:cs="宋体" w:eastAsia="宋体" w:hint="default"/>
          <w:spacing w:val="-3"/>
        </w:rPr>
        <w:t>Oracle</w:t>
      </w:r>
      <w:r>
        <w:rPr>
          <w:spacing w:val="-3"/>
        </w:rPr>
        <w:t>国外软件企业仍然所占市场份额最高，其市场占有率高的主要原因在于品牌影响力、技术积累及其在数</w:t>
      </w:r>
      <w:r>
        <w:rPr>
          <w:spacing w:val="81"/>
        </w:rPr>
        <w:t> </w:t>
      </w:r>
      <w:r>
        <w:rPr>
          <w:spacing w:val="81"/>
        </w:rPr>
      </w:r>
      <w:r>
        <w:rPr>
          <w:spacing w:val="-4"/>
        </w:rPr>
        <w:t>据库、服务器领域良好的配套支持。与国际知名软件厂商相比，公司在技术研发实力、市场培育、产品销售渠道建设等方面</w:t>
      </w:r>
      <w:r>
        <w:rPr>
          <w:spacing w:val="40"/>
        </w:rPr>
        <w:t> </w:t>
      </w:r>
      <w:r>
        <w:rPr>
          <w:spacing w:val="40"/>
        </w:rPr>
      </w:r>
      <w:r>
        <w:rPr>
          <w:spacing w:val="-4"/>
        </w:rPr>
        <w:t>仍存在较大差距。随着软件国产化及企业信息化的不断推进，软件基础平台市场成长迅速，行业景气度的提升使得行业内原</w:t>
      </w:r>
      <w:r>
        <w:rPr>
          <w:spacing w:val="43"/>
        </w:rPr>
        <w:t> </w:t>
      </w:r>
      <w:r>
        <w:rPr>
          <w:spacing w:val="43"/>
        </w:rPr>
      </w:r>
      <w:r>
        <w:rPr>
          <w:spacing w:val="-4"/>
        </w:rPr>
        <w:t>有竞争对手的规模和竞争力不断提高，同时市场新进入的竞争者会逐步增加。在信息安全领域，行业进入爆发式增长，竞争</w:t>
      </w:r>
      <w:r>
        <w:rPr>
          <w:spacing w:val="41"/>
        </w:rPr>
        <w:t> </w:t>
      </w:r>
      <w:r>
        <w:rPr>
          <w:spacing w:val="41"/>
        </w:rPr>
      </w:r>
      <w:r>
        <w:rPr>
          <w:spacing w:val="-6"/>
        </w:rPr>
        <w:t>加剧。随着《国家网络空间安全战略》的发布，国家对于网络安全和信息安全的重视程度极大提升，安全领域成为局部热点，</w:t>
      </w:r>
      <w:r>
        <w:rPr>
          <w:spacing w:val="62"/>
        </w:rPr>
        <w:t> </w:t>
      </w:r>
      <w:r>
        <w:rPr>
          <w:spacing w:val="62"/>
        </w:rPr>
      </w:r>
      <w:r>
        <w:rPr>
          <w:spacing w:val="-4"/>
        </w:rPr>
        <w:t>行业也更加细分，在细分的专业也出现了一批新型的安全产品和服务提供厂家，竞争将更加激烈。进入大数据时代，信息安</w:t>
      </w:r>
      <w:r>
        <w:rPr>
          <w:spacing w:val="40"/>
        </w:rPr>
        <w:t> </w:t>
      </w:r>
      <w:r>
        <w:rPr>
          <w:spacing w:val="40"/>
        </w:rPr>
      </w:r>
      <w:r>
        <w:rPr>
          <w:spacing w:val="-4"/>
        </w:rPr>
        <w:t>全技术的滞后于网络形态和数据规模的发展速度，可能影响新技术新业务甚至一些新兴行业的发展。信息安全市场的多元化</w:t>
      </w:r>
      <w:r>
        <w:rPr>
          <w:spacing w:val="43"/>
        </w:rPr>
        <w:t> </w:t>
      </w:r>
      <w:r>
        <w:rPr>
          <w:spacing w:val="43"/>
        </w:rPr>
      </w:r>
      <w:r>
        <w:rPr>
          <w:spacing w:val="-4"/>
        </w:rPr>
        <w:t>发展趋势渐趋明朗，为行业内厂商的差异化定位提供了更大的发展空间，市场将逐渐向较具实力的信息安全企业集中。行业</w:t>
      </w:r>
      <w:r>
        <w:rPr>
          <w:spacing w:val="43"/>
        </w:rPr>
        <w:t> </w:t>
      </w:r>
      <w:r>
        <w:rPr>
          <w:spacing w:val="43"/>
        </w:rPr>
      </w:r>
      <w:r>
        <w:rPr>
          <w:spacing w:val="-4"/>
        </w:rPr>
        <w:t>中具有一定规模和技术积累的公司，正在努力开拓技术门槛及毛利率均较高的新产品或新市场，以期获得市场竞争优势，而</w:t>
      </w:r>
      <w:r>
        <w:rPr>
          <w:spacing w:val="44"/>
        </w:rPr>
        <w:t> </w:t>
      </w:r>
      <w:r>
        <w:rPr>
          <w:spacing w:val="44"/>
        </w:rPr>
      </w:r>
      <w:r>
        <w:rPr>
          <w:spacing w:val="-4"/>
        </w:rPr>
        <w:t>解决技术跨越，会出现复合型人才、关键技术、基础设施支撑等核心资源的紧张，存在研发投入是否准确和有效的风险。若</w:t>
      </w:r>
      <w:r>
        <w:rPr>
          <w:spacing w:val="40"/>
        </w:rPr>
        <w:t> </w:t>
      </w:r>
      <w:r>
        <w:rPr>
          <w:spacing w:val="40"/>
        </w:rPr>
      </w:r>
      <w:r>
        <w:rPr>
          <w:spacing w:val="-4"/>
        </w:rPr>
        <w:t>公司不能紧跟行业发展趋势、满足客户需求的变化增强产品研发、技术创新和客户服务等方面的实力，或在新的大数据时代</w:t>
      </w:r>
      <w:r>
        <w:rPr>
          <w:spacing w:val="43"/>
        </w:rPr>
        <w:t> </w:t>
      </w:r>
      <w:r>
        <w:rPr>
          <w:spacing w:val="43"/>
        </w:rPr>
      </w:r>
      <w:r>
        <w:rPr>
          <w:spacing w:val="-6"/>
        </w:rPr>
        <w:t>不能通过自身的规模和技术、市场优势，去开拓技术门槛和毛利较高的新产品和新市场，则未来将面临市场竞争加剧的风险。</w:t>
      </w:r>
    </w:p>
    <w:p>
      <w:pPr>
        <w:pStyle w:val="BodyText"/>
        <w:spacing w:line="319" w:lineRule="auto" w:before="50"/>
        <w:ind w:right="0" w:firstLine="480"/>
        <w:jc w:val="left"/>
      </w:pPr>
      <w:r>
        <w:rPr>
          <w:spacing w:val="-5"/>
        </w:rPr>
        <w:t>应对措施：公司将继续顺应市场需求，以自主可控、安全可靠作为核心发展理念，加强自身技术创新与销售渠道建设，</w:t>
      </w:r>
      <w:r>
        <w:rPr>
          <w:w w:val="101"/>
        </w:rPr>
        <w:t> </w:t>
      </w:r>
      <w:r>
        <w:rPr>
          <w:spacing w:val="-4"/>
        </w:rPr>
        <w:t>加大品牌宣传力度，加强营销体系建设。同时，通过差异化定位，以互补性合作、参股、并购等整合方式获得竞争优势，壮</w:t>
      </w:r>
      <w:r>
        <w:rPr>
          <w:spacing w:val="40"/>
        </w:rPr>
        <w:t> </w:t>
      </w:r>
      <w:r>
        <w:rPr>
          <w:spacing w:val="40"/>
        </w:rPr>
      </w:r>
      <w:r>
        <w:rPr>
          <w:spacing w:val="-3"/>
        </w:rPr>
        <w:t>大公司主营业务，以应对市场竞争风险。</w:t>
      </w:r>
    </w:p>
    <w:p>
      <w:pPr>
        <w:pStyle w:val="BodyText"/>
        <w:spacing w:line="319" w:lineRule="auto" w:before="56"/>
        <w:ind w:right="0" w:firstLine="480"/>
        <w:jc w:val="left"/>
      </w:pPr>
      <w:r>
        <w:rPr>
          <w:rFonts w:ascii="宋体" w:hAnsi="宋体" w:cs="宋体" w:eastAsia="宋体" w:hint="default"/>
          <w:spacing w:val="-3"/>
        </w:rPr>
        <w:t>2</w:t>
      </w:r>
      <w:r>
        <w:rPr>
          <w:spacing w:val="-3"/>
        </w:rPr>
        <w:t>、核心技术人员流失风险。软件行业属于智力密集型行业，面临人员流动大、知识结构更新快等人力资源管理方面</w:t>
      </w:r>
      <w:r>
        <w:rPr>
          <w:w w:val="101"/>
        </w:rPr>
        <w:t> </w:t>
      </w:r>
      <w:r>
        <w:rPr>
          <w:spacing w:val="-3"/>
        </w:rPr>
        <w:t>的问题。公司作为软件企业，产品研发和技术创新依赖于优秀的研发人员，如果出现核心人员流失、人才结构失衡的情况，</w:t>
      </w:r>
      <w:r>
        <w:rPr>
          <w:spacing w:val="66"/>
        </w:rPr>
        <w:t> </w:t>
      </w:r>
      <w:r>
        <w:rPr>
          <w:spacing w:val="66"/>
        </w:rPr>
      </w:r>
      <w:r>
        <w:rPr>
          <w:spacing w:val="-3"/>
        </w:rPr>
        <w:t>这将使公司的持续创新能力和市场竞争力受到影响，公司的经营将会受到较大的不利影响。</w:t>
      </w:r>
    </w:p>
    <w:p>
      <w:pPr>
        <w:pStyle w:val="BodyText"/>
        <w:spacing w:line="321" w:lineRule="auto" w:before="50"/>
        <w:ind w:right="0" w:firstLine="480"/>
        <w:jc w:val="left"/>
      </w:pPr>
      <w:r>
        <w:rPr>
          <w:spacing w:val="-3"/>
        </w:rPr>
        <w:t>应对措施：公司将通过建立完善有效的绩效考核机制，采用多种方式，包括不限于基本薪酬、绩效奖励、股权激励等</w:t>
      </w:r>
      <w:r>
        <w:rPr>
          <w:w w:val="101"/>
        </w:rPr>
        <w:t> </w:t>
      </w:r>
      <w:r>
        <w:rPr>
          <w:spacing w:val="-3"/>
        </w:rPr>
        <w:t>手段，并加强企业文化建设，以吸引和留住人才。</w:t>
      </w:r>
    </w:p>
    <w:p>
      <w:pPr>
        <w:pStyle w:val="BodyText"/>
        <w:spacing w:line="319" w:lineRule="auto" w:before="49"/>
        <w:ind w:right="0" w:firstLine="480"/>
        <w:jc w:val="left"/>
      </w:pPr>
      <w:r>
        <w:rPr>
          <w:rFonts w:ascii="宋体" w:hAnsi="宋体" w:cs="宋体" w:eastAsia="宋体" w:hint="default"/>
          <w:spacing w:val="-3"/>
        </w:rPr>
        <w:t>3</w:t>
      </w:r>
      <w:r>
        <w:rPr>
          <w:spacing w:val="-3"/>
        </w:rPr>
        <w:t>、技术研发风险。基于软件技术的研发规律，新技术、新产品的研发在创新成果和开发周期上存在较大的不确定性。</w:t>
      </w:r>
      <w:r>
        <w:rPr>
          <w:w w:val="101"/>
        </w:rPr>
        <w:t> </w:t>
      </w:r>
      <w:r>
        <w:rPr>
          <w:spacing w:val="-4"/>
        </w:rPr>
        <w:t>一方面，新技术、新产品的技术研发难度较大，研发周期较长，开发环节中的个别难题有可能影响最终产品的研发进度，使</w:t>
      </w:r>
      <w:r>
        <w:rPr>
          <w:spacing w:val="40"/>
        </w:rPr>
        <w:t> </w:t>
      </w:r>
      <w:r>
        <w:rPr>
          <w:spacing w:val="40"/>
        </w:rPr>
      </w:r>
      <w:r>
        <w:rPr>
          <w:spacing w:val="-4"/>
        </w:rPr>
        <w:t>新产品的推出时间出现滞后；另一方面，即使新技术、新产品顺利开发完成并推向市场，也有得不到市场和客户足够认可的</w:t>
      </w:r>
      <w:r>
        <w:rPr>
          <w:spacing w:val="40"/>
        </w:rPr>
        <w:t> </w:t>
      </w:r>
      <w:r>
        <w:rPr>
          <w:spacing w:val="40"/>
        </w:rPr>
      </w:r>
      <w:r>
        <w:rPr>
          <w:spacing w:val="-4"/>
        </w:rPr>
        <w:t>风险，导致新技术、新产品推出后的经济效益与预期收益存在较大差距。如果公司在技术开发方向决策上出现失误，未能及</w:t>
      </w:r>
      <w:r>
        <w:rPr>
          <w:spacing w:val="40"/>
        </w:rPr>
        <w:t> </w:t>
      </w:r>
      <w:r>
        <w:rPr>
          <w:spacing w:val="40"/>
        </w:rPr>
      </w:r>
      <w:r>
        <w:rPr>
          <w:spacing w:val="-4"/>
        </w:rPr>
        <w:t>时跟上行业技术更新换代的速度，未能正确把握市场动向并顺应市场需求变化，或未能及时将最新技术运用于新产品的升级</w:t>
      </w:r>
      <w:r>
        <w:rPr>
          <w:spacing w:val="43"/>
        </w:rPr>
        <w:t> </w:t>
      </w:r>
      <w:r>
        <w:rPr>
          <w:spacing w:val="43"/>
        </w:rPr>
      </w:r>
      <w:r>
        <w:rPr>
          <w:spacing w:val="-3"/>
        </w:rPr>
        <w:t>和开发等，可能导致公司丧失技术和市场的现有地位。</w:t>
      </w:r>
    </w:p>
    <w:p>
      <w:pPr>
        <w:pStyle w:val="BodyText"/>
        <w:spacing w:line="319" w:lineRule="auto" w:before="56"/>
        <w:ind w:right="1124" w:firstLine="480"/>
        <w:jc w:val="both"/>
      </w:pPr>
      <w:r>
        <w:rPr>
          <w:spacing w:val="-3"/>
        </w:rPr>
        <w:t>应对措施：公司以国家政策和行业客户需求为导向，深入解读国家规划布局的发展方向，切合实际的结合行业客户的</w:t>
      </w:r>
      <w:r>
        <w:rPr>
          <w:w w:val="101"/>
        </w:rPr>
        <w:t> </w:t>
      </w:r>
      <w:r>
        <w:rPr>
          <w:spacing w:val="-4"/>
        </w:rPr>
        <w:t>需求，提供最优解决方案和产品，走在市场的前端，同时完善市场调研、研发项目立项、核心技术研究、产品发布、市场推</w:t>
      </w:r>
      <w:r>
        <w:rPr>
          <w:spacing w:val="40"/>
        </w:rPr>
        <w:t> </w:t>
      </w:r>
      <w:r>
        <w:rPr>
          <w:spacing w:val="40"/>
        </w:rPr>
      </w:r>
      <w:r>
        <w:rPr>
          <w:spacing w:val="-3"/>
        </w:rPr>
        <w:t>广、客户营销、售后服务等环节的闭环管理，以降低技术研发风险。</w:t>
      </w:r>
    </w:p>
    <w:p>
      <w:pPr>
        <w:pStyle w:val="BodyText"/>
        <w:spacing w:line="319" w:lineRule="auto" w:before="50"/>
        <w:ind w:right="0" w:firstLine="480"/>
        <w:jc w:val="left"/>
      </w:pPr>
      <w:r>
        <w:rPr>
          <w:rFonts w:ascii="宋体" w:hAnsi="宋体" w:cs="宋体" w:eastAsia="宋体" w:hint="default"/>
          <w:spacing w:val="-3"/>
        </w:rPr>
        <w:t>4</w:t>
      </w:r>
      <w:r>
        <w:rPr>
          <w:spacing w:val="-3"/>
        </w:rPr>
        <w:t>、重组整合风险。公司和重组、并购的子公司处于软件和信息技术服务业内不同的细分行业，业务模式存在一定程</w:t>
      </w:r>
      <w:r>
        <w:rPr>
          <w:w w:val="101"/>
        </w:rPr>
        <w:t> </w:t>
      </w:r>
      <w:r>
        <w:rPr>
          <w:spacing w:val="-3"/>
        </w:rPr>
        <w:t>度的差异。重组、并购完成后公司间需要在业务体系、组织机构、管理制度、企业文化等方面进行整合，而在研发、采购、</w:t>
      </w:r>
      <w:r>
        <w:rPr>
          <w:spacing w:val="66"/>
        </w:rPr>
        <w:t> </w:t>
      </w:r>
      <w:r>
        <w:rPr>
          <w:spacing w:val="66"/>
        </w:rPr>
      </w:r>
      <w:r>
        <w:rPr>
          <w:spacing w:val="-4"/>
        </w:rPr>
        <w:t>销售和管理等方面的整合到位需要一定时间，因此，东方通与重组并购企业之间能否顺利实现整合具有不确定性，整合过程</w:t>
      </w:r>
      <w:r>
        <w:rPr>
          <w:spacing w:val="43"/>
        </w:rPr>
        <w:t> </w:t>
      </w:r>
      <w:r>
        <w:rPr>
          <w:spacing w:val="43"/>
        </w:rPr>
      </w:r>
      <w:r>
        <w:rPr>
          <w:spacing w:val="-3"/>
        </w:rPr>
        <w:t>中可能会对各公司的正常业务发展造成一定影响。另外，也存在并购后的子公司业绩达不到预期的风险。</w:t>
      </w:r>
    </w:p>
    <w:p>
      <w:pPr>
        <w:pStyle w:val="BodyText"/>
        <w:spacing w:line="319" w:lineRule="auto" w:before="50"/>
        <w:ind w:right="1122" w:firstLine="480"/>
        <w:jc w:val="both"/>
      </w:pPr>
      <w:r>
        <w:rPr>
          <w:spacing w:val="-3"/>
        </w:rPr>
        <w:t>应对措施：公司将在</w:t>
      </w:r>
      <w:r>
        <w:rPr>
          <w:rFonts w:ascii="宋体" w:hAnsi="宋体" w:cs="宋体" w:eastAsia="宋体" w:hint="default"/>
          <w:spacing w:val="-3"/>
        </w:rPr>
        <w:t>2018</w:t>
      </w:r>
      <w:r>
        <w:rPr>
          <w:spacing w:val="-3"/>
        </w:rPr>
        <w:t>年基础上进一步进行集团内的协同整合，将各子公司的财务管理和综合运营管理纳入到上市</w:t>
      </w:r>
      <w:r>
        <w:rPr>
          <w:w w:val="101"/>
        </w:rPr>
        <w:t> </w:t>
      </w:r>
      <w:r>
        <w:rPr>
          <w:spacing w:val="-4"/>
        </w:rPr>
        <w:t>公司统一的管理系统中，并加强审计和监督，保证对各子公司重大事项的决策权，提高公司整体抗风险能力。公司进一步梳</w:t>
      </w:r>
      <w:r>
        <w:rPr>
          <w:spacing w:val="41"/>
        </w:rPr>
        <w:t> </w:t>
      </w:r>
      <w:r>
        <w:rPr>
          <w:spacing w:val="41"/>
        </w:rPr>
      </w:r>
      <w:r>
        <w:rPr>
          <w:spacing w:val="-4"/>
        </w:rPr>
        <w:t>理了主航道业务，定位于作“大安全”领域的核心企业，将公司业务分为基础安全和行业安全两大板块，通过收购兼并、吸</w:t>
      </w:r>
      <w:r>
        <w:rPr>
          <w:spacing w:val="40"/>
        </w:rPr>
        <w:t> </w:t>
      </w:r>
      <w:r>
        <w:rPr>
          <w:spacing w:val="40"/>
        </w:rPr>
      </w:r>
      <w:r>
        <w:rPr>
          <w:spacing w:val="-4"/>
        </w:rPr>
        <w:t>收合并、剥离改制等方式持续增强主航道业务的竞争能力。整合营销服务体系，形成两大板块的营销平台，通过发挥内部协</w:t>
      </w:r>
      <w:r>
        <w:rPr>
          <w:spacing w:val="40"/>
        </w:rPr>
        <w:t> </w:t>
      </w:r>
      <w:r>
        <w:rPr>
          <w:spacing w:val="40"/>
        </w:rPr>
      </w:r>
      <w:r>
        <w:rPr>
          <w:spacing w:val="-3"/>
        </w:rPr>
        <w:t>同效应，实现业务结构的优势互补和管理模式的优化升级。</w:t>
      </w:r>
    </w:p>
    <w:p>
      <w:pPr>
        <w:pStyle w:val="BodyText"/>
        <w:spacing w:line="316" w:lineRule="auto" w:before="55"/>
        <w:ind w:right="0" w:firstLine="480"/>
        <w:jc w:val="left"/>
      </w:pPr>
      <w:r>
        <w:rPr>
          <w:rFonts w:ascii="宋体" w:hAnsi="宋体" w:cs="宋体" w:eastAsia="宋体" w:hint="default"/>
          <w:spacing w:val="-3"/>
        </w:rPr>
        <w:t>5</w:t>
      </w:r>
      <w:r>
        <w:rPr>
          <w:spacing w:val="-3"/>
        </w:rPr>
        <w:t>、业务规模迅速扩大导致的管理风险。随着公司的资产、业务、机构和人员等进一步扩张，公司目前拥有微智信业、</w:t>
      </w:r>
      <w:r>
        <w:rPr>
          <w:w w:val="101"/>
        </w:rPr>
        <w:t> </w:t>
      </w:r>
      <w:r>
        <w:rPr>
          <w:spacing w:val="-4"/>
        </w:rPr>
        <w:t>东方通软件、泰策科技、数字天堂、东方通宇、东方通泰等多家全资子公司，业务涉及基础软件、大数据信息安全、网络安</w:t>
      </w:r>
    </w:p>
    <w:p>
      <w:pPr>
        <w:spacing w:after="0" w:line="316"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0"/>
        <w:jc w:val="left"/>
      </w:pPr>
      <w:r>
        <w:rPr>
          <w:spacing w:val="-4"/>
        </w:rPr>
        <w:t>全、数据安全、应急安全、</w:t>
      </w:r>
      <w:r>
        <w:rPr>
          <w:rFonts w:ascii="宋体" w:hAnsi="宋体" w:cs="宋体" w:eastAsia="宋体" w:hint="default"/>
          <w:spacing w:val="-4"/>
        </w:rPr>
        <w:t>5G</w:t>
      </w:r>
      <w:r>
        <w:rPr>
          <w:spacing w:val="-4"/>
        </w:rPr>
        <w:t>应用、工业互联网安全、军工信息化业务，集团化发展趋势已经显现。公司将在制度建设、组</w:t>
      </w:r>
      <w:r>
        <w:rPr>
          <w:spacing w:val="45"/>
        </w:rPr>
        <w:t> </w:t>
      </w:r>
      <w:r>
        <w:rPr>
          <w:spacing w:val="45"/>
        </w:rPr>
      </w:r>
      <w:r>
        <w:rPr>
          <w:spacing w:val="-3"/>
        </w:rPr>
        <w:t>织设置、运营管理、资金管理和内部控制等方面面临更大的挑战。</w:t>
      </w:r>
    </w:p>
    <w:p>
      <w:pPr>
        <w:pStyle w:val="BodyText"/>
        <w:spacing w:line="319" w:lineRule="auto" w:before="49"/>
        <w:ind w:right="1123" w:firstLine="480"/>
        <w:jc w:val="both"/>
      </w:pPr>
      <w:r>
        <w:rPr>
          <w:spacing w:val="-3"/>
        </w:rPr>
        <w:t>应对措施：根据公司整体战略规划，通过收购兼并、吸收合并、剥离改制等方式持续增强主航道业务的竞争能力。合</w:t>
      </w:r>
      <w:r>
        <w:rPr>
          <w:w w:val="101"/>
        </w:rPr>
        <w:t> </w:t>
      </w:r>
      <w:r>
        <w:rPr>
          <w:spacing w:val="-4"/>
        </w:rPr>
        <w:t>并同类业务领域，建立共享营销业务平台、共享研发平台、共享运营管理平台，以最大化利用当前公司已有的经营基础，整</w:t>
      </w:r>
      <w:r>
        <w:rPr>
          <w:spacing w:val="40"/>
        </w:rPr>
        <w:t> </w:t>
      </w:r>
      <w:r>
        <w:rPr>
          <w:spacing w:val="40"/>
        </w:rPr>
      </w:r>
      <w:r>
        <w:rPr>
          <w:spacing w:val="-4"/>
        </w:rPr>
        <w:t>合已有人才资源，并积极引进先进人才。同时通过加强各环节制度管理、企业信息化建设等措施完善内部控制，降低内控风</w:t>
      </w:r>
      <w:r>
        <w:rPr>
          <w:spacing w:val="40"/>
        </w:rPr>
        <w:t> </w:t>
      </w:r>
      <w:r>
        <w:rPr>
          <w:spacing w:val="40"/>
        </w:rPr>
      </w:r>
      <w:r>
        <w:rPr>
          <w:spacing w:val="-3"/>
        </w:rPr>
        <w:t>险。以增强集中及共享管理模式，加快实行集团化统一管理。</w:t>
      </w:r>
    </w:p>
    <w:p>
      <w:pPr>
        <w:pStyle w:val="BodyText"/>
        <w:spacing w:line="319" w:lineRule="auto" w:before="55"/>
        <w:ind w:right="0" w:firstLine="480"/>
        <w:jc w:val="left"/>
      </w:pPr>
      <w:r>
        <w:rPr>
          <w:rFonts w:ascii="宋体" w:hAnsi="宋体" w:cs="宋体" w:eastAsia="宋体" w:hint="default"/>
          <w:spacing w:val="-3"/>
        </w:rPr>
        <w:t>6</w:t>
      </w:r>
      <w:r>
        <w:rPr>
          <w:spacing w:val="-3"/>
        </w:rPr>
        <w:t>、业务转型升级导致的经营风险。国内信息安全领域目前处于快速发展的阶段中，预期微智信业和泰策科技的安全</w:t>
      </w:r>
      <w:r>
        <w:rPr>
          <w:w w:val="101"/>
        </w:rPr>
        <w:t> </w:t>
      </w:r>
      <w:r>
        <w:rPr>
          <w:spacing w:val="-3"/>
        </w:rPr>
        <w:t>业务将保持持续发展势头。母公司除了始终专注于基础安全产品的研发与销售，也在积极拓展在特定行业解决方案的能力，</w:t>
      </w:r>
      <w:r>
        <w:rPr>
          <w:spacing w:val="66"/>
        </w:rPr>
        <w:t> </w:t>
      </w:r>
      <w:r>
        <w:rPr>
          <w:spacing w:val="66"/>
        </w:rPr>
      </w:r>
      <w:r>
        <w:rPr>
          <w:spacing w:val="-4"/>
        </w:rPr>
        <w:t>通过多年的产品技术积累，向软件集成方向做有益的尝试。但业务转型是个渐进的过程，若未把握住发展机会，可能导致出</w:t>
      </w:r>
      <w:r>
        <w:rPr>
          <w:spacing w:val="40"/>
        </w:rPr>
        <w:t> </w:t>
      </w:r>
      <w:r>
        <w:rPr>
          <w:spacing w:val="40"/>
        </w:rPr>
      </w:r>
      <w:r>
        <w:rPr>
          <w:spacing w:val="-3"/>
        </w:rPr>
        <w:t>现一定的经营风险。</w:t>
      </w:r>
    </w:p>
    <w:p>
      <w:pPr>
        <w:pStyle w:val="BodyText"/>
        <w:spacing w:line="319" w:lineRule="auto" w:before="50"/>
        <w:ind w:right="1122" w:firstLine="480"/>
        <w:jc w:val="both"/>
      </w:pPr>
      <w:r>
        <w:rPr>
          <w:spacing w:val="-3"/>
        </w:rPr>
        <w:t>应对措施：公司管理层将紧跟国家政策导向以及行业客户实际需求，不断修订和完善公司未来战略发展规划，对应落</w:t>
      </w:r>
      <w:r>
        <w:rPr>
          <w:w w:val="101"/>
        </w:rPr>
        <w:t> </w:t>
      </w:r>
      <w:r>
        <w:rPr>
          <w:spacing w:val="-4"/>
        </w:rPr>
        <w:t>实到主航道业务板块。同时，加强各级关键岗位人员能力的提升、加大基础人才的培养、加快项目管理及实施交付人才的引</w:t>
      </w:r>
      <w:r>
        <w:rPr>
          <w:spacing w:val="42"/>
        </w:rPr>
        <w:t> </w:t>
      </w:r>
      <w:r>
        <w:rPr>
          <w:spacing w:val="42"/>
        </w:rPr>
      </w:r>
      <w:r>
        <w:rPr>
          <w:spacing w:val="-3"/>
        </w:rPr>
        <w:t>进和储备，并积极进行内部协同整合，充分挖掘内部潜力。</w:t>
      </w:r>
    </w:p>
    <w:p>
      <w:pPr>
        <w:pStyle w:val="BodyText"/>
        <w:spacing w:line="319" w:lineRule="auto" w:before="50"/>
        <w:ind w:right="0" w:firstLine="480"/>
        <w:jc w:val="left"/>
      </w:pPr>
      <w:r>
        <w:rPr>
          <w:rFonts w:ascii="宋体" w:hAnsi="宋体" w:cs="宋体" w:eastAsia="宋体" w:hint="default"/>
          <w:spacing w:val="-3"/>
        </w:rPr>
        <w:t>7</w:t>
      </w:r>
      <w:r>
        <w:rPr>
          <w:spacing w:val="-3"/>
        </w:rPr>
        <w:t>、业绩季节性波动风险。公司及子公司客户群体以政府、电信运营商、金融、交通等领域客户为主，受其采用的预</w:t>
      </w:r>
      <w:r>
        <w:rPr>
          <w:w w:val="101"/>
        </w:rPr>
        <w:t> </w:t>
      </w:r>
      <w:r>
        <w:rPr>
          <w:spacing w:val="-4"/>
        </w:rPr>
        <w:t>算管理制度和集中采购制度等影响，通常在一季度制定本年度全年的信息技术采购计划和指标；在第二季度及第三季度上半</w:t>
      </w:r>
      <w:r>
        <w:rPr>
          <w:spacing w:val="43"/>
        </w:rPr>
        <w:t> </w:t>
      </w:r>
      <w:r>
        <w:rPr>
          <w:spacing w:val="43"/>
        </w:rPr>
      </w:r>
      <w:r>
        <w:rPr>
          <w:spacing w:val="-4"/>
        </w:rPr>
        <w:t>段进行相关产品现场调研、邀请相关厂商进行产品测试以及对入围厂商进行招标、投标、评标和定标；第三季度下半段及第</w:t>
      </w:r>
      <w:r>
        <w:rPr>
          <w:spacing w:val="40"/>
        </w:rPr>
        <w:t> </w:t>
      </w:r>
      <w:r>
        <w:rPr>
          <w:spacing w:val="40"/>
        </w:rPr>
      </w:r>
      <w:r>
        <w:rPr>
          <w:spacing w:val="-4"/>
        </w:rPr>
        <w:t>四季度才正式确定所需采购产品并与中标厂商签订采购合同。因此，公司存在明显的季节性销售特征。近年公司销售和业绩</w:t>
      </w:r>
      <w:r>
        <w:rPr>
          <w:spacing w:val="45"/>
        </w:rPr>
        <w:t> </w:t>
      </w:r>
      <w:r>
        <w:rPr>
          <w:spacing w:val="45"/>
        </w:rPr>
      </w:r>
      <w:r>
        <w:rPr>
          <w:spacing w:val="-3"/>
        </w:rPr>
        <w:t>的季节性特征有所改善，但总体趋势仍不会有大的变化。</w:t>
      </w:r>
    </w:p>
    <w:p>
      <w:pPr>
        <w:pStyle w:val="BodyText"/>
        <w:spacing w:line="324" w:lineRule="auto" w:before="55"/>
        <w:ind w:right="0" w:firstLine="480"/>
        <w:jc w:val="left"/>
      </w:pPr>
      <w:r>
        <w:rPr>
          <w:spacing w:val="-3"/>
        </w:rPr>
        <w:t>应对措施：公司将不断加强营销管理、项目过程管控、财务管理，强化公司整体预算的科学化、精细化，严格督导实</w:t>
      </w:r>
      <w:r>
        <w:rPr>
          <w:w w:val="101"/>
        </w:rPr>
        <w:t> </w:t>
      </w:r>
      <w:r>
        <w:rPr>
          <w:spacing w:val="-3"/>
        </w:rPr>
        <w:t>际经营情况，尽可能改善业绩季节性波动风险。</w:t>
      </w:r>
    </w:p>
    <w:p>
      <w:pPr>
        <w:pStyle w:val="BodyText"/>
        <w:spacing w:line="319" w:lineRule="auto" w:before="47"/>
        <w:ind w:right="0" w:firstLine="480"/>
        <w:jc w:val="left"/>
      </w:pPr>
      <w:r>
        <w:rPr>
          <w:rFonts w:ascii="宋体" w:hAnsi="宋体" w:cs="宋体" w:eastAsia="宋体" w:hint="default"/>
          <w:spacing w:val="-3"/>
        </w:rPr>
        <w:t>8</w:t>
      </w:r>
      <w:r>
        <w:rPr>
          <w:spacing w:val="-3"/>
        </w:rPr>
        <w:t>、商誉减值风险。公司在进行资产收购的过程中，根据《企业会计准则》要求，非同一控制下的企业合并，合并成</w:t>
      </w:r>
      <w:r>
        <w:rPr>
          <w:w w:val="101"/>
        </w:rPr>
        <w:t> </w:t>
      </w:r>
      <w:r>
        <w:rPr>
          <w:spacing w:val="-4"/>
        </w:rPr>
        <w:t>本大于合并中取得的被购买方可辨认净资产公允价值份额的差额，确认为商誉，商誉不做摊销处理，但需在未来年度每年年</w:t>
      </w:r>
      <w:r>
        <w:rPr>
          <w:spacing w:val="38"/>
        </w:rPr>
        <w:t> </w:t>
      </w:r>
      <w:r>
        <w:rPr>
          <w:spacing w:val="38"/>
        </w:rPr>
      </w:r>
      <w:r>
        <w:rPr>
          <w:spacing w:val="-6"/>
          <w:w w:val="101"/>
        </w:rPr>
        <w:t>终进行减值测试。如果未来被收购资产所处行业不景气、自身业务下降或者其他因素导致未来经营状况和盈利能力未达预期，</w:t>
      </w:r>
      <w:r>
        <w:rPr>
          <w:spacing w:val="-65"/>
          <w:w w:val="101"/>
        </w:rPr>
        <w:t> </w:t>
      </w:r>
      <w:r>
        <w:rPr>
          <w:spacing w:val="-65"/>
          <w:w w:val="101"/>
        </w:rPr>
      </w:r>
      <w:r>
        <w:rPr>
          <w:spacing w:val="-4"/>
        </w:rPr>
        <w:t>则上市公司存在商誉减值的风险，从而对上市公司当期损益造成不利影响，若一旦集中计提大额的商誉减值，将对上市公司</w:t>
      </w:r>
      <w:r>
        <w:rPr>
          <w:spacing w:val="43"/>
        </w:rPr>
        <w:t> </w:t>
      </w:r>
      <w:r>
        <w:rPr>
          <w:spacing w:val="43"/>
        </w:rPr>
      </w:r>
      <w:r>
        <w:rPr>
          <w:spacing w:val="-3"/>
        </w:rPr>
        <w:t>盈利水平产生较大的不利影响，提请投资者注意相应风险。</w:t>
      </w:r>
    </w:p>
    <w:p>
      <w:pPr>
        <w:pStyle w:val="BodyText"/>
        <w:spacing w:line="321" w:lineRule="auto" w:before="50"/>
        <w:ind w:right="0" w:firstLine="480"/>
        <w:jc w:val="left"/>
      </w:pPr>
      <w:r>
        <w:rPr>
          <w:spacing w:val="-3"/>
        </w:rPr>
        <w:t>应对措施：公司通过建立相应的内控管理制度，每年对商誉进行减值测试，同时加强和被收购资产在市场、人员、技</w:t>
      </w:r>
      <w:r>
        <w:rPr>
          <w:w w:val="101"/>
        </w:rPr>
        <w:t> </w:t>
      </w:r>
      <w:r>
        <w:rPr>
          <w:spacing w:val="-6"/>
        </w:rPr>
        <w:t>术、管理等方面的整合，保持被收购资产的持续竞争力，将因企业合并形成的商誉对上市公司未来业绩的影响降到最低程度。</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1882"/>
        <w:gridCol w:w="3337"/>
      </w:tblGrid>
      <w:tr>
        <w:trPr>
          <w:trHeight w:val="398"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5"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9"/>
              <w:ind w:left="24" w:right="56"/>
              <w:jc w:val="both"/>
              <w:rPr>
                <w:rFonts w:ascii="宋体" w:hAnsi="宋体" w:cs="宋体" w:eastAsia="宋体" w:hint="default"/>
                <w:sz w:val="18"/>
                <w:szCs w:val="18"/>
              </w:rPr>
            </w:pPr>
            <w:r>
              <w:rPr>
                <w:rFonts w:ascii="宋体" w:hAnsi="宋体" w:cs="宋体" w:eastAsia="宋体" w:hint="default"/>
                <w:sz w:val="18"/>
                <w:szCs w:val="18"/>
              </w:rPr>
              <w:t>具体请见公司披露披露于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日披露的投资者关系活动记录表（编号：</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z w:val="18"/>
                <w:szCs w:val="18"/>
              </w:rPr>
              <w:t>2019-001</w:t>
            </w:r>
            <w:r>
              <w:rPr>
                <w:rFonts w:ascii="宋体" w:hAnsi="宋体" w:cs="宋体" w:eastAsia="宋体" w:hint="default"/>
                <w:sz w:val="18"/>
                <w:szCs w:val="18"/>
              </w:rPr>
              <w:t>）</w:t>
            </w:r>
          </w:p>
        </w:tc>
      </w:tr>
    </w:tbl>
    <w:p>
      <w:pPr>
        <w:spacing w:after="0" w:line="309" w:lineRule="auto"/>
        <w:jc w:val="both"/>
        <w:rPr>
          <w:rFonts w:ascii="宋体" w:hAnsi="宋体" w:cs="宋体" w:eastAsia="宋体"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571"/>
        <w:jc w:val="center"/>
        <w:rPr>
          <w:b w:val="0"/>
          <w:bCs w:val="0"/>
        </w:rPr>
      </w:pPr>
      <w:bookmarkStart w:name="_TOC_250008" w:id="58"/>
      <w:bookmarkStart w:name="第五节重要事项" w:id="59"/>
      <w:r>
        <w:rPr>
          <w:b w:val="0"/>
          <w:bCs w:val="0"/>
        </w:rPr>
      </w:r>
      <w:r>
        <w:rPr/>
        <w:t>第五节重要事项</w:t>
      </w:r>
      <w:bookmarkEnd w:id="58"/>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316" w:lineRule="auto" w:before="115"/>
        <w:ind w:right="11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报告期内，公司严格按照《公司章程》相关利润分配政策和审议程序制定利润分配方案，分配标准明确清晰，相关的决策程</w:t>
      </w:r>
      <w:r>
        <w:rPr>
          <w:spacing w:val="41"/>
        </w:rPr>
        <w:t> </w:t>
      </w:r>
      <w:r>
        <w:rPr>
          <w:spacing w:val="41"/>
        </w:rPr>
      </w:r>
      <w:r>
        <w:rPr>
          <w:spacing w:val="-3"/>
        </w:rPr>
        <w:t>序和机制完备。</w:t>
      </w:r>
      <w:r>
        <w:rPr>
          <w:spacing w:val="-68"/>
        </w:rPr>
        <w:t> </w:t>
      </w:r>
      <w:r>
        <w:rPr>
          <w:spacing w:val="-68"/>
        </w:rPr>
      </w:r>
      <w:r>
        <w:rPr>
          <w:spacing w:val="-6"/>
        </w:rPr>
        <w:t>公司</w:t>
      </w:r>
      <w:r>
        <w:rPr>
          <w:rFonts w:ascii="Times New Roman" w:hAnsi="Times New Roman" w:cs="Times New Roman" w:eastAsia="Times New Roman" w:hint="default"/>
          <w:spacing w:val="-6"/>
        </w:rPr>
        <w:t>2018</w:t>
      </w:r>
      <w:r>
        <w:rPr>
          <w:spacing w:val="-6"/>
        </w:rPr>
        <w:t>年度公司虽然实现扭亏，但可供分配利润仍然为负，故</w:t>
      </w:r>
      <w:r>
        <w:rPr>
          <w:rFonts w:ascii="Times New Roman" w:hAnsi="Times New Roman" w:cs="Times New Roman" w:eastAsia="Times New Roman" w:hint="default"/>
          <w:spacing w:val="-6"/>
        </w:rPr>
        <w:t>2018</w:t>
      </w:r>
      <w:r>
        <w:rPr>
          <w:spacing w:val="-6"/>
        </w:rPr>
        <w:t>年度公司不进行利润分配，也不进行资本公积转增股本。</w:t>
      </w:r>
      <w:r>
        <w:rPr>
          <w:spacing w:val="3"/>
        </w:rPr>
        <w:t> </w:t>
      </w:r>
      <w:r>
        <w:rPr>
          <w:spacing w:val="3"/>
        </w:rPr>
      </w:r>
      <w:r>
        <w:rPr>
          <w:spacing w:val="-4"/>
        </w:rPr>
        <w:t>公司利润分配方案经由董事会、监事会审议过后提交股东大会审议，并由独立董事发表独立意见，切实保证了全体股东的利</w:t>
      </w:r>
      <w:r>
        <w:rPr>
          <w:spacing w:val="43"/>
        </w:rPr>
        <w:t> </w:t>
      </w:r>
      <w:r>
        <w:rPr>
          <w:spacing w:val="43"/>
        </w:rPr>
      </w:r>
      <w:r>
        <w:rPr/>
        <w:t>益。</w:t>
      </w:r>
    </w:p>
    <w:tbl>
      <w:tblPr>
        <w:tblW w:w="0" w:type="auto"/>
        <w:jc w:val="left"/>
        <w:tblInd w:w="160" w:type="dxa"/>
        <w:tblLayout w:type="fixed"/>
        <w:tblCellMar>
          <w:top w:w="0" w:type="dxa"/>
          <w:left w:w="0" w:type="dxa"/>
          <w:bottom w:w="0" w:type="dxa"/>
          <w:right w:w="0" w:type="dxa"/>
        </w:tblCellMar>
        <w:tblLook w:val="01E0"/>
      </w:tblPr>
      <w:tblGrid>
        <w:gridCol w:w="6785"/>
        <w:gridCol w:w="2773"/>
      </w:tblGrid>
      <w:tr>
        <w:trPr>
          <w:trHeight w:val="40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3" w:hRule="exact"/>
        </w:trPr>
        <w:tc>
          <w:tcPr>
            <w:tcW w:w="6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27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6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27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6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27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6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27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6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中小股东是否有充分表达意见和诉求的机会，其合法权益是否得到了充分保护：</w:t>
            </w:r>
          </w:p>
        </w:tc>
        <w:tc>
          <w:tcPr>
            <w:tcW w:w="27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6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现金分红政策进行调整或变更的，条件及程序是否合规、透明：</w:t>
            </w:r>
          </w:p>
        </w:tc>
        <w:tc>
          <w:tcPr>
            <w:tcW w:w="27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4"/>
        <w:ind w:right="0"/>
        <w:jc w:val="left"/>
      </w:pPr>
      <w:r>
        <w:rPr>
          <w:spacing w:val="-3"/>
        </w:rPr>
        <w:t>公司报告期利润分配预案及资本公积金转增股本预案与公司章程和分红管理办法等的相关规定一致</w:t>
      </w:r>
    </w:p>
    <w:p>
      <w:pPr>
        <w:pStyle w:val="BodyText"/>
        <w:spacing w:line="350" w:lineRule="auto" w:before="115"/>
        <w:ind w:right="4275"/>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4800"/>
        <w:gridCol w:w="4758"/>
      </w:tblGrid>
      <w:tr>
        <w:trPr>
          <w:trHeight w:val="403"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1"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281,295,708</w:t>
            </w:r>
          </w:p>
        </w:tc>
      </w:tr>
      <w:tr>
        <w:trPr>
          <w:trHeight w:val="403"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28,129,570.80</w:t>
            </w:r>
          </w:p>
        </w:tc>
      </w:tr>
      <w:tr>
        <w:trPr>
          <w:trHeight w:val="403"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28,129,570.80</w:t>
            </w:r>
          </w:p>
        </w:tc>
      </w:tr>
      <w:tr>
        <w:trPr>
          <w:trHeight w:val="401"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30,436,112.76</w:t>
            </w:r>
          </w:p>
        </w:tc>
      </w:tr>
      <w:tr>
        <w:trPr>
          <w:trHeight w:val="408" w:hRule="exact"/>
        </w:trPr>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现金分红总额（含其他方式）占利润分配总额的比例</w:t>
            </w:r>
          </w:p>
        </w:tc>
        <w:tc>
          <w:tcPr>
            <w:tcW w:w="475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365"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5"/>
                <w:sz w:val="18"/>
                <w:szCs w:val="18"/>
              </w:rPr>
              <w:t>经大华会计师事务所（特殊普通合伙）审计，公司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年度实现归属于上市公司股东的净利润 </w:t>
            </w:r>
            <w:r>
              <w:rPr>
                <w:rFonts w:ascii="Times New Roman" w:hAnsi="Times New Roman" w:cs="Times New Roman" w:eastAsia="Times New Roman" w:hint="default"/>
                <w:sz w:val="18"/>
                <w:szCs w:val="18"/>
              </w:rPr>
              <w:t>141,291,862.35</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元，其</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3"/>
        <w:rPr>
          <w:rFonts w:ascii="宋体" w:hAnsi="宋体" w:cs="宋体" w:eastAsia="宋体" w:hint="default"/>
          <w:sz w:val="24"/>
          <w:szCs w:val="24"/>
        </w:rPr>
      </w:pPr>
    </w:p>
    <w:p>
      <w:pPr>
        <w:spacing w:line="4600" w:lineRule="exact"/>
        <w:ind w:left="148" w:right="0" w:firstLine="0"/>
        <w:rPr>
          <w:rFonts w:ascii="宋体" w:hAnsi="宋体" w:cs="宋体" w:eastAsia="宋体" w:hint="default"/>
          <w:sz w:val="20"/>
          <w:szCs w:val="20"/>
        </w:rPr>
      </w:pPr>
      <w:r>
        <w:rPr>
          <w:rFonts w:ascii="宋体" w:hAnsi="宋体" w:cs="宋体" w:eastAsia="宋体" w:hint="default"/>
          <w:position w:val="-91"/>
          <w:sz w:val="20"/>
          <w:szCs w:val="20"/>
        </w:rPr>
        <w:pict>
          <v:group style="width:482.1pt;height:230pt;mso-position-horizontal-relative:char;mso-position-vertical-relative:line" coordorigin="0,0" coordsize="9642,4600">
            <v:group style="position:absolute;left:10;top:10;width:9561;height:2" coordorigin="10,10" coordsize="9561,2">
              <v:shape style="position:absolute;left:10;top:10;width:9561;height:2" coordorigin="10,10" coordsize="9561,0" path="m10,10l9570,10e" filled="false" stroked="true" strokeweight=".48pt" strokecolor="#000000">
                <v:path arrowok="t"/>
              </v:shape>
            </v:group>
            <v:group style="position:absolute;left:5;top:5;width:2;height:4591" coordorigin="5,5" coordsize="2,4591">
              <v:shape style="position:absolute;left:5;top:5;width:2;height:4591" coordorigin="5,5" coordsize="0,4591" path="m5,5l5,4595e" filled="false" stroked="true" strokeweight=".48pt" strokecolor="#000000">
                <v:path arrowok="t"/>
              </v:shape>
            </v:group>
            <v:group style="position:absolute;left:10;top:4590;width:9561;height:2" coordorigin="10,4590" coordsize="9561,2">
              <v:shape style="position:absolute;left:10;top:4590;width:9561;height:2" coordorigin="10,4590" coordsize="9561,0" path="m10,4590l9570,4590e" filled="false" stroked="true" strokeweight=".48001pt" strokecolor="#000000">
                <v:path arrowok="t"/>
              </v:shape>
            </v:group>
            <v:group style="position:absolute;left:9575;top:5;width:2;height:4591" coordorigin="9575,5" coordsize="2,4591">
              <v:shape style="position:absolute;left:9575;top:5;width:2;height:4591" coordorigin="9575,5" coordsize="0,4591" path="m9575,5l9575,4595e" filled="false" stroked="true" strokeweight=".48004pt" strokecolor="#000000">
                <v:path arrowok="t"/>
              </v:shape>
              <v:shape style="position:absolute;left:0;top:0;width:9642;height:4600" type="#_x0000_t202" filled="false" stroked="false">
                <v:textbox inset="0,0,0,0">
                  <w:txbxContent>
                    <w:p>
                      <w:pPr>
                        <w:spacing w:line="302" w:lineRule="auto" w:before="25"/>
                        <w:ind w:left="33" w:right="103" w:firstLine="0"/>
                        <w:jc w:val="both"/>
                        <w:rPr>
                          <w:rFonts w:ascii="宋体" w:hAnsi="宋体" w:cs="宋体" w:eastAsia="宋体" w:hint="default"/>
                          <w:sz w:val="18"/>
                          <w:szCs w:val="18"/>
                        </w:rPr>
                      </w:pPr>
                      <w:r>
                        <w:rPr>
                          <w:rFonts w:ascii="宋体" w:hAnsi="宋体" w:cs="宋体" w:eastAsia="宋体" w:hint="default"/>
                          <w:sz w:val="18"/>
                          <w:szCs w:val="18"/>
                        </w:rPr>
                        <w:t>中母公司实现净利润为 </w:t>
                      </w:r>
                      <w:r>
                        <w:rPr>
                          <w:rFonts w:ascii="Times New Roman" w:hAnsi="Times New Roman" w:cs="Times New Roman" w:eastAsia="Times New Roman" w:hint="default"/>
                          <w:sz w:val="18"/>
                          <w:szCs w:val="18"/>
                        </w:rPr>
                        <w:t>74,996,567.21 </w:t>
                      </w:r>
                      <w:r>
                        <w:rPr>
                          <w:rFonts w:ascii="宋体" w:hAnsi="宋体" w:cs="宋体" w:eastAsia="宋体" w:hint="default"/>
                          <w:spacing w:val="-3"/>
                          <w:sz w:val="18"/>
                          <w:szCs w:val="18"/>
                        </w:rPr>
                        <w:t>元。根据《公司法》和《公司章程》的有关规定，以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年度实现的母公司净利润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74,996,567.21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元为基数，加上年初未分配利润</w:t>
                      </w:r>
                      <w:r>
                        <w:rPr>
                          <w:rFonts w:ascii="Times New Roman" w:hAnsi="Times New Roman" w:cs="Times New Roman" w:eastAsia="Times New Roman" w:hint="default"/>
                          <w:sz w:val="18"/>
                          <w:szCs w:val="18"/>
                        </w:rPr>
                        <w:t>-41,178,664.14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元，提取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的法定盈余公积 </w:t>
                      </w:r>
                      <w:r>
                        <w:rPr>
                          <w:rFonts w:ascii="Times New Roman" w:hAnsi="Times New Roman" w:cs="Times New Roman" w:eastAsia="Times New Roman" w:hint="default"/>
                          <w:sz w:val="18"/>
                          <w:szCs w:val="18"/>
                        </w:rPr>
                        <w:t>3,381,790.31 </w:t>
                      </w:r>
                      <w:r>
                        <w:rPr>
                          <w:rFonts w:ascii="宋体" w:hAnsi="宋体" w:cs="宋体" w:eastAsia="宋体" w:hint="default"/>
                          <w:sz w:val="18"/>
                          <w:szCs w:val="18"/>
                        </w:rPr>
                        <w:t>元后，</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年期</w:t>
                      </w:r>
                      <w:r>
                        <w:rPr>
                          <w:rFonts w:ascii="宋体" w:hAnsi="宋体" w:cs="宋体" w:eastAsia="宋体" w:hint="default"/>
                          <w:spacing w:val="-88"/>
                          <w:sz w:val="18"/>
                          <w:szCs w:val="18"/>
                        </w:rPr>
                        <w:t> </w:t>
                      </w:r>
                      <w:r>
                        <w:rPr>
                          <w:rFonts w:ascii="宋体" w:hAnsi="宋体" w:cs="宋体" w:eastAsia="宋体" w:hint="default"/>
                          <w:sz w:val="18"/>
                          <w:szCs w:val="18"/>
                        </w:rPr>
                        <w:t>末可供股东分配的利润为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30,436,112.76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321" w:lineRule="auto" w:before="45"/>
                        <w:ind w:left="33" w:right="0" w:firstLine="360"/>
                        <w:jc w:val="both"/>
                        <w:rPr>
                          <w:rFonts w:ascii="宋体" w:hAnsi="宋体" w:cs="宋体" w:eastAsia="宋体" w:hint="default"/>
                          <w:sz w:val="18"/>
                          <w:szCs w:val="18"/>
                        </w:rPr>
                      </w:pPr>
                      <w:r>
                        <w:rPr>
                          <w:rFonts w:ascii="宋体" w:hAnsi="宋体" w:cs="宋体" w:eastAsia="宋体" w:hint="default"/>
                          <w:spacing w:val="-4"/>
                          <w:sz w:val="18"/>
                          <w:szCs w:val="18"/>
                        </w:rPr>
                        <w:t>根据中国证监会鼓励上市公司现金分红，给予投资者稳定、合理回报的指导意见，在符合利润分配原则、保证公司正</w:t>
                      </w:r>
                      <w:r>
                        <w:rPr>
                          <w:rFonts w:ascii="宋体" w:hAnsi="宋体" w:cs="宋体" w:eastAsia="宋体" w:hint="default"/>
                          <w:w w:val="101"/>
                          <w:sz w:val="18"/>
                          <w:szCs w:val="18"/>
                        </w:rPr>
                        <w:t> </w:t>
                      </w:r>
                      <w:r>
                        <w:rPr>
                          <w:rFonts w:ascii="宋体" w:hAnsi="宋体" w:cs="宋体" w:eastAsia="宋体" w:hint="default"/>
                          <w:spacing w:val="-4"/>
                          <w:sz w:val="18"/>
                          <w:szCs w:val="18"/>
                        </w:rPr>
                        <w:t>常经营和长远发展的前提下，公司董事会根据《公司法》和《公司章程》的有关规定，拟定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年度利润分配预案如下：</w:t>
                      </w:r>
                    </w:p>
                    <w:p>
                      <w:pPr>
                        <w:spacing w:before="33"/>
                        <w:ind w:left="33" w:right="0" w:firstLine="0"/>
                        <w:jc w:val="both"/>
                        <w:rPr>
                          <w:rFonts w:ascii="宋体" w:hAnsi="宋体" w:cs="宋体" w:eastAsia="宋体" w:hint="default"/>
                          <w:sz w:val="18"/>
                          <w:szCs w:val="18"/>
                        </w:rPr>
                      </w:pPr>
                      <w:r>
                        <w:rPr>
                          <w:rFonts w:ascii="宋体" w:hAnsi="宋体" w:cs="宋体" w:eastAsia="宋体" w:hint="default"/>
                          <w:w w:val="101"/>
                          <w:sz w:val="18"/>
                          <w:szCs w:val="18"/>
                        </w:rPr>
                        <w:t>以</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总</w:t>
                      </w:r>
                      <w:r>
                        <w:rPr>
                          <w:rFonts w:ascii="宋体" w:hAnsi="宋体" w:cs="宋体" w:eastAsia="宋体" w:hint="default"/>
                          <w:w w:val="101"/>
                          <w:sz w:val="18"/>
                          <w:szCs w:val="18"/>
                        </w:rPr>
                        <w:t>股本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29</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708</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为</w:t>
                      </w:r>
                      <w:r>
                        <w:rPr>
                          <w:rFonts w:ascii="宋体" w:hAnsi="宋体" w:cs="宋体" w:eastAsia="宋体" w:hint="default"/>
                          <w:w w:val="101"/>
                          <w:sz w:val="18"/>
                          <w:szCs w:val="18"/>
                        </w:rPr>
                        <w:t>基</w:t>
                      </w:r>
                      <w:r>
                        <w:rPr>
                          <w:rFonts w:ascii="宋体" w:hAnsi="宋体" w:cs="宋体" w:eastAsia="宋体" w:hint="default"/>
                          <w:spacing w:val="-5"/>
                          <w:w w:val="101"/>
                          <w:sz w:val="18"/>
                          <w:szCs w:val="18"/>
                        </w:rPr>
                        <w:t>数</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向全</w:t>
                      </w:r>
                      <w:r>
                        <w:rPr>
                          <w:rFonts w:ascii="宋体" w:hAnsi="宋体" w:cs="宋体" w:eastAsia="宋体" w:hint="default"/>
                          <w:w w:val="101"/>
                          <w:sz w:val="18"/>
                          <w:szCs w:val="18"/>
                        </w:rPr>
                        <w:t>体</w:t>
                      </w:r>
                      <w:r>
                        <w:rPr>
                          <w:rFonts w:ascii="宋体" w:hAnsi="宋体" w:cs="宋体" w:eastAsia="宋体" w:hint="default"/>
                          <w:spacing w:val="-5"/>
                          <w:w w:val="101"/>
                          <w:sz w:val="18"/>
                          <w:szCs w:val="18"/>
                        </w:rPr>
                        <w:t>股</w:t>
                      </w:r>
                      <w:r>
                        <w:rPr>
                          <w:rFonts w:ascii="宋体" w:hAnsi="宋体" w:cs="宋体" w:eastAsia="宋体" w:hint="default"/>
                          <w:w w:val="101"/>
                          <w:sz w:val="18"/>
                          <w:szCs w:val="18"/>
                        </w:rPr>
                        <w:t>东每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派</w:t>
                      </w:r>
                      <w:r>
                        <w:rPr>
                          <w:rFonts w:ascii="宋体" w:hAnsi="宋体" w:cs="宋体" w:eastAsia="宋体" w:hint="default"/>
                          <w:spacing w:val="-5"/>
                          <w:w w:val="101"/>
                          <w:sz w:val="18"/>
                          <w:szCs w:val="18"/>
                        </w:rPr>
                        <w:t>发</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股利</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pacing w:val="-29"/>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含税</w:t>
                      </w:r>
                      <w:r>
                        <w:rPr>
                          <w:rFonts w:ascii="宋体" w:hAnsi="宋体" w:cs="宋体" w:eastAsia="宋体" w:hint="default"/>
                          <w:spacing w:val="-96"/>
                          <w:w w:val="101"/>
                          <w:sz w:val="18"/>
                          <w:szCs w:val="18"/>
                        </w:rPr>
                        <w:t>）</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共</w:t>
                      </w:r>
                      <w:r>
                        <w:rPr>
                          <w:rFonts w:ascii="宋体" w:hAnsi="宋体" w:cs="宋体" w:eastAsia="宋体" w:hint="default"/>
                          <w:w w:val="101"/>
                          <w:sz w:val="18"/>
                          <w:szCs w:val="18"/>
                        </w:rPr>
                        <w:t>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z w:val="18"/>
                          <w:szCs w:val="18"/>
                        </w:rPr>
                      </w:r>
                    </w:p>
                    <w:p>
                      <w:pPr>
                        <w:spacing w:line="304" w:lineRule="auto" w:before="63"/>
                        <w:ind w:left="33" w:right="104" w:firstLine="0"/>
                        <w:jc w:val="both"/>
                        <w:rPr>
                          <w:rFonts w:ascii="宋体" w:hAnsi="宋体" w:cs="宋体" w:eastAsia="宋体" w:hint="default"/>
                          <w:sz w:val="18"/>
                          <w:szCs w:val="18"/>
                        </w:rPr>
                      </w:pPr>
                      <w:r>
                        <w:rPr>
                          <w:rFonts w:ascii="宋体" w:hAnsi="宋体" w:cs="宋体" w:eastAsia="宋体" w:hint="default"/>
                          <w:sz w:val="18"/>
                          <w:szCs w:val="18"/>
                        </w:rPr>
                        <w:t>红利人民币 </w:t>
                      </w:r>
                      <w:r>
                        <w:rPr>
                          <w:rFonts w:ascii="Times New Roman" w:hAnsi="Times New Roman" w:cs="Times New Roman" w:eastAsia="Times New Roman" w:hint="default"/>
                          <w:sz w:val="18"/>
                          <w:szCs w:val="18"/>
                        </w:rPr>
                        <w:t>28,129,570.80 </w:t>
                      </w:r>
                      <w:r>
                        <w:rPr>
                          <w:rFonts w:ascii="宋体" w:hAnsi="宋体" w:cs="宋体" w:eastAsia="宋体" w:hint="default"/>
                          <w:spacing w:val="-5"/>
                          <w:sz w:val="18"/>
                          <w:szCs w:val="18"/>
                        </w:rPr>
                        <w:t>元（含税）。本次分配不送红股，不以资本公积金转增股本。本次利润分配预案现金分红金额占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当年实现的母公司可供分配利润的  </w:t>
                      </w:r>
                      <w:r>
                        <w:rPr>
                          <w:rFonts w:ascii="Times New Roman" w:hAnsi="Times New Roman" w:cs="Times New Roman" w:eastAsia="Times New Roman" w:hint="default"/>
                          <w:spacing w:val="-3"/>
                          <w:sz w:val="18"/>
                          <w:szCs w:val="18"/>
                        </w:rPr>
                        <w:t>92.42%</w:t>
                      </w:r>
                      <w:r>
                        <w:rPr>
                          <w:rFonts w:ascii="宋体" w:hAnsi="宋体" w:cs="宋体" w:eastAsia="宋体" w:hint="default"/>
                          <w:spacing w:val="-3"/>
                          <w:sz w:val="18"/>
                          <w:szCs w:val="18"/>
                        </w:rPr>
                        <w:t>，占合并报表归属于上市公司普通股股东的净利润比例为</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19.91%</w:t>
                      </w:r>
                      <w:r>
                        <w:rPr>
                          <w:rFonts w:ascii="宋体" w:hAnsi="宋体" w:cs="宋体" w:eastAsia="宋体" w:hint="default"/>
                          <w:sz w:val="18"/>
                          <w:szCs w:val="18"/>
                        </w:rPr>
                        <w:t>。</w:t>
                      </w:r>
                    </w:p>
                    <w:p>
                      <w:pPr>
                        <w:spacing w:line="304" w:lineRule="auto" w:before="43"/>
                        <w:ind w:left="33" w:right="151" w:firstLine="360"/>
                        <w:jc w:val="both"/>
                        <w:rPr>
                          <w:rFonts w:ascii="宋体" w:hAnsi="宋体" w:cs="宋体" w:eastAsia="宋体" w:hint="default"/>
                          <w:sz w:val="18"/>
                          <w:szCs w:val="18"/>
                        </w:rPr>
                      </w:pPr>
                      <w:r>
                        <w:rPr>
                          <w:rFonts w:ascii="宋体" w:hAnsi="宋体" w:cs="宋体" w:eastAsia="宋体" w:hint="default"/>
                          <w:spacing w:val="-3"/>
                          <w:sz w:val="18"/>
                          <w:szCs w:val="18"/>
                        </w:rPr>
                        <w:t>若在分配方案实施前公司总股本由于股权激励行权市等原因而发生变化的，公司最终以实施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年度利润分配方案</w:t>
                      </w:r>
                      <w:r>
                        <w:rPr>
                          <w:rFonts w:ascii="宋体" w:hAnsi="宋体" w:cs="宋体" w:eastAsia="宋体" w:hint="default"/>
                          <w:w w:val="101"/>
                          <w:sz w:val="18"/>
                          <w:szCs w:val="18"/>
                        </w:rPr>
                        <w:t> </w:t>
                      </w:r>
                      <w:r>
                        <w:rPr>
                          <w:rFonts w:ascii="宋体" w:hAnsi="宋体" w:cs="宋体" w:eastAsia="宋体" w:hint="default"/>
                          <w:spacing w:val="-3"/>
                          <w:sz w:val="18"/>
                          <w:szCs w:val="18"/>
                        </w:rPr>
                        <w:t>时股权登记日的总股本为基数，按照分配比例不变的原则对分配总额进行相应调整。</w:t>
                      </w:r>
                    </w:p>
                    <w:p>
                      <w:pPr>
                        <w:spacing w:line="314" w:lineRule="auto" w:before="61"/>
                        <w:ind w:left="33" w:right="57" w:firstLine="360"/>
                        <w:jc w:val="both"/>
                        <w:rPr>
                          <w:rFonts w:ascii="宋体" w:hAnsi="宋体" w:cs="宋体" w:eastAsia="宋体" w:hint="default"/>
                          <w:sz w:val="18"/>
                          <w:szCs w:val="18"/>
                        </w:rPr>
                      </w:pPr>
                      <w:r>
                        <w:rPr>
                          <w:rFonts w:ascii="宋体" w:hAnsi="宋体" w:cs="宋体" w:eastAsia="宋体" w:hint="default"/>
                          <w:spacing w:val="-10"/>
                          <w:sz w:val="18"/>
                          <w:szCs w:val="18"/>
                        </w:rPr>
                        <w:t>本次利润分配方案符合《公司法》、《企业会计准则》、证监会《关于进一步落实上市公司现金分红有关事项的通知》、</w:t>
                      </w:r>
                      <w:r>
                        <w:rPr>
                          <w:rFonts w:ascii="宋体" w:hAnsi="宋体" w:cs="宋体" w:eastAsia="宋体" w:hint="default"/>
                          <w:w w:val="101"/>
                          <w:sz w:val="18"/>
                          <w:szCs w:val="18"/>
                        </w:rPr>
                        <w:t> </w:t>
                      </w:r>
                      <w:r>
                        <w:rPr>
                          <w:rFonts w:ascii="宋体" w:hAnsi="宋体" w:cs="宋体" w:eastAsia="宋体" w:hint="default"/>
                          <w:spacing w:val="-3"/>
                          <w:sz w:val="18"/>
                          <w:szCs w:val="18"/>
                        </w:rPr>
                        <w:t>证监会《上市公司监管指引第 </w:t>
                      </w:r>
                      <w:r>
                        <w:rPr>
                          <w:rFonts w:ascii="Times New Roman" w:hAnsi="Times New Roman" w:cs="Times New Roman" w:eastAsia="Times New Roman" w:hint="default"/>
                          <w:sz w:val="18"/>
                          <w:szCs w:val="18"/>
                        </w:rPr>
                        <w:t>3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上市公司现金分红》及《公司章程》等规定，具备合法性、合规性、合理性。预案的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实施不会造成公司流动资金短缺或其他不良影响。本次利润分配预案兼顾了股东的即期利益和长远利益，充分考虑了广大</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投资者的利益和合理诉求，与公司经营业绩及未来发展相匹配，符合公司的发展规划。</w:t>
                      </w:r>
                    </w:p>
                  </w:txbxContent>
                </v:textbox>
                <w10:wrap type="none"/>
              </v:shape>
            </v:group>
          </v:group>
        </w:pict>
      </w:r>
      <w:r>
        <w:rPr>
          <w:rFonts w:ascii="宋体" w:hAnsi="宋体" w:cs="宋体" w:eastAsia="宋体" w:hint="default"/>
          <w:position w:val="-91"/>
          <w:sz w:val="20"/>
          <w:szCs w:val="20"/>
        </w:rPr>
      </w:r>
    </w:p>
    <w:p>
      <w:pPr>
        <w:pStyle w:val="BodyText"/>
        <w:spacing w:line="240" w:lineRule="auto" w:before="49"/>
        <w:ind w:right="0"/>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pStyle w:val="BodyText"/>
        <w:spacing w:line="300" w:lineRule="auto" w:before="96"/>
        <w:ind w:right="0" w:firstLine="360"/>
        <w:jc w:val="left"/>
      </w:pPr>
      <w:r>
        <w:rPr>
          <w:rFonts w:ascii="Times New Roman" w:hAnsi="Times New Roman" w:cs="Times New Roman" w:eastAsia="Times New Roman" w:hint="default"/>
          <w:spacing w:val="-4"/>
        </w:rPr>
        <w:t>1</w:t>
      </w:r>
      <w:r>
        <w:rPr>
          <w:spacing w:val="-4"/>
        </w:rPr>
        <w:t>、经</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11</w:t>
      </w:r>
      <w:r>
        <w:rPr>
          <w:spacing w:val="-4"/>
        </w:rPr>
        <w:t>日召开的第三届董事会第十三次会议审议通过《关于公司</w:t>
      </w:r>
      <w:r>
        <w:rPr>
          <w:rFonts w:ascii="Times New Roman" w:hAnsi="Times New Roman" w:cs="Times New Roman" w:eastAsia="Times New Roman" w:hint="default"/>
          <w:spacing w:val="-4"/>
        </w:rPr>
        <w:t>2017</w:t>
      </w:r>
      <w:r>
        <w:rPr>
          <w:spacing w:val="-4"/>
        </w:rPr>
        <w:t>年度利润分配方案的议案》，公司计划</w:t>
      </w:r>
      <w:r>
        <w:rPr>
          <w:w w:val="101"/>
        </w:rPr>
        <w:t> </w:t>
      </w:r>
      <w:r>
        <w:rPr>
          <w:spacing w:val="-3"/>
        </w:rPr>
        <w:t>不派发现金红利，不送红股，不以公积金转增股本。</w:t>
      </w:r>
    </w:p>
    <w:p>
      <w:pPr>
        <w:pStyle w:val="BodyText"/>
        <w:spacing w:line="240" w:lineRule="auto" w:before="31"/>
        <w:ind w:left="51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w:t>
      </w:r>
      <w:r>
        <w:rPr>
          <w:spacing w:val="-68"/>
          <w:w w:val="101"/>
        </w:rPr>
        <w:t>、</w:t>
      </w:r>
      <w:r>
        <w:rPr>
          <w:w w:val="101"/>
        </w:rPr>
        <w:t>经</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spacing w:val="-5"/>
          <w:w w:val="101"/>
        </w:rPr>
        <w:t>年</w:t>
      </w:r>
      <w:r>
        <w:rPr>
          <w:rFonts w:ascii="Times New Roman" w:hAnsi="Times New Roman" w:cs="Times New Roman" w:eastAsia="Times New Roman" w:hint="default"/>
          <w:w w:val="101"/>
        </w:rPr>
        <w:t>3</w:t>
      </w:r>
      <w:r>
        <w:rPr>
          <w:w w:val="101"/>
        </w:rPr>
        <w:t>月</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5</w:t>
      </w:r>
      <w:r>
        <w:rPr>
          <w:spacing w:val="-5"/>
          <w:w w:val="101"/>
        </w:rPr>
        <w:t>日</w:t>
      </w:r>
      <w:r>
        <w:rPr>
          <w:w w:val="101"/>
        </w:rPr>
        <w:t>召</w:t>
      </w:r>
      <w:r>
        <w:rPr>
          <w:spacing w:val="-5"/>
          <w:w w:val="101"/>
        </w:rPr>
        <w:t>开</w:t>
      </w:r>
      <w:r>
        <w:rPr>
          <w:w w:val="101"/>
        </w:rPr>
        <w:t>的</w:t>
      </w:r>
      <w:r>
        <w:rPr>
          <w:spacing w:val="-5"/>
          <w:w w:val="101"/>
        </w:rPr>
        <w:t>第</w:t>
      </w:r>
      <w:r>
        <w:rPr>
          <w:w w:val="101"/>
        </w:rPr>
        <w:t>三</w:t>
      </w:r>
      <w:r>
        <w:rPr>
          <w:spacing w:val="-5"/>
          <w:w w:val="101"/>
        </w:rPr>
        <w:t>届</w:t>
      </w:r>
      <w:r>
        <w:rPr>
          <w:w w:val="101"/>
        </w:rPr>
        <w:t>董</w:t>
      </w:r>
      <w:r>
        <w:rPr>
          <w:spacing w:val="-5"/>
          <w:w w:val="101"/>
        </w:rPr>
        <w:t>事</w:t>
      </w:r>
      <w:r>
        <w:rPr>
          <w:w w:val="101"/>
        </w:rPr>
        <w:t>会</w:t>
      </w:r>
      <w:r>
        <w:rPr>
          <w:spacing w:val="-5"/>
          <w:w w:val="101"/>
        </w:rPr>
        <w:t>第</w:t>
      </w:r>
      <w:r>
        <w:rPr>
          <w:w w:val="101"/>
        </w:rPr>
        <w:t>二</w:t>
      </w:r>
      <w:r>
        <w:rPr>
          <w:spacing w:val="-5"/>
          <w:w w:val="101"/>
        </w:rPr>
        <w:t>十</w:t>
      </w:r>
      <w:r>
        <w:rPr>
          <w:w w:val="101"/>
        </w:rPr>
        <w:t>六</w:t>
      </w:r>
      <w:r>
        <w:rPr>
          <w:spacing w:val="-5"/>
          <w:w w:val="101"/>
        </w:rPr>
        <w:t>次</w:t>
      </w:r>
      <w:r>
        <w:rPr>
          <w:w w:val="101"/>
        </w:rPr>
        <w:t>会</w:t>
      </w:r>
      <w:r>
        <w:rPr>
          <w:spacing w:val="-5"/>
          <w:w w:val="101"/>
        </w:rPr>
        <w:t>议</w:t>
      </w:r>
      <w:r>
        <w:rPr>
          <w:w w:val="101"/>
        </w:rPr>
        <w:t>审</w:t>
      </w:r>
      <w:r>
        <w:rPr>
          <w:spacing w:val="-5"/>
          <w:w w:val="101"/>
        </w:rPr>
        <w:t>议</w:t>
      </w:r>
      <w:r>
        <w:rPr>
          <w:w w:val="101"/>
        </w:rPr>
        <w:t>通</w:t>
      </w:r>
      <w:r>
        <w:rPr>
          <w:spacing w:val="-68"/>
          <w:w w:val="101"/>
        </w:rPr>
        <w:t>过</w:t>
      </w:r>
      <w:r>
        <w:rPr>
          <w:spacing w:val="-5"/>
          <w:w w:val="101"/>
        </w:rPr>
        <w:t>《</w:t>
      </w:r>
      <w:r>
        <w:rPr>
          <w:w w:val="101"/>
        </w:rPr>
        <w:t>关</w:t>
      </w:r>
      <w:r>
        <w:rPr>
          <w:spacing w:val="-5"/>
          <w:w w:val="101"/>
        </w:rPr>
        <w:t>于</w:t>
      </w:r>
      <w:r>
        <w:rPr>
          <w:w w:val="101"/>
        </w:rPr>
        <w:t>公</w:t>
      </w:r>
      <w:r>
        <w:rPr>
          <w:spacing w:val="1"/>
          <w:w w:val="101"/>
        </w:rPr>
        <w:t>司</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8</w:t>
      </w:r>
      <w:r>
        <w:rPr>
          <w:w w:val="101"/>
        </w:rPr>
        <w:t>年</w:t>
      </w:r>
      <w:r>
        <w:rPr>
          <w:spacing w:val="-5"/>
          <w:w w:val="101"/>
        </w:rPr>
        <w:t>度</w:t>
      </w:r>
      <w:r>
        <w:rPr>
          <w:w w:val="101"/>
        </w:rPr>
        <w:t>利</w:t>
      </w:r>
      <w:r>
        <w:rPr>
          <w:spacing w:val="-5"/>
          <w:w w:val="101"/>
        </w:rPr>
        <w:t>润</w:t>
      </w:r>
      <w:r>
        <w:rPr>
          <w:w w:val="101"/>
        </w:rPr>
        <w:t>分</w:t>
      </w:r>
      <w:r>
        <w:rPr>
          <w:spacing w:val="-5"/>
          <w:w w:val="101"/>
        </w:rPr>
        <w:t>配</w:t>
      </w:r>
      <w:r>
        <w:rPr>
          <w:w w:val="101"/>
        </w:rPr>
        <w:t>预</w:t>
      </w:r>
      <w:r>
        <w:rPr>
          <w:spacing w:val="-5"/>
          <w:w w:val="101"/>
        </w:rPr>
        <w:t>案</w:t>
      </w:r>
      <w:r>
        <w:rPr>
          <w:w w:val="101"/>
        </w:rPr>
        <w:t>的</w:t>
      </w:r>
      <w:r>
        <w:rPr>
          <w:spacing w:val="-5"/>
          <w:w w:val="101"/>
        </w:rPr>
        <w:t>议</w:t>
      </w:r>
      <w:r>
        <w:rPr>
          <w:w w:val="101"/>
        </w:rPr>
        <w:t>案</w:t>
      </w:r>
      <w:r>
        <w:rPr>
          <w:spacing w:val="-68"/>
          <w:w w:val="101"/>
        </w:rPr>
        <w:t>》</w:t>
      </w:r>
      <w:r>
        <w:rPr>
          <w:spacing w:val="-73"/>
          <w:w w:val="101"/>
        </w:rPr>
        <w:t>，</w:t>
      </w:r>
      <w:r>
        <w:rPr>
          <w:w w:val="101"/>
        </w:rPr>
        <w:t>公司</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018</w:t>
      </w:r>
      <w:r>
        <w:rPr>
          <w:rFonts w:ascii="Times New Roman" w:hAnsi="Times New Roman" w:cs="Times New Roman" w:eastAsia="Times New Roman" w:hint="default"/>
        </w:rPr>
      </w:r>
    </w:p>
    <w:p>
      <w:pPr>
        <w:pStyle w:val="BodyText"/>
        <w:spacing w:line="240" w:lineRule="auto" w:before="63"/>
        <w:ind w:right="0"/>
        <w:jc w:val="left"/>
      </w:pPr>
      <w:r>
        <w:rPr>
          <w:spacing w:val="-6"/>
        </w:rPr>
        <w:t>年度公司虽然实现扭亏，但可供分配利润仍然为负，故</w:t>
      </w:r>
      <w:r>
        <w:rPr>
          <w:rFonts w:ascii="Times New Roman" w:hAnsi="Times New Roman" w:cs="Times New Roman" w:eastAsia="Times New Roman" w:hint="default"/>
          <w:spacing w:val="-6"/>
        </w:rPr>
        <w:t>2018</w:t>
      </w:r>
      <w:r>
        <w:rPr>
          <w:spacing w:val="-6"/>
        </w:rPr>
        <w:t>年度公司计划不派发现金红利，不送红股，不以公积金转增股本。</w:t>
      </w:r>
    </w:p>
    <w:p>
      <w:pPr>
        <w:pStyle w:val="BodyText"/>
        <w:spacing w:line="300" w:lineRule="auto" w:before="63"/>
        <w:ind w:right="0" w:firstLine="360"/>
        <w:jc w:val="left"/>
      </w:pPr>
      <w:r>
        <w:rPr>
          <w:rFonts w:ascii="Times New Roman" w:hAnsi="Times New Roman" w:cs="Times New Roman" w:eastAsia="Times New Roman" w:hint="default"/>
          <w:spacing w:val="-3"/>
        </w:rPr>
        <w:t>3</w:t>
      </w:r>
      <w:r>
        <w:rPr>
          <w:spacing w:val="-3"/>
        </w:rPr>
        <w:t>、经</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日召开的第四届董事会第四次会议审议通过《关于公司</w:t>
      </w:r>
      <w:r>
        <w:rPr>
          <w:rFonts w:ascii="Times New Roman" w:hAnsi="Times New Roman" w:cs="Times New Roman" w:eastAsia="Times New Roman" w:hint="default"/>
          <w:spacing w:val="-3"/>
        </w:rPr>
        <w:t>2019</w:t>
      </w:r>
      <w:r>
        <w:rPr>
          <w:spacing w:val="-3"/>
        </w:rPr>
        <w:t>年度利润分配预案的方案》，公司</w:t>
      </w:r>
      <w:r>
        <w:rPr>
          <w:rFonts w:ascii="Times New Roman" w:hAnsi="Times New Roman" w:cs="Times New Roman" w:eastAsia="Times New Roman" w:hint="default"/>
          <w:spacing w:val="-3"/>
        </w:rPr>
        <w:t>2019</w:t>
      </w:r>
      <w:r>
        <w:rPr>
          <w:rFonts w:ascii="Times New Roman" w:hAnsi="Times New Roman" w:cs="Times New Roman" w:eastAsia="Times New Roman" w:hint="default"/>
          <w:w w:val="101"/>
        </w:rPr>
        <w:t> </w:t>
      </w:r>
      <w:r>
        <w:rPr>
          <w:spacing w:val="-4"/>
        </w:rPr>
        <w:t>年度利润分配方案为：以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281,295,708</w:t>
      </w:r>
      <w:r>
        <w:rPr>
          <w:spacing w:val="-4"/>
        </w:rPr>
        <w:t>股为基数，向全体股东每</w:t>
      </w:r>
      <w:r>
        <w:rPr>
          <w:rFonts w:ascii="Times New Roman" w:hAnsi="Times New Roman" w:cs="Times New Roman" w:eastAsia="Times New Roman" w:hint="default"/>
          <w:spacing w:val="-4"/>
        </w:rPr>
        <w:t>10</w:t>
      </w:r>
      <w:r>
        <w:rPr>
          <w:spacing w:val="-4"/>
        </w:rPr>
        <w:t>股派发现金股利</w:t>
      </w:r>
      <w:r>
        <w:rPr>
          <w:rFonts w:ascii="Times New Roman" w:hAnsi="Times New Roman" w:cs="Times New Roman" w:eastAsia="Times New Roman" w:hint="default"/>
          <w:spacing w:val="-4"/>
        </w:rPr>
        <w:t>1.00</w:t>
      </w:r>
      <w:r>
        <w:rPr>
          <w:spacing w:val="-4"/>
        </w:rPr>
        <w:t>元（含税），</w:t>
      </w:r>
      <w:r>
        <w:rPr>
          <w:spacing w:val="53"/>
        </w:rPr>
        <w:t> </w:t>
      </w:r>
      <w:r>
        <w:rPr>
          <w:spacing w:val="53"/>
        </w:rPr>
      </w:r>
      <w:r>
        <w:rPr>
          <w:spacing w:val="-3"/>
        </w:rPr>
        <w:t>共计派发现金红利人民币</w:t>
      </w:r>
      <w:r>
        <w:rPr>
          <w:rFonts w:ascii="Times New Roman" w:hAnsi="Times New Roman" w:cs="Times New Roman" w:eastAsia="Times New Roman" w:hint="default"/>
          <w:spacing w:val="-3"/>
        </w:rPr>
        <w:t>28,129,570.80</w:t>
      </w:r>
      <w:r>
        <w:rPr>
          <w:spacing w:val="-3"/>
        </w:rPr>
        <w:t>元（含税）。本次分配不送红股，不以资本公积金转增股本。</w:t>
      </w:r>
    </w:p>
    <w:p>
      <w:pPr>
        <w:spacing w:line="240" w:lineRule="auto" w:before="12"/>
        <w:rPr>
          <w:rFonts w:ascii="宋体" w:hAnsi="宋体" w:cs="宋体" w:eastAsia="宋体" w:hint="default"/>
          <w:sz w:val="27"/>
          <w:szCs w:val="27"/>
        </w:rPr>
      </w:pPr>
    </w:p>
    <w:p>
      <w:pPr>
        <w:pStyle w:val="BodyText"/>
        <w:spacing w:line="240" w:lineRule="auto" w:before="46"/>
        <w:ind w:right="0"/>
        <w:jc w:val="left"/>
      </w:pPr>
      <w:r>
        <w:rPr>
          <w:spacing w:val="-3"/>
        </w:rPr>
        <w:t>公司近三年（包括本报告期）普通股现金分红情况表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210"/>
        <w:gridCol w:w="1205"/>
        <w:gridCol w:w="1244"/>
        <w:gridCol w:w="1205"/>
        <w:gridCol w:w="1210"/>
        <w:gridCol w:w="1205"/>
        <w:gridCol w:w="1210"/>
        <w:gridCol w:w="1198"/>
      </w:tblGrid>
      <w:tr>
        <w:trPr>
          <w:trHeight w:val="158" w:hRule="exact"/>
        </w:trPr>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57" w:right="44"/>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表中归属于上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市公司普通股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股东的净利润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的比率</w:t>
            </w:r>
          </w:p>
        </w:tc>
      </w:tr>
      <w:tr>
        <w:trPr>
          <w:trHeight w:val="158" w:hRule="exact"/>
        </w:trPr>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7" w:right="51" w:hanging="1"/>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归属于上市公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司普通股股东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的净利润的比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率</w:t>
            </w:r>
          </w:p>
        </w:tc>
        <w:tc>
          <w:tcPr>
            <w:tcW w:w="1210" w:type="dxa"/>
            <w:vMerge/>
            <w:tcBorders>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7" w:right="51"/>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1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8" w:hRule="exact"/>
        </w:trPr>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6"/>
              <w:ind w:left="57" w:right="55"/>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1"/>
              <w:ind w:left="417" w:right="147"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98" w:type="dxa"/>
            <w:vMerge/>
            <w:tcBorders>
              <w:left w:val="single" w:sz="4" w:space="0" w:color="000000"/>
              <w:right w:val="single" w:sz="4" w:space="0" w:color="000000"/>
            </w:tcBorders>
            <w:shd w:val="clear" w:color="auto" w:fill="D2D2D2"/>
          </w:tcPr>
          <w:p>
            <w:pPr/>
          </w:p>
        </w:tc>
      </w:tr>
      <w:tr>
        <w:trPr>
          <w:trHeight w:val="158"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44"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394"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5"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4" w:hRule="exact"/>
        </w:trPr>
        <w:tc>
          <w:tcPr>
            <w:tcW w:w="1210"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8" w:hRule="exact"/>
        </w:trPr>
        <w:tc>
          <w:tcPr>
            <w:tcW w:w="1210" w:type="dxa"/>
            <w:vMerge/>
            <w:tcBorders>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8" w:hRule="exact"/>
        </w:trPr>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44"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244"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63" w:hRule="exact"/>
        </w:trPr>
        <w:tc>
          <w:tcPr>
            <w:tcW w:w="1210"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44"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28,129,570.80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141,291,862.35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19.91%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28,129,570.80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19.91%</w:t>
            </w:r>
          </w:p>
        </w:tc>
      </w:tr>
      <w:tr>
        <w:trPr>
          <w:trHeight w:val="404"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122,168,567.11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-307,286,709.04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9"/>
        <w:rPr>
          <w:rFonts w:ascii="宋体" w:hAnsi="宋体" w:cs="宋体" w:eastAsia="宋体" w:hint="default"/>
          <w:sz w:val="27"/>
          <w:szCs w:val="27"/>
        </w:rPr>
      </w:pPr>
    </w:p>
    <w:p>
      <w:pPr>
        <w:pStyle w:val="BodyText"/>
        <w:spacing w:line="240" w:lineRule="auto" w:before="46"/>
        <w:ind w:right="0"/>
        <w:jc w:val="left"/>
      </w:pPr>
      <w:r>
        <w:rPr>
          <w:spacing w:val="-3"/>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8"/>
        <w:rPr>
          <w:rFonts w:ascii="宋体" w:hAnsi="宋体" w:cs="宋体" w:eastAsia="宋体" w:hint="default"/>
          <w:b/>
          <w:bCs/>
          <w:sz w:val="25"/>
          <w:szCs w:val="25"/>
        </w:rPr>
      </w:pPr>
    </w:p>
    <w:p>
      <w:pPr>
        <w:pStyle w:val="Heading4"/>
        <w:spacing w:line="254" w:lineRule="auto"/>
        <w:ind w:right="0"/>
        <w:jc w:val="left"/>
        <w:rPr>
          <w:b w:val="0"/>
          <w:bCs w:val="0"/>
        </w:rPr>
      </w:pPr>
      <w:bookmarkStart w:name="1、公司实际控制人、股东、关联方、收购人以及公司等承诺相关方在报告期内履行完毕及" w:id="62"/>
      <w:bookmarkEnd w:id="62"/>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6"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5176"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2" w:lineRule="auto"/>
              <w:ind w:left="16" w:right="12"/>
              <w:jc w:val="left"/>
              <w:rPr>
                <w:rFonts w:ascii="宋体" w:hAnsi="宋体" w:cs="宋体" w:eastAsia="宋体" w:hint="default"/>
                <w:sz w:val="18"/>
                <w:szCs w:val="18"/>
              </w:rPr>
            </w:pPr>
            <w:r>
              <w:rPr>
                <w:rFonts w:ascii="宋体" w:hAnsi="宋体" w:cs="宋体" w:eastAsia="宋体" w:hint="default"/>
                <w:sz w:val="18"/>
                <w:szCs w:val="18"/>
              </w:rPr>
              <w:t>陈忠国</w:t>
            </w:r>
            <w:r>
              <w:rPr>
                <w:rFonts w:ascii="Times New Roman" w:hAnsi="Times New Roman" w:cs="Times New Roman" w:eastAsia="Times New Roman" w:hint="default"/>
                <w:sz w:val="18"/>
                <w:szCs w:val="18"/>
              </w:rPr>
              <w:t>;</w:t>
            </w:r>
            <w:r>
              <w:rPr>
                <w:rFonts w:ascii="宋体" w:hAnsi="宋体" w:cs="宋体" w:eastAsia="宋体" w:hint="default"/>
                <w:sz w:val="18"/>
                <w:szCs w:val="18"/>
              </w:rPr>
              <w:t>福州</w:t>
            </w:r>
            <w:r>
              <w:rPr>
                <w:rFonts w:ascii="宋体" w:hAnsi="宋体" w:cs="宋体" w:eastAsia="宋体" w:hint="default"/>
                <w:spacing w:val="-86"/>
                <w:sz w:val="18"/>
                <w:szCs w:val="18"/>
              </w:rPr>
              <w:t> </w:t>
            </w:r>
            <w:r>
              <w:rPr>
                <w:rFonts w:ascii="宋体" w:hAnsi="宋体" w:cs="宋体" w:eastAsia="宋体" w:hint="default"/>
                <w:sz w:val="18"/>
                <w:szCs w:val="18"/>
              </w:rPr>
              <w:t>闽清华创企</w:t>
            </w:r>
            <w:r>
              <w:rPr>
                <w:rFonts w:ascii="宋体" w:hAnsi="宋体" w:cs="宋体" w:eastAsia="宋体" w:hint="default"/>
                <w:w w:val="101"/>
                <w:sz w:val="18"/>
                <w:szCs w:val="18"/>
              </w:rPr>
              <w:t> </w:t>
            </w:r>
            <w:r>
              <w:rPr>
                <w:rFonts w:ascii="宋体" w:hAnsi="宋体" w:cs="宋体" w:eastAsia="宋体" w:hint="default"/>
                <w:sz w:val="18"/>
                <w:szCs w:val="18"/>
              </w:rPr>
              <w:t>业管理服务</w:t>
            </w:r>
            <w:r>
              <w:rPr>
                <w:rFonts w:ascii="宋体" w:hAnsi="宋体" w:cs="宋体" w:eastAsia="宋体" w:hint="default"/>
                <w:w w:val="101"/>
                <w:sz w:val="18"/>
                <w:szCs w:val="18"/>
              </w:rPr>
              <w:t> </w:t>
            </w:r>
            <w:r>
              <w:rPr>
                <w:rFonts w:ascii="宋体" w:hAnsi="宋体" w:cs="宋体" w:eastAsia="宋体" w:hint="default"/>
                <w:spacing w:val="-4"/>
                <w:sz w:val="18"/>
                <w:szCs w:val="18"/>
              </w:rPr>
              <w:t>合伙企业（有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r>
              <w:rPr>
                <w:rFonts w:ascii="宋体" w:hAnsi="宋体" w:cs="宋体" w:eastAsia="宋体" w:hint="default"/>
                <w:spacing w:val="-86"/>
                <w:sz w:val="18"/>
                <w:szCs w:val="18"/>
              </w:rPr>
              <w:t> </w:t>
            </w:r>
            <w:r>
              <w:rPr>
                <w:rFonts w:ascii="宋体" w:hAnsi="宋体" w:cs="宋体" w:eastAsia="宋体" w:hint="default"/>
                <w:spacing w:val="-3"/>
                <w:sz w:val="18"/>
                <w:szCs w:val="18"/>
              </w:rPr>
              <w:t>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三明</w:t>
            </w:r>
            <w:r>
              <w:rPr>
                <w:rFonts w:ascii="宋体" w:hAnsi="宋体" w:cs="宋体" w:eastAsia="宋体" w:hint="default"/>
                <w:spacing w:val="-72"/>
                <w:sz w:val="18"/>
                <w:szCs w:val="18"/>
              </w:rPr>
              <w:t> </w:t>
            </w:r>
            <w:r>
              <w:rPr>
                <w:rFonts w:ascii="宋体" w:hAnsi="宋体" w:cs="宋体" w:eastAsia="宋体" w:hint="default"/>
                <w:sz w:val="18"/>
                <w:szCs w:val="18"/>
              </w:rPr>
              <w:t>市沙县嘉特</w:t>
            </w:r>
            <w:r>
              <w:rPr>
                <w:rFonts w:ascii="宋体" w:hAnsi="宋体" w:cs="宋体" w:eastAsia="宋体" w:hint="default"/>
                <w:w w:val="101"/>
                <w:sz w:val="18"/>
                <w:szCs w:val="18"/>
              </w:rPr>
              <w:t> </w:t>
            </w:r>
            <w:r>
              <w:rPr>
                <w:rFonts w:ascii="宋体" w:hAnsi="宋体" w:cs="宋体" w:eastAsia="宋体" w:hint="default"/>
                <w:sz w:val="18"/>
                <w:szCs w:val="18"/>
              </w:rPr>
              <w:t>思企业管理</w:t>
            </w:r>
            <w:r>
              <w:rPr>
                <w:rFonts w:ascii="宋体" w:hAnsi="宋体" w:cs="宋体" w:eastAsia="宋体" w:hint="default"/>
                <w:w w:val="101"/>
                <w:sz w:val="18"/>
                <w:szCs w:val="18"/>
              </w:rPr>
              <w:t> </w:t>
            </w:r>
            <w:r>
              <w:rPr>
                <w:rFonts w:ascii="宋体" w:hAnsi="宋体" w:cs="宋体" w:eastAsia="宋体" w:hint="default"/>
                <w:sz w:val="18"/>
                <w:szCs w:val="18"/>
              </w:rPr>
              <w:t>服务合伙企</w:t>
            </w:r>
            <w:r>
              <w:rPr>
                <w:rFonts w:ascii="宋体" w:hAnsi="宋体" w:cs="宋体" w:eastAsia="宋体" w:hint="default"/>
                <w:w w:val="101"/>
                <w:sz w:val="18"/>
                <w:szCs w:val="18"/>
              </w:rPr>
              <w:t> </w:t>
            </w:r>
            <w:r>
              <w:rPr>
                <w:rFonts w:ascii="宋体" w:hAnsi="宋体" w:cs="宋体" w:eastAsia="宋体" w:hint="default"/>
                <w:sz w:val="18"/>
                <w:szCs w:val="18"/>
              </w:rPr>
              <w:t>业（有限合</w:t>
            </w:r>
            <w:r>
              <w:rPr>
                <w:rFonts w:ascii="宋体" w:hAnsi="宋体" w:cs="宋体" w:eastAsia="宋体" w:hint="default"/>
                <w:w w:val="101"/>
                <w:sz w:val="18"/>
                <w:szCs w:val="18"/>
              </w:rPr>
              <w:t> </w:t>
            </w:r>
            <w:r>
              <w:rPr>
                <w:rFonts w:ascii="宋体" w:hAnsi="宋体" w:cs="宋体" w:eastAsia="宋体" w:hint="default"/>
                <w:sz w:val="18"/>
                <w:szCs w:val="18"/>
              </w:rPr>
              <w:t>伙）</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业绩承诺及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补偿安排</w:t>
            </w:r>
          </w:p>
        </w:tc>
        <w:tc>
          <w:tcPr>
            <w:tcW w:w="1124" w:type="dxa"/>
            <w:vMerge w:val="restart"/>
            <w:tcBorders>
              <w:top w:val="single" w:sz="4" w:space="0" w:color="000000"/>
              <w:left w:val="single" w:sz="4" w:space="0" w:color="000000"/>
              <w:right w:val="single" w:sz="4" w:space="0" w:color="000000"/>
            </w:tcBorders>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z w:val="18"/>
                <w:szCs w:val="18"/>
              </w:rPr>
              <w:t>福州闽清华</w:t>
            </w:r>
            <w:r>
              <w:rPr>
                <w:rFonts w:ascii="宋体" w:hAnsi="宋体" w:cs="宋体" w:eastAsia="宋体" w:hint="default"/>
                <w:w w:val="101"/>
                <w:sz w:val="18"/>
                <w:szCs w:val="18"/>
              </w:rPr>
              <w:t> </w:t>
            </w:r>
            <w:r>
              <w:rPr>
                <w:rFonts w:ascii="宋体" w:hAnsi="宋体" w:cs="宋体" w:eastAsia="宋体" w:hint="default"/>
                <w:sz w:val="18"/>
                <w:szCs w:val="18"/>
              </w:rPr>
              <w:t>创企业管理</w:t>
            </w:r>
            <w:r>
              <w:rPr>
                <w:rFonts w:ascii="宋体" w:hAnsi="宋体" w:cs="宋体" w:eastAsia="宋体" w:hint="default"/>
                <w:w w:val="101"/>
                <w:sz w:val="18"/>
                <w:szCs w:val="18"/>
              </w:rPr>
              <w:t> </w:t>
            </w:r>
            <w:r>
              <w:rPr>
                <w:rFonts w:ascii="宋体" w:hAnsi="宋体" w:cs="宋体" w:eastAsia="宋体" w:hint="default"/>
                <w:sz w:val="18"/>
                <w:szCs w:val="18"/>
              </w:rPr>
              <w:t>服务合伙企</w:t>
            </w:r>
            <w:r>
              <w:rPr>
                <w:rFonts w:ascii="宋体" w:hAnsi="宋体" w:cs="宋体" w:eastAsia="宋体" w:hint="default"/>
                <w:w w:val="101"/>
                <w:sz w:val="18"/>
                <w:szCs w:val="18"/>
              </w:rPr>
              <w:t> </w:t>
            </w:r>
            <w:r>
              <w:rPr>
                <w:rFonts w:ascii="宋体" w:hAnsi="宋体" w:cs="宋体" w:eastAsia="宋体" w:hint="default"/>
                <w:sz w:val="18"/>
                <w:szCs w:val="18"/>
              </w:rPr>
              <w:t>业（有限合</w:t>
            </w:r>
            <w:r>
              <w:rPr>
                <w:rFonts w:ascii="宋体" w:hAnsi="宋体" w:cs="宋体" w:eastAsia="宋体" w:hint="default"/>
                <w:w w:val="101"/>
                <w:sz w:val="18"/>
                <w:szCs w:val="18"/>
              </w:rPr>
              <w:t> </w:t>
            </w:r>
            <w:r>
              <w:rPr>
                <w:rFonts w:ascii="宋体" w:hAnsi="宋体" w:cs="宋体" w:eastAsia="宋体" w:hint="default"/>
                <w:spacing w:val="-17"/>
                <w:w w:val="101"/>
                <w:sz w:val="18"/>
                <w:szCs w:val="18"/>
              </w:rPr>
              <w:t>伙）、三明市</w:t>
            </w:r>
            <w:r>
              <w:rPr>
                <w:rFonts w:ascii="宋体" w:hAnsi="宋体" w:cs="宋体" w:eastAsia="宋体" w:hint="default"/>
                <w:w w:val="101"/>
                <w:sz w:val="18"/>
                <w:szCs w:val="18"/>
              </w:rPr>
              <w:t> </w:t>
            </w:r>
            <w:r>
              <w:rPr>
                <w:rFonts w:ascii="宋体" w:hAnsi="宋体" w:cs="宋体" w:eastAsia="宋体" w:hint="default"/>
                <w:sz w:val="18"/>
                <w:szCs w:val="18"/>
              </w:rPr>
              <w:t>沙县嘉特思</w:t>
            </w:r>
            <w:r>
              <w:rPr>
                <w:rFonts w:ascii="宋体" w:hAnsi="宋体" w:cs="宋体" w:eastAsia="宋体" w:hint="default"/>
                <w:w w:val="101"/>
                <w:sz w:val="18"/>
                <w:szCs w:val="18"/>
              </w:rPr>
              <w:t> </w:t>
            </w:r>
            <w:r>
              <w:rPr>
                <w:rFonts w:ascii="宋体" w:hAnsi="宋体" w:cs="宋体" w:eastAsia="宋体" w:hint="default"/>
                <w:sz w:val="18"/>
                <w:szCs w:val="18"/>
              </w:rPr>
              <w:t>企业管理服</w:t>
            </w:r>
            <w:r>
              <w:rPr>
                <w:rFonts w:ascii="宋体" w:hAnsi="宋体" w:cs="宋体" w:eastAsia="宋体" w:hint="default"/>
                <w:w w:val="101"/>
                <w:sz w:val="18"/>
                <w:szCs w:val="18"/>
              </w:rPr>
              <w:t> </w:t>
            </w:r>
            <w:r>
              <w:rPr>
                <w:rFonts w:ascii="宋体" w:hAnsi="宋体" w:cs="宋体" w:eastAsia="宋体" w:hint="default"/>
                <w:sz w:val="18"/>
                <w:szCs w:val="18"/>
              </w:rPr>
              <w:t>务合伙企业</w:t>
            </w:r>
          </w:p>
          <w:p>
            <w:pPr>
              <w:pStyle w:val="TableParagraph"/>
              <w:spacing w:line="316" w:lineRule="auto" w:before="19"/>
              <w:ind w:left="24" w:right="12"/>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w w:val="101"/>
                <w:sz w:val="18"/>
                <w:szCs w:val="18"/>
              </w:rPr>
              <w:t>伙）、宁波市</w:t>
            </w:r>
            <w:r>
              <w:rPr>
                <w:rFonts w:ascii="宋体" w:hAnsi="宋体" w:cs="宋体" w:eastAsia="宋体" w:hint="default"/>
                <w:w w:val="101"/>
                <w:sz w:val="18"/>
                <w:szCs w:val="18"/>
              </w:rPr>
              <w:t> </w:t>
            </w:r>
            <w:r>
              <w:rPr>
                <w:rFonts w:ascii="宋体" w:hAnsi="宋体" w:cs="宋体" w:eastAsia="宋体" w:hint="default"/>
                <w:sz w:val="18"/>
                <w:szCs w:val="18"/>
              </w:rPr>
              <w:t>星通投资管</w:t>
            </w:r>
            <w:r>
              <w:rPr>
                <w:rFonts w:ascii="宋体" w:hAnsi="宋体" w:cs="宋体" w:eastAsia="宋体" w:hint="default"/>
                <w:w w:val="101"/>
                <w:sz w:val="18"/>
                <w:szCs w:val="18"/>
              </w:rPr>
              <w:t> </w:t>
            </w:r>
            <w:r>
              <w:rPr>
                <w:rFonts w:ascii="宋体" w:hAnsi="宋体" w:cs="宋体" w:eastAsia="宋体" w:hint="default"/>
                <w:sz w:val="18"/>
                <w:szCs w:val="18"/>
              </w:rPr>
              <w:t>理有限公司</w:t>
            </w:r>
            <w:r>
              <w:rPr>
                <w:rFonts w:ascii="宋体" w:hAnsi="宋体" w:cs="宋体" w:eastAsia="宋体" w:hint="default"/>
                <w:w w:val="101"/>
                <w:sz w:val="18"/>
                <w:szCs w:val="18"/>
              </w:rPr>
              <w:t> </w:t>
            </w:r>
            <w:r>
              <w:rPr>
                <w:rFonts w:ascii="宋体" w:hAnsi="宋体" w:cs="宋体" w:eastAsia="宋体" w:hint="default"/>
                <w:spacing w:val="-4"/>
                <w:sz w:val="18"/>
                <w:szCs w:val="18"/>
              </w:rPr>
              <w:t>共同承诺，在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考核年度即</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24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314" w:lineRule="auto" w:before="63"/>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年度四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个会计年度</w:t>
            </w:r>
            <w:r>
              <w:rPr>
                <w:rFonts w:ascii="宋体" w:hAnsi="宋体" w:cs="宋体" w:eastAsia="宋体" w:hint="default"/>
                <w:w w:val="101"/>
                <w:sz w:val="18"/>
                <w:szCs w:val="18"/>
              </w:rPr>
              <w:t> </w:t>
            </w:r>
            <w:r>
              <w:rPr>
                <w:rFonts w:ascii="宋体" w:hAnsi="宋体" w:cs="宋体" w:eastAsia="宋体" w:hint="default"/>
                <w:spacing w:val="-4"/>
                <w:sz w:val="18"/>
                <w:szCs w:val="18"/>
              </w:rPr>
              <w:t>内，北京泰策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科技有限公</w:t>
            </w:r>
            <w:r>
              <w:rPr>
                <w:rFonts w:ascii="宋体" w:hAnsi="宋体" w:cs="宋体" w:eastAsia="宋体" w:hint="default"/>
                <w:w w:val="101"/>
                <w:sz w:val="18"/>
                <w:szCs w:val="18"/>
              </w:rPr>
              <w:t> </w:t>
            </w:r>
            <w:r>
              <w:rPr>
                <w:rFonts w:ascii="宋体" w:hAnsi="宋体" w:cs="宋体" w:eastAsia="宋体" w:hint="default"/>
                <w:sz w:val="18"/>
                <w:szCs w:val="18"/>
              </w:rPr>
              <w:t>司净利润应</w:t>
            </w:r>
            <w:r>
              <w:rPr>
                <w:rFonts w:ascii="宋体" w:hAnsi="宋体" w:cs="宋体" w:eastAsia="宋体" w:hint="default"/>
                <w:w w:val="101"/>
                <w:sz w:val="18"/>
                <w:szCs w:val="18"/>
              </w:rPr>
              <w:t> </w:t>
            </w:r>
            <w:r>
              <w:rPr>
                <w:rFonts w:ascii="宋体" w:hAnsi="宋体" w:cs="宋体" w:eastAsia="宋体" w:hint="default"/>
                <w:sz w:val="18"/>
                <w:szCs w:val="18"/>
              </w:rPr>
              <w:t>分别不低于</w:t>
            </w:r>
            <w:r>
              <w:rPr>
                <w:rFonts w:ascii="宋体" w:hAnsi="宋体" w:cs="宋体" w:eastAsia="宋体" w:hint="default"/>
                <w:w w:val="101"/>
                <w:sz w:val="18"/>
                <w:szCs w:val="18"/>
              </w:rPr>
              <w:t> </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4"/>
                <w:sz w:val="18"/>
                <w:szCs w:val="18"/>
              </w:rPr>
              <w:t>万元、人民币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12" w:lineRule="auto" w:before="1"/>
              <w:ind w:left="24" w:right="12"/>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6,760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4"/>
                <w:sz w:val="18"/>
                <w:szCs w:val="18"/>
              </w:rPr>
              <w:t>万元、人民币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6,760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2021-12-31</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诺人未有违</w:t>
            </w:r>
            <w:r>
              <w:rPr>
                <w:rFonts w:ascii="宋体" w:hAnsi="宋体" w:cs="宋体" w:eastAsia="宋体" w:hint="default"/>
                <w:w w:val="101"/>
                <w:sz w:val="18"/>
                <w:szCs w:val="18"/>
              </w:rPr>
              <w:t> </w:t>
            </w:r>
            <w:r>
              <w:rPr>
                <w:rFonts w:ascii="宋体" w:hAnsi="宋体" w:cs="宋体" w:eastAsia="宋体" w:hint="default"/>
                <w:sz w:val="18"/>
                <w:szCs w:val="18"/>
              </w:rPr>
              <w:t>反承诺的情</w:t>
            </w:r>
            <w:r>
              <w:rPr>
                <w:rFonts w:ascii="宋体" w:hAnsi="宋体" w:cs="宋体" w:eastAsia="宋体" w:hint="default"/>
                <w:w w:val="101"/>
                <w:sz w:val="18"/>
                <w:szCs w:val="18"/>
              </w:rPr>
              <w:t> </w:t>
            </w:r>
            <w:r>
              <w:rPr>
                <w:rFonts w:ascii="宋体" w:hAnsi="宋体" w:cs="宋体" w:eastAsia="宋体" w:hint="default"/>
                <w:spacing w:val="-7"/>
                <w:sz w:val="18"/>
                <w:szCs w:val="18"/>
              </w:rPr>
              <w:t>况，该承诺事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项正常履行</w:t>
            </w:r>
            <w:r>
              <w:rPr>
                <w:rFonts w:ascii="宋体" w:hAnsi="宋体" w:cs="宋体" w:eastAsia="宋体" w:hint="default"/>
                <w:w w:val="101"/>
                <w:sz w:val="18"/>
                <w:szCs w:val="18"/>
              </w:rPr>
              <w:t> </w:t>
            </w:r>
            <w:r>
              <w:rPr>
                <w:rFonts w:ascii="宋体" w:hAnsi="宋体" w:cs="宋体" w:eastAsia="宋体" w:hint="default"/>
                <w:sz w:val="18"/>
                <w:szCs w:val="18"/>
              </w:rPr>
              <w:t>中。</w:t>
            </w:r>
          </w:p>
        </w:tc>
      </w:tr>
      <w:tr>
        <w:trPr>
          <w:trHeight w:val="394"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567"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r>
        <w:trPr>
          <w:trHeight w:val="16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陈忠国</w:t>
            </w:r>
            <w:r>
              <w:rPr>
                <w:rFonts w:ascii="Times New Roman" w:hAnsi="Times New Roman" w:cs="Times New Roman" w:eastAsia="Times New Roman" w:hint="default"/>
                <w:sz w:val="18"/>
                <w:szCs w:val="18"/>
              </w:rPr>
              <w:t>;</w:t>
            </w:r>
            <w:r>
              <w:rPr>
                <w:rFonts w:ascii="宋体" w:hAnsi="宋体" w:cs="宋体" w:eastAsia="宋体" w:hint="default"/>
                <w:sz w:val="18"/>
                <w:szCs w:val="18"/>
              </w:rPr>
              <w:t>福州</w:t>
            </w:r>
            <w:r>
              <w:rPr>
                <w:rFonts w:ascii="宋体" w:hAnsi="宋体" w:cs="宋体" w:eastAsia="宋体" w:hint="default"/>
                <w:spacing w:val="-86"/>
                <w:sz w:val="18"/>
                <w:szCs w:val="18"/>
              </w:rPr>
              <w:t> </w:t>
            </w:r>
            <w:r>
              <w:rPr>
                <w:rFonts w:ascii="宋体" w:hAnsi="宋体" w:cs="宋体" w:eastAsia="宋体" w:hint="default"/>
                <w:sz w:val="18"/>
                <w:szCs w:val="18"/>
              </w:rPr>
              <w:t>闽清华创企</w:t>
            </w:r>
            <w:r>
              <w:rPr>
                <w:rFonts w:ascii="宋体" w:hAnsi="宋体" w:cs="宋体" w:eastAsia="宋体" w:hint="default"/>
                <w:w w:val="101"/>
                <w:sz w:val="18"/>
                <w:szCs w:val="18"/>
              </w:rPr>
              <w:t> </w:t>
            </w:r>
            <w:r>
              <w:rPr>
                <w:rFonts w:ascii="宋体" w:hAnsi="宋体" w:cs="宋体" w:eastAsia="宋体" w:hint="default"/>
                <w:sz w:val="18"/>
                <w:szCs w:val="18"/>
              </w:rPr>
              <w:t>业管理服务</w:t>
            </w:r>
            <w:r>
              <w:rPr>
                <w:rFonts w:ascii="宋体" w:hAnsi="宋体" w:cs="宋体" w:eastAsia="宋体" w:hint="default"/>
                <w:w w:val="101"/>
                <w:sz w:val="18"/>
                <w:szCs w:val="18"/>
              </w:rPr>
              <w:t> </w:t>
            </w:r>
            <w:r>
              <w:rPr>
                <w:rFonts w:ascii="宋体" w:hAnsi="宋体" w:cs="宋体" w:eastAsia="宋体" w:hint="default"/>
                <w:spacing w:val="-4"/>
                <w:sz w:val="18"/>
                <w:szCs w:val="18"/>
              </w:rPr>
              <w:t>合伙企业（有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福州闽清华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创企业管理</w:t>
            </w:r>
            <w:r>
              <w:rPr>
                <w:rFonts w:ascii="宋体" w:hAnsi="宋体" w:cs="宋体" w:eastAsia="宋体" w:hint="default"/>
                <w:w w:val="101"/>
                <w:sz w:val="18"/>
                <w:szCs w:val="18"/>
              </w:rPr>
              <w:t> </w:t>
            </w:r>
            <w:r>
              <w:rPr>
                <w:rFonts w:ascii="宋体" w:hAnsi="宋体" w:cs="宋体" w:eastAsia="宋体" w:hint="default"/>
                <w:sz w:val="18"/>
                <w:szCs w:val="18"/>
              </w:rPr>
              <w:t>服务合伙企</w:t>
            </w:r>
            <w:r>
              <w:rPr>
                <w:rFonts w:ascii="宋体" w:hAnsi="宋体" w:cs="宋体" w:eastAsia="宋体" w:hint="default"/>
                <w:w w:val="101"/>
                <w:sz w:val="18"/>
                <w:szCs w:val="18"/>
              </w:rPr>
              <w:t> </w:t>
            </w:r>
            <w:r>
              <w:rPr>
                <w:rFonts w:ascii="宋体" w:hAnsi="宋体" w:cs="宋体" w:eastAsia="宋体" w:hint="default"/>
                <w:sz w:val="18"/>
                <w:szCs w:val="18"/>
              </w:rPr>
              <w:t>业（有限合</w:t>
            </w:r>
            <w:r>
              <w:rPr>
                <w:rFonts w:ascii="宋体" w:hAnsi="宋体" w:cs="宋体" w:eastAsia="宋体" w:hint="default"/>
                <w:w w:val="101"/>
                <w:sz w:val="18"/>
                <w:szCs w:val="18"/>
              </w:rPr>
              <w:t> </w:t>
            </w:r>
            <w:r>
              <w:rPr>
                <w:rFonts w:ascii="宋体" w:hAnsi="宋体" w:cs="宋体" w:eastAsia="宋体" w:hint="default"/>
                <w:spacing w:val="-17"/>
                <w:w w:val="101"/>
                <w:sz w:val="18"/>
                <w:szCs w:val="18"/>
              </w:rPr>
              <w:t>伙）、三明市</w:t>
            </w:r>
            <w:r>
              <w:rPr>
                <w:rFonts w:ascii="宋体" w:hAnsi="宋体" w:cs="宋体" w:eastAsia="宋体" w:hint="default"/>
                <w:spacing w:val="-17"/>
                <w:sz w:val="18"/>
                <w:szCs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2022-12-31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诺人未有违</w:t>
            </w:r>
            <w:r>
              <w:rPr>
                <w:rFonts w:ascii="宋体" w:hAnsi="宋体" w:cs="宋体" w:eastAsia="宋体" w:hint="default"/>
                <w:w w:val="101"/>
                <w:sz w:val="18"/>
                <w:szCs w:val="18"/>
              </w:rPr>
              <w:t> </w:t>
            </w:r>
            <w:r>
              <w:rPr>
                <w:rFonts w:ascii="宋体" w:hAnsi="宋体" w:cs="宋体" w:eastAsia="宋体" w:hint="default"/>
                <w:sz w:val="18"/>
                <w:szCs w:val="18"/>
              </w:rPr>
              <w:t>反承诺的情</w:t>
            </w:r>
            <w:r>
              <w:rPr>
                <w:rFonts w:ascii="宋体" w:hAnsi="宋体" w:cs="宋体" w:eastAsia="宋体" w:hint="default"/>
                <w:w w:val="101"/>
                <w:sz w:val="18"/>
                <w:szCs w:val="18"/>
              </w:rPr>
              <w:t> </w:t>
            </w:r>
            <w:r>
              <w:rPr>
                <w:rFonts w:ascii="宋体" w:hAnsi="宋体" w:cs="宋体" w:eastAsia="宋体" w:hint="default"/>
                <w:spacing w:val="-7"/>
                <w:sz w:val="18"/>
                <w:szCs w:val="18"/>
              </w:rPr>
              <w:t>况，该承诺事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项正常履行</w:t>
            </w:r>
          </w:p>
        </w:tc>
      </w:tr>
    </w:tbl>
    <w:p>
      <w:pPr>
        <w:spacing w:after="0" w:line="319"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1" w:footer="979" w:top="1100" w:bottom="1160" w:left="980" w:right="0"/>
        </w:sectPr>
      </w:pPr>
    </w:p>
    <w:p>
      <w:pPr>
        <w:pStyle w:val="BodyText"/>
        <w:spacing w:line="314" w:lineRule="auto" w:before="46"/>
        <w:ind w:left="3019" w:right="0"/>
        <w:jc w:val="left"/>
      </w:pPr>
      <w:r>
        <w:rPr/>
        <w:pict>
          <v:shape style="position:absolute;margin-left:361.802399pt;margin-top:72.505981pt;width:61.75pt;height:686.6pt;mso-position-horizontal-relative:page;mso-position-vertical-relative:page;z-index:-11612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BodyText"/>
                    <w:spacing w:line="240" w:lineRule="auto"/>
                    <w:ind w:left="0" w:right="0"/>
                    <w:jc w:val="left"/>
                  </w:pPr>
                  <w:r>
                    <w:rPr>
                      <w:w w:val="101"/>
                    </w:rPr>
                    <w:t>、</w:t>
                  </w:r>
                  <w:r>
                    <w:rPr/>
                  </w:r>
                </w:p>
              </w:txbxContent>
            </v:textbox>
            <w10:wrap type="none"/>
          </v:shape>
        </w:pict>
      </w:r>
      <w:r>
        <w:rPr/>
        <w:pict>
          <v:group style="position:absolute;margin-left:56.424pt;margin-top:71.779961pt;width:479pt;height:688.05pt;mso-position-horizontal-relative:page;mso-position-vertical-relative:page;z-index:-1161184" coordorigin="1128,1436" coordsize="9580,13761">
            <v:group style="position:absolute;left:1138;top:1450;width:2829;height:13732" coordorigin="1138,1450" coordsize="2829,13732">
              <v:shape style="position:absolute;left:1138;top:1450;width:2829;height:13732" coordorigin="1138,1450" coordsize="2829,13732" path="m1138,15182l3966,15182,3966,1450,1138,1450,1138,15182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6;top:1445;width:1115;height:2" coordorigin="3976,1445" coordsize="1115,2">
              <v:shape style="position:absolute;left:3976;top:1445;width:1115;height:2" coordorigin="3976,1445" coordsize="1115,0" path="m3976,1445l5090,1445e" filled="false" stroked="true" strokeweight=".48pt" strokecolor="#000000">
                <v:path arrowok="t"/>
              </v:shape>
            </v:group>
            <v:group style="position:absolute;left:5100;top:1445;width:1119;height:2" coordorigin="5100,1445" coordsize="1119,2">
              <v:shape style="position:absolute;left:5100;top:1445;width:1119;height:2" coordorigin="5100,1445" coordsize="1119,0" path="m5100,1445l6218,1445e" filled="false" stroked="true" strokeweight=".48pt" strokecolor="#000000">
                <v:path arrowok="t"/>
              </v:shape>
            </v:group>
            <v:group style="position:absolute;left:7356;top:1450;width:1115;height:13732" coordorigin="7356,1450" coordsize="1115,13732">
              <v:shape style="position:absolute;left:7356;top:1450;width:1115;height:13732" coordorigin="7356,1450" coordsize="1115,13732" path="m7356,15182l8470,15182,8470,1450,7356,1450,7356,15182xe" filled="true" fillcolor="#ffffff" stroked="false">
                <v:path arrowok="t"/>
                <v:fill type="solid"/>
              </v:shape>
            </v:group>
            <v:group style="position:absolute;left:6228;top:1445;width:1115;height:2" coordorigin="6228,1445" coordsize="1115,2">
              <v:shape style="position:absolute;left:6228;top:1445;width:1115;height:2" coordorigin="6228,1445" coordsize="1115,0" path="m6228,1445l7342,1445e" filled="false" stroked="true" strokeweight=".48pt" strokecolor="#000000">
                <v:path arrowok="t"/>
              </v:shape>
            </v:group>
            <v:group style="position:absolute;left:7352;top:1445;width:1119;height:2" coordorigin="7352,1445" coordsize="1119,2">
              <v:shape style="position:absolute;left:7352;top:1445;width:1119;height:2" coordorigin="7352,1445" coordsize="1119,0" path="m7352,1445l8470,1445e" filled="false" stroked="true" strokeweight=".48pt" strokecolor="#000000">
                <v:path arrowok="t"/>
              </v:shape>
            </v:group>
            <v:group style="position:absolute;left:8480;top:1445;width:1115;height:2" coordorigin="8480,1445" coordsize="1115,2">
              <v:shape style="position:absolute;left:8480;top:1445;width:1115;height:2" coordorigin="8480,1445" coordsize="1115,0" path="m8480,1445l9594,1445e" filled="false" stroked="true" strokeweight=".48pt" strokecolor="#000000">
                <v:path arrowok="t"/>
              </v:shape>
            </v:group>
            <v:group style="position:absolute;left:9604;top:1445;width:1095;height:2" coordorigin="9604,1445" coordsize="1095,2">
              <v:shape style="position:absolute;left:9604;top:1445;width:1095;height:2" coordorigin="9604,1445" coordsize="1095,0" path="m9604,1445l10698,1445e" filled="false" stroked="true" strokeweight=".48pt" strokecolor="#000000">
                <v:path arrowok="t"/>
              </v:shape>
            </v:group>
            <v:group style="position:absolute;left:1133;top:1440;width:2;height:13752" coordorigin="1133,1440" coordsize="2,13752">
              <v:shape style="position:absolute;left:1133;top:1440;width:2;height:13752" coordorigin="1133,1440" coordsize="0,13752" path="m1133,1440l1133,15192e" filled="false" stroked="true" strokeweight=".48pt" strokecolor="#000000">
                <v:path arrowok="t"/>
              </v:shape>
            </v:group>
            <v:group style="position:absolute;left:1138;top:15187;width:2829;height:2" coordorigin="1138,15187" coordsize="2829,2">
              <v:shape style="position:absolute;left:1138;top:15187;width:2829;height:2" coordorigin="1138,15187" coordsize="2829,0" path="m1138,15187l3966,15187e" filled="false" stroked="true" strokeweight=".47998pt" strokecolor="#000000">
                <v:path arrowok="t"/>
              </v:shape>
            </v:group>
            <v:group style="position:absolute;left:3971;top:1440;width:2;height:13752" coordorigin="3971,1440" coordsize="2,13752">
              <v:shape style="position:absolute;left:3971;top:1440;width:2;height:13752" coordorigin="3971,1440" coordsize="0,13752" path="m3971,1440l3971,15192e" filled="false" stroked="true" strokeweight=".48001pt" strokecolor="#000000">
                <v:path arrowok="t"/>
              </v:shape>
            </v:group>
            <v:group style="position:absolute;left:3976;top:15187;width:1115;height:2" coordorigin="3976,15187" coordsize="1115,2">
              <v:shape style="position:absolute;left:3976;top:15187;width:1115;height:2" coordorigin="3976,15187" coordsize="1115,0" path="m3976,15187l5090,15187e" filled="false" stroked="true" strokeweight=".47998pt" strokecolor="#000000">
                <v:path arrowok="t"/>
              </v:shape>
            </v:group>
            <v:group style="position:absolute;left:5095;top:1440;width:2;height:13752" coordorigin="5095,1440" coordsize="2,13752">
              <v:shape style="position:absolute;left:5095;top:1440;width:2;height:13752" coordorigin="5095,1440" coordsize="0,13752" path="m5095,1440l5095,15192e" filled="false" stroked="true" strokeweight=".48pt" strokecolor="#000000">
                <v:path arrowok="t"/>
              </v:shape>
            </v:group>
            <v:group style="position:absolute;left:5100;top:15187;width:1119;height:2" coordorigin="5100,15187" coordsize="1119,2">
              <v:shape style="position:absolute;left:5100;top:15187;width:1119;height:2" coordorigin="5100,15187" coordsize="1119,0" path="m5100,15187l6218,15187e" filled="false" stroked="true" strokeweight=".47998pt" strokecolor="#000000">
                <v:path arrowok="t"/>
              </v:shape>
            </v:group>
            <v:group style="position:absolute;left:6223;top:1440;width:2;height:13752" coordorigin="6223,1440" coordsize="2,13752">
              <v:shape style="position:absolute;left:6223;top:1440;width:2;height:13752" coordorigin="6223,1440" coordsize="0,13752" path="m6223,1440l6223,15192e" filled="false" stroked="true" strokeweight=".47998pt" strokecolor="#000000">
                <v:path arrowok="t"/>
              </v:shape>
            </v:group>
            <v:group style="position:absolute;left:6228;top:15187;width:1115;height:2" coordorigin="6228,15187" coordsize="1115,2">
              <v:shape style="position:absolute;left:6228;top:15187;width:1115;height:2" coordorigin="6228,15187" coordsize="1115,0" path="m6228,15187l7342,15187e" filled="false" stroked="true" strokeweight=".47998pt" strokecolor="#000000">
                <v:path arrowok="t"/>
              </v:shape>
            </v:group>
            <v:group style="position:absolute;left:7347;top:1440;width:2;height:13752" coordorigin="7347,1440" coordsize="2,13752">
              <v:shape style="position:absolute;left:7347;top:1440;width:2;height:13752" coordorigin="7347,1440" coordsize="0,13752" path="m7347,1440l7347,15192e" filled="false" stroked="true" strokeweight=".48001pt" strokecolor="#000000">
                <v:path arrowok="t"/>
              </v:shape>
            </v:group>
            <v:group style="position:absolute;left:7352;top:15187;width:1119;height:2" coordorigin="7352,15187" coordsize="1119,2">
              <v:shape style="position:absolute;left:7352;top:15187;width:1119;height:2" coordorigin="7352,15187" coordsize="1119,0" path="m7352,15187l8470,15187e" filled="false" stroked="true" strokeweight=".47998pt" strokecolor="#000000">
                <v:path arrowok="t"/>
              </v:shape>
            </v:group>
            <v:group style="position:absolute;left:8475;top:1440;width:2;height:13752" coordorigin="8475,1440" coordsize="2,13752">
              <v:shape style="position:absolute;left:8475;top:1440;width:2;height:13752" coordorigin="8475,1440" coordsize="0,13752" path="m8475,1440l8475,15192e" filled="false" stroked="true" strokeweight=".47998pt" strokecolor="#000000">
                <v:path arrowok="t"/>
              </v:shape>
            </v:group>
            <v:group style="position:absolute;left:8480;top:15187;width:1115;height:2" coordorigin="8480,15187" coordsize="1115,2">
              <v:shape style="position:absolute;left:8480;top:15187;width:1115;height:2" coordorigin="8480,15187" coordsize="1115,0" path="m8480,15187l9594,15187e" filled="false" stroked="true" strokeweight=".47998pt" strokecolor="#000000">
                <v:path arrowok="t"/>
              </v:shape>
            </v:group>
            <v:group style="position:absolute;left:9599;top:1440;width:2;height:13752" coordorigin="9599,1440" coordsize="2,13752">
              <v:shape style="position:absolute;left:9599;top:1440;width:2;height:13752" coordorigin="9599,1440" coordsize="0,13752" path="m9599,1440l9599,15192e" filled="false" stroked="true" strokeweight=".48001pt" strokecolor="#000000">
                <v:path arrowok="t"/>
              </v:shape>
            </v:group>
            <v:group style="position:absolute;left:9604;top:15187;width:1095;height:2" coordorigin="9604,15187" coordsize="1095,2">
              <v:shape style="position:absolute;left:9604;top:15187;width:1095;height:2" coordorigin="9604,15187" coordsize="1095,0" path="m9604,15187l10698,15187e" filled="false" stroked="true" strokeweight=".47998pt" strokecolor="#000000">
                <v:path arrowok="t"/>
              </v:shape>
            </v:group>
            <v:group style="position:absolute;left:10703;top:1440;width:2;height:13752" coordorigin="10703,1440" coordsize="2,13752">
              <v:shape style="position:absolute;left:10703;top:1440;width:2;height:13752" coordorigin="10703,1440" coordsize="0,13752" path="m10703,1440l10703,15192e" filled="false" stroked="true" strokeweight=".48004pt" strokecolor="#000000">
                <v:path arrowok="t"/>
              </v:shape>
            </v:group>
            <w10:wrap type="none"/>
          </v:group>
        </w:pict>
      </w:r>
      <w:r>
        <w:rPr>
          <w:spacing w:val="-3"/>
        </w:rPr>
        <w:t>忱</w:t>
      </w:r>
      <w:r>
        <w:rPr>
          <w:rFonts w:ascii="Times New Roman" w:hAnsi="Times New Roman" w:cs="Times New Roman" w:eastAsia="Times New Roman" w:hint="default"/>
          <w:spacing w:val="-3"/>
        </w:rPr>
        <w:t>;</w:t>
      </w:r>
      <w:r>
        <w:rPr>
          <w:spacing w:val="-3"/>
        </w:rPr>
        <w:t>李宁</w:t>
      </w:r>
      <w:r>
        <w:rPr>
          <w:rFonts w:ascii="Times New Roman" w:hAnsi="Times New Roman" w:cs="Times New Roman" w:eastAsia="Times New Roman" w:hint="default"/>
          <w:spacing w:val="-3"/>
        </w:rPr>
        <w:t>;</w:t>
      </w:r>
      <w:r>
        <w:rPr>
          <w:spacing w:val="-3"/>
        </w:rPr>
        <w:t>三明</w:t>
      </w:r>
      <w:r>
        <w:rPr>
          <w:spacing w:val="-72"/>
        </w:rPr>
        <w:t> </w:t>
      </w:r>
      <w:r>
        <w:rPr/>
        <w:t>市沙县嘉特</w:t>
      </w:r>
      <w:r>
        <w:rPr>
          <w:w w:val="101"/>
        </w:rPr>
        <w:t> </w:t>
      </w:r>
      <w:r>
        <w:rPr/>
        <w:t>思企业管理</w:t>
      </w:r>
      <w:r>
        <w:rPr>
          <w:w w:val="101"/>
        </w:rPr>
        <w:t> </w:t>
      </w:r>
      <w:r>
        <w:rPr/>
        <w:t>服务合伙企</w:t>
      </w:r>
      <w:r>
        <w:rPr>
          <w:w w:val="101"/>
        </w:rPr>
        <w:t> </w:t>
      </w:r>
      <w:r>
        <w:rPr/>
        <w:t>业（有限合</w:t>
      </w:r>
      <w:r>
        <w:rPr>
          <w:w w:val="101"/>
        </w:rPr>
        <w:t> </w:t>
      </w:r>
      <w:r>
        <w:rPr/>
        <w:t>伙）</w:t>
      </w:r>
    </w:p>
    <w:p>
      <w:pPr>
        <w:pStyle w:val="BodyText"/>
        <w:tabs>
          <w:tab w:pos="4588" w:val="left" w:leader="none"/>
        </w:tabs>
        <w:spacing w:line="240" w:lineRule="auto" w:before="51"/>
        <w:ind w:left="1213" w:right="0"/>
        <w:jc w:val="left"/>
      </w:pPr>
      <w:r>
        <w:rPr>
          <w:spacing w:val="-2"/>
        </w:rPr>
        <w:br w:type="column"/>
      </w:r>
      <w:r>
        <w:rPr>
          <w:spacing w:val="-2"/>
        </w:rPr>
        <w:t>沙县嘉特思</w:t>
        <w:tab/>
      </w:r>
      <w:r>
        <w:rPr/>
        <w:t>中。</w:t>
      </w:r>
    </w:p>
    <w:p>
      <w:pPr>
        <w:pStyle w:val="BodyText"/>
        <w:spacing w:line="316" w:lineRule="auto" w:before="71"/>
        <w:ind w:left="1213" w:right="4742"/>
        <w:jc w:val="left"/>
      </w:pPr>
      <w:r>
        <w:rPr>
          <w:spacing w:val="-2"/>
        </w:rPr>
        <w:t>企业管理服</w:t>
      </w:r>
      <w:r>
        <w:rPr>
          <w:spacing w:val="-78"/>
        </w:rPr>
        <w:t> </w:t>
      </w:r>
      <w:r>
        <w:rPr>
          <w:spacing w:val="-78"/>
        </w:rPr>
      </w:r>
      <w:r>
        <w:rPr>
          <w:spacing w:val="-2"/>
        </w:rPr>
        <w:t>务合伙企业</w:t>
      </w:r>
    </w:p>
    <w:p>
      <w:pPr>
        <w:pStyle w:val="BodyText"/>
        <w:spacing w:line="316" w:lineRule="auto" w:before="19"/>
        <w:ind w:left="1213" w:right="4574"/>
        <w:jc w:val="left"/>
      </w:pPr>
      <w:r>
        <w:rPr/>
        <w:t>（有限合</w:t>
      </w:r>
      <w:r>
        <w:rPr>
          <w:spacing w:val="-86"/>
        </w:rPr>
        <w:t> </w:t>
      </w:r>
      <w:r>
        <w:rPr>
          <w:spacing w:val="-86"/>
        </w:rPr>
      </w:r>
      <w:r>
        <w:rPr>
          <w:spacing w:val="-19"/>
          <w:w w:val="101"/>
        </w:rPr>
        <w:t>伙）、及李宁</w:t>
      </w:r>
      <w:r>
        <w:rPr>
          <w:spacing w:val="-90"/>
          <w:w w:val="101"/>
        </w:rPr>
        <w:t> </w:t>
      </w:r>
      <w:r>
        <w:rPr>
          <w:spacing w:val="-90"/>
          <w:w w:val="101"/>
        </w:rPr>
      </w:r>
      <w:r>
        <w:rPr>
          <w:spacing w:val="-4"/>
        </w:rPr>
        <w:t>李忱、陈忠国</w:t>
      </w:r>
      <w:r>
        <w:rPr>
          <w:spacing w:val="-72"/>
        </w:rPr>
        <w:t> </w:t>
      </w:r>
      <w:r>
        <w:rPr>
          <w:spacing w:val="-72"/>
        </w:rPr>
      </w:r>
      <w:r>
        <w:rPr>
          <w:spacing w:val="-4"/>
        </w:rPr>
        <w:t>共同承诺，自</w:t>
      </w:r>
      <w:r>
        <w:rPr>
          <w:spacing w:val="-72"/>
        </w:rPr>
        <w:t> </w:t>
      </w:r>
      <w:r>
        <w:rPr>
          <w:spacing w:val="-72"/>
        </w:rPr>
      </w:r>
      <w:r>
        <w:rPr/>
        <w:t>本协议签署</w:t>
      </w:r>
      <w:r>
        <w:rPr>
          <w:w w:val="101"/>
        </w:rPr>
        <w:t> </w:t>
      </w:r>
      <w:r>
        <w:rPr/>
        <w:t>之日起至</w:t>
      </w:r>
      <w:r>
        <w:rPr>
          <w:spacing w:val="-86"/>
        </w:rPr>
        <w:t> </w:t>
      </w:r>
      <w:r>
        <w:rPr>
          <w:spacing w:val="-86"/>
        </w:rPr>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316" w:lineRule="auto"/>
        <w:ind w:left="1213" w:right="4561"/>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13"/>
        </w:rPr>
        <w:t>日期间，合</w:t>
      </w:r>
      <w:r>
        <w:rPr>
          <w:spacing w:val="-87"/>
        </w:rPr>
        <w:t> </w:t>
      </w:r>
      <w:r>
        <w:rPr>
          <w:spacing w:val="-87"/>
        </w:rPr>
      </w:r>
      <w:r>
        <w:rPr/>
        <w:t>计以不低于</w:t>
      </w:r>
      <w:r>
        <w:rPr>
          <w:w w:val="101"/>
        </w:rPr>
        <w:t> </w:t>
      </w:r>
      <w:r>
        <w:rPr/>
        <w:t>人民币壹亿</w:t>
      </w:r>
      <w:r>
        <w:rPr>
          <w:w w:val="101"/>
        </w:rPr>
        <w:t> </w:t>
      </w:r>
      <w:r>
        <w:rPr>
          <w:spacing w:val="-4"/>
        </w:rPr>
        <w:t>元（注：指购</w:t>
      </w:r>
      <w:r>
        <w:rPr>
          <w:spacing w:val="-72"/>
        </w:rPr>
        <w:t> </w:t>
      </w:r>
      <w:r>
        <w:rPr>
          <w:spacing w:val="-72"/>
        </w:rPr>
      </w:r>
      <w:r>
        <w:rPr/>
        <w:t>买东方通股</w:t>
      </w:r>
      <w:r>
        <w:rPr>
          <w:w w:val="101"/>
        </w:rPr>
        <w:t> </w:t>
      </w:r>
      <w:r>
        <w:rPr>
          <w:spacing w:val="-4"/>
        </w:rPr>
        <w:t>票的对价，不</w:t>
      </w:r>
      <w:r>
        <w:rPr>
          <w:spacing w:val="-72"/>
        </w:rPr>
        <w:t> </w:t>
      </w:r>
      <w:r>
        <w:rPr>
          <w:spacing w:val="-72"/>
        </w:rPr>
      </w:r>
      <w:r>
        <w:rPr>
          <w:spacing w:val="-4"/>
        </w:rPr>
        <w:t>含中介费、手</w:t>
      </w:r>
      <w:r>
        <w:rPr>
          <w:spacing w:val="-72"/>
        </w:rPr>
        <w:t> </w:t>
      </w:r>
      <w:r>
        <w:rPr>
          <w:spacing w:val="-72"/>
        </w:rPr>
      </w:r>
      <w:r>
        <w:rPr>
          <w:spacing w:val="-4"/>
        </w:rPr>
        <w:t>续等费用）通</w:t>
      </w:r>
      <w:r>
        <w:rPr>
          <w:spacing w:val="-72"/>
        </w:rPr>
        <w:t> </w:t>
      </w:r>
      <w:r>
        <w:rPr>
          <w:spacing w:val="-72"/>
        </w:rPr>
      </w:r>
      <w:r>
        <w:rPr/>
        <w:t>过集中竞价</w:t>
      </w:r>
      <w:r>
        <w:rPr>
          <w:w w:val="101"/>
        </w:rPr>
        <w:t> </w:t>
      </w:r>
      <w:r>
        <w:rPr>
          <w:spacing w:val="-4"/>
        </w:rPr>
        <w:t>交易、大宗交</w:t>
      </w:r>
      <w:r>
        <w:rPr>
          <w:spacing w:val="-72"/>
        </w:rPr>
        <w:t> </w:t>
      </w:r>
      <w:r>
        <w:rPr>
          <w:spacing w:val="-72"/>
        </w:rPr>
      </w:r>
      <w:r>
        <w:rPr/>
        <w:t>易或协议转</w:t>
      </w:r>
      <w:r>
        <w:rPr>
          <w:w w:val="101"/>
        </w:rPr>
        <w:t> </w:t>
      </w:r>
      <w:r>
        <w:rPr/>
        <w:t>让等符合相</w:t>
      </w:r>
      <w:r>
        <w:rPr>
          <w:w w:val="101"/>
        </w:rPr>
        <w:t> </w:t>
      </w:r>
      <w:r>
        <w:rPr/>
        <w:t>关法律法规</w:t>
      </w:r>
      <w:r>
        <w:rPr>
          <w:w w:val="101"/>
        </w:rPr>
        <w:t> </w:t>
      </w:r>
      <w:r>
        <w:rPr/>
        <w:t>规定的方式</w:t>
      </w:r>
      <w:r>
        <w:rPr>
          <w:w w:val="101"/>
        </w:rPr>
        <w:t> </w:t>
      </w:r>
      <w:r>
        <w:rPr/>
        <w:t>购买东方通</w:t>
      </w:r>
      <w:r>
        <w:rPr>
          <w:w w:val="101"/>
        </w:rPr>
        <w:t> </w:t>
      </w:r>
      <w:r>
        <w:rPr>
          <w:spacing w:val="-4"/>
        </w:rPr>
        <w:t>股票（股票代</w:t>
      </w:r>
      <w:r>
        <w:rPr>
          <w:spacing w:val="-72"/>
        </w:rPr>
        <w:t> </w:t>
      </w:r>
      <w:r>
        <w:rPr>
          <w:spacing w:val="-72"/>
        </w:rPr>
      </w:r>
      <w:r>
        <w:rPr/>
        <w:t>码：</w:t>
      </w:r>
      <w:r>
        <w:rPr>
          <w:spacing w:val="-86"/>
        </w:rPr>
        <w:t> </w:t>
      </w:r>
      <w:r>
        <w:rPr>
          <w:rFonts w:ascii="Times New Roman" w:hAnsi="Times New Roman" w:cs="Times New Roman" w:eastAsia="Times New Roman" w:hint="default"/>
          <w:spacing w:val="-18"/>
          <w:w w:val="101"/>
        </w:rPr>
        <w:t>SZ.300379</w:t>
      </w:r>
      <w:r>
        <w:rPr>
          <w:spacing w:val="-18"/>
          <w:w w:val="101"/>
        </w:rPr>
        <w:t>）。</w:t>
      </w:r>
      <w:r>
        <w:rPr/>
      </w:r>
    </w:p>
    <w:p>
      <w:pPr>
        <w:pStyle w:val="BodyText"/>
        <w:spacing w:line="248" w:lineRule="exact"/>
        <w:ind w:left="1213" w:right="0"/>
        <w:jc w:val="left"/>
      </w:pPr>
      <w:r>
        <w:rPr/>
        <w:t>（</w:t>
      </w:r>
      <w:r>
        <w:rPr>
          <w:rFonts w:ascii="Times New Roman" w:hAnsi="Times New Roman" w:cs="Times New Roman" w:eastAsia="Times New Roman" w:hint="default"/>
        </w:rPr>
        <w:t>1</w:t>
      </w:r>
      <w:r>
        <w:rPr/>
        <w:t>）截至</w:t>
      </w:r>
    </w:p>
    <w:p>
      <w:pPr>
        <w:pStyle w:val="BodyText"/>
        <w:spacing w:line="240" w:lineRule="auto" w:before="63"/>
        <w:ind w:left="121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314" w:lineRule="auto" w:before="63"/>
        <w:ind w:left="1213" w:right="4572"/>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13"/>
        </w:rPr>
        <w:t>日，合计购</w:t>
      </w:r>
      <w:r>
        <w:rPr>
          <w:spacing w:val="-87"/>
        </w:rPr>
        <w:t> </w:t>
      </w:r>
      <w:r>
        <w:rPr>
          <w:spacing w:val="-87"/>
        </w:rPr>
      </w:r>
      <w:r>
        <w:rPr/>
        <w:t>买东方通股</w:t>
      </w:r>
      <w:r>
        <w:rPr>
          <w:w w:val="101"/>
        </w:rPr>
        <w:t> </w:t>
      </w:r>
      <w:r>
        <w:rPr/>
        <w:t>票的对价应</w:t>
      </w:r>
      <w:r>
        <w:rPr>
          <w:w w:val="101"/>
        </w:rPr>
        <w:t> </w:t>
      </w:r>
      <w:r>
        <w:rPr/>
        <w:t>不低于人民</w:t>
      </w:r>
      <w:r>
        <w:rPr>
          <w:w w:val="101"/>
        </w:rPr>
        <w:t> </w:t>
      </w:r>
      <w:r>
        <w:rPr/>
        <w:t>币</w:t>
      </w:r>
      <w:r>
        <w:rPr>
          <w:spacing w:val="-4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w:t>
      </w:r>
    </w:p>
    <w:p>
      <w:pPr>
        <w:pStyle w:val="BodyText"/>
        <w:spacing w:line="314" w:lineRule="auto" w:before="1"/>
        <w:ind w:left="1213" w:right="4574"/>
        <w:jc w:val="left"/>
      </w:pPr>
      <w:r>
        <w:rPr>
          <w:spacing w:val="-4"/>
        </w:rPr>
        <w:t>元。如合计购</w:t>
      </w:r>
      <w:r>
        <w:rPr>
          <w:spacing w:val="-72"/>
        </w:rPr>
        <w:t> </w:t>
      </w:r>
      <w:r>
        <w:rPr>
          <w:spacing w:val="-72"/>
        </w:rPr>
      </w:r>
      <w:r>
        <w:rPr/>
        <w:t>买东方通股</w:t>
      </w:r>
      <w:r>
        <w:rPr>
          <w:w w:val="101"/>
        </w:rPr>
        <w:t> </w:t>
      </w:r>
      <w:r>
        <w:rPr/>
        <w:t>票的出资未</w:t>
      </w:r>
      <w:r>
        <w:rPr>
          <w:w w:val="101"/>
        </w:rPr>
        <w:t> </w:t>
      </w:r>
      <w:r>
        <w:rPr/>
        <w:t>能达到前述</w:t>
      </w:r>
      <w:r>
        <w:rPr>
          <w:w w:val="101"/>
        </w:rPr>
        <w:t> </w:t>
      </w:r>
      <w:r>
        <w:rPr>
          <w:spacing w:val="-4"/>
        </w:rPr>
        <w:t>约定，则东方</w:t>
      </w:r>
      <w:r>
        <w:rPr>
          <w:spacing w:val="-72"/>
        </w:rPr>
        <w:t> </w:t>
      </w:r>
      <w:r>
        <w:rPr>
          <w:spacing w:val="-72"/>
        </w:rPr>
      </w:r>
      <w:r>
        <w:rPr/>
        <w:t>通有权根据</w:t>
      </w:r>
      <w:r>
        <w:rPr>
          <w:w w:val="101"/>
        </w:rPr>
        <w:t> </w:t>
      </w:r>
      <w:r>
        <w:rPr/>
        <w:t>本协议第</w:t>
      </w:r>
      <w:r>
        <w:rPr>
          <w:spacing w:val="-46"/>
        </w:rPr>
        <w:t> </w:t>
      </w:r>
      <w:r>
        <w:rPr>
          <w:rFonts w:ascii="Times New Roman" w:hAnsi="Times New Roman" w:cs="Times New Roman" w:eastAsia="Times New Roman" w:hint="default"/>
        </w:rPr>
        <w:t>3.4</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3"/>
        </w:rPr>
        <w:t>条第（</w:t>
      </w:r>
      <w:r>
        <w:rPr>
          <w:rFonts w:ascii="Times New Roman" w:hAnsi="Times New Roman" w:cs="Times New Roman" w:eastAsia="Times New Roman" w:hint="default"/>
          <w:spacing w:val="-3"/>
        </w:rPr>
        <w:t>3</w:t>
      </w:r>
      <w:r>
        <w:rPr>
          <w:spacing w:val="-3"/>
        </w:rPr>
        <w:t>）款</w:t>
      </w:r>
      <w:r>
        <w:rPr>
          <w:spacing w:val="-75"/>
        </w:rPr>
        <w:t> </w:t>
      </w:r>
      <w:r>
        <w:rPr/>
        <w:t>约定向闽清</w:t>
      </w:r>
    </w:p>
    <w:p>
      <w:pPr>
        <w:spacing w:after="0" w:line="314" w:lineRule="auto"/>
        <w:jc w:val="left"/>
        <w:sectPr>
          <w:type w:val="continuous"/>
          <w:pgSz w:w="11910" w:h="16840"/>
          <w:pgMar w:top="1060" w:bottom="1160" w:left="980" w:right="0"/>
          <w:cols w:num="2" w:equalWidth="0">
            <w:col w:w="4019" w:space="40"/>
            <w:col w:w="6871"/>
          </w:cols>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华创支付的</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中暂时扣除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前述差额部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分（差额部分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购买东方通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股票的累计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对价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若</w:t>
            </w:r>
            <w:r>
              <w:rPr>
                <w:rFonts w:ascii="宋体" w:hAnsi="宋体" w:cs="宋体" w:eastAsia="宋体" w:hint="default"/>
                <w:w w:val="101"/>
                <w:sz w:val="18"/>
                <w:szCs w:val="18"/>
              </w:rPr>
              <w:t>截</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通股票达到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或超过差额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部分，则东方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通应于收到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书面通知并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确认后十日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内将暂时扣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除的差额部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分股权转让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款支付给闽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清华创；若截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通股票仍存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在差额（即累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计出资低于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则该差额部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分东方通不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再</w:t>
            </w:r>
            <w:r>
              <w:rPr>
                <w:rFonts w:ascii="宋体" w:hAnsi="宋体" w:cs="宋体" w:eastAsia="宋体" w:hint="default"/>
                <w:spacing w:val="-5"/>
                <w:w w:val="101"/>
                <w:sz w:val="18"/>
                <w:szCs w:val="18"/>
              </w:rPr>
              <w:t>支</w:t>
            </w:r>
            <w:r>
              <w:rPr>
                <w:rFonts w:ascii="宋体" w:hAnsi="宋体" w:cs="宋体" w:eastAsia="宋体" w:hint="default"/>
                <w:w w:val="101"/>
                <w:sz w:val="18"/>
                <w:szCs w:val="18"/>
              </w:rPr>
              <w:t>付</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合计购买东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方通股票的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出资应不低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如合计购买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东方通股票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的出资未能</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达到前述约</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定，则东方通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有权根据本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协议第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w:t>
            </w:r>
            <w:r>
              <w:rPr>
                <w:rFonts w:ascii="宋体" w:hAnsi="宋体" w:cs="宋体" w:eastAsia="宋体" w:hint="default"/>
                <w:sz w:val="18"/>
                <w:szCs w:val="18"/>
              </w:rPr>
              <w:t>）款约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定向闽清华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创支付的股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权转让款中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暂时扣除前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述差额部分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（差额部分</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购买东方通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股票的累计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对价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若</w:t>
            </w:r>
            <w:r>
              <w:rPr>
                <w:rFonts w:ascii="宋体" w:hAnsi="宋体" w:cs="宋体" w:eastAsia="宋体" w:hint="default"/>
                <w:w w:val="101"/>
                <w:sz w:val="18"/>
                <w:szCs w:val="18"/>
              </w:rPr>
              <w:t>截</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通股票达到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或超过差额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部分，则东方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通应于收到</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书面通知并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确认后十日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内将暂时扣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除的差额部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分股权转让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款支付给闽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清华创；若截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通股票仍存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在差额（即累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计出资低于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则该差额部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分东方通不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再</w:t>
            </w:r>
            <w:r>
              <w:rPr>
                <w:rFonts w:ascii="宋体" w:hAnsi="宋体" w:cs="宋体" w:eastAsia="宋体" w:hint="default"/>
                <w:spacing w:val="-5"/>
                <w:w w:val="101"/>
                <w:sz w:val="18"/>
                <w:szCs w:val="18"/>
              </w:rPr>
              <w:t>支</w:t>
            </w:r>
            <w:r>
              <w:rPr>
                <w:rFonts w:ascii="宋体" w:hAnsi="宋体" w:cs="宋体" w:eastAsia="宋体" w:hint="default"/>
                <w:w w:val="101"/>
                <w:sz w:val="18"/>
                <w:szCs w:val="18"/>
              </w:rPr>
              <w:t>付</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合计购买东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方通股票的</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出资应不低</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如合计购买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东方通股票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的出资未能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达到前述约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定，则东方通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有权根据本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协议第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w:t>
            </w:r>
            <w:r>
              <w:rPr>
                <w:rFonts w:ascii="宋体" w:hAnsi="宋体" w:cs="宋体" w:eastAsia="宋体" w:hint="default"/>
                <w:sz w:val="18"/>
                <w:szCs w:val="18"/>
              </w:rPr>
              <w:t>）款约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定向闽清华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创支付的股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权转让款中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暂时扣除前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述差额部分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（差额部分</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购买东方通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股票的累计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对价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若</w:t>
            </w:r>
            <w:r>
              <w:rPr>
                <w:rFonts w:ascii="宋体" w:hAnsi="宋体" w:cs="宋体" w:eastAsia="宋体" w:hint="default"/>
                <w:w w:val="101"/>
                <w:sz w:val="18"/>
                <w:szCs w:val="18"/>
              </w:rPr>
              <w:t>截</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日，合</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通股票达到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或超过差额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部分，则东方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通应于收到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书面通知并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确认后十日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内将暂时扣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除的差额部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分股权转让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款支付给闽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清华创；若截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计购买东方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通股票仍存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在差额（即累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计出资低于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pacing w:val="-16"/>
                <w:sz w:val="18"/>
                <w:szCs w:val="18"/>
              </w:rPr>
              <w:t>万元）</w:t>
            </w:r>
            <w:r>
              <w:rPr>
                <w:rFonts w:ascii="Times New Roman" w:hAnsi="Times New Roman" w:cs="Times New Roman" w:eastAsia="Times New Roman" w:hint="default"/>
                <w:spacing w:val="-16"/>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则该差额部</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分东方通不</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再支付。在自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本协议签署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之日起至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日期间购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买的东方通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股票承诺进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行锁定，锁定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期</w:t>
            </w:r>
            <w:r>
              <w:rPr>
                <w:rFonts w:ascii="宋体" w:hAnsi="宋体" w:cs="宋体" w:eastAsia="宋体" w:hint="default"/>
                <w:spacing w:val="-5"/>
                <w:w w:val="101"/>
                <w:sz w:val="18"/>
                <w:szCs w:val="18"/>
              </w:rPr>
              <w:t>如</w:t>
            </w:r>
            <w:r>
              <w:rPr>
                <w:rFonts w:ascii="宋体" w:hAnsi="宋体" w:cs="宋体" w:eastAsia="宋体" w:hint="default"/>
                <w:w w:val="101"/>
                <w:sz w:val="18"/>
                <w:szCs w:val="18"/>
              </w:rPr>
              <w:t>下</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1</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自本协议签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署之日起至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92"/>
                <w:w w:val="101"/>
                <w:sz w:val="18"/>
                <w:szCs w:val="18"/>
              </w:rPr>
              <w:t>日</w:t>
            </w:r>
            <w:r>
              <w:rPr>
                <w:rFonts w:ascii="宋体" w:hAnsi="宋体" w:cs="宋体" w:eastAsia="宋体" w:hint="default"/>
                <w:w w:val="101"/>
                <w:sz w:val="18"/>
                <w:szCs w:val="18"/>
              </w:rPr>
              <w:t>（含</w:t>
            </w:r>
            <w:r>
              <w:rPr>
                <w:rFonts w:ascii="宋体" w:hAnsi="宋体" w:cs="宋体" w:eastAsia="宋体" w:hint="default"/>
                <w:spacing w:val="-52"/>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日）期间购买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的东方通股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票，自购买之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日起锁定，锁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定期至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spacing w:val="-5"/>
                <w:w w:val="101"/>
                <w:sz w:val="18"/>
                <w:szCs w:val="18"/>
              </w:rPr>
              <w:t>）自</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日（含</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pacing w:val="-96"/>
                <w:w w:val="101"/>
                <w:sz w:val="18"/>
                <w:szCs w:val="18"/>
              </w:rPr>
              <w:t>日</w:t>
            </w:r>
            <w:r>
              <w:rPr>
                <w:rFonts w:ascii="宋体" w:hAnsi="宋体" w:cs="宋体" w:eastAsia="宋体" w:hint="default"/>
                <w:w w:val="101"/>
                <w:sz w:val="18"/>
                <w:szCs w:val="18"/>
              </w:rPr>
              <w:t>（含</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13"/>
                <w:sz w:val="18"/>
                <w:szCs w:val="18"/>
              </w:rPr>
              <w:t>日）期间购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买的东方通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股票，自购买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之日起锁定，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锁定期至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29"/>
                <w:w w:val="101"/>
                <w:sz w:val="18"/>
                <w:szCs w:val="18"/>
              </w:rPr>
              <w:t>）自</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日（含</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2021</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pacing w:val="-96"/>
                <w:w w:val="101"/>
                <w:sz w:val="18"/>
                <w:szCs w:val="18"/>
              </w:rPr>
              <w:t>日</w:t>
            </w:r>
            <w:r>
              <w:rPr>
                <w:rFonts w:ascii="宋体" w:hAnsi="宋体" w:cs="宋体" w:eastAsia="宋体" w:hint="default"/>
                <w:w w:val="101"/>
                <w:sz w:val="18"/>
                <w:szCs w:val="18"/>
              </w:rPr>
              <w:t>（含</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13"/>
                <w:sz w:val="18"/>
                <w:szCs w:val="18"/>
              </w:rPr>
              <w:t>日）期间购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买的东方通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股票，自购买</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297"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pacing w:val="-2"/>
                <w:sz w:val="18"/>
                <w:szCs w:val="18"/>
              </w:rPr>
              <w:t>之日起锁定，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锁定期至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5709"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1"/>
              <w:jc w:val="left"/>
              <w:rPr>
                <w:rFonts w:ascii="宋体" w:hAnsi="宋体" w:cs="宋体" w:eastAsia="宋体" w:hint="default"/>
                <w:sz w:val="18"/>
                <w:szCs w:val="18"/>
              </w:rPr>
            </w:pPr>
            <w:r>
              <w:rPr>
                <w:rFonts w:ascii="宋体" w:hAnsi="宋体" w:cs="宋体" w:eastAsia="宋体" w:hint="default"/>
                <w:sz w:val="18"/>
                <w:szCs w:val="18"/>
              </w:rPr>
              <w:t>长安基金－</w:t>
            </w:r>
            <w:r>
              <w:rPr>
                <w:rFonts w:ascii="宋体" w:hAnsi="宋体" w:cs="宋体" w:eastAsia="宋体" w:hint="default"/>
                <w:w w:val="101"/>
                <w:sz w:val="18"/>
                <w:szCs w:val="18"/>
              </w:rPr>
              <w:t> </w:t>
            </w:r>
            <w:r>
              <w:rPr>
                <w:rFonts w:ascii="宋体" w:hAnsi="宋体" w:cs="宋体" w:eastAsia="宋体" w:hint="default"/>
                <w:sz w:val="18"/>
                <w:szCs w:val="18"/>
              </w:rPr>
              <w:t>工商银行－</w:t>
            </w:r>
            <w:r>
              <w:rPr>
                <w:rFonts w:ascii="宋体" w:hAnsi="宋体" w:cs="宋体" w:eastAsia="宋体" w:hint="default"/>
                <w:w w:val="101"/>
                <w:sz w:val="18"/>
                <w:szCs w:val="18"/>
              </w:rPr>
              <w:t> </w:t>
            </w:r>
            <w:r>
              <w:rPr>
                <w:rFonts w:ascii="宋体" w:hAnsi="宋体" w:cs="宋体" w:eastAsia="宋体" w:hint="default"/>
                <w:sz w:val="18"/>
                <w:szCs w:val="18"/>
              </w:rPr>
              <w:t>大业信托－</w:t>
            </w:r>
            <w:r>
              <w:rPr>
                <w:rFonts w:ascii="宋体" w:hAnsi="宋体" w:cs="宋体" w:eastAsia="宋体" w:hint="default"/>
                <w:w w:val="101"/>
                <w:sz w:val="18"/>
                <w:szCs w:val="18"/>
              </w:rPr>
              <w:t> </w:t>
            </w:r>
            <w:r>
              <w:rPr>
                <w:rFonts w:ascii="宋体" w:hAnsi="宋体" w:cs="宋体" w:eastAsia="宋体" w:hint="default"/>
                <w:sz w:val="18"/>
                <w:szCs w:val="18"/>
              </w:rPr>
              <w:t>大业信托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平</w:t>
            </w:r>
            <w:r>
              <w:rPr>
                <w:rFonts w:ascii="宋体" w:hAnsi="宋体" w:cs="宋体" w:eastAsia="宋体" w:hint="default"/>
                <w:spacing w:val="-86"/>
                <w:sz w:val="18"/>
                <w:szCs w:val="18"/>
              </w:rPr>
              <w:t> </w:t>
            </w:r>
            <w:r>
              <w:rPr>
                <w:rFonts w:ascii="宋体" w:hAnsi="宋体" w:cs="宋体" w:eastAsia="宋体" w:hint="default"/>
                <w:sz w:val="18"/>
                <w:szCs w:val="18"/>
              </w:rPr>
              <w:t>安富贵东方</w:t>
            </w:r>
            <w:r>
              <w:rPr>
                <w:rFonts w:ascii="宋体" w:hAnsi="宋体" w:cs="宋体" w:eastAsia="宋体" w:hint="default"/>
                <w:w w:val="101"/>
                <w:sz w:val="18"/>
                <w:szCs w:val="18"/>
              </w:rPr>
              <w:t> </w:t>
            </w:r>
            <w:r>
              <w:rPr>
                <w:rFonts w:ascii="宋体" w:hAnsi="宋体" w:cs="宋体" w:eastAsia="宋体" w:hint="default"/>
                <w:sz w:val="18"/>
                <w:szCs w:val="18"/>
              </w:rPr>
              <w:t>通单一资金</w:t>
            </w:r>
            <w:r>
              <w:rPr>
                <w:rFonts w:ascii="宋体" w:hAnsi="宋体" w:cs="宋体" w:eastAsia="宋体" w:hint="default"/>
                <w:w w:val="101"/>
                <w:sz w:val="18"/>
                <w:szCs w:val="18"/>
              </w:rPr>
              <w:t> </w:t>
            </w:r>
            <w:r>
              <w:rPr>
                <w:rFonts w:ascii="宋体" w:hAnsi="宋体" w:cs="宋体" w:eastAsia="宋体" w:hint="default"/>
                <w:sz w:val="18"/>
                <w:szCs w:val="18"/>
              </w:rPr>
              <w:t>信托</w:t>
            </w:r>
            <w:r>
              <w:rPr>
                <w:rFonts w:ascii="Times New Roman" w:hAnsi="Times New Roman" w:cs="Times New Roman" w:eastAsia="Times New Roman" w:hint="default"/>
                <w:sz w:val="18"/>
                <w:szCs w:val="18"/>
              </w:rPr>
              <w:t>;</w:t>
            </w:r>
            <w:r>
              <w:rPr>
                <w:rFonts w:ascii="宋体" w:hAnsi="宋体" w:cs="宋体" w:eastAsia="宋体" w:hint="default"/>
                <w:sz w:val="18"/>
                <w:szCs w:val="18"/>
              </w:rPr>
              <w:t>黄永军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深圳平安大</w:t>
            </w:r>
            <w:r>
              <w:rPr>
                <w:rFonts w:ascii="宋体" w:hAnsi="宋体" w:cs="宋体" w:eastAsia="宋体" w:hint="default"/>
                <w:w w:val="101"/>
                <w:sz w:val="18"/>
                <w:szCs w:val="18"/>
              </w:rPr>
              <w:t> </w:t>
            </w:r>
            <w:r>
              <w:rPr>
                <w:rFonts w:ascii="宋体" w:hAnsi="宋体" w:cs="宋体" w:eastAsia="宋体" w:hint="default"/>
                <w:sz w:val="18"/>
                <w:szCs w:val="18"/>
              </w:rPr>
              <w:t>华汇通财富</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p>
            <w:pPr>
              <w:pStyle w:val="TableParagraph"/>
              <w:spacing w:line="312" w:lineRule="auto" w:before="77"/>
              <w:ind w:left="23" w:right="12"/>
              <w:jc w:val="left"/>
              <w:rPr>
                <w:rFonts w:ascii="宋体" w:hAnsi="宋体" w:cs="宋体" w:eastAsia="宋体" w:hint="default"/>
                <w:sz w:val="18"/>
                <w:szCs w:val="18"/>
              </w:rPr>
            </w:pPr>
            <w:r>
              <w:rPr>
                <w:rFonts w:ascii="宋体" w:hAnsi="宋体" w:cs="宋体" w:eastAsia="宋体" w:hint="default"/>
                <w:sz w:val="18"/>
                <w:szCs w:val="18"/>
              </w:rPr>
              <w:t>－平安汇通</w:t>
            </w:r>
            <w:r>
              <w:rPr>
                <w:rFonts w:ascii="宋体" w:hAnsi="宋体" w:cs="宋体" w:eastAsia="宋体" w:hint="default"/>
                <w:w w:val="101"/>
                <w:sz w:val="18"/>
                <w:szCs w:val="18"/>
              </w:rPr>
              <w:t> </w:t>
            </w:r>
            <w:r>
              <w:rPr>
                <w:rFonts w:ascii="宋体" w:hAnsi="宋体" w:cs="宋体" w:eastAsia="宋体" w:hint="default"/>
                <w:sz w:val="18"/>
                <w:szCs w:val="18"/>
              </w:rPr>
              <w:t>星通资本定</w:t>
            </w:r>
            <w:r>
              <w:rPr>
                <w:rFonts w:ascii="宋体" w:hAnsi="宋体" w:cs="宋体" w:eastAsia="宋体" w:hint="default"/>
                <w:w w:val="101"/>
                <w:sz w:val="18"/>
                <w:szCs w:val="18"/>
              </w:rPr>
              <w:t> </w:t>
            </w:r>
            <w:r>
              <w:rPr>
                <w:rFonts w:ascii="宋体" w:hAnsi="宋体" w:cs="宋体" w:eastAsia="宋体" w:hint="default"/>
                <w:sz w:val="18"/>
                <w:szCs w:val="18"/>
              </w:rPr>
              <w:t>向投资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号资</w:t>
            </w:r>
            <w:r>
              <w:rPr>
                <w:rFonts w:ascii="宋体" w:hAnsi="宋体" w:cs="宋体" w:eastAsia="宋体" w:hint="default"/>
                <w:spacing w:val="-88"/>
                <w:sz w:val="18"/>
                <w:szCs w:val="18"/>
              </w:rPr>
              <w:t> </w:t>
            </w:r>
            <w:r>
              <w:rPr>
                <w:rFonts w:ascii="宋体" w:hAnsi="宋体" w:cs="宋体" w:eastAsia="宋体" w:hint="default"/>
                <w:sz w:val="18"/>
                <w:szCs w:val="18"/>
              </w:rPr>
              <w:t>产管理计划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兴业全球基</w:t>
            </w:r>
            <w:r>
              <w:rPr>
                <w:rFonts w:ascii="宋体" w:hAnsi="宋体" w:cs="宋体" w:eastAsia="宋体" w:hint="default"/>
                <w:w w:val="101"/>
                <w:sz w:val="18"/>
                <w:szCs w:val="18"/>
              </w:rPr>
              <w:t> </w:t>
            </w:r>
            <w:r>
              <w:rPr>
                <w:rFonts w:ascii="宋体" w:hAnsi="宋体" w:cs="宋体" w:eastAsia="宋体" w:hint="default"/>
                <w:sz w:val="18"/>
                <w:szCs w:val="18"/>
              </w:rPr>
              <w:t>金－招商银</w:t>
            </w:r>
            <w:r>
              <w:rPr>
                <w:rFonts w:ascii="宋体" w:hAnsi="宋体" w:cs="宋体" w:eastAsia="宋体" w:hint="default"/>
                <w:w w:val="101"/>
                <w:sz w:val="18"/>
                <w:szCs w:val="18"/>
              </w:rPr>
              <w:t> </w:t>
            </w:r>
            <w:r>
              <w:rPr>
                <w:rFonts w:ascii="宋体" w:hAnsi="宋体" w:cs="宋体" w:eastAsia="宋体" w:hint="default"/>
                <w:sz w:val="18"/>
                <w:szCs w:val="18"/>
              </w:rPr>
              <w:t>行－沈惠中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朱曼</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4" w:lineRule="auto"/>
              <w:ind w:left="24" w:right="12"/>
              <w:jc w:val="left"/>
              <w:rPr>
                <w:rFonts w:ascii="宋体" w:hAnsi="宋体" w:cs="宋体" w:eastAsia="宋体" w:hint="default"/>
                <w:sz w:val="18"/>
                <w:szCs w:val="18"/>
              </w:rPr>
            </w:pPr>
            <w:r>
              <w:rPr>
                <w:rFonts w:ascii="宋体" w:hAnsi="宋体" w:cs="宋体" w:eastAsia="宋体" w:hint="default"/>
                <w:sz w:val="18"/>
                <w:szCs w:val="18"/>
              </w:rPr>
              <w:t>本次非公开</w:t>
            </w:r>
            <w:r>
              <w:rPr>
                <w:rFonts w:ascii="宋体" w:hAnsi="宋体" w:cs="宋体" w:eastAsia="宋体" w:hint="default"/>
                <w:w w:val="101"/>
                <w:sz w:val="18"/>
                <w:szCs w:val="18"/>
              </w:rPr>
              <w:t> </w:t>
            </w:r>
            <w:r>
              <w:rPr>
                <w:rFonts w:ascii="宋体" w:hAnsi="宋体" w:cs="宋体" w:eastAsia="宋体" w:hint="default"/>
                <w:sz w:val="18"/>
                <w:szCs w:val="18"/>
              </w:rPr>
              <w:t>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w:t>
            </w:r>
            <w:r>
              <w:rPr>
                <w:rFonts w:ascii="宋体" w:hAnsi="宋体" w:cs="宋体" w:eastAsia="宋体" w:hint="default"/>
                <w:spacing w:val="-83"/>
                <w:sz w:val="18"/>
                <w:szCs w:val="18"/>
              </w:rPr>
              <w:t> </w:t>
            </w:r>
            <w:r>
              <w:rPr>
                <w:rFonts w:ascii="宋体" w:hAnsi="宋体" w:cs="宋体" w:eastAsia="宋体" w:hint="default"/>
                <w:spacing w:val="-4"/>
                <w:sz w:val="18"/>
                <w:szCs w:val="18"/>
              </w:rPr>
              <w:t>票完成后，所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有发行对象</w:t>
            </w:r>
            <w:r>
              <w:rPr>
                <w:rFonts w:ascii="宋体" w:hAnsi="宋体" w:cs="宋体" w:eastAsia="宋体" w:hint="default"/>
                <w:w w:val="101"/>
                <w:sz w:val="18"/>
                <w:szCs w:val="18"/>
              </w:rPr>
              <w:t> </w:t>
            </w:r>
            <w:r>
              <w:rPr>
                <w:rFonts w:ascii="宋体" w:hAnsi="宋体" w:cs="宋体" w:eastAsia="宋体" w:hint="default"/>
                <w:sz w:val="18"/>
                <w:szCs w:val="18"/>
              </w:rPr>
              <w:t>认购的股份</w:t>
            </w:r>
            <w:r>
              <w:rPr>
                <w:rFonts w:ascii="宋体" w:hAnsi="宋体" w:cs="宋体" w:eastAsia="宋体" w:hint="default"/>
                <w:w w:val="101"/>
                <w:sz w:val="18"/>
                <w:szCs w:val="18"/>
              </w:rPr>
              <w:t> </w:t>
            </w:r>
            <w:r>
              <w:rPr>
                <w:rFonts w:ascii="宋体" w:hAnsi="宋体" w:cs="宋体" w:eastAsia="宋体" w:hint="default"/>
                <w:sz w:val="18"/>
                <w:szCs w:val="18"/>
              </w:rPr>
              <w:t>均自本次发</w:t>
            </w:r>
            <w:r>
              <w:rPr>
                <w:rFonts w:ascii="宋体" w:hAnsi="宋体" w:cs="宋体" w:eastAsia="宋体" w:hint="default"/>
                <w:w w:val="101"/>
                <w:sz w:val="18"/>
                <w:szCs w:val="18"/>
              </w:rPr>
              <w:t> </w:t>
            </w:r>
            <w:r>
              <w:rPr>
                <w:rFonts w:ascii="宋体" w:hAnsi="宋体" w:cs="宋体" w:eastAsia="宋体" w:hint="default"/>
                <w:sz w:val="18"/>
                <w:szCs w:val="18"/>
              </w:rPr>
              <w:t>行结束之日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不得转让。</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2019-07-26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诺人未有违</w:t>
            </w:r>
            <w:r>
              <w:rPr>
                <w:rFonts w:ascii="宋体" w:hAnsi="宋体" w:cs="宋体" w:eastAsia="宋体" w:hint="default"/>
                <w:w w:val="101"/>
                <w:sz w:val="18"/>
                <w:szCs w:val="18"/>
              </w:rPr>
              <w:t> </w:t>
            </w:r>
            <w:r>
              <w:rPr>
                <w:rFonts w:ascii="宋体" w:hAnsi="宋体" w:cs="宋体" w:eastAsia="宋体" w:hint="default"/>
                <w:sz w:val="18"/>
                <w:szCs w:val="18"/>
              </w:rPr>
              <w:t>反承诺的情</w:t>
            </w:r>
            <w:r>
              <w:rPr>
                <w:rFonts w:ascii="宋体" w:hAnsi="宋体" w:cs="宋体" w:eastAsia="宋体" w:hint="default"/>
                <w:w w:val="101"/>
                <w:sz w:val="18"/>
                <w:szCs w:val="18"/>
              </w:rPr>
              <w:t> </w:t>
            </w:r>
            <w:r>
              <w:rPr>
                <w:rFonts w:ascii="宋体" w:hAnsi="宋体" w:cs="宋体" w:eastAsia="宋体" w:hint="default"/>
                <w:spacing w:val="-7"/>
                <w:sz w:val="18"/>
                <w:szCs w:val="18"/>
              </w:rPr>
              <w:t>况，该承诺事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项已履行完</w:t>
            </w:r>
            <w:r>
              <w:rPr>
                <w:rFonts w:ascii="宋体" w:hAnsi="宋体" w:cs="宋体" w:eastAsia="宋体" w:hint="default"/>
                <w:w w:val="101"/>
                <w:sz w:val="18"/>
                <w:szCs w:val="18"/>
              </w:rPr>
              <w:t> </w:t>
            </w:r>
            <w:r>
              <w:rPr>
                <w:rFonts w:ascii="宋体" w:hAnsi="宋体" w:cs="宋体" w:eastAsia="宋体" w:hint="default"/>
                <w:sz w:val="18"/>
                <w:szCs w:val="18"/>
              </w:rPr>
              <w:t>毕。</w:t>
            </w:r>
          </w:p>
        </w:tc>
      </w:tr>
      <w:tr>
        <w:trPr>
          <w:trHeight w:val="691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3" w:right="12"/>
              <w:jc w:val="both"/>
              <w:rPr>
                <w:rFonts w:ascii="宋体" w:hAnsi="宋体" w:cs="宋体" w:eastAsia="宋体" w:hint="default"/>
                <w:sz w:val="18"/>
                <w:szCs w:val="18"/>
              </w:rPr>
            </w:pPr>
            <w:r>
              <w:rPr>
                <w:rFonts w:ascii="宋体" w:hAnsi="宋体" w:cs="宋体" w:eastAsia="宋体" w:hint="default"/>
                <w:spacing w:val="-4"/>
                <w:sz w:val="18"/>
                <w:szCs w:val="18"/>
              </w:rPr>
              <w:t>张齐春、朱海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东、朱曼、朱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律玮、孙亚明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自东方通</w:t>
            </w:r>
            <w:r>
              <w:rPr>
                <w:rFonts w:ascii="宋体" w:hAnsi="宋体" w:cs="宋体" w:eastAsia="宋体" w:hint="default"/>
                <w:w w:val="101"/>
                <w:sz w:val="18"/>
                <w:szCs w:val="18"/>
              </w:rPr>
              <w:t> </w:t>
            </w:r>
            <w:r>
              <w:rPr>
                <w:rFonts w:ascii="宋体" w:hAnsi="宋体" w:cs="宋体" w:eastAsia="宋体" w:hint="default"/>
                <w:sz w:val="18"/>
                <w:szCs w:val="18"/>
              </w:rPr>
              <w:t>股票上市之</w:t>
            </w:r>
            <w:r>
              <w:rPr>
                <w:rFonts w:ascii="宋体" w:hAnsi="宋体" w:cs="宋体" w:eastAsia="宋体" w:hint="default"/>
                <w:w w:val="101"/>
                <w:sz w:val="18"/>
                <w:szCs w:val="18"/>
              </w:rPr>
              <w:t> </w:t>
            </w:r>
            <w:r>
              <w:rPr>
                <w:rFonts w:ascii="宋体" w:hAnsi="宋体" w:cs="宋体" w:eastAsia="宋体" w:hint="default"/>
                <w:sz w:val="18"/>
                <w:szCs w:val="18"/>
              </w:rPr>
              <w:t>日起的三十</w:t>
            </w:r>
            <w:r>
              <w:rPr>
                <w:rFonts w:ascii="宋体" w:hAnsi="宋体" w:cs="宋体" w:eastAsia="宋体" w:hint="default"/>
                <w:w w:val="101"/>
                <w:sz w:val="18"/>
                <w:szCs w:val="18"/>
              </w:rPr>
              <w:t> </w:t>
            </w:r>
            <w:r>
              <w:rPr>
                <w:rFonts w:ascii="宋体" w:hAnsi="宋体" w:cs="宋体" w:eastAsia="宋体" w:hint="default"/>
                <w:spacing w:val="-4"/>
                <w:sz w:val="18"/>
                <w:szCs w:val="18"/>
              </w:rPr>
              <w:t>六个月内，不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转让或委托</w:t>
            </w:r>
            <w:r>
              <w:rPr>
                <w:rFonts w:ascii="宋体" w:hAnsi="宋体" w:cs="宋体" w:eastAsia="宋体" w:hint="default"/>
                <w:w w:val="101"/>
                <w:sz w:val="18"/>
                <w:szCs w:val="18"/>
              </w:rPr>
              <w:t> </w:t>
            </w:r>
            <w:r>
              <w:rPr>
                <w:rFonts w:ascii="宋体" w:hAnsi="宋体" w:cs="宋体" w:eastAsia="宋体" w:hint="default"/>
                <w:sz w:val="18"/>
                <w:szCs w:val="18"/>
              </w:rPr>
              <w:t>他人管理本</w:t>
            </w:r>
            <w:r>
              <w:rPr>
                <w:rFonts w:ascii="宋体" w:hAnsi="宋体" w:cs="宋体" w:eastAsia="宋体" w:hint="default"/>
                <w:w w:val="101"/>
                <w:sz w:val="18"/>
                <w:szCs w:val="18"/>
              </w:rPr>
              <w:t> </w:t>
            </w:r>
            <w:r>
              <w:rPr>
                <w:rFonts w:ascii="宋体" w:hAnsi="宋体" w:cs="宋体" w:eastAsia="宋体" w:hint="default"/>
                <w:sz w:val="18"/>
                <w:szCs w:val="18"/>
              </w:rPr>
              <w:t>人所直接或</w:t>
            </w:r>
            <w:r>
              <w:rPr>
                <w:rFonts w:ascii="宋体" w:hAnsi="宋体" w:cs="宋体" w:eastAsia="宋体" w:hint="default"/>
                <w:w w:val="101"/>
                <w:sz w:val="18"/>
                <w:szCs w:val="18"/>
              </w:rPr>
              <w:t> </w:t>
            </w:r>
            <w:r>
              <w:rPr>
                <w:rFonts w:ascii="宋体" w:hAnsi="宋体" w:cs="宋体" w:eastAsia="宋体" w:hint="default"/>
                <w:sz w:val="18"/>
                <w:szCs w:val="18"/>
              </w:rPr>
              <w:t>间接持有的</w:t>
            </w:r>
            <w:r>
              <w:rPr>
                <w:rFonts w:ascii="宋体" w:hAnsi="宋体" w:cs="宋体" w:eastAsia="宋体" w:hint="default"/>
                <w:w w:val="101"/>
                <w:sz w:val="18"/>
                <w:szCs w:val="18"/>
              </w:rPr>
              <w:t> </w:t>
            </w:r>
            <w:r>
              <w:rPr>
                <w:rFonts w:ascii="宋体" w:hAnsi="宋体" w:cs="宋体" w:eastAsia="宋体" w:hint="default"/>
                <w:spacing w:val="-2"/>
                <w:sz w:val="18"/>
                <w:szCs w:val="18"/>
              </w:rPr>
              <w:t>东方通股份，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也不由东方</w:t>
            </w:r>
            <w:r>
              <w:rPr>
                <w:rFonts w:ascii="宋体" w:hAnsi="宋体" w:cs="宋体" w:eastAsia="宋体" w:hint="default"/>
                <w:w w:val="101"/>
                <w:sz w:val="18"/>
                <w:szCs w:val="18"/>
              </w:rPr>
              <w:t> </w:t>
            </w:r>
            <w:r>
              <w:rPr>
                <w:rFonts w:ascii="宋体" w:hAnsi="宋体" w:cs="宋体" w:eastAsia="宋体" w:hint="default"/>
                <w:sz w:val="18"/>
                <w:szCs w:val="18"/>
              </w:rPr>
              <w:t>通回购本人</w:t>
            </w:r>
            <w:r>
              <w:rPr>
                <w:rFonts w:ascii="宋体" w:hAnsi="宋体" w:cs="宋体" w:eastAsia="宋体" w:hint="default"/>
                <w:w w:val="101"/>
                <w:sz w:val="18"/>
                <w:szCs w:val="18"/>
              </w:rPr>
              <w:t> </w:t>
            </w:r>
            <w:r>
              <w:rPr>
                <w:rFonts w:ascii="宋体" w:hAnsi="宋体" w:cs="宋体" w:eastAsia="宋体" w:hint="default"/>
                <w:sz w:val="18"/>
                <w:szCs w:val="18"/>
              </w:rPr>
              <w:t>所直接或间</w:t>
            </w:r>
            <w:r>
              <w:rPr>
                <w:rFonts w:ascii="宋体" w:hAnsi="宋体" w:cs="宋体" w:eastAsia="宋体" w:hint="default"/>
                <w:w w:val="101"/>
                <w:sz w:val="18"/>
                <w:szCs w:val="18"/>
              </w:rPr>
              <w:t> </w:t>
            </w:r>
            <w:r>
              <w:rPr>
                <w:rFonts w:ascii="宋体" w:hAnsi="宋体" w:cs="宋体" w:eastAsia="宋体" w:hint="default"/>
                <w:sz w:val="18"/>
                <w:szCs w:val="18"/>
              </w:rPr>
              <w:t>接持有的东</w:t>
            </w:r>
            <w:r>
              <w:rPr>
                <w:rFonts w:ascii="宋体" w:hAnsi="宋体" w:cs="宋体" w:eastAsia="宋体" w:hint="default"/>
                <w:w w:val="101"/>
                <w:sz w:val="18"/>
                <w:szCs w:val="18"/>
              </w:rPr>
              <w:t> </w:t>
            </w:r>
            <w:r>
              <w:rPr>
                <w:rFonts w:ascii="宋体" w:hAnsi="宋体" w:cs="宋体" w:eastAsia="宋体" w:hint="default"/>
                <w:spacing w:val="-4"/>
                <w:sz w:val="18"/>
                <w:szCs w:val="18"/>
              </w:rPr>
              <w:t>方通股份；前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述锁定期满</w:t>
            </w:r>
            <w:r>
              <w:rPr>
                <w:rFonts w:ascii="宋体" w:hAnsi="宋体" w:cs="宋体" w:eastAsia="宋体" w:hint="default"/>
                <w:w w:val="101"/>
                <w:sz w:val="18"/>
                <w:szCs w:val="18"/>
              </w:rPr>
              <w:t> </w:t>
            </w:r>
            <w:r>
              <w:rPr>
                <w:rFonts w:ascii="宋体" w:hAnsi="宋体" w:cs="宋体" w:eastAsia="宋体" w:hint="default"/>
                <w:spacing w:val="-4"/>
                <w:sz w:val="18"/>
                <w:szCs w:val="18"/>
              </w:rPr>
              <w:t>后，在担任东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方通董事（或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理人员）期</w:t>
            </w:r>
            <w:r>
              <w:rPr>
                <w:rFonts w:ascii="宋体" w:hAnsi="宋体" w:cs="宋体" w:eastAsia="宋体" w:hint="default"/>
                <w:w w:val="101"/>
                <w:sz w:val="18"/>
                <w:szCs w:val="18"/>
              </w:rPr>
              <w:t> </w:t>
            </w:r>
            <w:r>
              <w:rPr>
                <w:rFonts w:ascii="宋体" w:hAnsi="宋体" w:cs="宋体" w:eastAsia="宋体" w:hint="default"/>
                <w:spacing w:val="-4"/>
                <w:sz w:val="18"/>
                <w:szCs w:val="18"/>
              </w:rPr>
              <w:t>间，每年转让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的股份不超</w:t>
            </w:r>
            <w:r>
              <w:rPr>
                <w:rFonts w:ascii="宋体" w:hAnsi="宋体" w:cs="宋体" w:eastAsia="宋体" w:hint="default"/>
                <w:w w:val="101"/>
                <w:sz w:val="18"/>
                <w:szCs w:val="18"/>
              </w:rPr>
              <w:t> </w:t>
            </w:r>
            <w:r>
              <w:rPr>
                <w:rFonts w:ascii="宋体" w:hAnsi="宋体" w:cs="宋体" w:eastAsia="宋体" w:hint="default"/>
                <w:sz w:val="18"/>
                <w:szCs w:val="18"/>
              </w:rPr>
              <w:t>过本人所持</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2019-01-28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诺人未有违</w:t>
            </w:r>
            <w:r>
              <w:rPr>
                <w:rFonts w:ascii="宋体" w:hAnsi="宋体" w:cs="宋体" w:eastAsia="宋体" w:hint="default"/>
                <w:w w:val="101"/>
                <w:sz w:val="18"/>
                <w:szCs w:val="18"/>
              </w:rPr>
              <w:t> </w:t>
            </w:r>
            <w:r>
              <w:rPr>
                <w:rFonts w:ascii="宋体" w:hAnsi="宋体" w:cs="宋体" w:eastAsia="宋体" w:hint="default"/>
                <w:sz w:val="18"/>
                <w:szCs w:val="18"/>
              </w:rPr>
              <w:t>反承诺的情</w:t>
            </w:r>
            <w:r>
              <w:rPr>
                <w:rFonts w:ascii="宋体" w:hAnsi="宋体" w:cs="宋体" w:eastAsia="宋体" w:hint="default"/>
                <w:w w:val="101"/>
                <w:sz w:val="18"/>
                <w:szCs w:val="18"/>
              </w:rPr>
              <w:t> </w:t>
            </w:r>
            <w:r>
              <w:rPr>
                <w:rFonts w:ascii="宋体" w:hAnsi="宋体" w:cs="宋体" w:eastAsia="宋体" w:hint="default"/>
                <w:spacing w:val="-7"/>
                <w:sz w:val="18"/>
                <w:szCs w:val="18"/>
              </w:rPr>
              <w:t>况，该承诺事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项已履行完</w:t>
            </w:r>
            <w:r>
              <w:rPr>
                <w:rFonts w:ascii="宋体" w:hAnsi="宋体" w:cs="宋体" w:eastAsia="宋体" w:hint="default"/>
                <w:w w:val="101"/>
                <w:sz w:val="18"/>
                <w:szCs w:val="18"/>
              </w:rPr>
              <w:t> </w:t>
            </w:r>
            <w:r>
              <w:rPr>
                <w:rFonts w:ascii="宋体" w:hAnsi="宋体" w:cs="宋体" w:eastAsia="宋体" w:hint="default"/>
                <w:sz w:val="18"/>
                <w:szCs w:val="18"/>
              </w:rPr>
              <w:t>毕。</w:t>
            </w:r>
          </w:p>
        </w:tc>
      </w:tr>
    </w:tbl>
    <w:p>
      <w:pPr>
        <w:spacing w:after="0" w:line="316"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有的东方通</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五；在申报离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所持有的东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方通股份；所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持东方通股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票在锁定期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减持的，减持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价格不低于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发行价；东方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通上市后六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个月内如东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方通股票连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续二十个交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行价，或者上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持有东方通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长六个月。如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遇除权除息，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上述减持价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格及收盘价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均作相应调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整。上述承诺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不因职务变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更或离职等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原因而失效。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如未履行上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述承诺，转让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相关股份所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取得的收益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归东方通所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w:t>
            </w:r>
            <w:r>
              <w:rPr>
                <w:rFonts w:ascii="Times New Roman" w:hAnsi="Times New Roman" w:cs="Times New Roman" w:eastAsia="Times New Roman" w:hint="default"/>
                <w:sz w:val="18"/>
                <w:szCs w:val="18"/>
              </w:rPr>
              <w:t>2.</w:t>
            </w:r>
            <w:r>
              <w:rPr>
                <w:rFonts w:ascii="宋体" w:hAnsi="宋体" w:cs="宋体" w:eastAsia="宋体" w:hint="default"/>
                <w:sz w:val="18"/>
                <w:szCs w:val="18"/>
              </w:rPr>
              <w:t>所持东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方通股份在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锁定期满后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6602"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pacing w:val="-2"/>
                <w:sz w:val="18"/>
                <w:szCs w:val="18"/>
              </w:rPr>
              <w:t>年内减持的，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每年减持的</w:t>
            </w:r>
            <w:r>
              <w:rPr>
                <w:rFonts w:ascii="宋体" w:hAnsi="宋体" w:cs="宋体" w:eastAsia="宋体" w:hint="default"/>
                <w:w w:val="101"/>
                <w:sz w:val="18"/>
                <w:szCs w:val="18"/>
              </w:rPr>
              <w:t> </w:t>
            </w:r>
            <w:r>
              <w:rPr>
                <w:rFonts w:ascii="宋体" w:hAnsi="宋体" w:cs="宋体" w:eastAsia="宋体" w:hint="default"/>
                <w:sz w:val="18"/>
                <w:szCs w:val="18"/>
              </w:rPr>
              <w:t>股份合计不</w:t>
            </w:r>
            <w:r>
              <w:rPr>
                <w:rFonts w:ascii="宋体" w:hAnsi="宋体" w:cs="宋体" w:eastAsia="宋体" w:hint="default"/>
                <w:w w:val="101"/>
                <w:sz w:val="18"/>
                <w:szCs w:val="18"/>
              </w:rPr>
              <w:t> </w:t>
            </w:r>
            <w:r>
              <w:rPr>
                <w:rFonts w:ascii="宋体" w:hAnsi="宋体" w:cs="宋体" w:eastAsia="宋体" w:hint="default"/>
                <w:sz w:val="18"/>
                <w:szCs w:val="18"/>
              </w:rPr>
              <w:t>超过其所持</w:t>
            </w:r>
            <w:r>
              <w:rPr>
                <w:rFonts w:ascii="宋体" w:hAnsi="宋体" w:cs="宋体" w:eastAsia="宋体" w:hint="default"/>
                <w:w w:val="101"/>
                <w:sz w:val="18"/>
                <w:szCs w:val="18"/>
              </w:rPr>
              <w:t> </w:t>
            </w:r>
            <w:r>
              <w:rPr>
                <w:rFonts w:ascii="宋体" w:hAnsi="宋体" w:cs="宋体" w:eastAsia="宋体" w:hint="default"/>
                <w:sz w:val="18"/>
                <w:szCs w:val="18"/>
              </w:rPr>
              <w:t>有的东方通</w:t>
            </w:r>
            <w:r>
              <w:rPr>
                <w:rFonts w:ascii="宋体" w:hAnsi="宋体" w:cs="宋体" w:eastAsia="宋体" w:hint="default"/>
                <w:w w:val="101"/>
                <w:sz w:val="18"/>
                <w:szCs w:val="18"/>
              </w:rPr>
              <w:t> </w:t>
            </w:r>
            <w:r>
              <w:rPr>
                <w:rFonts w:ascii="宋体" w:hAnsi="宋体" w:cs="宋体" w:eastAsia="宋体" w:hint="default"/>
                <w:sz w:val="18"/>
                <w:szCs w:val="18"/>
              </w:rPr>
              <w:t>股份数的百</w:t>
            </w:r>
            <w:r>
              <w:rPr>
                <w:rFonts w:ascii="宋体" w:hAnsi="宋体" w:cs="宋体" w:eastAsia="宋体" w:hint="default"/>
                <w:w w:val="101"/>
                <w:sz w:val="18"/>
                <w:szCs w:val="18"/>
              </w:rPr>
              <w:t> </w:t>
            </w:r>
            <w:r>
              <w:rPr>
                <w:rFonts w:ascii="宋体" w:hAnsi="宋体" w:cs="宋体" w:eastAsia="宋体" w:hint="default"/>
                <w:spacing w:val="-2"/>
                <w:sz w:val="18"/>
                <w:szCs w:val="18"/>
              </w:rPr>
              <w:t>分之二十五，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减持价格不</w:t>
            </w:r>
            <w:r>
              <w:rPr>
                <w:rFonts w:ascii="宋体" w:hAnsi="宋体" w:cs="宋体" w:eastAsia="宋体" w:hint="default"/>
                <w:w w:val="101"/>
                <w:sz w:val="18"/>
                <w:szCs w:val="18"/>
              </w:rPr>
              <w:t> </w:t>
            </w:r>
            <w:r>
              <w:rPr>
                <w:rFonts w:ascii="宋体" w:hAnsi="宋体" w:cs="宋体" w:eastAsia="宋体" w:hint="default"/>
                <w:sz w:val="18"/>
                <w:szCs w:val="18"/>
              </w:rPr>
              <w:t>低于发行价</w:t>
            </w:r>
          </w:p>
          <w:p>
            <w:pPr>
              <w:pStyle w:val="TableParagraph"/>
              <w:spacing w:line="316" w:lineRule="auto" w:before="19"/>
              <w:ind w:left="2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（如遇除权</w:t>
            </w:r>
            <w:r>
              <w:rPr>
                <w:rFonts w:ascii="宋体" w:hAnsi="宋体" w:cs="宋体" w:eastAsia="宋体" w:hint="default"/>
                <w:w w:val="101"/>
                <w:sz w:val="18"/>
                <w:szCs w:val="18"/>
              </w:rPr>
              <w:t> </w:t>
            </w:r>
            <w:r>
              <w:rPr>
                <w:rFonts w:ascii="宋体" w:hAnsi="宋体" w:cs="宋体" w:eastAsia="宋体" w:hint="default"/>
                <w:spacing w:val="-4"/>
                <w:sz w:val="18"/>
                <w:szCs w:val="18"/>
              </w:rPr>
              <w:t>除息，减持价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格进行相应</w:t>
            </w:r>
            <w:r>
              <w:rPr>
                <w:rFonts w:ascii="宋体" w:hAnsi="宋体" w:cs="宋体" w:eastAsia="宋体" w:hint="default"/>
                <w:w w:val="101"/>
                <w:sz w:val="18"/>
                <w:szCs w:val="18"/>
              </w:rPr>
              <w:t> </w:t>
            </w:r>
            <w:r>
              <w:rPr>
                <w:rFonts w:ascii="宋体" w:hAnsi="宋体" w:cs="宋体" w:eastAsia="宋体" w:hint="default"/>
                <w:spacing w:val="-17"/>
                <w:w w:val="101"/>
                <w:sz w:val="18"/>
                <w:szCs w:val="18"/>
              </w:rPr>
              <w:t>调整），且将</w:t>
            </w:r>
            <w:r>
              <w:rPr>
                <w:rFonts w:ascii="宋体" w:hAnsi="宋体" w:cs="宋体" w:eastAsia="宋体" w:hint="default"/>
                <w:w w:val="101"/>
                <w:sz w:val="18"/>
                <w:szCs w:val="18"/>
              </w:rPr>
              <w:t> </w:t>
            </w:r>
            <w:r>
              <w:rPr>
                <w:rFonts w:ascii="宋体" w:hAnsi="宋体" w:cs="宋体" w:eastAsia="宋体" w:hint="default"/>
                <w:sz w:val="18"/>
                <w:szCs w:val="18"/>
              </w:rPr>
              <w:t>提前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w:t>
            </w:r>
            <w:r>
              <w:rPr>
                <w:rFonts w:ascii="宋体" w:hAnsi="宋体" w:cs="宋体" w:eastAsia="宋体" w:hint="default"/>
                <w:w w:val="101"/>
                <w:sz w:val="18"/>
                <w:szCs w:val="18"/>
              </w:rPr>
              <w:t> </w:t>
            </w:r>
            <w:r>
              <w:rPr>
                <w:rFonts w:ascii="宋体" w:hAnsi="宋体" w:cs="宋体" w:eastAsia="宋体" w:hint="default"/>
                <w:spacing w:val="-2"/>
                <w:sz w:val="18"/>
                <w:szCs w:val="18"/>
              </w:rPr>
              <w:t>日予以公告。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如未履行上</w:t>
            </w:r>
            <w:r>
              <w:rPr>
                <w:rFonts w:ascii="宋体" w:hAnsi="宋体" w:cs="宋体" w:eastAsia="宋体" w:hint="default"/>
                <w:w w:val="101"/>
                <w:sz w:val="18"/>
                <w:szCs w:val="18"/>
              </w:rPr>
              <w:t> </w:t>
            </w:r>
            <w:r>
              <w:rPr>
                <w:rFonts w:ascii="宋体" w:hAnsi="宋体" w:cs="宋体" w:eastAsia="宋体" w:hint="default"/>
                <w:spacing w:val="-4"/>
                <w:sz w:val="18"/>
                <w:szCs w:val="18"/>
              </w:rPr>
              <w:t>述承诺，转让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相关股份所</w:t>
            </w:r>
            <w:r>
              <w:rPr>
                <w:rFonts w:ascii="宋体" w:hAnsi="宋体" w:cs="宋体" w:eastAsia="宋体" w:hint="default"/>
                <w:w w:val="101"/>
                <w:sz w:val="18"/>
                <w:szCs w:val="18"/>
              </w:rPr>
              <w:t> </w:t>
            </w:r>
            <w:r>
              <w:rPr>
                <w:rFonts w:ascii="宋体" w:hAnsi="宋体" w:cs="宋体" w:eastAsia="宋体" w:hint="default"/>
                <w:sz w:val="18"/>
                <w:szCs w:val="18"/>
              </w:rPr>
              <w:t>取得的收益</w:t>
            </w:r>
            <w:r>
              <w:rPr>
                <w:rFonts w:ascii="宋体" w:hAnsi="宋体" w:cs="宋体" w:eastAsia="宋体" w:hint="default"/>
                <w:w w:val="101"/>
                <w:sz w:val="18"/>
                <w:szCs w:val="18"/>
              </w:rPr>
              <w:t> </w:t>
            </w:r>
            <w:r>
              <w:rPr>
                <w:rFonts w:ascii="宋体" w:hAnsi="宋体" w:cs="宋体" w:eastAsia="宋体" w:hint="default"/>
                <w:sz w:val="18"/>
                <w:szCs w:val="18"/>
              </w:rPr>
              <w:t>归东方通所</w:t>
            </w:r>
            <w:r>
              <w:rPr>
                <w:rFonts w:ascii="宋体" w:hAnsi="宋体" w:cs="宋体" w:eastAsia="宋体" w:hint="default"/>
                <w:w w:val="101"/>
                <w:sz w:val="18"/>
                <w:szCs w:val="18"/>
              </w:rPr>
              <w:t> </w:t>
            </w: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26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02" w:lineRule="auto"/>
              <w:ind w:left="23" w:right="84"/>
              <w:jc w:val="both"/>
              <w:rPr>
                <w:rFonts w:ascii="宋体" w:hAnsi="宋体" w:cs="宋体" w:eastAsia="宋体" w:hint="default"/>
                <w:sz w:val="18"/>
                <w:szCs w:val="18"/>
              </w:rPr>
            </w:pP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张齐</w:t>
            </w:r>
            <w:r>
              <w:rPr>
                <w:rFonts w:ascii="宋体" w:hAnsi="宋体" w:cs="宋体" w:eastAsia="宋体" w:hint="default"/>
                <w:spacing w:val="-86"/>
                <w:sz w:val="18"/>
                <w:szCs w:val="18"/>
              </w:rPr>
              <w:t> </w:t>
            </w:r>
            <w:r>
              <w:rPr>
                <w:rFonts w:ascii="宋体" w:hAnsi="宋体" w:cs="宋体" w:eastAsia="宋体" w:hint="default"/>
                <w:spacing w:val="-2"/>
                <w:sz w:val="18"/>
                <w:szCs w:val="18"/>
              </w:rPr>
              <w:t>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朱海东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朱</w:t>
            </w:r>
            <w:r>
              <w:rPr>
                <w:rFonts w:ascii="宋体" w:hAnsi="宋体" w:cs="宋体" w:eastAsia="宋体" w:hint="default"/>
                <w:spacing w:val="-74"/>
                <w:sz w:val="18"/>
                <w:szCs w:val="18"/>
              </w:rPr>
              <w:t> </w:t>
            </w:r>
            <w:r>
              <w:rPr>
                <w:rFonts w:ascii="宋体" w:hAnsi="宋体" w:cs="宋体" w:eastAsia="宋体" w:hint="default"/>
                <w:spacing w:val="-3"/>
                <w:sz w:val="18"/>
                <w:szCs w:val="18"/>
              </w:rPr>
              <w:t>律玮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朱曼</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所持东方通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股份在锁定</w:t>
            </w:r>
            <w:r>
              <w:rPr>
                <w:rFonts w:ascii="宋体" w:hAnsi="宋体" w:cs="宋体" w:eastAsia="宋体" w:hint="default"/>
                <w:w w:val="101"/>
                <w:sz w:val="18"/>
                <w:szCs w:val="18"/>
              </w:rPr>
              <w:t> </w:t>
            </w:r>
            <w:r>
              <w:rPr>
                <w:rFonts w:ascii="宋体" w:hAnsi="宋体" w:cs="宋体" w:eastAsia="宋体" w:hint="default"/>
                <w:sz w:val="18"/>
                <w:szCs w:val="18"/>
              </w:rPr>
              <w:t>期满后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年内</w:t>
            </w:r>
            <w:r>
              <w:rPr>
                <w:rFonts w:ascii="宋体" w:hAnsi="宋体" w:cs="宋体" w:eastAsia="宋体" w:hint="default"/>
                <w:spacing w:val="-87"/>
                <w:sz w:val="18"/>
                <w:szCs w:val="18"/>
              </w:rPr>
              <w:t> </w:t>
            </w:r>
            <w:r>
              <w:rPr>
                <w:rFonts w:ascii="宋体" w:hAnsi="宋体" w:cs="宋体" w:eastAsia="宋体" w:hint="default"/>
                <w:spacing w:val="-4"/>
                <w:sz w:val="18"/>
                <w:szCs w:val="18"/>
              </w:rPr>
              <w:t>减持的，每年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减持的股份</w:t>
            </w:r>
            <w:r>
              <w:rPr>
                <w:rFonts w:ascii="宋体" w:hAnsi="宋体" w:cs="宋体" w:eastAsia="宋体" w:hint="default"/>
                <w:w w:val="101"/>
                <w:sz w:val="18"/>
                <w:szCs w:val="18"/>
              </w:rPr>
              <w:t> </w:t>
            </w:r>
            <w:r>
              <w:rPr>
                <w:rFonts w:ascii="宋体" w:hAnsi="宋体" w:cs="宋体" w:eastAsia="宋体" w:hint="default"/>
                <w:sz w:val="18"/>
                <w:szCs w:val="18"/>
              </w:rPr>
              <w:t>合计不超过</w:t>
            </w:r>
            <w:r>
              <w:rPr>
                <w:rFonts w:ascii="宋体" w:hAnsi="宋体" w:cs="宋体" w:eastAsia="宋体" w:hint="default"/>
                <w:w w:val="101"/>
                <w:sz w:val="18"/>
                <w:szCs w:val="18"/>
              </w:rPr>
              <w:t> </w:t>
            </w:r>
            <w:r>
              <w:rPr>
                <w:rFonts w:ascii="宋体" w:hAnsi="宋体" w:cs="宋体" w:eastAsia="宋体" w:hint="default"/>
                <w:sz w:val="18"/>
                <w:szCs w:val="18"/>
              </w:rPr>
              <w:t>其所持有的</w:t>
            </w:r>
            <w:r>
              <w:rPr>
                <w:rFonts w:ascii="宋体" w:hAnsi="宋体" w:cs="宋体" w:eastAsia="宋体" w:hint="default"/>
                <w:w w:val="101"/>
                <w:sz w:val="18"/>
                <w:szCs w:val="18"/>
              </w:rPr>
              <w:t> </w:t>
            </w:r>
            <w:r>
              <w:rPr>
                <w:rFonts w:ascii="宋体" w:hAnsi="宋体" w:cs="宋体" w:eastAsia="宋体" w:hint="default"/>
                <w:sz w:val="18"/>
                <w:szCs w:val="18"/>
              </w:rPr>
              <w:t>东方通股份</w:t>
            </w:r>
            <w:r>
              <w:rPr>
                <w:rFonts w:ascii="宋体" w:hAnsi="宋体" w:cs="宋体" w:eastAsia="宋体" w:hint="default"/>
                <w:w w:val="101"/>
                <w:sz w:val="18"/>
                <w:szCs w:val="18"/>
              </w:rPr>
              <w:t> </w:t>
            </w:r>
            <w:r>
              <w:rPr>
                <w:rFonts w:ascii="宋体" w:hAnsi="宋体" w:cs="宋体" w:eastAsia="宋体" w:hint="default"/>
                <w:sz w:val="18"/>
                <w:szCs w:val="18"/>
              </w:rPr>
              <w:t>数的百分之</w:t>
            </w:r>
            <w:r>
              <w:rPr>
                <w:rFonts w:ascii="宋体" w:hAnsi="宋体" w:cs="宋体" w:eastAsia="宋体" w:hint="default"/>
                <w:w w:val="101"/>
                <w:sz w:val="18"/>
                <w:szCs w:val="18"/>
              </w:rPr>
              <w:t> </w:t>
            </w:r>
            <w:r>
              <w:rPr>
                <w:rFonts w:ascii="宋体" w:hAnsi="宋体" w:cs="宋体" w:eastAsia="宋体" w:hint="default"/>
                <w:spacing w:val="-4"/>
                <w:sz w:val="18"/>
                <w:szCs w:val="18"/>
              </w:rPr>
              <w:t>二十五，减持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价格不低于</w:t>
            </w:r>
            <w:r>
              <w:rPr>
                <w:rFonts w:ascii="宋体" w:hAnsi="宋体" w:cs="宋体" w:eastAsia="宋体" w:hint="default"/>
                <w:w w:val="101"/>
                <w:sz w:val="18"/>
                <w:szCs w:val="18"/>
              </w:rPr>
              <w:t> </w:t>
            </w:r>
            <w:r>
              <w:rPr>
                <w:rFonts w:ascii="宋体" w:hAnsi="宋体" w:cs="宋体" w:eastAsia="宋体" w:hint="default"/>
                <w:spacing w:val="-4"/>
                <w:sz w:val="18"/>
                <w:szCs w:val="18"/>
              </w:rPr>
              <w:t>发行价（如遇</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除权除息，减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持价格进行</w:t>
            </w:r>
            <w:r>
              <w:rPr>
                <w:rFonts w:ascii="宋体" w:hAnsi="宋体" w:cs="宋体" w:eastAsia="宋体" w:hint="default"/>
                <w:w w:val="101"/>
                <w:sz w:val="18"/>
                <w:szCs w:val="18"/>
              </w:rPr>
              <w:t> </w:t>
            </w:r>
            <w:r>
              <w:rPr>
                <w:rFonts w:ascii="宋体" w:hAnsi="宋体" w:cs="宋体" w:eastAsia="宋体" w:hint="default"/>
                <w:spacing w:val="-17"/>
                <w:w w:val="101"/>
                <w:sz w:val="18"/>
                <w:szCs w:val="18"/>
              </w:rPr>
              <w:t>相应调整），</w:t>
            </w:r>
            <w:r>
              <w:rPr>
                <w:rFonts w:ascii="宋体" w:hAnsi="宋体" w:cs="宋体" w:eastAsia="宋体" w:hint="default"/>
                <w:w w:val="101"/>
                <w:sz w:val="18"/>
                <w:szCs w:val="18"/>
              </w:rPr>
              <w:t> </w:t>
            </w:r>
            <w:r>
              <w:rPr>
                <w:rFonts w:ascii="宋体" w:hAnsi="宋体" w:cs="宋体" w:eastAsia="宋体" w:hint="default"/>
                <w:sz w:val="18"/>
                <w:szCs w:val="18"/>
              </w:rPr>
              <w:t>且将提前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交易日予以</w:t>
            </w:r>
            <w:r>
              <w:rPr>
                <w:rFonts w:ascii="宋体" w:hAnsi="宋体" w:cs="宋体" w:eastAsia="宋体" w:hint="default"/>
                <w:w w:val="101"/>
                <w:sz w:val="18"/>
                <w:szCs w:val="18"/>
              </w:rPr>
              <w:t> </w:t>
            </w:r>
            <w:r>
              <w:rPr>
                <w:rFonts w:ascii="宋体" w:hAnsi="宋体" w:cs="宋体" w:eastAsia="宋体" w:hint="default"/>
                <w:spacing w:val="-4"/>
                <w:sz w:val="18"/>
                <w:szCs w:val="18"/>
              </w:rPr>
              <w:t>公告。如未履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行上述承诺，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转让相关股</w:t>
            </w:r>
            <w:r>
              <w:rPr>
                <w:rFonts w:ascii="宋体" w:hAnsi="宋体" w:cs="宋体" w:eastAsia="宋体" w:hint="default"/>
                <w:w w:val="101"/>
                <w:sz w:val="18"/>
                <w:szCs w:val="18"/>
              </w:rPr>
              <w:t> </w:t>
            </w:r>
            <w:r>
              <w:rPr>
                <w:rFonts w:ascii="宋体" w:hAnsi="宋体" w:cs="宋体" w:eastAsia="宋体" w:hint="default"/>
                <w:sz w:val="18"/>
                <w:szCs w:val="18"/>
              </w:rPr>
              <w:t>份所取得的</w:t>
            </w:r>
            <w:r>
              <w:rPr>
                <w:rFonts w:ascii="宋体" w:hAnsi="宋体" w:cs="宋体" w:eastAsia="宋体" w:hint="default"/>
                <w:w w:val="101"/>
                <w:sz w:val="18"/>
                <w:szCs w:val="18"/>
              </w:rPr>
              <w:t> </w:t>
            </w:r>
            <w:r>
              <w:rPr>
                <w:rFonts w:ascii="宋体" w:hAnsi="宋体" w:cs="宋体" w:eastAsia="宋体" w:hint="default"/>
                <w:sz w:val="18"/>
                <w:szCs w:val="18"/>
              </w:rPr>
              <w:t>收益归东方</w:t>
            </w:r>
            <w:r>
              <w:rPr>
                <w:rFonts w:ascii="宋体" w:hAnsi="宋体" w:cs="宋体" w:eastAsia="宋体" w:hint="default"/>
                <w:w w:val="101"/>
                <w:sz w:val="18"/>
                <w:szCs w:val="18"/>
              </w:rPr>
              <w:t> </w:t>
            </w:r>
            <w:r>
              <w:rPr>
                <w:rFonts w:ascii="宋体" w:hAnsi="宋体" w:cs="宋体" w:eastAsia="宋体" w:hint="default"/>
                <w:sz w:val="18"/>
                <w:szCs w:val="18"/>
              </w:rPr>
              <w:t>通所有。</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2019-01-28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23" w:right="14"/>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诺人未有违</w:t>
            </w:r>
            <w:r>
              <w:rPr>
                <w:rFonts w:ascii="宋体" w:hAnsi="宋体" w:cs="宋体" w:eastAsia="宋体" w:hint="default"/>
                <w:w w:val="101"/>
                <w:sz w:val="18"/>
                <w:szCs w:val="18"/>
              </w:rPr>
              <w:t> </w:t>
            </w:r>
            <w:r>
              <w:rPr>
                <w:rFonts w:ascii="宋体" w:hAnsi="宋体" w:cs="宋体" w:eastAsia="宋体" w:hint="default"/>
                <w:sz w:val="18"/>
                <w:szCs w:val="18"/>
              </w:rPr>
              <w:t>反承诺的情</w:t>
            </w:r>
            <w:r>
              <w:rPr>
                <w:rFonts w:ascii="宋体" w:hAnsi="宋体" w:cs="宋体" w:eastAsia="宋体" w:hint="default"/>
                <w:w w:val="101"/>
                <w:sz w:val="18"/>
                <w:szCs w:val="18"/>
              </w:rPr>
              <w:t> </w:t>
            </w:r>
            <w:r>
              <w:rPr>
                <w:rFonts w:ascii="宋体" w:hAnsi="宋体" w:cs="宋体" w:eastAsia="宋体" w:hint="default"/>
                <w:spacing w:val="-7"/>
                <w:sz w:val="18"/>
                <w:szCs w:val="18"/>
              </w:rPr>
              <w:t>况，该承诺事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项已履行完</w:t>
            </w:r>
            <w:r>
              <w:rPr>
                <w:rFonts w:ascii="宋体" w:hAnsi="宋体" w:cs="宋体" w:eastAsia="宋体" w:hint="default"/>
                <w:w w:val="101"/>
                <w:sz w:val="18"/>
                <w:szCs w:val="18"/>
              </w:rPr>
              <w:t> </w:t>
            </w:r>
            <w:r>
              <w:rPr>
                <w:rFonts w:ascii="宋体" w:hAnsi="宋体" w:cs="宋体" w:eastAsia="宋体" w:hint="default"/>
                <w:sz w:val="18"/>
                <w:szCs w:val="18"/>
              </w:rPr>
              <w:t>毕。</w:t>
            </w:r>
          </w:p>
        </w:tc>
      </w:tr>
    </w:tbl>
    <w:p>
      <w:pPr>
        <w:spacing w:after="0" w:line="316"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21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85"/>
              <w:jc w:val="both"/>
              <w:rPr>
                <w:rFonts w:ascii="宋体" w:hAnsi="宋体" w:cs="宋体" w:eastAsia="宋体" w:hint="default"/>
                <w:sz w:val="18"/>
                <w:szCs w:val="18"/>
              </w:rPr>
            </w:pPr>
            <w:r>
              <w:rPr>
                <w:rFonts w:ascii="宋体" w:hAnsi="宋体" w:cs="宋体" w:eastAsia="宋体" w:hint="default"/>
                <w:spacing w:val="-2"/>
                <w:sz w:val="18"/>
                <w:szCs w:val="18"/>
              </w:rPr>
              <w:t>北京东方通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科技股份有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公司承诺不</w:t>
            </w:r>
            <w:r>
              <w:rPr>
                <w:rFonts w:ascii="宋体" w:hAnsi="宋体" w:cs="宋体" w:eastAsia="宋体" w:hint="default"/>
                <w:w w:val="101"/>
                <w:sz w:val="18"/>
                <w:szCs w:val="18"/>
              </w:rPr>
              <w:t> </w:t>
            </w:r>
            <w:r>
              <w:rPr>
                <w:rFonts w:ascii="宋体" w:hAnsi="宋体" w:cs="宋体" w:eastAsia="宋体" w:hint="default"/>
                <w:sz w:val="18"/>
                <w:szCs w:val="18"/>
              </w:rPr>
              <w:t>为激励对象</w:t>
            </w:r>
            <w:r>
              <w:rPr>
                <w:rFonts w:ascii="宋体" w:hAnsi="宋体" w:cs="宋体" w:eastAsia="宋体" w:hint="default"/>
                <w:w w:val="101"/>
                <w:sz w:val="18"/>
                <w:szCs w:val="18"/>
              </w:rPr>
              <w:t> </w:t>
            </w:r>
            <w:r>
              <w:rPr>
                <w:rFonts w:ascii="宋体" w:hAnsi="宋体" w:cs="宋体" w:eastAsia="宋体" w:hint="default"/>
                <w:sz w:val="18"/>
                <w:szCs w:val="18"/>
              </w:rPr>
              <w:t>依本激励计</w:t>
            </w:r>
            <w:r>
              <w:rPr>
                <w:rFonts w:ascii="宋体" w:hAnsi="宋体" w:cs="宋体" w:eastAsia="宋体" w:hint="default"/>
                <w:w w:val="101"/>
                <w:sz w:val="18"/>
                <w:szCs w:val="18"/>
              </w:rPr>
              <w:t> </w:t>
            </w:r>
            <w:r>
              <w:rPr>
                <w:rFonts w:ascii="宋体" w:hAnsi="宋体" w:cs="宋体" w:eastAsia="宋体" w:hint="default"/>
                <w:sz w:val="18"/>
                <w:szCs w:val="18"/>
              </w:rPr>
              <w:t>划获取有关</w:t>
            </w:r>
            <w:r>
              <w:rPr>
                <w:rFonts w:ascii="宋体" w:hAnsi="宋体" w:cs="宋体" w:eastAsia="宋体" w:hint="default"/>
                <w:w w:val="101"/>
                <w:sz w:val="18"/>
                <w:szCs w:val="18"/>
              </w:rPr>
              <w:t> </w:t>
            </w:r>
            <w:r>
              <w:rPr>
                <w:rFonts w:ascii="宋体" w:hAnsi="宋体" w:cs="宋体" w:eastAsia="宋体" w:hint="default"/>
                <w:sz w:val="18"/>
                <w:szCs w:val="18"/>
              </w:rPr>
              <w:t>权益提供贷</w:t>
            </w:r>
            <w:r>
              <w:rPr>
                <w:rFonts w:ascii="宋体" w:hAnsi="宋体" w:cs="宋体" w:eastAsia="宋体" w:hint="default"/>
                <w:w w:val="101"/>
                <w:sz w:val="18"/>
                <w:szCs w:val="18"/>
              </w:rPr>
              <w:t> </w:t>
            </w:r>
            <w:r>
              <w:rPr>
                <w:rFonts w:ascii="宋体" w:hAnsi="宋体" w:cs="宋体" w:eastAsia="宋体" w:hint="default"/>
                <w:sz w:val="18"/>
                <w:szCs w:val="18"/>
              </w:rPr>
              <w:t>款以及其他</w:t>
            </w:r>
            <w:r>
              <w:rPr>
                <w:rFonts w:ascii="宋体" w:hAnsi="宋体" w:cs="宋体" w:eastAsia="宋体" w:hint="default"/>
                <w:w w:val="101"/>
                <w:sz w:val="18"/>
                <w:szCs w:val="18"/>
              </w:rPr>
              <w:t> </w:t>
            </w:r>
            <w:r>
              <w:rPr>
                <w:rFonts w:ascii="宋体" w:hAnsi="宋体" w:cs="宋体" w:eastAsia="宋体" w:hint="default"/>
                <w:sz w:val="18"/>
                <w:szCs w:val="18"/>
              </w:rPr>
              <w:t>任何形式的</w:t>
            </w:r>
            <w:r>
              <w:rPr>
                <w:rFonts w:ascii="宋体" w:hAnsi="宋体" w:cs="宋体" w:eastAsia="宋体" w:hint="default"/>
                <w:w w:val="101"/>
                <w:sz w:val="18"/>
                <w:szCs w:val="18"/>
              </w:rPr>
              <w:t> </w:t>
            </w:r>
            <w:r>
              <w:rPr>
                <w:rFonts w:ascii="宋体" w:hAnsi="宋体" w:cs="宋体" w:eastAsia="宋体" w:hint="default"/>
                <w:spacing w:val="-4"/>
                <w:sz w:val="18"/>
                <w:szCs w:val="18"/>
              </w:rPr>
              <w:t>财务资助，包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括为其贷款</w:t>
            </w:r>
            <w:r>
              <w:rPr>
                <w:rFonts w:ascii="宋体" w:hAnsi="宋体" w:cs="宋体" w:eastAsia="宋体" w:hint="default"/>
                <w:w w:val="101"/>
                <w:sz w:val="18"/>
                <w:szCs w:val="18"/>
              </w:rPr>
              <w:t> </w:t>
            </w:r>
            <w:r>
              <w:rPr>
                <w:rFonts w:ascii="宋体" w:hAnsi="宋体" w:cs="宋体" w:eastAsia="宋体" w:hint="default"/>
                <w:sz w:val="18"/>
                <w:szCs w:val="18"/>
              </w:rPr>
              <w:t>提供担保。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2019-09-07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pacing w:val="-7"/>
                <w:sz w:val="18"/>
                <w:szCs w:val="18"/>
              </w:rPr>
              <w:t>报告期内，承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诺人未有违</w:t>
            </w:r>
            <w:r>
              <w:rPr>
                <w:rFonts w:ascii="宋体" w:hAnsi="宋体" w:cs="宋体" w:eastAsia="宋体" w:hint="default"/>
                <w:w w:val="101"/>
                <w:sz w:val="18"/>
                <w:szCs w:val="18"/>
              </w:rPr>
              <w:t> </w:t>
            </w:r>
            <w:r>
              <w:rPr>
                <w:rFonts w:ascii="宋体" w:hAnsi="宋体" w:cs="宋体" w:eastAsia="宋体" w:hint="default"/>
                <w:sz w:val="18"/>
                <w:szCs w:val="18"/>
              </w:rPr>
              <w:t>反承诺的情</w:t>
            </w:r>
            <w:r>
              <w:rPr>
                <w:rFonts w:ascii="宋体" w:hAnsi="宋体" w:cs="宋体" w:eastAsia="宋体" w:hint="default"/>
                <w:w w:val="101"/>
                <w:sz w:val="18"/>
                <w:szCs w:val="18"/>
              </w:rPr>
              <w:t> </w:t>
            </w:r>
            <w:r>
              <w:rPr>
                <w:rFonts w:ascii="宋体" w:hAnsi="宋体" w:cs="宋体" w:eastAsia="宋体" w:hint="default"/>
                <w:spacing w:val="-7"/>
                <w:sz w:val="18"/>
                <w:szCs w:val="18"/>
              </w:rPr>
              <w:t>况，该承诺事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项已履行完</w:t>
            </w:r>
            <w:r>
              <w:rPr>
                <w:rFonts w:ascii="宋体" w:hAnsi="宋体" w:cs="宋体" w:eastAsia="宋体" w:hint="default"/>
                <w:w w:val="101"/>
                <w:sz w:val="18"/>
                <w:szCs w:val="18"/>
              </w:rPr>
              <w:t> </w:t>
            </w:r>
            <w:r>
              <w:rPr>
                <w:rFonts w:ascii="宋体" w:hAnsi="宋体" w:cs="宋体" w:eastAsia="宋体" w:hint="default"/>
                <w:sz w:val="18"/>
                <w:szCs w:val="18"/>
              </w:rPr>
              <w:t>毕。</w:t>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9"/>
              <w:jc w:val="both"/>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细说明未完成履行的具体原因及下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一步的工作计划</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6" w:lineRule="auto" w:before="36"/>
        <w:ind w:right="0"/>
        <w:jc w:val="left"/>
        <w:rPr>
          <w:b w:val="0"/>
          <w:bCs w:val="0"/>
        </w:rPr>
      </w:pPr>
      <w:bookmarkStart w:name="2、公司资产或项目存在盈利预测，且报告期仍处在盈利预测期间，公司就资产或项目达到" w:id="63"/>
      <w:bookmarkEnd w:id="6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196"/>
        <w:gridCol w:w="1196"/>
        <w:gridCol w:w="1196"/>
        <w:gridCol w:w="1201"/>
        <w:gridCol w:w="1196"/>
        <w:gridCol w:w="1195"/>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4" w:right="46"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5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4" w:right="4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3" w:right="45"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引</w:t>
            </w:r>
          </w:p>
        </w:tc>
      </w:tr>
      <w:tr>
        <w:trPr>
          <w:trHeight w:val="258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北京泰策科技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5,200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5,352.95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2"/>
              <w:ind w:left="23" w:right="-2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http://www.c</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pacing w:val="-2"/>
                <w:sz w:val="18"/>
                <w:szCs w:val="18"/>
              </w:rPr>
              <w:t>ninfo.com.cn/</w:t>
            </w:r>
            <w:r>
              <w:rPr>
                <w:rFonts w:ascii="宋体" w:hAnsi="宋体" w:cs="宋体" w:eastAsia="宋体" w:hint="default"/>
                <w:spacing w:val="-2"/>
                <w:sz w:val="18"/>
                <w:szCs w:val="18"/>
              </w:rPr>
              <w:t>）</w:t>
            </w:r>
          </w:p>
          <w:p>
            <w:pPr>
              <w:pStyle w:val="TableParagraph"/>
              <w:spacing w:line="314" w:lineRule="auto" w:before="13"/>
              <w:ind w:left="23" w:right="74"/>
              <w:jc w:val="left"/>
              <w:rPr>
                <w:rFonts w:ascii="宋体" w:hAnsi="宋体" w:cs="宋体" w:eastAsia="宋体" w:hint="default"/>
                <w:sz w:val="18"/>
                <w:szCs w:val="18"/>
              </w:rPr>
            </w:pPr>
            <w:r>
              <w:rPr>
                <w:rFonts w:ascii="宋体" w:hAnsi="宋体" w:cs="宋体" w:eastAsia="宋体" w:hint="default"/>
                <w:spacing w:val="-2"/>
                <w:sz w:val="18"/>
                <w:szCs w:val="18"/>
              </w:rPr>
              <w:t>《关于收购北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京泰策科技有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100%</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pacing w:val="-2"/>
                <w:sz w:val="18"/>
                <w:szCs w:val="18"/>
              </w:rPr>
              <w:t>股权的补充公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告》</w:t>
            </w:r>
          </w:p>
        </w:tc>
      </w:tr>
    </w:tbl>
    <w:p>
      <w:pPr>
        <w:pStyle w:val="BodyText"/>
        <w:spacing w:line="240" w:lineRule="auto" w:before="53"/>
        <w:ind w:right="0"/>
        <w:jc w:val="both"/>
      </w:pPr>
      <w:r>
        <w:rPr>
          <w:spacing w:val="-3"/>
        </w:rPr>
        <w:t>公司股东、交易对手方对公司或相关资产年度经营业绩作出的承诺情况</w:t>
      </w:r>
    </w:p>
    <w:p>
      <w:pPr>
        <w:pStyle w:val="BodyText"/>
        <w:spacing w:line="338" w:lineRule="auto" w:before="115"/>
        <w:ind w:left="513" w:right="1123"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6"/>
        </w:rPr>
        <w:t>根据公司与福州闽清华创企业管理服务合伙企业（有限合伙）、三明市沙县嘉特思企业管理服务合伙企业（有限合伙）、</w:t>
      </w:r>
    </w:p>
    <w:p>
      <w:pPr>
        <w:pStyle w:val="BodyText"/>
        <w:spacing w:line="307" w:lineRule="auto" w:before="3"/>
        <w:ind w:right="1122"/>
        <w:jc w:val="both"/>
        <w:rPr>
          <w:rFonts w:ascii="Times New Roman" w:hAnsi="Times New Roman" w:cs="Times New Roman" w:eastAsia="Times New Roman" w:hint="default"/>
        </w:rPr>
      </w:pPr>
      <w:r>
        <w:rPr>
          <w:spacing w:val="-4"/>
        </w:rPr>
        <w:t>李宁、李忱、陈忠国签订的《股权转让协议》，交易对方承诺：泰策科技</w:t>
      </w:r>
      <w:r>
        <w:rPr>
          <w:rFonts w:ascii="Times New Roman" w:hAnsi="Times New Roman" w:cs="Times New Roman" w:eastAsia="Times New Roman" w:hint="default"/>
          <w:spacing w:val="-4"/>
        </w:rPr>
        <w:t>2018~2021</w:t>
      </w:r>
      <w:r>
        <w:rPr>
          <w:spacing w:val="-4"/>
        </w:rPr>
        <w:t>年，净利润分别不低于</w:t>
      </w:r>
      <w:r>
        <w:rPr>
          <w:rFonts w:ascii="Times New Roman" w:hAnsi="Times New Roman" w:cs="Times New Roman" w:eastAsia="Times New Roman" w:hint="default"/>
          <w:spacing w:val="-4"/>
        </w:rPr>
        <w:t>4,000</w:t>
      </w:r>
      <w:r>
        <w:rPr>
          <w:spacing w:val="-4"/>
        </w:rPr>
        <w:t>万元、</w:t>
      </w:r>
      <w:r>
        <w:rPr>
          <w:rFonts w:ascii="Times New Roman" w:hAnsi="Times New Roman" w:cs="Times New Roman" w:eastAsia="Times New Roman" w:hint="default"/>
          <w:spacing w:val="-4"/>
        </w:rPr>
        <w:t>5,200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4"/>
        </w:rPr>
        <w:t>万元、</w:t>
      </w:r>
      <w:r>
        <w:rPr>
          <w:rFonts w:ascii="Times New Roman" w:hAnsi="Times New Roman" w:cs="Times New Roman" w:eastAsia="Times New Roman" w:hint="default"/>
          <w:spacing w:val="-4"/>
        </w:rPr>
        <w:t>6,760</w:t>
      </w:r>
      <w:r>
        <w:rPr>
          <w:spacing w:val="-4"/>
        </w:rPr>
        <w:t>万元、</w:t>
      </w:r>
      <w:r>
        <w:rPr>
          <w:rFonts w:ascii="Times New Roman" w:hAnsi="Times New Roman" w:cs="Times New Roman" w:eastAsia="Times New Roman" w:hint="default"/>
          <w:spacing w:val="-4"/>
        </w:rPr>
        <w:t>6,760</w:t>
      </w:r>
      <w:r>
        <w:rPr>
          <w:spacing w:val="-4"/>
        </w:rPr>
        <w:t>万元。承诺净利润指</w:t>
      </w:r>
      <w:r>
        <w:rPr>
          <w:rFonts w:ascii="Times New Roman" w:hAnsi="Times New Roman" w:cs="Times New Roman" w:eastAsia="Times New Roman" w:hint="default"/>
          <w:spacing w:val="-4"/>
        </w:rPr>
        <w:t>“</w:t>
      </w:r>
      <w:r>
        <w:rPr>
          <w:spacing w:val="-4"/>
        </w:rPr>
        <w:t>根据中国企业会计准则核算得到的标的公司某一会计年度的归属于母公司所有</w:t>
      </w:r>
      <w:r>
        <w:rPr>
          <w:spacing w:val="68"/>
        </w:rPr>
        <w:t> </w:t>
      </w:r>
      <w:r>
        <w:rPr>
          <w:spacing w:val="68"/>
        </w:rPr>
      </w:r>
      <w:r>
        <w:rPr>
          <w:spacing w:val="-4"/>
        </w:rPr>
        <w:t>者的所得税税后利润。该项数据应经过甲方认可的，具备证券期货相应业务资质的会计师事务所审计，且以扣除各项非经常</w:t>
      </w:r>
      <w:r>
        <w:rPr>
          <w:spacing w:val="43"/>
        </w:rPr>
        <w:t> </w:t>
      </w:r>
      <w:r>
        <w:rPr>
          <w:spacing w:val="43"/>
        </w:rPr>
      </w:r>
      <w:r>
        <w:rPr>
          <w:spacing w:val="-3"/>
        </w:rPr>
        <w:t>性损益前后较低者为准。</w:t>
      </w:r>
      <w:r>
        <w:rPr>
          <w:rFonts w:ascii="Times New Roman" w:hAnsi="Times New Roman" w:cs="Times New Roman" w:eastAsia="Times New Roman" w:hint="default"/>
          <w:spacing w:val="-3"/>
        </w:rPr>
        <w:t>”</w:t>
      </w:r>
    </w:p>
    <w:p>
      <w:pPr>
        <w:pStyle w:val="BodyText"/>
        <w:spacing w:line="340" w:lineRule="auto" w:before="40"/>
        <w:ind w:right="1123" w:firstLine="360"/>
        <w:jc w:val="left"/>
      </w:pPr>
      <w:r>
        <w:rPr>
          <w:spacing w:val="-3"/>
        </w:rPr>
        <w:t>在业绩承诺期间内任一考核年度结束后，截至当年年末累计实现的净利润数额低于截至当年年末累计承诺净利润数额，</w:t>
      </w:r>
      <w:r>
        <w:rPr>
          <w:w w:val="101"/>
        </w:rPr>
        <w:t> </w:t>
      </w:r>
      <w:r>
        <w:rPr>
          <w:spacing w:val="-3"/>
        </w:rPr>
        <w:t>即未完成承诺业绩，则业绩承诺方（作为利润补偿义务人）应相应承担利润补偿义务。</w:t>
      </w:r>
      <w:r>
        <w:rPr>
          <w:spacing w:val="20"/>
        </w:rPr>
        <w:t> </w:t>
      </w:r>
      <w:r>
        <w:rPr>
          <w:spacing w:val="20"/>
        </w:rPr>
      </w:r>
      <w:r>
        <w:rPr>
          <w:spacing w:val="-3"/>
        </w:rPr>
        <w:t>业绩承诺的完成情况及其对商誉减值测试的影响</w:t>
      </w:r>
    </w:p>
    <w:p>
      <w:pPr>
        <w:pStyle w:val="BodyText"/>
        <w:spacing w:line="300" w:lineRule="auto" w:before="39"/>
        <w:ind w:right="0" w:firstLine="360"/>
        <w:jc w:val="left"/>
      </w:pPr>
      <w:r>
        <w:rPr>
          <w:rFonts w:ascii="Times New Roman" w:hAnsi="Times New Roman" w:cs="Times New Roman" w:eastAsia="Times New Roman" w:hint="default"/>
          <w:spacing w:val="-3"/>
        </w:rPr>
        <w:t>2019</w:t>
      </w:r>
      <w:r>
        <w:rPr>
          <w:spacing w:val="-3"/>
        </w:rPr>
        <w:t>年度泰策科技经审计的归属于上市公司股东的净利润为</w:t>
      </w:r>
      <w:r>
        <w:rPr>
          <w:rFonts w:ascii="Times New Roman" w:hAnsi="Times New Roman" w:cs="Times New Roman" w:eastAsia="Times New Roman" w:hint="default"/>
          <w:spacing w:val="-3"/>
        </w:rPr>
        <w:t>53,529,451.80</w:t>
      </w:r>
      <w:r>
        <w:rPr>
          <w:spacing w:val="-3"/>
        </w:rPr>
        <w:t>元，扣除非经常性损益后实现的归属于上市公</w:t>
      </w:r>
      <w:r>
        <w:rPr>
          <w:w w:val="101"/>
        </w:rPr>
        <w:t> </w:t>
      </w:r>
      <w:r>
        <w:rPr>
          <w:spacing w:val="-3"/>
        </w:rPr>
        <w:t>司股东的净利润为</w:t>
      </w:r>
      <w:r>
        <w:rPr>
          <w:rFonts w:ascii="Times New Roman" w:hAnsi="Times New Roman" w:cs="Times New Roman" w:eastAsia="Times New Roman" w:hint="default"/>
          <w:spacing w:val="-3"/>
        </w:rPr>
        <w:t>53,531,953.84</w:t>
      </w:r>
      <w:r>
        <w:rPr>
          <w:spacing w:val="-3"/>
        </w:rPr>
        <w:t>元，故</w:t>
      </w:r>
      <w:r>
        <w:rPr>
          <w:rFonts w:ascii="Times New Roman" w:hAnsi="Times New Roman" w:cs="Times New Roman" w:eastAsia="Times New Roman" w:hint="default"/>
          <w:spacing w:val="-3"/>
        </w:rPr>
        <w:t>2019</w:t>
      </w:r>
      <w:r>
        <w:rPr>
          <w:spacing w:val="-3"/>
        </w:rPr>
        <w:t>年度泰策科技实现净利润为</w:t>
      </w:r>
      <w:r>
        <w:rPr>
          <w:rFonts w:ascii="Times New Roman" w:hAnsi="Times New Roman" w:cs="Times New Roman" w:eastAsia="Times New Roman" w:hint="default"/>
          <w:spacing w:val="-3"/>
        </w:rPr>
        <w:t>53,529,451.80</w:t>
      </w:r>
      <w:r>
        <w:rPr>
          <w:spacing w:val="-3"/>
        </w:rPr>
        <w:t>元，承诺实现净利润为</w:t>
      </w:r>
      <w:r>
        <w:rPr>
          <w:rFonts w:ascii="Times New Roman" w:hAnsi="Times New Roman" w:cs="Times New Roman" w:eastAsia="Times New Roman" w:hint="default"/>
          <w:spacing w:val="-3"/>
        </w:rPr>
        <w:t>52,000,000.00</w:t>
      </w:r>
      <w:r>
        <w:rPr>
          <w:spacing w:val="-3"/>
        </w:rPr>
        <w:t>元，</w:t>
      </w:r>
      <w:r>
        <w:rPr/>
      </w:r>
    </w:p>
    <w:p>
      <w:pPr>
        <w:spacing w:after="0" w:line="30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t>实现数高于承诺数</w:t>
      </w:r>
      <w:r>
        <w:rPr>
          <w:rFonts w:ascii="Times New Roman" w:hAnsi="Times New Roman" w:cs="Times New Roman" w:eastAsia="Times New Roman" w:hint="default"/>
        </w:rPr>
        <w:t>1,529,451.80</w:t>
      </w:r>
      <w:r>
        <w:rPr/>
        <w:t>元，实现率为</w:t>
      </w:r>
      <w:r>
        <w:rPr>
          <w:rFonts w:ascii="Times New Roman" w:hAnsi="Times New Roman" w:cs="Times New Roman" w:eastAsia="Times New Roman" w:hint="default"/>
        </w:rPr>
        <w:t>102.94%</w:t>
      </w:r>
      <w:r>
        <w:rPr/>
        <w:t>。</w:t>
      </w:r>
    </w:p>
    <w:p>
      <w:pPr>
        <w:pStyle w:val="BodyText"/>
        <w:spacing w:line="304" w:lineRule="auto" w:before="96"/>
        <w:ind w:right="0" w:firstLine="360"/>
        <w:jc w:val="left"/>
      </w:pPr>
      <w:r>
        <w:rPr>
          <w:rFonts w:ascii="Times New Roman" w:hAnsi="Times New Roman" w:cs="Times New Roman" w:eastAsia="Times New Roman" w:hint="default"/>
          <w:spacing w:val="-3"/>
        </w:rPr>
        <w:t>2018</w:t>
      </w:r>
      <w:r>
        <w:rPr>
          <w:spacing w:val="-3"/>
        </w:rPr>
        <w:t>年度泰策科技经审计的归属于上市公司股东的净利润为</w:t>
      </w:r>
      <w:r>
        <w:rPr>
          <w:rFonts w:ascii="Times New Roman" w:hAnsi="Times New Roman" w:cs="Times New Roman" w:eastAsia="Times New Roman" w:hint="default"/>
          <w:spacing w:val="-3"/>
        </w:rPr>
        <w:t>41,190,557.21</w:t>
      </w:r>
      <w:r>
        <w:rPr>
          <w:spacing w:val="-3"/>
        </w:rPr>
        <w:t>元，扣除非经常性损益后实现的归属于上市公</w:t>
      </w:r>
      <w:r>
        <w:rPr>
          <w:w w:val="101"/>
        </w:rPr>
        <w:t> </w:t>
      </w:r>
      <w:r>
        <w:rPr/>
        <w:t>司股东的净利润为</w:t>
      </w:r>
      <w:r>
        <w:rPr>
          <w:rFonts w:ascii="Times New Roman" w:hAnsi="Times New Roman" w:cs="Times New Roman" w:eastAsia="Times New Roman" w:hint="default"/>
        </w:rPr>
        <w:t>41,161,714.70</w:t>
      </w:r>
      <w:r>
        <w:rPr/>
        <w:t>元。</w:t>
      </w:r>
    </w:p>
    <w:p>
      <w:pPr>
        <w:pStyle w:val="BodyText"/>
        <w:spacing w:line="304" w:lineRule="auto" w:before="48"/>
        <w:ind w:right="0" w:firstLine="360"/>
        <w:jc w:val="left"/>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日，泰策科技累计实现净利润</w:t>
      </w:r>
      <w:r>
        <w:rPr>
          <w:rFonts w:ascii="Times New Roman" w:hAnsi="Times New Roman" w:cs="Times New Roman" w:eastAsia="Times New Roman" w:hint="default"/>
          <w:spacing w:val="-2"/>
        </w:rPr>
        <w:t>94,691,166.50</w:t>
      </w:r>
      <w:r>
        <w:rPr>
          <w:spacing w:val="-2"/>
        </w:rPr>
        <w:t>元，累计业绩承诺净利润</w:t>
      </w:r>
      <w:r>
        <w:rPr>
          <w:rFonts w:ascii="Times New Roman" w:hAnsi="Times New Roman" w:cs="Times New Roman" w:eastAsia="Times New Roman" w:hint="default"/>
          <w:spacing w:val="-2"/>
        </w:rPr>
        <w:t>92,000,000.00</w:t>
      </w:r>
      <w:r>
        <w:rPr>
          <w:spacing w:val="-2"/>
        </w:rPr>
        <w:t>元，累计业绩承诺</w:t>
      </w:r>
      <w:r>
        <w:rPr>
          <w:w w:val="101"/>
        </w:rPr>
        <w:t> </w:t>
      </w:r>
      <w:r>
        <w:rPr/>
        <w:t>实现率</w:t>
      </w:r>
      <w:r>
        <w:rPr>
          <w:rFonts w:ascii="Times New Roman" w:hAnsi="Times New Roman" w:cs="Times New Roman" w:eastAsia="Times New Roman" w:hint="default"/>
        </w:rPr>
        <w:t>102.93%</w:t>
      </w:r>
      <w:r>
        <w:rPr/>
        <w:t>。</w:t>
      </w:r>
    </w:p>
    <w:p>
      <w:pPr>
        <w:spacing w:line="240" w:lineRule="auto" w:before="0"/>
        <w:rPr>
          <w:rFonts w:ascii="宋体" w:hAnsi="宋体" w:cs="宋体" w:eastAsia="宋体" w:hint="default"/>
          <w:sz w:val="18"/>
          <w:szCs w:val="18"/>
        </w:rPr>
      </w:pPr>
    </w:p>
    <w:p>
      <w:pPr>
        <w:pStyle w:val="BodyText"/>
        <w:spacing w:line="316" w:lineRule="auto" w:before="119"/>
        <w:ind w:right="0" w:firstLine="360"/>
        <w:jc w:val="left"/>
      </w:pPr>
      <w:r>
        <w:rPr>
          <w:spacing w:val="-4"/>
        </w:rPr>
        <w:t>公司管理层编制了未来现金流量预测，并对收购时形成的商誉进行减值测试。经测试，泰策科技相关资产组未发现减值</w:t>
      </w:r>
      <w:r>
        <w:rPr>
          <w:w w:val="101"/>
        </w:rPr>
        <w:t> </w:t>
      </w:r>
      <w:r>
        <w:rPr>
          <w:spacing w:val="-3"/>
        </w:rPr>
        <w:t>迹象，本期无需计提商誉减值准备。</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pStyle w:val="BodyText"/>
        <w:spacing w:line="343" w:lineRule="auto"/>
        <w:ind w:right="427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101"/>
        <w:ind w:left="513" w:right="1123"/>
        <w:jc w:val="left"/>
      </w:pPr>
      <w:r>
        <w:rPr>
          <w:rFonts w:ascii="Times New Roman" w:hAnsi="Times New Roman" w:cs="Times New Roman" w:eastAsia="Times New Roman" w:hint="default"/>
          <w:b/>
          <w:bCs/>
        </w:rPr>
        <w:t>1.</w:t>
      </w:r>
      <w:r>
        <w:rPr>
          <w:rFonts w:ascii="宋体" w:hAnsi="宋体" w:cs="宋体" w:eastAsia="宋体" w:hint="default"/>
          <w:b/>
          <w:bCs/>
        </w:rPr>
        <w:t>会计政策变更</w:t>
      </w:r>
      <w:r>
        <w:rPr>
          <w:rFonts w:ascii="宋体" w:hAnsi="宋体" w:cs="宋体" w:eastAsia="宋体" w:hint="default"/>
          <w:b/>
          <w:bCs/>
          <w:spacing w:val="-87"/>
        </w:rPr>
        <w:t> </w:t>
      </w:r>
      <w:r>
        <w:rPr>
          <w:rFonts w:ascii="宋体" w:hAnsi="宋体" w:cs="宋体" w:eastAsia="宋体" w:hint="default"/>
          <w:b/>
          <w:bCs/>
          <w:spacing w:val="-87"/>
        </w:rPr>
      </w:r>
      <w:r>
        <w:rPr>
          <w:spacing w:val="-3"/>
        </w:rPr>
        <w:t>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26</w:t>
      </w:r>
      <w:r>
        <w:rPr>
          <w:spacing w:val="-3"/>
        </w:rPr>
        <w:t>日召开第三届董事会第三十次会议、第三届监事会第二十三次会议，审议通过了《关于会计政策变更</w:t>
      </w:r>
    </w:p>
    <w:p>
      <w:pPr>
        <w:pStyle w:val="BodyText"/>
        <w:spacing w:line="300" w:lineRule="auto" w:before="13"/>
        <w:ind w:right="1123"/>
        <w:jc w:val="left"/>
      </w:pPr>
      <w:r>
        <w:rPr>
          <w:spacing w:val="-3"/>
        </w:rPr>
        <w:t>的议案》：（</w:t>
      </w:r>
      <w:r>
        <w:rPr>
          <w:rFonts w:ascii="Times New Roman" w:hAnsi="Times New Roman" w:cs="Times New Roman" w:eastAsia="Times New Roman" w:hint="default"/>
          <w:spacing w:val="-3"/>
        </w:rPr>
        <w:t>1</w:t>
      </w:r>
      <w:r>
        <w:rPr>
          <w:spacing w:val="-3"/>
        </w:rPr>
        <w:t>）首次执行新金融准则，《企业会计准则第</w:t>
      </w:r>
      <w:r>
        <w:rPr>
          <w:rFonts w:ascii="Times New Roman" w:hAnsi="Times New Roman" w:cs="Times New Roman" w:eastAsia="Times New Roman" w:hint="default"/>
          <w:spacing w:val="-3"/>
        </w:rPr>
        <w:t>7 </w:t>
      </w:r>
      <w:r>
        <w:rPr>
          <w:spacing w:val="-3"/>
        </w:rPr>
        <w:t>号</w:t>
      </w:r>
      <w:r>
        <w:rPr>
          <w:rFonts w:ascii="Times New Roman" w:hAnsi="Times New Roman" w:cs="Times New Roman" w:eastAsia="Times New Roman" w:hint="default"/>
          <w:spacing w:val="-3"/>
        </w:rPr>
        <w:t>—</w:t>
      </w:r>
      <w:r>
        <w:rPr>
          <w:spacing w:val="-3"/>
        </w:rPr>
        <w:t>非货币性资产交换》（财会</w:t>
      </w:r>
      <w:r>
        <w:rPr>
          <w:rFonts w:ascii="Times New Roman" w:hAnsi="Times New Roman" w:cs="Times New Roman" w:eastAsia="Times New Roman" w:hint="default"/>
          <w:spacing w:val="-3"/>
        </w:rPr>
        <w:t>[2019]8</w:t>
      </w:r>
      <w:r>
        <w:rPr>
          <w:spacing w:val="-3"/>
        </w:rPr>
        <w:t>号），《企业会计准则</w:t>
      </w:r>
      <w:r>
        <w:rPr>
          <w:spacing w:val="-65"/>
        </w:rPr>
        <w:t> </w:t>
      </w:r>
      <w:r>
        <w:rPr>
          <w:spacing w:val="-65"/>
        </w:rPr>
      </w:r>
      <w:r>
        <w:rPr/>
        <w:t>第</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债务重组》（财会</w:t>
      </w:r>
      <w:r>
        <w:rPr>
          <w:rFonts w:ascii="Times New Roman" w:hAnsi="Times New Roman" w:cs="Times New Roman" w:eastAsia="Times New Roman" w:hint="default"/>
          <w:spacing w:val="-3"/>
        </w:rPr>
        <w:t>[2019]9  </w:t>
      </w:r>
      <w:r>
        <w:rPr/>
        <w:t>号）；（</w:t>
      </w:r>
      <w:r>
        <w:rPr>
          <w:rFonts w:ascii="Times New Roman" w:hAnsi="Times New Roman" w:cs="Times New Roman" w:eastAsia="Times New Roman" w:hint="default"/>
        </w:rPr>
        <w:t>2</w:t>
      </w:r>
      <w:r>
        <w:rPr/>
        <w:t>）财政部于 </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spacing w:val="-3"/>
        </w:rPr>
        <w:t>日发布了《关于修订印发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spacing w:val="-3"/>
        </w:rPr>
        <w:t>年度一般企业</w:t>
      </w:r>
    </w:p>
    <w:p>
      <w:pPr>
        <w:pStyle w:val="BodyText"/>
        <w:spacing w:line="300" w:lineRule="auto" w:before="13"/>
        <w:ind w:right="0"/>
        <w:jc w:val="left"/>
      </w:pPr>
      <w:r>
        <w:rPr/>
        <w:t>财务报表格式的通知》（财会</w:t>
      </w:r>
      <w:r>
        <w:rPr>
          <w:rFonts w:ascii="Times New Roman" w:hAnsi="Times New Roman" w:cs="Times New Roman" w:eastAsia="Times New Roman" w:hint="default"/>
        </w:rPr>
        <w:t>[2019] 6 </w:t>
      </w:r>
      <w:r>
        <w:rPr>
          <w:spacing w:val="-3"/>
        </w:rPr>
        <w:t>号），和企业会计准则的要求编制 </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1-6 </w:t>
      </w:r>
      <w:r>
        <w:rPr>
          <w:spacing w:val="-3"/>
        </w:rPr>
        <w:t>月财务报表，结合此项目会计政策变</w:t>
      </w:r>
      <w:r>
        <w:rPr>
          <w:spacing w:val="-73"/>
        </w:rPr>
        <w:t> </w:t>
      </w:r>
      <w:r>
        <w:rPr>
          <w:spacing w:val="-73"/>
        </w:rPr>
      </w:r>
      <w:r>
        <w:rPr>
          <w:spacing w:val="-3"/>
        </w:rPr>
        <w:t>更及企业实际情况，变更财务报表格式。</w:t>
      </w:r>
    </w:p>
    <w:p>
      <w:pPr>
        <w:pStyle w:val="BodyText"/>
        <w:spacing w:line="300" w:lineRule="auto" w:before="31"/>
        <w:ind w:left="513" w:right="1123"/>
        <w:jc w:val="left"/>
      </w:pPr>
      <w:r>
        <w:rPr>
          <w:rFonts w:ascii="Times New Roman" w:hAnsi="Times New Roman" w:cs="Times New Roman" w:eastAsia="Times New Roman" w:hint="default"/>
          <w:b/>
          <w:bCs/>
        </w:rPr>
        <w:t>2.</w:t>
      </w:r>
      <w:r>
        <w:rPr>
          <w:rFonts w:ascii="宋体" w:hAnsi="宋体" w:cs="宋体" w:eastAsia="宋体" w:hint="default"/>
          <w:b/>
          <w:bCs/>
        </w:rPr>
        <w:t>会计估计变更</w:t>
      </w:r>
      <w:r>
        <w:rPr>
          <w:rFonts w:ascii="宋体" w:hAnsi="宋体" w:cs="宋体" w:eastAsia="宋体" w:hint="default"/>
          <w:b/>
          <w:bCs/>
          <w:spacing w:val="-87"/>
        </w:rPr>
        <w:t> </w:t>
      </w:r>
      <w:r>
        <w:rPr>
          <w:rFonts w:ascii="宋体" w:hAnsi="宋体" w:cs="宋体" w:eastAsia="宋体" w:hint="default"/>
          <w:b/>
          <w:bCs/>
          <w:spacing w:val="-87"/>
        </w:rPr>
      </w:r>
      <w:r>
        <w:rPr>
          <w:spacing w:val="-3"/>
        </w:rPr>
        <w:t>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25</w:t>
      </w:r>
      <w:r>
        <w:rPr>
          <w:spacing w:val="-3"/>
        </w:rPr>
        <w:t>日召开第三届董事会第二十六次会议、第三届监事会第十九次会议，审议通过了《关于会计估计变更</w:t>
      </w:r>
    </w:p>
    <w:p>
      <w:pPr>
        <w:pStyle w:val="BodyText"/>
        <w:spacing w:line="316" w:lineRule="auto" w:before="13"/>
        <w:ind w:right="0"/>
        <w:jc w:val="left"/>
      </w:pPr>
      <w:r>
        <w:rPr>
          <w:spacing w:val="-4"/>
        </w:rPr>
        <w:t>的议案》：为了更加客观、真实、公允地反映公司财务状况和经营成果，根据《企业会计准则》等相关规定，对应收款项计</w:t>
      </w:r>
      <w:r>
        <w:rPr>
          <w:spacing w:val="41"/>
        </w:rPr>
        <w:t> </w:t>
      </w:r>
      <w:r>
        <w:rPr>
          <w:spacing w:val="41"/>
        </w:rPr>
      </w:r>
      <w:r>
        <w:rPr>
          <w:spacing w:val="-3"/>
        </w:rPr>
        <w:t>提坏账准备的会计估计进行变更。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公司报告期无合并报表范围发生变化的情况。</w:t>
      </w:r>
    </w:p>
    <w:p>
      <w:pPr>
        <w:spacing w:after="0" w:line="338" w:lineRule="auto"/>
        <w:jc w:val="left"/>
        <w:sectPr>
          <w:pgSz w:w="11910" w:h="16840"/>
          <w:pgMar w:header="871" w:footer="979" w:top="1100" w:bottom="116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大华会计师事务所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80</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刘文豪、徐文博</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不适用</w:t>
            </w:r>
            <w:r>
              <w:rPr>
                <w:rFonts w:ascii="宋体" w:hAnsi="宋体" w:cs="宋体" w:eastAsia="宋体" w:hint="default"/>
                <w:sz w:val="18"/>
                <w:szCs w:val="18"/>
              </w:rPr>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境</w:t>
            </w:r>
            <w:r>
              <w:rPr>
                <w:rFonts w:ascii="宋体" w:hAnsi="宋体" w:cs="宋体" w:eastAsia="宋体" w:hint="default"/>
                <w:spacing w:val="-5"/>
                <w:w w:val="101"/>
                <w:sz w:val="18"/>
                <w:szCs w:val="18"/>
              </w:rPr>
              <w:t>外</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报</w:t>
            </w:r>
            <w:r>
              <w:rPr>
                <w:rFonts w:ascii="宋体" w:hAnsi="宋体" w:cs="宋体" w:eastAsia="宋体" w:hint="default"/>
                <w:spacing w:val="-5"/>
                <w:w w:val="101"/>
                <w:sz w:val="18"/>
                <w:szCs w:val="18"/>
              </w:rPr>
              <w:t>酬</w:t>
            </w:r>
            <w:r>
              <w:rPr>
                <w:rFonts w:ascii="宋体" w:hAnsi="宋体" w:cs="宋体" w:eastAsia="宋体" w:hint="default"/>
                <w:w w:val="101"/>
                <w:sz w:val="18"/>
                <w:szCs w:val="18"/>
              </w:rPr>
              <w:t>（</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如</w:t>
            </w:r>
            <w:r>
              <w:rPr>
                <w:rFonts w:ascii="宋体" w:hAnsi="宋体" w:cs="宋体" w:eastAsia="宋体" w:hint="default"/>
                <w:spacing w:val="-5"/>
                <w:w w:val="101"/>
                <w:sz w:val="18"/>
                <w:szCs w:val="18"/>
              </w:rPr>
              <w:t>有</w:t>
            </w:r>
            <w:r>
              <w:rPr>
                <w:rFonts w:ascii="宋体" w:hAnsi="宋体" w:cs="宋体" w:eastAsia="宋体" w:hint="default"/>
                <w:w w:val="101"/>
                <w:sz w:val="18"/>
                <w:szCs w:val="18"/>
              </w:rPr>
              <w:t>）</w:t>
            </w:r>
            <w:r>
              <w:rPr>
                <w:rFonts w:ascii="宋体" w:hAnsi="宋体" w:cs="宋体" w:eastAsia="宋体" w:hint="default"/>
                <w:sz w:val="18"/>
                <w:szCs w:val="18"/>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0"/>
        <w:jc w:val="left"/>
      </w:pPr>
      <w:r>
        <w:rPr/>
        <w:t>是否改聘会计师事务所</w:t>
      </w:r>
    </w:p>
    <w:p>
      <w:pPr>
        <w:pStyle w:val="BodyText"/>
        <w:spacing w:line="343" w:lineRule="auto" w:before="115"/>
        <w:ind w:right="792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是否在审计期间改聘会计师事务所</w:t>
      </w:r>
    </w:p>
    <w:p>
      <w:pPr>
        <w:pStyle w:val="BodyText"/>
        <w:spacing w:line="338" w:lineRule="auto" w:before="38"/>
        <w:ind w:right="727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更换会计师事务所是否履行审批程序</w:t>
      </w:r>
    </w:p>
    <w:p>
      <w:pPr>
        <w:pStyle w:val="BodyText"/>
        <w:spacing w:line="338" w:lineRule="auto" w:before="46"/>
        <w:ind w:right="792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聘任、解聘会计师事务所情况说明</w:t>
      </w:r>
    </w:p>
    <w:p>
      <w:pPr>
        <w:pStyle w:val="BodyText"/>
        <w:spacing w:line="300" w:lineRule="auto" w:before="36"/>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日召开</w:t>
      </w:r>
      <w:r>
        <w:rPr>
          <w:rFonts w:ascii="Times New Roman" w:hAnsi="Times New Roman" w:cs="Times New Roman" w:eastAsia="Times New Roman" w:hint="default"/>
          <w:spacing w:val="-3"/>
        </w:rPr>
        <w:t>2018</w:t>
      </w:r>
      <w:r>
        <w:rPr>
          <w:spacing w:val="-3"/>
        </w:rPr>
        <w:t>年度</w:t>
      </w:r>
      <w:r>
        <w:rPr>
          <w:color w:val="6C6C6C"/>
          <w:spacing w:val="-3"/>
        </w:rPr>
      </w:r>
      <w:hyperlink r:id="rId37">
        <w:r>
          <w:rPr>
            <w:color w:val="6C6C6C"/>
            <w:spacing w:val="-3"/>
            <w:u w:val="single" w:color="6C6C6C"/>
          </w:rPr>
          <w:t>股东</w:t>
        </w:r>
        <w:r>
          <w:rPr>
            <w:color w:val="6C6C6C"/>
            <w:spacing w:val="-3"/>
          </w:rPr>
        </w:r>
      </w:hyperlink>
      <w:r>
        <w:rPr>
          <w:spacing w:val="-3"/>
        </w:rPr>
        <w:t>大会，会议审议通过了《关于续聘立信会计师事务所（特殊普通合伙）为公司</w:t>
      </w:r>
      <w:r>
        <w:rPr>
          <w:w w:val="101"/>
        </w:rPr>
        <w:t> </w:t>
      </w:r>
      <w:r>
        <w:rPr>
          <w:rFonts w:ascii="Times New Roman" w:hAnsi="Times New Roman" w:cs="Times New Roman" w:eastAsia="Times New Roman" w:hint="default"/>
          <w:spacing w:val="-3"/>
        </w:rPr>
        <w:t>2019</w:t>
      </w:r>
      <w:r>
        <w:rPr>
          <w:spacing w:val="-3"/>
        </w:rPr>
        <w:t>年度审计机构的议案》，为保持审计工作的连续性，同意续聘立信会计师事务所（特殊普通合伙）（以下简称</w:t>
      </w:r>
      <w:r>
        <w:rPr>
          <w:rFonts w:ascii="Times New Roman" w:hAnsi="Times New Roman" w:cs="Times New Roman" w:eastAsia="Times New Roman" w:hint="default"/>
          <w:spacing w:val="-3"/>
        </w:rPr>
        <w:t>“</w:t>
      </w:r>
      <w:r>
        <w:rPr>
          <w:spacing w:val="-3"/>
        </w:rPr>
        <w:t>立信</w:t>
      </w:r>
      <w:r>
        <w:rPr>
          <w:rFonts w:ascii="Times New Roman" w:hAnsi="Times New Roman" w:cs="Times New Roman" w:eastAsia="Times New Roman" w:hint="default"/>
          <w:spacing w:val="-3"/>
        </w:rPr>
        <w:t>”</w:t>
      </w:r>
      <w:r>
        <w:rPr>
          <w:spacing w:val="-3"/>
        </w:rPr>
        <w:t>）</w:t>
      </w:r>
      <w:r>
        <w:rPr>
          <w:spacing w:val="76"/>
        </w:rPr>
        <w:t> </w:t>
      </w:r>
      <w:r>
        <w:rPr>
          <w:spacing w:val="-3"/>
        </w:rPr>
        <w:t>为公司</w:t>
      </w:r>
      <w:r>
        <w:rPr>
          <w:rFonts w:ascii="Times New Roman" w:hAnsi="Times New Roman" w:cs="Times New Roman" w:eastAsia="Times New Roman" w:hint="default"/>
          <w:spacing w:val="-3"/>
        </w:rPr>
        <w:t>2019</w:t>
      </w:r>
      <w:r>
        <w:rPr>
          <w:spacing w:val="-3"/>
        </w:rPr>
        <w:t>年度的财务审计机构。具体内容详见公司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日刊登在中国证监会指定创业板信息披露网站巨潮资讯网</w:t>
      </w:r>
    </w:p>
    <w:p>
      <w:pPr>
        <w:pStyle w:val="BodyText"/>
        <w:spacing w:line="338" w:lineRule="auto" w:before="17"/>
        <w:ind w:left="513" w:right="0" w:hanging="360"/>
        <w:jc w:val="left"/>
      </w:pPr>
      <w:r>
        <w:rPr/>
        <w:t>（</w:t>
      </w:r>
      <w:hyperlink r:id="rId11">
        <w:r>
          <w:rPr>
            <w:rFonts w:ascii="Times New Roman" w:hAnsi="Times New Roman" w:cs="Times New Roman" w:eastAsia="Times New Roman" w:hint="default"/>
          </w:rPr>
          <w:t>http://www.cninfo.com.cn</w:t>
        </w:r>
      </w:hyperlink>
      <w:r>
        <w:rPr/>
        <w:t>）上披露的《</w:t>
      </w:r>
      <w:r>
        <w:rPr>
          <w:rFonts w:ascii="Times New Roman" w:hAnsi="Times New Roman" w:cs="Times New Roman" w:eastAsia="Times New Roman" w:hint="default"/>
        </w:rPr>
        <w:t>2018</w:t>
      </w:r>
      <w:r>
        <w:rPr/>
        <w:t>年度股东大会决议公告》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2019-029)</w:t>
      </w:r>
      <w:r>
        <w:rPr/>
        <w:t>。</w:t>
      </w:r>
      <w:r>
        <w:rPr>
          <w:w w:val="101"/>
        </w:rPr>
        <w:t> </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22</w:t>
      </w:r>
      <w:r>
        <w:rPr>
          <w:spacing w:val="-3"/>
        </w:rPr>
        <w:t>日收到大华会计师事务所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r>
        <w:rPr>
          <w:spacing w:val="-3"/>
        </w:rPr>
        <w:t>的《告知函》获悉：负责公司</w:t>
      </w:r>
      <w:r>
        <w:rPr>
          <w:rFonts w:ascii="Times New Roman" w:hAnsi="Times New Roman" w:cs="Times New Roman" w:eastAsia="Times New Roman" w:hint="default"/>
          <w:spacing w:val="-3"/>
        </w:rPr>
        <w:t>2019</w:t>
      </w:r>
      <w:r>
        <w:rPr>
          <w:spacing w:val="-3"/>
        </w:rPr>
        <w:t>年度审计业务的团队整</w:t>
      </w:r>
    </w:p>
    <w:p>
      <w:pPr>
        <w:pStyle w:val="BodyText"/>
        <w:spacing w:line="221" w:lineRule="exact"/>
        <w:ind w:right="0"/>
        <w:jc w:val="left"/>
      </w:pPr>
      <w:r>
        <w:rPr>
          <w:spacing w:val="-3"/>
        </w:rPr>
        <w:t>体转入大华，该业务团队执行的相关审计业务项目一并由大华承接。</w:t>
      </w:r>
    </w:p>
    <w:p>
      <w:pPr>
        <w:pStyle w:val="BodyText"/>
        <w:spacing w:line="240" w:lineRule="auto" w:before="110"/>
        <w:ind w:left="513" w:right="0"/>
        <w:jc w:val="left"/>
      </w:pPr>
      <w:r>
        <w:rPr>
          <w:spacing w:val="-3"/>
        </w:rPr>
        <w:t>为保障业务与服务的延续性，公司提议变更大华会计师事务所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r>
        <w:rPr>
          <w:spacing w:val="-3"/>
        </w:rPr>
        <w:t>为公司</w:t>
      </w:r>
      <w:r>
        <w:rPr>
          <w:rFonts w:ascii="Times New Roman" w:hAnsi="Times New Roman" w:cs="Times New Roman" w:eastAsia="Times New Roman" w:hint="default"/>
          <w:spacing w:val="-3"/>
        </w:rPr>
        <w:t>2019</w:t>
      </w:r>
      <w:r>
        <w:rPr>
          <w:spacing w:val="-3"/>
        </w:rPr>
        <w:t>年度审计机构。本事项已经</w:t>
      </w:r>
    </w:p>
    <w:p>
      <w:pPr>
        <w:pStyle w:val="BodyText"/>
        <w:spacing w:line="240" w:lineRule="auto" w:before="67"/>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日召开的公司</w:t>
      </w:r>
      <w:r>
        <w:rPr>
          <w:rFonts w:ascii="Times New Roman" w:hAnsi="Times New Roman" w:cs="Times New Roman" w:eastAsia="Times New Roman" w:hint="default"/>
        </w:rPr>
        <w:t>2019</w:t>
      </w:r>
      <w:r>
        <w:rPr/>
        <w:t>年第三次临时股东大会审议通过。</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spacing w:val="-3"/>
        </w:rPr>
        <w:t>聘请内部控制审计会计师事务所、财务顾问或保荐人情况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after="0" w:line="338" w:lineRule="auto"/>
        <w:jc w:val="left"/>
        <w:sectPr>
          <w:pgSz w:w="11910" w:h="16840"/>
          <w:pgMar w:header="871" w:footer="979" w:top="1100" w:bottom="116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0"/>
        <w:jc w:val="both"/>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十二、处罚及整改情况" w:id="73"/>
      <w:bookmarkEnd w:id="73"/>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43"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Heading6"/>
        <w:spacing w:line="240" w:lineRule="auto" w:before="106"/>
        <w:ind w:right="0"/>
        <w:jc w:val="left"/>
        <w:rPr>
          <w:b w:val="0"/>
          <w:bCs w:val="0"/>
        </w:rPr>
      </w:pPr>
      <w:r>
        <w:rPr/>
        <w:t>（一）</w:t>
      </w:r>
      <w:r>
        <w:rPr>
          <w:rFonts w:ascii="Times New Roman" w:hAnsi="Times New Roman" w:cs="Times New Roman" w:eastAsia="Times New Roman" w:hint="default"/>
        </w:rPr>
        <w:t>2018</w:t>
      </w:r>
      <w:r>
        <w:rPr/>
        <w:t>年股票期权激励计划</w:t>
      </w:r>
      <w:r>
        <w:rPr>
          <w:b w:val="0"/>
          <w:bCs w:val="0"/>
        </w:rPr>
      </w:r>
    </w:p>
    <w:p>
      <w:pPr>
        <w:pStyle w:val="BodyText"/>
        <w:spacing w:line="240" w:lineRule="auto" w:before="96"/>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 </w:t>
      </w:r>
      <w:r>
        <w:rPr>
          <w:spacing w:val="-3"/>
        </w:rPr>
        <w:t>日，公司召开第三届董事会第十四次会议，会议审议通过了《关于公司</w:t>
      </w:r>
      <w:r>
        <w:rPr>
          <w:rFonts w:ascii="Times New Roman" w:hAnsi="Times New Roman" w:cs="Times New Roman" w:eastAsia="Times New Roman" w:hint="default"/>
          <w:spacing w:val="-3"/>
        </w:rPr>
        <w:t>&lt;2018 </w:t>
      </w:r>
      <w:r>
        <w:rPr>
          <w:rFonts w:ascii="Times New Roman" w:hAnsi="Times New Roman" w:cs="Times New Roman" w:eastAsia="Times New Roman" w:hint="default"/>
          <w:spacing w:val="3"/>
        </w:rPr>
        <w:t> </w:t>
      </w:r>
      <w:r>
        <w:rPr>
          <w:spacing w:val="-3"/>
        </w:rPr>
        <w:t>年股票期权激励计划</w:t>
      </w:r>
    </w:p>
    <w:p>
      <w:pPr>
        <w:pStyle w:val="BodyText"/>
        <w:spacing w:line="304" w:lineRule="auto" w:before="63"/>
        <w:ind w:right="1182"/>
        <w:jc w:val="left"/>
      </w:pPr>
      <w:r>
        <w:rPr>
          <w:w w:val="101"/>
        </w:rPr>
        <w:t>（</w:t>
      </w:r>
      <w:r>
        <w:rPr>
          <w:spacing w:val="-5"/>
          <w:w w:val="101"/>
        </w:rPr>
        <w:t>草</w:t>
      </w:r>
      <w:r>
        <w:rPr>
          <w:w w:val="101"/>
        </w:rPr>
        <w:t>案</w:t>
      </w:r>
      <w:r>
        <w:rPr>
          <w:spacing w:val="-1"/>
          <w:w w:val="101"/>
        </w:rPr>
        <w:t>）</w:t>
      </w:r>
      <w:r>
        <w:rPr>
          <w:rFonts w:ascii="Times New Roman" w:hAnsi="Times New Roman" w:cs="Times New Roman" w:eastAsia="Times New Roman" w:hint="default"/>
          <w:spacing w:val="-2"/>
          <w:w w:val="101"/>
        </w:rPr>
        <w:t>&gt;</w:t>
      </w:r>
      <w:r>
        <w:rPr>
          <w:spacing w:val="-5"/>
          <w:w w:val="101"/>
        </w:rPr>
        <w:t>及</w:t>
      </w:r>
      <w:r>
        <w:rPr>
          <w:w w:val="101"/>
        </w:rPr>
        <w:t>其</w:t>
      </w:r>
      <w:r>
        <w:rPr>
          <w:spacing w:val="-5"/>
          <w:w w:val="101"/>
        </w:rPr>
        <w:t>摘</w:t>
      </w:r>
      <w:r>
        <w:rPr>
          <w:w w:val="101"/>
        </w:rPr>
        <w:t>要</w:t>
      </w:r>
      <w:r>
        <w:rPr>
          <w:spacing w:val="-5"/>
          <w:w w:val="101"/>
        </w:rPr>
        <w:t>的</w:t>
      </w:r>
      <w:r>
        <w:rPr>
          <w:w w:val="101"/>
        </w:rPr>
        <w:t>议</w:t>
      </w:r>
      <w:r>
        <w:rPr>
          <w:spacing w:val="-5"/>
          <w:w w:val="101"/>
        </w:rPr>
        <w:t>案</w:t>
      </w:r>
      <w:r>
        <w:rPr>
          <w:spacing w:val="-92"/>
          <w:w w:val="101"/>
        </w:rPr>
        <w:t>》、</w:t>
      </w:r>
      <w:r>
        <w:rPr>
          <w:spacing w:val="-5"/>
          <w:w w:val="101"/>
        </w:rPr>
        <w:t>《</w:t>
      </w:r>
      <w:r>
        <w:rPr>
          <w:w w:val="101"/>
        </w:rPr>
        <w:t>关</w:t>
      </w:r>
      <w:r>
        <w:rPr>
          <w:spacing w:val="-5"/>
          <w:w w:val="101"/>
        </w:rPr>
        <w:t>于</w:t>
      </w:r>
      <w:r>
        <w:rPr>
          <w:w w:val="101"/>
        </w:rPr>
        <w:t>公司</w:t>
      </w:r>
      <w:r>
        <w:rPr>
          <w:rFonts w:ascii="Times New Roman" w:hAnsi="Times New Roman" w:cs="Times New Roman" w:eastAsia="Times New Roman" w:hint="default"/>
          <w:spacing w:val="-7"/>
          <w:w w:val="101"/>
        </w:rPr>
        <w:t>&lt;</w:t>
      </w:r>
      <w:r>
        <w:rPr>
          <w:rFonts w:ascii="Times New Roman" w:hAnsi="Times New Roman" w:cs="Times New Roman" w:eastAsia="Times New Roman" w:hint="default"/>
          <w:w w:val="101"/>
        </w:rPr>
        <w:t>2018</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5"/>
          <w:w w:val="101"/>
        </w:rPr>
        <w:t>年</w:t>
      </w:r>
      <w:r>
        <w:rPr>
          <w:w w:val="101"/>
        </w:rPr>
        <w:t>股</w:t>
      </w:r>
      <w:r>
        <w:rPr>
          <w:spacing w:val="-5"/>
          <w:w w:val="101"/>
        </w:rPr>
        <w:t>票</w:t>
      </w:r>
      <w:r>
        <w:rPr>
          <w:w w:val="101"/>
        </w:rPr>
        <w:t>期</w:t>
      </w:r>
      <w:r>
        <w:rPr>
          <w:spacing w:val="-5"/>
          <w:w w:val="101"/>
        </w:rPr>
        <w:t>权激</w:t>
      </w:r>
      <w:r>
        <w:rPr>
          <w:w w:val="101"/>
        </w:rPr>
        <w:t>励</w:t>
      </w:r>
      <w:r>
        <w:rPr>
          <w:spacing w:val="-5"/>
          <w:w w:val="101"/>
        </w:rPr>
        <w:t>计</w:t>
      </w:r>
      <w:r>
        <w:rPr>
          <w:w w:val="101"/>
        </w:rPr>
        <w:t>划</w:t>
      </w:r>
      <w:r>
        <w:rPr>
          <w:spacing w:val="-5"/>
          <w:w w:val="101"/>
        </w:rPr>
        <w:t>实</w:t>
      </w:r>
      <w:r>
        <w:rPr>
          <w:w w:val="101"/>
        </w:rPr>
        <w:t>施</w:t>
      </w:r>
      <w:r>
        <w:rPr>
          <w:spacing w:val="-5"/>
          <w:w w:val="101"/>
        </w:rPr>
        <w:t>考</w:t>
      </w:r>
      <w:r>
        <w:rPr>
          <w:w w:val="101"/>
        </w:rPr>
        <w:t>核</w:t>
      </w:r>
      <w:r>
        <w:rPr>
          <w:spacing w:val="-5"/>
          <w:w w:val="101"/>
        </w:rPr>
        <w:t>管</w:t>
      </w:r>
      <w:r>
        <w:rPr>
          <w:w w:val="101"/>
        </w:rPr>
        <w:t>理</w:t>
      </w:r>
      <w:r>
        <w:rPr>
          <w:spacing w:val="-5"/>
          <w:w w:val="101"/>
        </w:rPr>
        <w:t>办</w:t>
      </w:r>
      <w:r>
        <w:rPr>
          <w:w w:val="101"/>
        </w:rPr>
        <w:t>法</w:t>
      </w:r>
      <w:r>
        <w:rPr>
          <w:rFonts w:ascii="Times New Roman" w:hAnsi="Times New Roman" w:cs="Times New Roman" w:eastAsia="Times New Roman" w:hint="default"/>
          <w:spacing w:val="-3"/>
          <w:w w:val="101"/>
        </w:rPr>
        <w:t>&gt;</w:t>
      </w:r>
      <w:r>
        <w:rPr>
          <w:w w:val="101"/>
        </w:rPr>
        <w:t>的</w:t>
      </w:r>
      <w:r>
        <w:rPr>
          <w:spacing w:val="-5"/>
          <w:w w:val="101"/>
        </w:rPr>
        <w:t>议</w:t>
      </w:r>
      <w:r>
        <w:rPr>
          <w:w w:val="101"/>
        </w:rPr>
        <w:t>案</w:t>
      </w:r>
      <w:r>
        <w:rPr>
          <w:spacing w:val="-5"/>
          <w:w w:val="101"/>
        </w:rPr>
        <w:t>》</w:t>
      </w:r>
      <w:r>
        <w:rPr>
          <w:w w:val="101"/>
        </w:rPr>
        <w:t>以</w:t>
      </w:r>
      <w:r>
        <w:rPr>
          <w:spacing w:val="-5"/>
          <w:w w:val="101"/>
        </w:rPr>
        <w:t>及</w:t>
      </w:r>
      <w:r>
        <w:rPr>
          <w:w w:val="101"/>
        </w:rPr>
        <w:t>《</w:t>
      </w:r>
      <w:r>
        <w:rPr>
          <w:spacing w:val="-5"/>
          <w:w w:val="101"/>
        </w:rPr>
        <w:t>关</w:t>
      </w:r>
      <w:r>
        <w:rPr>
          <w:w w:val="101"/>
        </w:rPr>
        <w:t>于</w:t>
      </w:r>
      <w:r>
        <w:rPr>
          <w:spacing w:val="-5"/>
          <w:w w:val="101"/>
        </w:rPr>
        <w:t>提</w:t>
      </w:r>
      <w:r>
        <w:rPr>
          <w:w w:val="101"/>
        </w:rPr>
        <w:t>请</w:t>
      </w:r>
      <w:r>
        <w:rPr>
          <w:spacing w:val="-5"/>
          <w:w w:val="101"/>
        </w:rPr>
        <w:t>股东</w:t>
      </w:r>
      <w:r>
        <w:rPr>
          <w:w w:val="101"/>
        </w:rPr>
        <w:t>大会</w:t>
      </w:r>
      <w:r>
        <w:rPr>
          <w:w w:val="101"/>
        </w:rPr>
        <w:t> 授</w:t>
      </w:r>
      <w:r>
        <w:rPr>
          <w:spacing w:val="-5"/>
          <w:w w:val="101"/>
        </w:rPr>
        <w:t>权</w:t>
      </w:r>
      <w:r>
        <w:rPr>
          <w:w w:val="101"/>
        </w:rPr>
        <w:t>董</w:t>
      </w:r>
      <w:r>
        <w:rPr>
          <w:spacing w:val="-5"/>
          <w:w w:val="101"/>
        </w:rPr>
        <w:t>事</w:t>
      </w:r>
      <w:r>
        <w:rPr>
          <w:w w:val="101"/>
        </w:rPr>
        <w:t>会</w:t>
      </w:r>
      <w:r>
        <w:rPr>
          <w:spacing w:val="-5"/>
          <w:w w:val="101"/>
        </w:rPr>
        <w:t>办</w:t>
      </w:r>
      <w:r>
        <w:rPr>
          <w:w w:val="101"/>
        </w:rPr>
        <w:t>理</w:t>
      </w:r>
      <w:r>
        <w:rPr>
          <w:spacing w:val="-5"/>
          <w:w w:val="101"/>
        </w:rPr>
        <w:t>股</w:t>
      </w:r>
      <w:r>
        <w:rPr>
          <w:w w:val="101"/>
        </w:rPr>
        <w:t>权</w:t>
      </w:r>
      <w:r>
        <w:rPr>
          <w:spacing w:val="-5"/>
          <w:w w:val="101"/>
        </w:rPr>
        <w:t>激</w:t>
      </w:r>
      <w:r>
        <w:rPr>
          <w:w w:val="101"/>
        </w:rPr>
        <w:t>励</w:t>
      </w:r>
      <w:r>
        <w:rPr>
          <w:spacing w:val="-5"/>
          <w:w w:val="101"/>
        </w:rPr>
        <w:t>相</w:t>
      </w:r>
      <w:r>
        <w:rPr>
          <w:w w:val="101"/>
        </w:rPr>
        <w:t>关</w:t>
      </w:r>
      <w:r>
        <w:rPr>
          <w:spacing w:val="-5"/>
          <w:w w:val="101"/>
        </w:rPr>
        <w:t>事</w:t>
      </w:r>
      <w:r>
        <w:rPr>
          <w:w w:val="101"/>
        </w:rPr>
        <w:t>宜</w:t>
      </w:r>
      <w:r>
        <w:rPr>
          <w:spacing w:val="-5"/>
          <w:w w:val="101"/>
        </w:rPr>
        <w:t>的</w:t>
      </w:r>
      <w:r>
        <w:rPr>
          <w:w w:val="101"/>
        </w:rPr>
        <w:t>议案</w:t>
      </w:r>
      <w:r>
        <w:rPr>
          <w:spacing w:val="-96"/>
          <w:w w:val="101"/>
        </w:rPr>
        <w:t>》</w:t>
      </w:r>
      <w:r>
        <w:rPr>
          <w:w w:val="101"/>
        </w:rPr>
        <w:t>。</w:t>
      </w:r>
      <w:r>
        <w:rPr>
          <w:spacing w:val="-5"/>
          <w:w w:val="101"/>
        </w:rPr>
        <w:t>公</w:t>
      </w:r>
      <w:r>
        <w:rPr>
          <w:w w:val="101"/>
        </w:rPr>
        <w:t>司</w:t>
      </w:r>
      <w:r>
        <w:rPr>
          <w:spacing w:val="-5"/>
          <w:w w:val="101"/>
        </w:rPr>
        <w:t>独</w:t>
      </w:r>
      <w:r>
        <w:rPr>
          <w:w w:val="101"/>
        </w:rPr>
        <w:t>立</w:t>
      </w:r>
      <w:r>
        <w:rPr>
          <w:spacing w:val="-5"/>
          <w:w w:val="101"/>
        </w:rPr>
        <w:t>董</w:t>
      </w:r>
      <w:r>
        <w:rPr>
          <w:w w:val="101"/>
        </w:rPr>
        <w:t>事</w:t>
      </w:r>
      <w:r>
        <w:rPr>
          <w:spacing w:val="-5"/>
          <w:w w:val="101"/>
        </w:rPr>
        <w:t>对</w:t>
      </w:r>
      <w:r>
        <w:rPr>
          <w:w w:val="101"/>
        </w:rPr>
        <w:t>此</w:t>
      </w:r>
      <w:r>
        <w:rPr>
          <w:spacing w:val="-5"/>
          <w:w w:val="101"/>
        </w:rPr>
        <w:t>发</w:t>
      </w:r>
      <w:r>
        <w:rPr>
          <w:w w:val="101"/>
        </w:rPr>
        <w:t>表</w:t>
      </w:r>
      <w:r>
        <w:rPr>
          <w:spacing w:val="-5"/>
          <w:w w:val="101"/>
        </w:rPr>
        <w:t>了</w:t>
      </w:r>
      <w:r>
        <w:rPr>
          <w:w w:val="101"/>
        </w:rPr>
        <w:t>独</w:t>
      </w:r>
      <w:r>
        <w:rPr>
          <w:spacing w:val="-5"/>
          <w:w w:val="101"/>
        </w:rPr>
        <w:t>立</w:t>
      </w:r>
      <w:r>
        <w:rPr>
          <w:w w:val="101"/>
        </w:rPr>
        <w:t>意</w:t>
      </w:r>
      <w:r>
        <w:rPr>
          <w:spacing w:val="-5"/>
          <w:w w:val="101"/>
        </w:rPr>
        <w:t>见</w:t>
      </w:r>
      <w:r>
        <w:rPr>
          <w:w w:val="101"/>
        </w:rPr>
        <w:t>。</w:t>
      </w:r>
      <w:r>
        <w:rPr/>
      </w:r>
    </w:p>
    <w:p>
      <w:pPr>
        <w:pStyle w:val="BodyText"/>
        <w:spacing w:line="240" w:lineRule="auto" w:before="61"/>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 </w:t>
      </w:r>
      <w:r>
        <w:rPr>
          <w:spacing w:val="-3"/>
        </w:rPr>
        <w:t>日，公司召开第三届监事会第十一次会议，会议审议通过了《关于公司</w:t>
      </w:r>
      <w:r>
        <w:rPr>
          <w:rFonts w:ascii="Times New Roman" w:hAnsi="Times New Roman" w:cs="Times New Roman" w:eastAsia="Times New Roman" w:hint="default"/>
          <w:spacing w:val="-3"/>
        </w:rPr>
        <w:t>&lt;2018 </w:t>
      </w:r>
      <w:r>
        <w:rPr>
          <w:rFonts w:ascii="Times New Roman" w:hAnsi="Times New Roman" w:cs="Times New Roman" w:eastAsia="Times New Roman" w:hint="default"/>
          <w:spacing w:val="2"/>
        </w:rPr>
        <w:t> </w:t>
      </w:r>
      <w:r>
        <w:rPr>
          <w:spacing w:val="-3"/>
        </w:rPr>
        <w:t>年股票期权激励计划</w:t>
      </w:r>
    </w:p>
    <w:p>
      <w:pPr>
        <w:pStyle w:val="BodyText"/>
        <w:spacing w:line="304" w:lineRule="auto" w:before="63"/>
        <w:ind w:right="1125"/>
        <w:jc w:val="left"/>
      </w:pPr>
      <w:r>
        <w:rPr>
          <w:w w:val="101"/>
        </w:rPr>
        <w:t>（</w:t>
      </w:r>
      <w:r>
        <w:rPr>
          <w:spacing w:val="-5"/>
          <w:w w:val="101"/>
        </w:rPr>
        <w:t>草</w:t>
      </w:r>
      <w:r>
        <w:rPr>
          <w:w w:val="101"/>
        </w:rPr>
        <w:t>案</w:t>
      </w:r>
      <w:r>
        <w:rPr>
          <w:spacing w:val="-1"/>
          <w:w w:val="101"/>
        </w:rPr>
        <w:t>）</w:t>
      </w:r>
      <w:r>
        <w:rPr>
          <w:rFonts w:ascii="Times New Roman" w:hAnsi="Times New Roman" w:cs="Times New Roman" w:eastAsia="Times New Roman" w:hint="default"/>
          <w:spacing w:val="-2"/>
          <w:w w:val="101"/>
        </w:rPr>
        <w:t>&gt;</w:t>
      </w:r>
      <w:r>
        <w:rPr>
          <w:spacing w:val="-5"/>
          <w:w w:val="101"/>
        </w:rPr>
        <w:t>及</w:t>
      </w:r>
      <w:r>
        <w:rPr>
          <w:w w:val="101"/>
        </w:rPr>
        <w:t>其</w:t>
      </w:r>
      <w:r>
        <w:rPr>
          <w:spacing w:val="-5"/>
          <w:w w:val="101"/>
        </w:rPr>
        <w:t>摘</w:t>
      </w:r>
      <w:r>
        <w:rPr>
          <w:w w:val="101"/>
        </w:rPr>
        <w:t>要</w:t>
      </w:r>
      <w:r>
        <w:rPr>
          <w:spacing w:val="-5"/>
          <w:w w:val="101"/>
        </w:rPr>
        <w:t>的</w:t>
      </w:r>
      <w:r>
        <w:rPr>
          <w:w w:val="101"/>
        </w:rPr>
        <w:t>议</w:t>
      </w:r>
      <w:r>
        <w:rPr>
          <w:spacing w:val="-5"/>
          <w:w w:val="101"/>
        </w:rPr>
        <w:t>案</w:t>
      </w:r>
      <w:r>
        <w:rPr>
          <w:spacing w:val="-92"/>
          <w:w w:val="101"/>
        </w:rPr>
        <w:t>》、</w:t>
      </w:r>
      <w:r>
        <w:rPr>
          <w:spacing w:val="-5"/>
          <w:w w:val="101"/>
        </w:rPr>
        <w:t>《</w:t>
      </w:r>
      <w:r>
        <w:rPr>
          <w:w w:val="101"/>
        </w:rPr>
        <w:t>关</w:t>
      </w:r>
      <w:r>
        <w:rPr>
          <w:spacing w:val="-5"/>
          <w:w w:val="101"/>
        </w:rPr>
        <w:t>于</w:t>
      </w:r>
      <w:r>
        <w:rPr>
          <w:w w:val="101"/>
        </w:rPr>
        <w:t>公司</w:t>
      </w:r>
      <w:r>
        <w:rPr>
          <w:rFonts w:ascii="Times New Roman" w:hAnsi="Times New Roman" w:cs="Times New Roman" w:eastAsia="Times New Roman" w:hint="default"/>
          <w:spacing w:val="-7"/>
          <w:w w:val="101"/>
        </w:rPr>
        <w:t>&lt;</w:t>
      </w:r>
      <w:r>
        <w:rPr>
          <w:rFonts w:ascii="Times New Roman" w:hAnsi="Times New Roman" w:cs="Times New Roman" w:eastAsia="Times New Roman" w:hint="default"/>
          <w:w w:val="101"/>
        </w:rPr>
        <w:t>2018</w:t>
      </w:r>
      <w:r>
        <w:rPr>
          <w:rFonts w:ascii="Times New Roman" w:hAnsi="Times New Roman" w:cs="Times New Roman" w:eastAsia="Times New Roman" w:hint="default"/>
          <w:spacing w:val="-2"/>
        </w:rPr>
        <w:t> </w:t>
      </w:r>
      <w:r>
        <w:rPr>
          <w:spacing w:val="-5"/>
          <w:w w:val="101"/>
        </w:rPr>
        <w:t>年</w:t>
      </w:r>
      <w:r>
        <w:rPr>
          <w:w w:val="101"/>
        </w:rPr>
        <w:t>股</w:t>
      </w:r>
      <w:r>
        <w:rPr>
          <w:spacing w:val="-5"/>
          <w:w w:val="101"/>
        </w:rPr>
        <w:t>票</w:t>
      </w:r>
      <w:r>
        <w:rPr>
          <w:w w:val="101"/>
        </w:rPr>
        <w:t>期</w:t>
      </w:r>
      <w:r>
        <w:rPr>
          <w:spacing w:val="-5"/>
          <w:w w:val="101"/>
        </w:rPr>
        <w:t>权激</w:t>
      </w:r>
      <w:r>
        <w:rPr>
          <w:w w:val="101"/>
        </w:rPr>
        <w:t>励</w:t>
      </w:r>
      <w:r>
        <w:rPr>
          <w:spacing w:val="-5"/>
          <w:w w:val="101"/>
        </w:rPr>
        <w:t>计</w:t>
      </w:r>
      <w:r>
        <w:rPr>
          <w:w w:val="101"/>
        </w:rPr>
        <w:t>划</w:t>
      </w:r>
      <w:r>
        <w:rPr>
          <w:spacing w:val="-5"/>
          <w:w w:val="101"/>
        </w:rPr>
        <w:t>实</w:t>
      </w:r>
      <w:r>
        <w:rPr>
          <w:w w:val="101"/>
        </w:rPr>
        <w:t>施</w:t>
      </w:r>
      <w:r>
        <w:rPr>
          <w:spacing w:val="-5"/>
          <w:w w:val="101"/>
        </w:rPr>
        <w:t>考</w:t>
      </w:r>
      <w:r>
        <w:rPr>
          <w:w w:val="101"/>
        </w:rPr>
        <w:t>核</w:t>
      </w:r>
      <w:r>
        <w:rPr>
          <w:spacing w:val="-5"/>
          <w:w w:val="101"/>
        </w:rPr>
        <w:t>管</w:t>
      </w:r>
      <w:r>
        <w:rPr>
          <w:w w:val="101"/>
        </w:rPr>
        <w:t>理</w:t>
      </w:r>
      <w:r>
        <w:rPr>
          <w:spacing w:val="-5"/>
          <w:w w:val="101"/>
        </w:rPr>
        <w:t>办</w:t>
      </w:r>
      <w:r>
        <w:rPr>
          <w:w w:val="101"/>
        </w:rPr>
        <w:t>法</w:t>
      </w:r>
      <w:r>
        <w:rPr>
          <w:rFonts w:ascii="Times New Roman" w:hAnsi="Times New Roman" w:cs="Times New Roman" w:eastAsia="Times New Roman" w:hint="default"/>
          <w:spacing w:val="-3"/>
          <w:w w:val="101"/>
        </w:rPr>
        <w:t>&gt;</w:t>
      </w:r>
      <w:r>
        <w:rPr>
          <w:w w:val="101"/>
        </w:rPr>
        <w:t>的</w:t>
      </w:r>
      <w:r>
        <w:rPr>
          <w:spacing w:val="-5"/>
          <w:w w:val="101"/>
        </w:rPr>
        <w:t>议</w:t>
      </w:r>
      <w:r>
        <w:rPr>
          <w:w w:val="101"/>
        </w:rPr>
        <w:t>案</w:t>
      </w:r>
      <w:r>
        <w:rPr>
          <w:spacing w:val="-5"/>
          <w:w w:val="101"/>
        </w:rPr>
        <w:t>》</w:t>
      </w:r>
      <w:r>
        <w:rPr>
          <w:w w:val="101"/>
        </w:rPr>
        <w:t>以</w:t>
      </w:r>
      <w:r>
        <w:rPr>
          <w:spacing w:val="-5"/>
          <w:w w:val="101"/>
        </w:rPr>
        <w:t>及</w:t>
      </w:r>
      <w:r>
        <w:rPr>
          <w:w w:val="101"/>
        </w:rPr>
        <w:t>《</w:t>
      </w:r>
      <w:r>
        <w:rPr>
          <w:spacing w:val="-5"/>
          <w:w w:val="101"/>
        </w:rPr>
        <w:t>关</w:t>
      </w:r>
      <w:r>
        <w:rPr>
          <w:w w:val="101"/>
        </w:rPr>
        <w:t>于</w:t>
      </w:r>
      <w:r>
        <w:rPr>
          <w:spacing w:val="-5"/>
          <w:w w:val="101"/>
        </w:rPr>
        <w:t>核</w:t>
      </w:r>
      <w:r>
        <w:rPr>
          <w:w w:val="101"/>
        </w:rPr>
        <w:t>实</w:t>
      </w:r>
      <w:r>
        <w:rPr>
          <w:spacing w:val="-5"/>
          <w:w w:val="101"/>
        </w:rPr>
        <w:t>公</w:t>
      </w:r>
      <w:r>
        <w:rPr>
          <w:w w:val="101"/>
        </w:rPr>
        <w:t>司</w:t>
      </w:r>
      <w:r>
        <w:rPr>
          <w:rFonts w:ascii="Times New Roman" w:hAnsi="Times New Roman" w:cs="Times New Roman" w:eastAsia="Times New Roman" w:hint="default"/>
          <w:spacing w:val="-2"/>
          <w:w w:val="101"/>
        </w:rPr>
        <w:t>&lt;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18</w:t>
      </w:r>
      <w:r>
        <w:rPr>
          <w:rFonts w:ascii="Times New Roman" w:hAnsi="Times New Roman" w:cs="Times New Roman" w:eastAsia="Times New Roman" w:hint="default"/>
          <w:w w:val="101"/>
        </w:rPr>
        <w:t> </w:t>
      </w:r>
      <w:r>
        <w:rPr>
          <w:w w:val="101"/>
        </w:rPr>
        <w:t>年</w:t>
      </w:r>
      <w:r>
        <w:rPr>
          <w:spacing w:val="-5"/>
          <w:w w:val="101"/>
        </w:rPr>
        <w:t>股</w:t>
      </w:r>
      <w:r>
        <w:rPr>
          <w:w w:val="101"/>
        </w:rPr>
        <w:t>票</w:t>
      </w:r>
      <w:r>
        <w:rPr>
          <w:spacing w:val="-5"/>
          <w:w w:val="101"/>
        </w:rPr>
        <w:t>期</w:t>
      </w:r>
      <w:r>
        <w:rPr>
          <w:w w:val="101"/>
        </w:rPr>
        <w:t>权</w:t>
      </w:r>
      <w:r>
        <w:rPr>
          <w:spacing w:val="-5"/>
          <w:w w:val="101"/>
        </w:rPr>
        <w:t>激</w:t>
      </w:r>
      <w:r>
        <w:rPr>
          <w:w w:val="101"/>
        </w:rPr>
        <w:t>励</w:t>
      </w:r>
      <w:r>
        <w:rPr>
          <w:spacing w:val="-5"/>
          <w:w w:val="101"/>
        </w:rPr>
        <w:t>计</w:t>
      </w:r>
      <w:r>
        <w:rPr>
          <w:w w:val="101"/>
        </w:rPr>
        <w:t>划</w:t>
      </w:r>
      <w:r>
        <w:rPr>
          <w:spacing w:val="-5"/>
          <w:w w:val="101"/>
        </w:rPr>
        <w:t>激</w:t>
      </w:r>
      <w:r>
        <w:rPr>
          <w:w w:val="101"/>
        </w:rPr>
        <w:t>励</w:t>
      </w:r>
      <w:r>
        <w:rPr>
          <w:spacing w:val="-5"/>
          <w:w w:val="101"/>
        </w:rPr>
        <w:t>对</w:t>
      </w:r>
      <w:r>
        <w:rPr>
          <w:w w:val="101"/>
        </w:rPr>
        <w:t>象</w:t>
      </w:r>
      <w:r>
        <w:rPr>
          <w:spacing w:val="-5"/>
          <w:w w:val="101"/>
        </w:rPr>
        <w:t>名</w:t>
      </w:r>
      <w:r>
        <w:rPr>
          <w:w w:val="101"/>
        </w:rPr>
        <w:t>单</w:t>
      </w:r>
      <w:r>
        <w:rPr>
          <w:rFonts w:ascii="Times New Roman" w:hAnsi="Times New Roman" w:cs="Times New Roman" w:eastAsia="Times New Roman" w:hint="default"/>
          <w:spacing w:val="-3"/>
          <w:w w:val="101"/>
        </w:rPr>
        <w:t>&gt;</w:t>
      </w:r>
      <w:r>
        <w:rPr>
          <w:w w:val="101"/>
        </w:rPr>
        <w:t>的</w:t>
      </w:r>
      <w:r>
        <w:rPr>
          <w:spacing w:val="-5"/>
          <w:w w:val="101"/>
        </w:rPr>
        <w:t>议</w:t>
      </w:r>
      <w:r>
        <w:rPr>
          <w:w w:val="101"/>
        </w:rPr>
        <w:t>案</w:t>
      </w:r>
      <w:r>
        <w:rPr>
          <w:spacing w:val="-96"/>
          <w:w w:val="101"/>
        </w:rPr>
        <w:t>》</w:t>
      </w:r>
      <w:r>
        <w:rPr>
          <w:w w:val="101"/>
        </w:rPr>
        <w:t>。</w:t>
      </w:r>
      <w:r>
        <w:rPr/>
      </w:r>
    </w:p>
    <w:p>
      <w:pPr>
        <w:pStyle w:val="BodyText"/>
        <w:spacing w:line="240" w:lineRule="auto" w:before="48"/>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日至</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4"/>
        </w:rPr>
        <w:t>日，公司对激励对象的姓名和职务在公司内部进行了公示，在公示期内，公司监</w:t>
      </w:r>
    </w:p>
    <w:p>
      <w:pPr>
        <w:pStyle w:val="BodyText"/>
        <w:spacing w:line="304" w:lineRule="auto" w:before="63"/>
        <w:ind w:right="0"/>
        <w:jc w:val="left"/>
      </w:pPr>
      <w:r>
        <w:rPr>
          <w:spacing w:val="-3"/>
        </w:rPr>
        <w:t>事会未接到与本激励计划拟激励对象有关的任何异议。</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1"/>
        </w:rPr>
        <w:t> </w:t>
      </w:r>
      <w:r>
        <w:rPr/>
        <w:t>年</w:t>
      </w:r>
      <w:r>
        <w:rPr>
          <w:spacing w:val="-27"/>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27"/>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spacing w:val="-4"/>
        </w:rPr>
        <w:t>日，公司监事会发表了《关于公司</w:t>
      </w:r>
      <w:r>
        <w:rPr>
          <w:spacing w:val="-3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spacing w:val="-3"/>
        </w:rPr>
        <w:t>年股票期权激</w:t>
      </w:r>
      <w:r>
        <w:rPr>
          <w:spacing w:val="-82"/>
        </w:rPr>
        <w:t> </w:t>
      </w:r>
      <w:r>
        <w:rPr>
          <w:spacing w:val="-82"/>
        </w:rPr>
      </w:r>
      <w:r>
        <w:rPr>
          <w:spacing w:val="-7"/>
          <w:w w:val="101"/>
        </w:rPr>
        <w:t>励计划激励对象名单的审核意见及公示情况说明》。</w:t>
      </w:r>
      <w:r>
        <w:rPr>
          <w:spacing w:val="-7"/>
        </w:rPr>
      </w:r>
    </w:p>
    <w:p>
      <w:pPr>
        <w:pStyle w:val="BodyText"/>
        <w:spacing w:line="302" w:lineRule="auto" w:before="61"/>
        <w:ind w:right="1124" w:firstLine="360"/>
        <w:jc w:val="both"/>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10 </w:t>
      </w:r>
      <w:r>
        <w:rPr>
          <w:spacing w:val="-7"/>
        </w:rPr>
        <w:t>日，公司 </w:t>
      </w:r>
      <w:r>
        <w:rPr>
          <w:rFonts w:ascii="Times New Roman" w:hAnsi="Times New Roman" w:cs="Times New Roman" w:eastAsia="Times New Roman" w:hint="default"/>
        </w:rPr>
        <w:t>2018 </w:t>
      </w:r>
      <w:r>
        <w:rPr>
          <w:spacing w:val="-4"/>
        </w:rPr>
        <w:t>年第二次临时股东大会审议并通过了《关于公司</w:t>
      </w:r>
      <w:r>
        <w:rPr>
          <w:rFonts w:ascii="Times New Roman" w:hAnsi="Times New Roman" w:cs="Times New Roman" w:eastAsia="Times New Roman" w:hint="default"/>
          <w:spacing w:val="-4"/>
        </w:rPr>
        <w:t>&lt;2018</w:t>
      </w:r>
      <w:r>
        <w:rPr>
          <w:rFonts w:ascii="Times New Roman" w:hAnsi="Times New Roman" w:cs="Times New Roman" w:eastAsia="Times New Roman" w:hint="default"/>
        </w:rPr>
        <w:t> </w:t>
      </w:r>
      <w:r>
        <w:rPr>
          <w:spacing w:val="-6"/>
        </w:rPr>
        <w:t>年股票期权激励计划（草案）</w:t>
      </w:r>
      <w:r>
        <w:rPr>
          <w:rFonts w:ascii="Times New Roman" w:hAnsi="Times New Roman" w:cs="Times New Roman" w:eastAsia="Times New Roman" w:hint="default"/>
          <w:spacing w:val="-6"/>
        </w:rPr>
        <w:t>&gt;</w:t>
      </w:r>
      <w:r>
        <w:rPr>
          <w:rFonts w:ascii="Times New Roman" w:hAnsi="Times New Roman" w:cs="Times New Roman" w:eastAsia="Times New Roman" w:hint="default"/>
          <w:w w:val="101"/>
        </w:rPr>
        <w:t> </w:t>
      </w:r>
      <w:r>
        <w:rPr>
          <w:spacing w:val="-12"/>
          <w:w w:val="101"/>
        </w:rPr>
        <w:t>及其摘要的议案》、《关于公司</w:t>
      </w:r>
      <w:r>
        <w:rPr>
          <w:rFonts w:ascii="Times New Roman" w:hAnsi="Times New Roman" w:cs="Times New Roman" w:eastAsia="Times New Roman" w:hint="default"/>
          <w:spacing w:val="-12"/>
          <w:w w:val="101"/>
        </w:rPr>
        <w:t>&lt;2018</w:t>
      </w:r>
      <w:r>
        <w:rPr>
          <w:rFonts w:ascii="Times New Roman" w:hAnsi="Times New Roman" w:cs="Times New Roman" w:eastAsia="Times New Roman" w:hint="default"/>
          <w:w w:val="101"/>
        </w:rPr>
        <w:t> </w:t>
      </w:r>
      <w:r>
        <w:rPr>
          <w:spacing w:val="-3"/>
          <w:w w:val="101"/>
        </w:rPr>
        <w:t>年股票期权激励计划实施考核管理办法</w:t>
      </w:r>
      <w:r>
        <w:rPr>
          <w:rFonts w:ascii="Times New Roman" w:hAnsi="Times New Roman" w:cs="Times New Roman" w:eastAsia="Times New Roman" w:hint="default"/>
          <w:spacing w:val="-3"/>
          <w:w w:val="101"/>
        </w:rPr>
        <w:t>&gt;</w:t>
      </w:r>
      <w:r>
        <w:rPr>
          <w:spacing w:val="-3"/>
          <w:w w:val="101"/>
        </w:rPr>
        <w:t>的议案》以及《关于提请股东大会授权董事会</w:t>
      </w:r>
      <w:r>
        <w:rPr>
          <w:spacing w:val="-65"/>
          <w:w w:val="101"/>
        </w:rPr>
        <w:t> </w:t>
      </w:r>
      <w:r>
        <w:rPr>
          <w:spacing w:val="-65"/>
          <w:w w:val="101"/>
        </w:rPr>
      </w:r>
      <w:r>
        <w:rPr>
          <w:spacing w:val="-3"/>
        </w:rPr>
        <w:t>办理股权激励相关事宜的议案，并披露了《关于 </w:t>
      </w:r>
      <w:r>
        <w:rPr>
          <w:rFonts w:ascii="Times New Roman" w:hAnsi="Times New Roman" w:cs="Times New Roman" w:eastAsia="Times New Roman" w:hint="default"/>
        </w:rPr>
        <w:t>2018 </w:t>
      </w:r>
      <w:r>
        <w:rPr>
          <w:spacing w:val="-3"/>
        </w:rPr>
        <w:t>年股票期权激励计划内幕信息知情人及激励对象买卖公司股票情况的</w:t>
      </w:r>
      <w:r>
        <w:rPr>
          <w:spacing w:val="-25"/>
        </w:rPr>
        <w:t> </w:t>
      </w:r>
      <w:r>
        <w:rPr>
          <w:spacing w:val="-25"/>
        </w:rPr>
      </w:r>
      <w:r>
        <w:rPr>
          <w:spacing w:val="-17"/>
          <w:w w:val="101"/>
        </w:rPr>
        <w:t>自查报告》。</w:t>
      </w:r>
      <w:r>
        <w:rPr>
          <w:spacing w:val="-17"/>
        </w:rPr>
      </w:r>
    </w:p>
    <w:p>
      <w:pPr>
        <w:pStyle w:val="BodyText"/>
        <w:spacing w:line="240" w:lineRule="auto" w:before="6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20 </w:t>
      </w:r>
      <w:r>
        <w:rPr>
          <w:spacing w:val="-3"/>
        </w:rPr>
        <w:t>日，公司第三届董事会第十六次会议和第三届监事会第十三次会议审议通过了《关于调整公司</w:t>
      </w:r>
      <w:r>
        <w:rPr>
          <w:spacing w:val="-13"/>
        </w:rPr>
        <w:t> </w:t>
      </w:r>
      <w:r>
        <w:rPr>
          <w:rFonts w:ascii="Times New Roman" w:hAnsi="Times New Roman" w:cs="Times New Roman" w:eastAsia="Times New Roman" w:hint="default"/>
        </w:rPr>
        <w:t>2018</w:t>
      </w:r>
    </w:p>
    <w:p>
      <w:pPr>
        <w:pStyle w:val="BodyText"/>
        <w:spacing w:line="240" w:lineRule="auto" w:before="63"/>
        <w:ind w:right="0"/>
        <w:jc w:val="both"/>
        <w:rPr>
          <w:rFonts w:ascii="Times New Roman" w:hAnsi="Times New Roman" w:cs="Times New Roman" w:eastAsia="Times New Roman" w:hint="default"/>
        </w:rPr>
      </w:pPr>
      <w:r>
        <w:rPr>
          <w:w w:val="101"/>
        </w:rPr>
        <w:t>年</w:t>
      </w:r>
      <w:r>
        <w:rPr>
          <w:spacing w:val="-5"/>
          <w:w w:val="101"/>
        </w:rPr>
        <w:t>股</w:t>
      </w:r>
      <w:r>
        <w:rPr>
          <w:w w:val="101"/>
        </w:rPr>
        <w:t>票</w:t>
      </w:r>
      <w:r>
        <w:rPr>
          <w:spacing w:val="-5"/>
          <w:w w:val="101"/>
        </w:rPr>
        <w:t>期</w:t>
      </w:r>
      <w:r>
        <w:rPr>
          <w:w w:val="101"/>
        </w:rPr>
        <w:t>权</w:t>
      </w:r>
      <w:r>
        <w:rPr>
          <w:spacing w:val="-5"/>
          <w:w w:val="101"/>
        </w:rPr>
        <w:t>激</w:t>
      </w:r>
      <w:r>
        <w:rPr>
          <w:w w:val="101"/>
        </w:rPr>
        <w:t>励</w:t>
      </w:r>
      <w:r>
        <w:rPr>
          <w:spacing w:val="-5"/>
          <w:w w:val="101"/>
        </w:rPr>
        <w:t>计</w:t>
      </w:r>
      <w:r>
        <w:rPr>
          <w:w w:val="101"/>
        </w:rPr>
        <w:t>划</w:t>
      </w:r>
      <w:r>
        <w:rPr>
          <w:spacing w:val="-5"/>
          <w:w w:val="101"/>
        </w:rPr>
        <w:t>相</w:t>
      </w:r>
      <w:r>
        <w:rPr>
          <w:w w:val="101"/>
        </w:rPr>
        <w:t>关</w:t>
      </w:r>
      <w:r>
        <w:rPr>
          <w:spacing w:val="-5"/>
          <w:w w:val="101"/>
        </w:rPr>
        <w:t>事</w:t>
      </w:r>
      <w:r>
        <w:rPr>
          <w:w w:val="101"/>
        </w:rPr>
        <w:t>项</w:t>
      </w:r>
      <w:r>
        <w:rPr>
          <w:spacing w:val="-5"/>
          <w:w w:val="101"/>
        </w:rPr>
        <w:t>的</w:t>
      </w:r>
      <w:r>
        <w:rPr>
          <w:w w:val="101"/>
        </w:rPr>
        <w:t>议</w:t>
      </w:r>
      <w:r>
        <w:rPr>
          <w:spacing w:val="-5"/>
          <w:w w:val="101"/>
        </w:rPr>
        <w:t>案</w:t>
      </w:r>
      <w:r>
        <w:rPr>
          <w:w w:val="101"/>
        </w:rPr>
        <w:t>》</w:t>
      </w:r>
      <w:r>
        <w:rPr>
          <w:spacing w:val="-5"/>
          <w:w w:val="101"/>
        </w:rPr>
        <w:t>及</w:t>
      </w:r>
      <w:r>
        <w:rPr>
          <w:w w:val="101"/>
        </w:rPr>
        <w:t>《</w:t>
      </w:r>
      <w:r>
        <w:rPr>
          <w:spacing w:val="-5"/>
          <w:w w:val="101"/>
        </w:rPr>
        <w:t>关</w:t>
      </w:r>
      <w:r>
        <w:rPr>
          <w:w w:val="101"/>
        </w:rPr>
        <w:t>于向</w:t>
      </w:r>
      <w:r>
        <w:rPr>
          <w:spacing w:val="-46"/>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18</w:t>
      </w:r>
      <w:r>
        <w:rPr>
          <w:rFonts w:ascii="Times New Roman" w:hAnsi="Times New Roman" w:cs="Times New Roman" w:eastAsia="Times New Roman" w:hint="default"/>
          <w:spacing w:val="-2"/>
        </w:rPr>
        <w:t> </w:t>
      </w:r>
      <w:r>
        <w:rPr>
          <w:w w:val="101"/>
        </w:rPr>
        <w:t>年</w:t>
      </w:r>
      <w:r>
        <w:rPr>
          <w:spacing w:val="-5"/>
          <w:w w:val="101"/>
        </w:rPr>
        <w:t>股</w:t>
      </w:r>
      <w:r>
        <w:rPr>
          <w:w w:val="101"/>
        </w:rPr>
        <w:t>票</w:t>
      </w:r>
      <w:r>
        <w:rPr>
          <w:spacing w:val="-5"/>
          <w:w w:val="101"/>
        </w:rPr>
        <w:t>期</w:t>
      </w:r>
      <w:r>
        <w:rPr>
          <w:w w:val="101"/>
        </w:rPr>
        <w:t>权</w:t>
      </w:r>
      <w:r>
        <w:rPr>
          <w:spacing w:val="-5"/>
          <w:w w:val="101"/>
        </w:rPr>
        <w:t>激</w:t>
      </w:r>
      <w:r>
        <w:rPr>
          <w:w w:val="101"/>
        </w:rPr>
        <w:t>励</w:t>
      </w:r>
      <w:r>
        <w:rPr>
          <w:spacing w:val="-5"/>
          <w:w w:val="101"/>
        </w:rPr>
        <w:t>计</w:t>
      </w:r>
      <w:r>
        <w:rPr>
          <w:w w:val="101"/>
        </w:rPr>
        <w:t>划</w:t>
      </w:r>
      <w:r>
        <w:rPr>
          <w:spacing w:val="-5"/>
          <w:w w:val="101"/>
        </w:rPr>
        <w:t>受</w:t>
      </w:r>
      <w:r>
        <w:rPr>
          <w:w w:val="101"/>
        </w:rPr>
        <w:t>激</w:t>
      </w:r>
      <w:r>
        <w:rPr>
          <w:spacing w:val="-5"/>
          <w:w w:val="101"/>
        </w:rPr>
        <w:t>励</w:t>
      </w:r>
      <w:r>
        <w:rPr>
          <w:w w:val="101"/>
        </w:rPr>
        <w:t>对</w:t>
      </w:r>
      <w:r>
        <w:rPr>
          <w:spacing w:val="-5"/>
          <w:w w:val="101"/>
        </w:rPr>
        <w:t>象</w:t>
      </w:r>
      <w:r>
        <w:rPr>
          <w:w w:val="101"/>
        </w:rPr>
        <w:t>授</w:t>
      </w:r>
      <w:r>
        <w:rPr>
          <w:spacing w:val="-5"/>
          <w:w w:val="101"/>
        </w:rPr>
        <w:t>予</w:t>
      </w:r>
      <w:r>
        <w:rPr>
          <w:w w:val="101"/>
        </w:rPr>
        <w:t>股</w:t>
      </w:r>
      <w:r>
        <w:rPr>
          <w:spacing w:val="-5"/>
          <w:w w:val="101"/>
        </w:rPr>
        <w:t>票</w:t>
      </w:r>
      <w:r>
        <w:rPr>
          <w:w w:val="101"/>
        </w:rPr>
        <w:t>期</w:t>
      </w:r>
      <w:r>
        <w:rPr>
          <w:spacing w:val="-5"/>
          <w:w w:val="101"/>
        </w:rPr>
        <w:t>权</w:t>
      </w:r>
      <w:r>
        <w:rPr>
          <w:w w:val="101"/>
        </w:rPr>
        <w:t>的</w:t>
      </w:r>
      <w:r>
        <w:rPr>
          <w:spacing w:val="-5"/>
          <w:w w:val="101"/>
        </w:rPr>
        <w:t>议</w:t>
      </w:r>
      <w:r>
        <w:rPr>
          <w:w w:val="101"/>
        </w:rPr>
        <w:t>案</w:t>
      </w:r>
      <w:r>
        <w:rPr>
          <w:spacing w:val="-92"/>
          <w:w w:val="101"/>
        </w:rPr>
        <w:t>》</w:t>
      </w:r>
      <w:r>
        <w:rPr>
          <w:spacing w:val="-5"/>
          <w:w w:val="101"/>
        </w:rPr>
        <w:t>。</w:t>
      </w:r>
      <w:r>
        <w:rPr>
          <w:w w:val="101"/>
        </w:rPr>
        <w:t>公司</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018</w:t>
      </w:r>
      <w:r>
        <w:rPr>
          <w:rFonts w:ascii="Times New Roman" w:hAnsi="Times New Roman" w:cs="Times New Roman" w:eastAsia="Times New Roman" w:hint="default"/>
        </w:rPr>
      </w:r>
    </w:p>
    <w:p>
      <w:pPr>
        <w:pStyle w:val="BodyText"/>
        <w:spacing w:line="304" w:lineRule="auto" w:before="63"/>
        <w:ind w:right="0"/>
        <w:jc w:val="left"/>
      </w:pPr>
      <w:r>
        <w:rPr/>
        <w:t>年股票期权激励计划授予股票期权</w:t>
      </w:r>
      <w:r>
        <w:rPr>
          <w:spacing w:val="-40"/>
        </w:rPr>
        <w:t> </w:t>
      </w:r>
      <w:r>
        <w:rPr>
          <w:rFonts w:ascii="Times New Roman" w:hAnsi="Times New Roman" w:cs="Times New Roman" w:eastAsia="Times New Roman" w:hint="default"/>
        </w:rPr>
        <w:t>1,198</w:t>
      </w:r>
      <w:r>
        <w:rPr>
          <w:rFonts w:ascii="Times New Roman" w:hAnsi="Times New Roman" w:cs="Times New Roman" w:eastAsia="Times New Roman" w:hint="default"/>
          <w:spacing w:val="5"/>
        </w:rPr>
        <w:t> </w:t>
      </w:r>
      <w:r>
        <w:rPr>
          <w:spacing w:val="-4"/>
        </w:rPr>
        <w:t>万份，行权价格为</w:t>
      </w:r>
      <w:r>
        <w:rPr>
          <w:spacing w:val="-38"/>
        </w:rPr>
        <w:t> </w:t>
      </w:r>
      <w:r>
        <w:rPr>
          <w:rFonts w:ascii="Times New Roman" w:hAnsi="Times New Roman" w:cs="Times New Roman" w:eastAsia="Times New Roman" w:hint="default"/>
        </w:rPr>
        <w:t>15.06</w:t>
      </w:r>
      <w:r>
        <w:rPr>
          <w:rFonts w:ascii="Times New Roman" w:hAnsi="Times New Roman" w:cs="Times New Roman" w:eastAsia="Times New Roman" w:hint="default"/>
          <w:spacing w:val="5"/>
        </w:rPr>
        <w:t> </w:t>
      </w:r>
      <w:r>
        <w:rPr>
          <w:spacing w:val="-4"/>
        </w:rPr>
        <w:t>元</w:t>
      </w:r>
      <w:r>
        <w:rPr>
          <w:rFonts w:ascii="Times New Roman" w:hAnsi="Times New Roman" w:cs="Times New Roman" w:eastAsia="Times New Roman" w:hint="default"/>
          <w:spacing w:val="-4"/>
        </w:rPr>
        <w:t>/</w:t>
      </w:r>
      <w:r>
        <w:rPr>
          <w:spacing w:val="-4"/>
        </w:rPr>
        <w:t>股，授予日为</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spacing w:val="-4"/>
        </w:rPr>
        <w:t>日。公司独立董事对此发</w:t>
      </w:r>
      <w:r>
        <w:rPr>
          <w:spacing w:val="-87"/>
        </w:rPr>
        <w:t> </w:t>
      </w:r>
      <w:r>
        <w:rPr>
          <w:spacing w:val="-87"/>
        </w:rPr>
      </w:r>
      <w:r>
        <w:rPr>
          <w:spacing w:val="-3"/>
        </w:rPr>
        <w:t>表了独立意见，北京国枫律师事务所出具了相关法律意见书。</w:t>
      </w:r>
    </w:p>
    <w:p>
      <w:pPr>
        <w:pStyle w:val="BodyText"/>
        <w:spacing w:line="240" w:lineRule="auto" w:before="66"/>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10"/>
        </w:rPr>
        <w:t>6</w:t>
      </w:r>
      <w:r>
        <w:rPr>
          <w:spacing w:val="-10"/>
        </w:rPr>
        <w:t>、</w:t>
      </w:r>
      <w:r>
        <w:rPr>
          <w:rFonts w:ascii="Times New Roman" w:hAnsi="Times New Roman" w:cs="Times New Roman" w:eastAsia="Times New Roman" w:hint="default"/>
          <w:spacing w:val="-10"/>
        </w:rPr>
        <w:t>2019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26 </w:t>
      </w:r>
      <w:r>
        <w:rPr>
          <w:spacing w:val="-6"/>
        </w:rPr>
        <w:t>日，公司第三届董事会第三十次会议和第三届监事会第二十三次会议审议通过了《关于注销公司</w:t>
      </w:r>
      <w:r>
        <w:rPr>
          <w:spacing w:val="-21"/>
        </w:rPr>
        <w:t> </w:t>
      </w:r>
      <w:r>
        <w:rPr>
          <w:rFonts w:ascii="Times New Roman" w:hAnsi="Times New Roman" w:cs="Times New Roman" w:eastAsia="Times New Roman" w:hint="default"/>
        </w:rPr>
        <w:t>2018</w:t>
      </w:r>
    </w:p>
    <w:p>
      <w:pPr>
        <w:pStyle w:val="BodyText"/>
        <w:spacing w:line="300" w:lineRule="auto" w:before="63"/>
        <w:ind w:right="1041"/>
        <w:jc w:val="both"/>
      </w:pPr>
      <w:r>
        <w:rPr>
          <w:spacing w:val="-5"/>
          <w:w w:val="101"/>
        </w:rPr>
        <w:t>年股票期权激励计划部分已授予股票期权的议案》和《关于公司</w:t>
      </w:r>
      <w:r>
        <w:rPr>
          <w:spacing w:val="-40"/>
          <w:w w:val="101"/>
        </w:rPr>
        <w:t> </w:t>
      </w:r>
      <w:r>
        <w:rPr>
          <w:rFonts w:ascii="Times New Roman" w:hAnsi="Times New Roman" w:cs="Times New Roman" w:eastAsia="Times New Roman" w:hint="default"/>
          <w:w w:val="101"/>
        </w:rPr>
        <w:t>2018</w:t>
      </w:r>
      <w:r>
        <w:rPr>
          <w:rFonts w:ascii="Times New Roman" w:hAnsi="Times New Roman" w:cs="Times New Roman" w:eastAsia="Times New Roman" w:hint="default"/>
          <w:spacing w:val="5"/>
          <w:w w:val="101"/>
        </w:rPr>
        <w:t> </w:t>
      </w:r>
      <w:r>
        <w:rPr>
          <w:spacing w:val="-8"/>
          <w:w w:val="101"/>
        </w:rPr>
        <w:t>年股票期权激励计划第一个行权期可行权的议案》。根</w:t>
      </w:r>
      <w:r>
        <w:rPr>
          <w:spacing w:val="-74"/>
          <w:w w:val="101"/>
        </w:rPr>
        <w:t> </w:t>
      </w:r>
      <w:r>
        <w:rPr>
          <w:spacing w:val="-74"/>
          <w:w w:val="101"/>
        </w:rPr>
      </w:r>
      <w:r>
        <w:rPr>
          <w:spacing w:val="-4"/>
          <w:w w:val="101"/>
        </w:rPr>
        <w:t>据公司《</w:t>
      </w:r>
      <w:r>
        <w:rPr>
          <w:rFonts w:ascii="Times New Roman" w:hAnsi="Times New Roman" w:cs="Times New Roman" w:eastAsia="Times New Roman" w:hint="default"/>
          <w:spacing w:val="-4"/>
          <w:w w:val="101"/>
        </w:rPr>
        <w:t>2018</w:t>
      </w:r>
      <w:r>
        <w:rPr>
          <w:rFonts w:ascii="Times New Roman" w:hAnsi="Times New Roman" w:cs="Times New Roman" w:eastAsia="Times New Roman" w:hint="default"/>
          <w:spacing w:val="-7"/>
          <w:w w:val="101"/>
        </w:rPr>
        <w:t> </w:t>
      </w:r>
      <w:r>
        <w:rPr>
          <w:spacing w:val="-9"/>
          <w:w w:val="101"/>
        </w:rPr>
        <w:t>年股票期权激励计划（草案）》及《</w:t>
      </w:r>
      <w:r>
        <w:rPr>
          <w:rFonts w:ascii="Times New Roman" w:hAnsi="Times New Roman" w:cs="Times New Roman" w:eastAsia="Times New Roman" w:hint="default"/>
          <w:spacing w:val="-9"/>
          <w:w w:val="101"/>
        </w:rPr>
        <w:t>2018</w:t>
      </w:r>
      <w:r>
        <w:rPr>
          <w:rFonts w:ascii="Times New Roman" w:hAnsi="Times New Roman" w:cs="Times New Roman" w:eastAsia="Times New Roman" w:hint="default"/>
          <w:spacing w:val="-2"/>
          <w:w w:val="101"/>
        </w:rPr>
        <w:t> </w:t>
      </w:r>
      <w:r>
        <w:rPr>
          <w:spacing w:val="-3"/>
          <w:w w:val="101"/>
        </w:rPr>
        <w:t>年股票期权激励计划实施考核管理办法》的相关规定以及董事会薪酬</w:t>
      </w:r>
      <w:r>
        <w:rPr>
          <w:spacing w:val="-88"/>
          <w:w w:val="101"/>
        </w:rPr>
        <w:t> </w:t>
      </w:r>
      <w:r>
        <w:rPr>
          <w:spacing w:val="-88"/>
          <w:w w:val="101"/>
        </w:rPr>
      </w:r>
      <w:r>
        <w:rPr/>
        <w:t>与考核委员会对激励对象 </w:t>
      </w:r>
      <w:r>
        <w:rPr>
          <w:rFonts w:ascii="Times New Roman" w:hAnsi="Times New Roman" w:cs="Times New Roman" w:eastAsia="Times New Roman" w:hint="default"/>
        </w:rPr>
        <w:t>2018  </w:t>
      </w:r>
      <w:r>
        <w:rPr>
          <w:spacing w:val="-3"/>
        </w:rPr>
        <w:t>年度绩效考核情况的核实，公司 </w:t>
      </w:r>
      <w:r>
        <w:rPr>
          <w:rFonts w:ascii="Times New Roman" w:hAnsi="Times New Roman" w:cs="Times New Roman" w:eastAsia="Times New Roman" w:hint="default"/>
        </w:rPr>
        <w:t>2018</w:t>
      </w:r>
      <w:r>
        <w:rPr>
          <w:rFonts w:ascii="Times New Roman" w:hAnsi="Times New Roman" w:cs="Times New Roman" w:eastAsia="Times New Roman" w:hint="default"/>
          <w:spacing w:val="-19"/>
        </w:rPr>
        <w:t> </w:t>
      </w:r>
      <w:r>
        <w:rPr>
          <w:spacing w:val="-3"/>
        </w:rPr>
        <w:t>年股票期权激励计划第一个行权期的行权条件已达成；</w:t>
      </w:r>
    </w:p>
    <w:p>
      <w:pPr>
        <w:pStyle w:val="BodyText"/>
        <w:spacing w:line="240" w:lineRule="auto" w:before="13"/>
        <w:ind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2018  </w:t>
      </w:r>
      <w:r>
        <w:rPr>
          <w:spacing w:val="-4"/>
        </w:rPr>
        <w:t>年股票期权激励计划授予日激励对象名单》中，</w:t>
      </w:r>
      <w:r>
        <w:rPr>
          <w:rFonts w:ascii="Times New Roman" w:hAnsi="Times New Roman" w:cs="Times New Roman" w:eastAsia="Times New Roman" w:hint="default"/>
          <w:spacing w:val="-4"/>
        </w:rPr>
        <w:t>2  </w:t>
      </w:r>
      <w:r>
        <w:rPr>
          <w:spacing w:val="-3"/>
        </w:rPr>
        <w:t>名激励对象在等待期内已离职，离职激励对象已授予登记的合计</w:t>
      </w:r>
      <w:r>
        <w:rPr>
          <w:spacing w:val="3"/>
        </w:rPr>
        <w:t> </w:t>
      </w:r>
      <w:r>
        <w:rPr>
          <w:rFonts w:ascii="Times New Roman" w:hAnsi="Times New Roman" w:cs="Times New Roman" w:eastAsia="Times New Roman" w:hint="default"/>
        </w:rPr>
        <w:t>9</w:t>
      </w:r>
    </w:p>
    <w:p>
      <w:pPr>
        <w:pStyle w:val="BodyText"/>
        <w:spacing w:line="240" w:lineRule="auto" w:before="63"/>
        <w:ind w:right="0"/>
        <w:jc w:val="both"/>
      </w:pPr>
      <w:r>
        <w:rPr>
          <w:spacing w:val="-3"/>
        </w:rPr>
        <w:t>万份股票期权拟予以注销，本次注销完成后，公司股票期权激励计划有效期内剩余的股票期权数量为 </w:t>
      </w:r>
      <w:r>
        <w:rPr>
          <w:rFonts w:ascii="Times New Roman" w:hAnsi="Times New Roman" w:cs="Times New Roman" w:eastAsia="Times New Roman" w:hint="default"/>
        </w:rPr>
        <w:t>1,189 </w:t>
      </w:r>
      <w:r>
        <w:rPr>
          <w:rFonts w:ascii="Times New Roman" w:hAnsi="Times New Roman" w:cs="Times New Roman" w:eastAsia="Times New Roman" w:hint="default"/>
          <w:spacing w:val="37"/>
        </w:rPr>
        <w:t> </w:t>
      </w:r>
      <w:r>
        <w:rPr>
          <w:spacing w:val="-5"/>
        </w:rPr>
        <w:t>万份，激励对象</w:t>
      </w:r>
    </w:p>
    <w:p>
      <w:pPr>
        <w:pStyle w:val="BodyText"/>
        <w:spacing w:line="240" w:lineRule="auto" w:before="63"/>
        <w:ind w:right="0"/>
        <w:jc w:val="both"/>
      </w:pPr>
      <w:r>
        <w:rPr/>
        <w:t>调整为 </w:t>
      </w:r>
      <w:r>
        <w:rPr>
          <w:rFonts w:ascii="Times New Roman" w:hAnsi="Times New Roman" w:cs="Times New Roman" w:eastAsia="Times New Roman" w:hint="default"/>
        </w:rPr>
        <w:t>66 </w:t>
      </w:r>
      <w:r>
        <w:rPr>
          <w:spacing w:val="-8"/>
        </w:rPr>
        <w:t>人。</w:t>
      </w:r>
      <w:r>
        <w:rPr>
          <w:rFonts w:ascii="Times New Roman" w:hAnsi="Times New Roman" w:cs="Times New Roman" w:eastAsia="Times New Roman" w:hint="default"/>
          <w:spacing w:val="-8"/>
        </w:rPr>
        <w:t>66 </w:t>
      </w:r>
      <w:r>
        <w:rPr/>
        <w:t>名激励对象经 </w:t>
      </w:r>
      <w:r>
        <w:rPr>
          <w:rFonts w:ascii="Times New Roman" w:hAnsi="Times New Roman" w:cs="Times New Roman" w:eastAsia="Times New Roman" w:hint="default"/>
        </w:rPr>
        <w:t>2018 </w:t>
      </w:r>
      <w:r>
        <w:rPr>
          <w:spacing w:val="-4"/>
        </w:rPr>
        <w:t>年度绩效考核后可行权，第一个行权期可行权股票期权数量为 </w:t>
      </w:r>
      <w:r>
        <w:rPr>
          <w:rFonts w:ascii="Times New Roman" w:hAnsi="Times New Roman" w:cs="Times New Roman" w:eastAsia="Times New Roman" w:hint="default"/>
        </w:rPr>
        <w:t>475.6</w:t>
      </w:r>
      <w:r>
        <w:rPr>
          <w:rFonts w:ascii="Times New Roman" w:hAnsi="Times New Roman" w:cs="Times New Roman" w:eastAsia="Times New Roman" w:hint="default"/>
          <w:spacing w:val="-15"/>
        </w:rPr>
        <w:t> </w:t>
      </w:r>
      <w:r>
        <w:rPr>
          <w:spacing w:val="-7"/>
        </w:rPr>
        <w:t>万份，行权价格为</w:t>
      </w:r>
    </w:p>
    <w:p>
      <w:pPr>
        <w:pStyle w:val="BodyText"/>
        <w:spacing w:line="240" w:lineRule="auto" w:before="67"/>
        <w:ind w:right="0"/>
        <w:jc w:val="both"/>
      </w:pPr>
      <w:r>
        <w:rPr>
          <w:rFonts w:ascii="Times New Roman" w:hAnsi="Times New Roman" w:cs="Times New Roman" w:eastAsia="Times New Roman" w:hint="default"/>
        </w:rPr>
        <w:t>15.06</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股，行权期限自</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8 </w:t>
      </w:r>
      <w:r>
        <w:rPr/>
        <w:t>月</w:t>
      </w:r>
      <w:r>
        <w:rPr>
          <w:spacing w:val="-50"/>
        </w:rPr>
        <w:t> </w:t>
      </w:r>
      <w:r>
        <w:rPr>
          <w:rFonts w:ascii="Times New Roman" w:hAnsi="Times New Roman" w:cs="Times New Roman" w:eastAsia="Times New Roman" w:hint="default"/>
        </w:rPr>
        <w:t>20 </w:t>
      </w:r>
      <w:r>
        <w:rPr/>
        <w:t>日至</w:t>
      </w:r>
      <w:r>
        <w:rPr>
          <w:spacing w:val="-45"/>
        </w:rPr>
        <w:t> </w:t>
      </w:r>
      <w:r>
        <w:rPr>
          <w:rFonts w:ascii="Times New Roman" w:hAnsi="Times New Roman" w:cs="Times New Roman" w:eastAsia="Times New Roman" w:hint="default"/>
        </w:rPr>
        <w:t>2020 </w:t>
      </w:r>
      <w:r>
        <w:rPr/>
        <w:t>年</w:t>
      </w:r>
      <w:r>
        <w:rPr>
          <w:spacing w:val="-45"/>
        </w:rPr>
        <w:t> </w:t>
      </w: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日当日止。</w:t>
      </w:r>
    </w:p>
    <w:p>
      <w:pPr>
        <w:spacing w:after="0" w:line="240" w:lineRule="auto"/>
        <w:jc w:val="both"/>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513" w:right="0"/>
        <w:jc w:val="left"/>
      </w:pPr>
      <w:r>
        <w:rPr>
          <w:spacing w:val="-3"/>
        </w:rPr>
        <w:t>截止报告期末，公司</w:t>
      </w:r>
      <w:r>
        <w:rPr>
          <w:rFonts w:ascii="Times New Roman" w:hAnsi="Times New Roman" w:cs="Times New Roman" w:eastAsia="Times New Roman" w:hint="default"/>
          <w:spacing w:val="-3"/>
        </w:rPr>
        <w:t>2018</w:t>
      </w:r>
      <w:r>
        <w:rPr>
          <w:spacing w:val="-3"/>
        </w:rPr>
        <w:t>年股票期权激励计划已行权股份数量</w:t>
      </w:r>
      <w:r>
        <w:rPr>
          <w:rFonts w:ascii="Times New Roman" w:hAnsi="Times New Roman" w:cs="Times New Roman" w:eastAsia="Times New Roman" w:hint="default"/>
          <w:spacing w:val="-3"/>
        </w:rPr>
        <w:t>426.4</w:t>
      </w:r>
      <w:r>
        <w:rPr>
          <w:spacing w:val="-3"/>
        </w:rPr>
        <w:t>万股。</w:t>
      </w:r>
    </w:p>
    <w:p>
      <w:pPr>
        <w:pStyle w:val="BodyText"/>
        <w:spacing w:line="357" w:lineRule="auto" w:before="101"/>
        <w:ind w:left="513" w:right="0"/>
        <w:jc w:val="left"/>
      </w:pPr>
      <w:r>
        <w:rPr>
          <w:rFonts w:ascii="宋体" w:hAnsi="宋体" w:cs="宋体" w:eastAsia="宋体" w:hint="default"/>
          <w:b/>
          <w:bCs/>
        </w:rPr>
        <w:t>（二）第一期员工持股计划</w:t>
      </w:r>
      <w:r>
        <w:rPr>
          <w:rFonts w:ascii="宋体" w:hAnsi="宋体" w:cs="宋体" w:eastAsia="宋体" w:hint="default"/>
          <w:b/>
          <w:bCs/>
          <w:spacing w:val="-86"/>
        </w:rPr>
        <w:t> </w:t>
      </w:r>
      <w:r>
        <w:rPr>
          <w:rFonts w:ascii="宋体" w:hAnsi="宋体" w:cs="宋体" w:eastAsia="宋体" w:hint="default"/>
          <w:b/>
          <w:bCs/>
          <w:spacing w:val="-86"/>
        </w:rPr>
      </w:r>
      <w:r>
        <w:rPr>
          <w:spacing w:val="-5"/>
        </w:rPr>
        <w:t>为了建立和完善员工、股东的利益共享机制，改善公司治理水平，提高职工的凝聚力和公司竞争力，调动员工的积极性</w:t>
      </w:r>
    </w:p>
    <w:p>
      <w:pPr>
        <w:pStyle w:val="BodyText"/>
        <w:spacing w:line="238" w:lineRule="exact"/>
        <w:ind w:right="0"/>
        <w:jc w:val="left"/>
      </w:pPr>
      <w:r>
        <w:rPr>
          <w:spacing w:val="-5"/>
        </w:rPr>
        <w:t>和创造性，促进公司长期、持续、健康发展，根据证监会相关法律法规，公司于</w:t>
      </w:r>
      <w:r>
        <w:rPr>
          <w:spacing w:val="-3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日召开的</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年第四次临</w:t>
      </w:r>
    </w:p>
    <w:p>
      <w:pPr>
        <w:pStyle w:val="BodyText"/>
        <w:spacing w:line="240" w:lineRule="auto" w:before="63"/>
        <w:ind w:right="0"/>
        <w:jc w:val="left"/>
        <w:rPr>
          <w:rFonts w:ascii="Times New Roman" w:hAnsi="Times New Roman" w:cs="Times New Roman" w:eastAsia="Times New Roman" w:hint="default"/>
        </w:rPr>
      </w:pPr>
      <w:r>
        <w:rPr>
          <w:w w:val="101"/>
        </w:rPr>
        <w:t>时</w:t>
      </w:r>
      <w:r>
        <w:rPr>
          <w:spacing w:val="-5"/>
          <w:w w:val="101"/>
        </w:rPr>
        <w:t>股</w:t>
      </w:r>
      <w:r>
        <w:rPr>
          <w:w w:val="101"/>
        </w:rPr>
        <w:t>东</w:t>
      </w:r>
      <w:r>
        <w:rPr>
          <w:spacing w:val="-5"/>
          <w:w w:val="101"/>
        </w:rPr>
        <w:t>大</w:t>
      </w:r>
      <w:r>
        <w:rPr>
          <w:w w:val="101"/>
        </w:rPr>
        <w:t>会</w:t>
      </w:r>
      <w:r>
        <w:rPr>
          <w:spacing w:val="-5"/>
          <w:w w:val="101"/>
        </w:rPr>
        <w:t>会</w:t>
      </w:r>
      <w:r>
        <w:rPr>
          <w:w w:val="101"/>
        </w:rPr>
        <w:t>议</w:t>
      </w:r>
      <w:r>
        <w:rPr>
          <w:spacing w:val="-5"/>
          <w:w w:val="101"/>
        </w:rPr>
        <w:t>决</w:t>
      </w:r>
      <w:r>
        <w:rPr>
          <w:w w:val="101"/>
        </w:rPr>
        <w:t>议</w:t>
      </w:r>
      <w:r>
        <w:rPr>
          <w:spacing w:val="-5"/>
          <w:w w:val="101"/>
        </w:rPr>
        <w:t>审</w:t>
      </w:r>
      <w:r>
        <w:rPr>
          <w:w w:val="101"/>
        </w:rPr>
        <w:t>议</w:t>
      </w:r>
      <w:r>
        <w:rPr>
          <w:spacing w:val="-5"/>
          <w:w w:val="101"/>
        </w:rPr>
        <w:t>通</w:t>
      </w:r>
      <w:r>
        <w:rPr>
          <w:w w:val="101"/>
        </w:rPr>
        <w:t>过</w:t>
      </w:r>
      <w:r>
        <w:rPr>
          <w:spacing w:val="-15"/>
          <w:w w:val="101"/>
        </w:rPr>
        <w:t>的</w:t>
      </w:r>
      <w:r>
        <w:rPr>
          <w:w w:val="101"/>
        </w:rPr>
        <w:t>《</w:t>
      </w:r>
      <w:r>
        <w:rPr>
          <w:spacing w:val="-5"/>
          <w:w w:val="101"/>
        </w:rPr>
        <w:t>关</w:t>
      </w:r>
      <w:r>
        <w:rPr>
          <w:w w:val="101"/>
        </w:rPr>
        <w:t>于</w:t>
      </w:r>
      <w:r>
        <w:rPr>
          <w:spacing w:val="-5"/>
          <w:w w:val="101"/>
        </w:rPr>
        <w:t>北</w:t>
      </w:r>
      <w:r>
        <w:rPr>
          <w:w w:val="101"/>
        </w:rPr>
        <w:t>京</w:t>
      </w:r>
      <w:r>
        <w:rPr>
          <w:spacing w:val="-5"/>
          <w:w w:val="101"/>
        </w:rPr>
        <w:t>东</w:t>
      </w:r>
      <w:r>
        <w:rPr>
          <w:w w:val="101"/>
        </w:rPr>
        <w:t>方</w:t>
      </w:r>
      <w:r>
        <w:rPr>
          <w:spacing w:val="-5"/>
          <w:w w:val="101"/>
        </w:rPr>
        <w:t>通</w:t>
      </w:r>
      <w:r>
        <w:rPr>
          <w:w w:val="101"/>
        </w:rPr>
        <w:t>科</w:t>
      </w:r>
      <w:r>
        <w:rPr>
          <w:spacing w:val="-5"/>
          <w:w w:val="101"/>
        </w:rPr>
        <w:t>技</w:t>
      </w:r>
      <w:r>
        <w:rPr>
          <w:w w:val="101"/>
        </w:rPr>
        <w:t>股</w:t>
      </w:r>
      <w:r>
        <w:rPr>
          <w:spacing w:val="-5"/>
          <w:w w:val="101"/>
        </w:rPr>
        <w:t>份有</w:t>
      </w:r>
      <w:r>
        <w:rPr>
          <w:w w:val="101"/>
        </w:rPr>
        <w:t>限</w:t>
      </w:r>
      <w:r>
        <w:rPr>
          <w:spacing w:val="-5"/>
          <w:w w:val="101"/>
        </w:rPr>
        <w:t>公</w:t>
      </w:r>
      <w:r>
        <w:rPr>
          <w:w w:val="101"/>
        </w:rPr>
        <w:t>司</w:t>
      </w:r>
      <w:r>
        <w:rPr>
          <w:spacing w:val="-5"/>
          <w:w w:val="101"/>
        </w:rPr>
        <w:t>第</w:t>
      </w:r>
      <w:r>
        <w:rPr>
          <w:w w:val="101"/>
        </w:rPr>
        <w:t>一</w:t>
      </w:r>
      <w:r>
        <w:rPr>
          <w:spacing w:val="-5"/>
          <w:w w:val="101"/>
        </w:rPr>
        <w:t>期</w:t>
      </w:r>
      <w:r>
        <w:rPr>
          <w:w w:val="101"/>
        </w:rPr>
        <w:t>员</w:t>
      </w:r>
      <w:r>
        <w:rPr>
          <w:spacing w:val="-5"/>
          <w:w w:val="101"/>
        </w:rPr>
        <w:t>工</w:t>
      </w:r>
      <w:r>
        <w:rPr>
          <w:w w:val="101"/>
        </w:rPr>
        <w:t>持</w:t>
      </w:r>
      <w:r>
        <w:rPr>
          <w:spacing w:val="-5"/>
          <w:w w:val="101"/>
        </w:rPr>
        <w:t>股</w:t>
      </w:r>
      <w:r>
        <w:rPr>
          <w:w w:val="101"/>
        </w:rPr>
        <w:t>计</w:t>
      </w:r>
      <w:r>
        <w:rPr>
          <w:spacing w:val="-15"/>
          <w:w w:val="101"/>
        </w:rPr>
        <w:t>划</w:t>
      </w:r>
      <w:r>
        <w:rPr>
          <w:w w:val="101"/>
        </w:rPr>
        <w:t>（</w:t>
      </w:r>
      <w:r>
        <w:rPr>
          <w:spacing w:val="-5"/>
          <w:w w:val="101"/>
        </w:rPr>
        <w:t>草</w:t>
      </w:r>
      <w:r>
        <w:rPr>
          <w:w w:val="101"/>
        </w:rPr>
        <w:t>案</w:t>
      </w:r>
      <w:r>
        <w:rPr>
          <w:spacing w:val="-10"/>
          <w:w w:val="101"/>
        </w:rPr>
        <w:t>）</w:t>
      </w:r>
      <w:r>
        <w:rPr>
          <w:spacing w:val="-5"/>
          <w:w w:val="101"/>
        </w:rPr>
        <w:t>及</w:t>
      </w:r>
      <w:r>
        <w:rPr>
          <w:w w:val="101"/>
        </w:rPr>
        <w:t>摘</w:t>
      </w:r>
      <w:r>
        <w:rPr>
          <w:spacing w:val="-5"/>
          <w:w w:val="101"/>
        </w:rPr>
        <w:t>要</w:t>
      </w:r>
      <w:r>
        <w:rPr>
          <w:w w:val="101"/>
        </w:rPr>
        <w:t>的</w:t>
      </w:r>
      <w:r>
        <w:rPr>
          <w:spacing w:val="-5"/>
          <w:w w:val="101"/>
        </w:rPr>
        <w:t>议</w:t>
      </w:r>
      <w:r>
        <w:rPr>
          <w:w w:val="101"/>
        </w:rPr>
        <w:t>案</w:t>
      </w:r>
      <w:r>
        <w:rPr>
          <w:spacing w:val="-96"/>
          <w:w w:val="101"/>
        </w:rPr>
        <w:t>》</w:t>
      </w:r>
      <w:r>
        <w:rPr>
          <w:spacing w:val="-10"/>
          <w:w w:val="101"/>
        </w:rPr>
        <w:t>、</w:t>
      </w:r>
      <w:r>
        <w:rPr>
          <w:w w:val="101"/>
        </w:rPr>
        <w:t>于</w:t>
      </w:r>
      <w:r>
        <w:rPr>
          <w:spacing w:val="-45"/>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20</w:t>
      </w:r>
      <w:r>
        <w:rPr>
          <w:rFonts w:ascii="Times New Roman" w:hAnsi="Times New Roman" w:cs="Times New Roman" w:eastAsia="Times New Roman" w:hint="default"/>
        </w:rPr>
      </w:r>
    </w:p>
    <w:p>
      <w:pPr>
        <w:pStyle w:val="BodyText"/>
        <w:spacing w:line="240" w:lineRule="auto" w:before="63"/>
        <w:ind w:right="0"/>
        <w:jc w:val="left"/>
      </w:pP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2"/>
        </w:rPr>
        <w:t> </w:t>
      </w:r>
      <w:r>
        <w:rPr>
          <w:w w:val="101"/>
        </w:rPr>
        <w:t>日</w:t>
      </w:r>
      <w:r>
        <w:rPr>
          <w:spacing w:val="-5"/>
          <w:w w:val="101"/>
        </w:rPr>
        <w:t>召</w:t>
      </w:r>
      <w:r>
        <w:rPr>
          <w:w w:val="101"/>
        </w:rPr>
        <w:t>开</w:t>
      </w:r>
      <w:r>
        <w:rPr>
          <w:spacing w:val="-5"/>
          <w:w w:val="101"/>
        </w:rPr>
        <w:t>的</w:t>
      </w:r>
      <w:r>
        <w:rPr>
          <w:w w:val="101"/>
        </w:rPr>
        <w:t>第</w:t>
      </w:r>
      <w:r>
        <w:rPr>
          <w:spacing w:val="-5"/>
          <w:w w:val="101"/>
        </w:rPr>
        <w:t>四</w:t>
      </w:r>
      <w:r>
        <w:rPr>
          <w:w w:val="101"/>
        </w:rPr>
        <w:t>届</w:t>
      </w:r>
      <w:r>
        <w:rPr>
          <w:spacing w:val="-5"/>
          <w:w w:val="101"/>
        </w:rPr>
        <w:t>董</w:t>
      </w:r>
      <w:r>
        <w:rPr>
          <w:w w:val="101"/>
        </w:rPr>
        <w:t>事</w:t>
      </w:r>
      <w:r>
        <w:rPr>
          <w:spacing w:val="-5"/>
          <w:w w:val="101"/>
        </w:rPr>
        <w:t>会</w:t>
      </w:r>
      <w:r>
        <w:rPr>
          <w:w w:val="101"/>
        </w:rPr>
        <w:t>第</w:t>
      </w:r>
      <w:r>
        <w:rPr>
          <w:spacing w:val="-5"/>
          <w:w w:val="101"/>
        </w:rPr>
        <w:t>三</w:t>
      </w:r>
      <w:r>
        <w:rPr>
          <w:w w:val="101"/>
        </w:rPr>
        <w:t>次</w:t>
      </w:r>
      <w:r>
        <w:rPr>
          <w:spacing w:val="-5"/>
          <w:w w:val="101"/>
        </w:rPr>
        <w:t>会</w:t>
      </w:r>
      <w:r>
        <w:rPr>
          <w:w w:val="101"/>
        </w:rPr>
        <w:t>议</w:t>
      </w:r>
      <w:r>
        <w:rPr>
          <w:spacing w:val="-5"/>
          <w:w w:val="101"/>
        </w:rPr>
        <w:t>决</w:t>
      </w:r>
      <w:r>
        <w:rPr>
          <w:w w:val="101"/>
        </w:rPr>
        <w:t>议</w:t>
      </w:r>
      <w:r>
        <w:rPr>
          <w:spacing w:val="-5"/>
          <w:w w:val="101"/>
        </w:rPr>
        <w:t>通</w:t>
      </w:r>
      <w:r>
        <w:rPr>
          <w:w w:val="101"/>
        </w:rPr>
        <w:t>过</w:t>
      </w:r>
      <w:r>
        <w:rPr>
          <w:spacing w:val="-44"/>
          <w:w w:val="101"/>
        </w:rPr>
        <w:t>的</w:t>
      </w:r>
      <w:r>
        <w:rPr>
          <w:spacing w:val="-5"/>
          <w:w w:val="101"/>
        </w:rPr>
        <w:t>《</w:t>
      </w:r>
      <w:r>
        <w:rPr>
          <w:w w:val="101"/>
        </w:rPr>
        <w:t>关</w:t>
      </w:r>
      <w:r>
        <w:rPr>
          <w:spacing w:val="-5"/>
          <w:w w:val="101"/>
        </w:rPr>
        <w:t>于</w:t>
      </w:r>
      <w:r>
        <w:rPr>
          <w:w w:val="101"/>
        </w:rPr>
        <w:t>变</w:t>
      </w:r>
      <w:r>
        <w:rPr>
          <w:spacing w:val="-5"/>
          <w:w w:val="101"/>
        </w:rPr>
        <w:t>更</w:t>
      </w:r>
      <w:r>
        <w:rPr>
          <w:w w:val="101"/>
        </w:rPr>
        <w:t>公</w:t>
      </w:r>
      <w:r>
        <w:rPr>
          <w:spacing w:val="-5"/>
          <w:w w:val="101"/>
        </w:rPr>
        <w:t>司</w:t>
      </w:r>
      <w:r>
        <w:rPr>
          <w:w w:val="101"/>
        </w:rPr>
        <w:t>第</w:t>
      </w:r>
      <w:r>
        <w:rPr>
          <w:spacing w:val="-5"/>
          <w:w w:val="101"/>
        </w:rPr>
        <w:t>一</w:t>
      </w:r>
      <w:r>
        <w:rPr>
          <w:w w:val="101"/>
        </w:rPr>
        <w:t>期</w:t>
      </w:r>
      <w:r>
        <w:rPr>
          <w:spacing w:val="-5"/>
          <w:w w:val="101"/>
        </w:rPr>
        <w:t>员</w:t>
      </w:r>
      <w:r>
        <w:rPr>
          <w:w w:val="101"/>
        </w:rPr>
        <w:t>工</w:t>
      </w:r>
      <w:r>
        <w:rPr>
          <w:spacing w:val="-5"/>
          <w:w w:val="101"/>
        </w:rPr>
        <w:t>持</w:t>
      </w:r>
      <w:r>
        <w:rPr>
          <w:w w:val="101"/>
        </w:rPr>
        <w:t>股</w:t>
      </w:r>
      <w:r>
        <w:rPr>
          <w:spacing w:val="-5"/>
          <w:w w:val="101"/>
        </w:rPr>
        <w:t>计</w:t>
      </w:r>
      <w:r>
        <w:rPr>
          <w:w w:val="101"/>
        </w:rPr>
        <w:t>划</w:t>
      </w:r>
      <w:r>
        <w:rPr>
          <w:spacing w:val="-5"/>
          <w:w w:val="101"/>
        </w:rPr>
        <w:t>资</w:t>
      </w:r>
      <w:r>
        <w:rPr>
          <w:w w:val="101"/>
        </w:rPr>
        <w:t>产</w:t>
      </w:r>
      <w:r>
        <w:rPr>
          <w:spacing w:val="-5"/>
          <w:w w:val="101"/>
        </w:rPr>
        <w:t>管</w:t>
      </w:r>
      <w:r>
        <w:rPr>
          <w:w w:val="101"/>
        </w:rPr>
        <w:t>理</w:t>
      </w:r>
      <w:r>
        <w:rPr>
          <w:spacing w:val="-5"/>
          <w:w w:val="101"/>
        </w:rPr>
        <w:t>机</w:t>
      </w:r>
      <w:r>
        <w:rPr>
          <w:w w:val="101"/>
        </w:rPr>
        <w:t>构</w:t>
      </w:r>
      <w:r>
        <w:rPr>
          <w:spacing w:val="-5"/>
          <w:w w:val="101"/>
        </w:rPr>
        <w:t>的</w:t>
      </w:r>
      <w:r>
        <w:rPr>
          <w:w w:val="101"/>
        </w:rPr>
        <w:t>议案</w:t>
      </w:r>
      <w:r>
        <w:rPr>
          <w:spacing w:val="-92"/>
          <w:w w:val="101"/>
        </w:rPr>
        <w:t>》</w:t>
      </w:r>
      <w:r>
        <w:rPr>
          <w:spacing w:val="-48"/>
          <w:w w:val="101"/>
        </w:rPr>
        <w:t>，</w:t>
      </w:r>
      <w:r>
        <w:rPr>
          <w:w w:val="101"/>
        </w:rPr>
        <w:t>相</w:t>
      </w:r>
      <w:r>
        <w:rPr>
          <w:spacing w:val="-5"/>
          <w:w w:val="101"/>
        </w:rPr>
        <w:t>关</w:t>
      </w:r>
      <w:r>
        <w:rPr>
          <w:w w:val="101"/>
        </w:rPr>
        <w:t>议</w:t>
      </w:r>
      <w:r>
        <w:rPr/>
      </w:r>
    </w:p>
    <w:p>
      <w:pPr>
        <w:pStyle w:val="BodyText"/>
        <w:spacing w:line="309" w:lineRule="auto" w:before="63"/>
        <w:ind w:right="1123"/>
        <w:jc w:val="left"/>
      </w:pPr>
      <w:r>
        <w:rPr>
          <w:spacing w:val="-3"/>
        </w:rPr>
        <w:t>案决定对公司及下属子公司在职的员工，总人数不超过 </w:t>
      </w:r>
      <w:r>
        <w:rPr>
          <w:rFonts w:ascii="Times New Roman" w:hAnsi="Times New Roman" w:cs="Times New Roman" w:eastAsia="Times New Roman" w:hint="default"/>
        </w:rPr>
        <w:t>20 </w:t>
      </w:r>
      <w:r>
        <w:rPr>
          <w:spacing w:val="-3"/>
        </w:rPr>
        <w:t>人（其中公司董事、高级管理人员共 </w:t>
      </w:r>
      <w:r>
        <w:rPr>
          <w:rFonts w:ascii="Times New Roman" w:hAnsi="Times New Roman" w:cs="Times New Roman" w:eastAsia="Times New Roman" w:hint="default"/>
        </w:rPr>
        <w:t>4 </w:t>
      </w:r>
      <w:r>
        <w:rPr>
          <w:spacing w:val="-3"/>
        </w:rPr>
        <w:t>名）授予员工持股计划。</w:t>
      </w:r>
      <w:r>
        <w:rPr>
          <w:spacing w:val="-67"/>
        </w:rPr>
        <w:t> </w:t>
      </w:r>
      <w:r>
        <w:rPr>
          <w:spacing w:val="-67"/>
        </w:rPr>
      </w:r>
      <w:r>
        <w:rPr>
          <w:spacing w:val="-4"/>
        </w:rPr>
        <w:t>认购本员工持股计划的资金来源为员工合法薪酬、自筹资金以及法律法规允许的其他合法方式，并将通过信托计划的方式实</w:t>
      </w:r>
      <w:r>
        <w:rPr>
          <w:spacing w:val="43"/>
        </w:rPr>
        <w:t> </w:t>
      </w:r>
      <w:r>
        <w:rPr>
          <w:spacing w:val="43"/>
        </w:rPr>
      </w:r>
      <w:r>
        <w:rPr>
          <w:spacing w:val="-4"/>
        </w:rPr>
        <w:t>现融资，融资资金来源符合法律法规要求，融资资金与自筹资金的杠杆比例不超过 </w:t>
      </w:r>
      <w:r>
        <w:rPr>
          <w:rFonts w:ascii="Times New Roman" w:hAnsi="Times New Roman" w:cs="Times New Roman" w:eastAsia="Times New Roman" w:hint="default"/>
          <w:spacing w:val="-4"/>
        </w:rPr>
        <w:t>1:1</w:t>
      </w:r>
      <w:r>
        <w:rPr>
          <w:spacing w:val="-4"/>
        </w:rPr>
        <w:t>，募集资金总额不超过 </w:t>
      </w:r>
      <w:r>
        <w:rPr>
          <w:rFonts w:ascii="Times New Roman" w:hAnsi="Times New Roman" w:cs="Times New Roman" w:eastAsia="Times New Roman" w:hint="default"/>
        </w:rPr>
        <w:t>16,000 </w:t>
      </w:r>
      <w:r>
        <w:rPr/>
        <w:t>万元人</w:t>
      </w:r>
      <w:r>
        <w:rPr>
          <w:spacing w:val="-66"/>
        </w:rPr>
        <w:t> </w:t>
      </w:r>
      <w:r>
        <w:rPr>
          <w:spacing w:val="-66"/>
        </w:rPr>
      </w:r>
      <w:r>
        <w:rPr>
          <w:spacing w:val="-3"/>
        </w:rPr>
        <w:t>民币。公司员工持股计划股票的主要来源为</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spacing w:val="-3"/>
        </w:rPr>
        <w:t>月至</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9"/>
        </w:rPr>
        <w:t> </w:t>
      </w:r>
      <w:r>
        <w:rPr>
          <w:spacing w:val="-3"/>
        </w:rPr>
        <w:t>月期间公司回购的股票，不超过</w:t>
      </w:r>
      <w:r>
        <w:rPr>
          <w:spacing w:val="-36"/>
        </w:rPr>
        <w:t> </w:t>
      </w:r>
      <w:r>
        <w:rPr>
          <w:rFonts w:ascii="Times New Roman" w:hAnsi="Times New Roman" w:cs="Times New Roman" w:eastAsia="Times New Roman" w:hint="default"/>
        </w:rPr>
        <w:t>10,336,816</w:t>
      </w:r>
      <w:r>
        <w:rPr>
          <w:rFonts w:ascii="Times New Roman" w:hAnsi="Times New Roman" w:cs="Times New Roman" w:eastAsia="Times New Roman" w:hint="default"/>
          <w:spacing w:val="3"/>
        </w:rPr>
        <w:t> </w:t>
      </w:r>
      <w:r>
        <w:rPr/>
        <w:t>股，本员</w:t>
      </w:r>
      <w:r>
        <w:rPr>
          <w:spacing w:val="-81"/>
        </w:rPr>
        <w:t> </w:t>
      </w:r>
      <w:r>
        <w:rPr>
          <w:spacing w:val="-81"/>
        </w:rPr>
      </w:r>
      <w:r>
        <w:rPr>
          <w:spacing w:val="-3"/>
        </w:rPr>
        <w:t>工持股计划中的任一持有人所持有本员工持股计划份额所涉及的标的股票数量不超过公司股本总额的 </w:t>
      </w:r>
      <w:r>
        <w:rPr>
          <w:rFonts w:ascii="Times New Roman" w:hAnsi="Times New Roman" w:cs="Times New Roman" w:eastAsia="Times New Roman" w:hint="default"/>
          <w:spacing w:val="-4"/>
        </w:rPr>
        <w:t>1%</w:t>
      </w:r>
      <w:r>
        <w:rPr>
          <w:spacing w:val="-4"/>
        </w:rPr>
        <w:t>。本次员工持股计</w:t>
      </w:r>
      <w:r>
        <w:rPr>
          <w:spacing w:val="-60"/>
        </w:rPr>
        <w:t> </w:t>
      </w:r>
      <w:r>
        <w:rPr>
          <w:spacing w:val="-60"/>
        </w:rPr>
      </w:r>
      <w:r>
        <w:rPr>
          <w:spacing w:val="-3"/>
        </w:rPr>
        <w:t>划拟受让公司回购股票的价格为 </w:t>
      </w:r>
      <w:r>
        <w:rPr>
          <w:rFonts w:ascii="Times New Roman" w:hAnsi="Times New Roman" w:cs="Times New Roman" w:eastAsia="Times New Roman" w:hint="default"/>
        </w:rPr>
        <w:t>14.52 </w:t>
      </w:r>
      <w:r>
        <w:rPr>
          <w:spacing w:val="-5"/>
        </w:rPr>
        <w:t>元</w:t>
      </w:r>
      <w:r>
        <w:rPr>
          <w:rFonts w:ascii="Times New Roman" w:hAnsi="Times New Roman" w:cs="Times New Roman" w:eastAsia="Times New Roman" w:hint="default"/>
          <w:spacing w:val="-5"/>
        </w:rPr>
        <w:t>/</w:t>
      </w:r>
      <w:r>
        <w:rPr>
          <w:spacing w:val="-5"/>
        </w:rPr>
        <w:t>股。最终参加员工持股计划的员工人数及认购金额根据员工实际缴款情况确定。持</w:t>
      </w:r>
      <w:r>
        <w:rPr>
          <w:spacing w:val="-38"/>
        </w:rPr>
        <w:t> </w:t>
      </w:r>
      <w:r>
        <w:rPr>
          <w:spacing w:val="-38"/>
        </w:rPr>
      </w:r>
      <w:r>
        <w:rPr>
          <w:spacing w:val="-4"/>
        </w:rPr>
        <w:t>有人如未按期、足额缴纳其认购资金的，则视为自动放弃认购相应的认购权利，公司董事会可根据员工实际缴款情况对参加</w:t>
      </w:r>
      <w:r>
        <w:rPr>
          <w:spacing w:val="43"/>
        </w:rPr>
        <w:t> </w:t>
      </w:r>
      <w:r>
        <w:rPr>
          <w:spacing w:val="43"/>
        </w:rPr>
      </w:r>
      <w:r>
        <w:rPr>
          <w:spacing w:val="-4"/>
        </w:rPr>
        <w:t>对象名单及其认购份额进行调整，参加对象的最终人数、名单以及认购员工持股计划的份额以员工实际缴款情况确定。员工</w:t>
      </w:r>
      <w:r>
        <w:rPr>
          <w:spacing w:val="43"/>
        </w:rPr>
        <w:t> </w:t>
      </w:r>
      <w:r>
        <w:rPr>
          <w:spacing w:val="43"/>
        </w:rPr>
      </w:r>
      <w:r>
        <w:rPr>
          <w:spacing w:val="-3"/>
        </w:rPr>
        <w:t>持股计划成立后通过集合信托计划委托首誉光控资产管理有限公司的资产管理计划，受托管理员工持股计划的全部委托资</w:t>
      </w:r>
      <w:r>
        <w:rPr>
          <w:spacing w:val="66"/>
        </w:rPr>
        <w:t> </w:t>
      </w:r>
      <w:r>
        <w:rPr>
          <w:spacing w:val="66"/>
        </w:rPr>
      </w:r>
      <w:r>
        <w:rPr/>
        <w:t>产。</w:t>
      </w:r>
    </w:p>
    <w:p>
      <w:pPr>
        <w:pStyle w:val="BodyText"/>
        <w:spacing w:line="240" w:lineRule="auto" w:before="58"/>
        <w:ind w:left="513" w:right="0"/>
        <w:jc w:val="left"/>
      </w:pPr>
      <w:r>
        <w:rPr>
          <w:rFonts w:ascii="Times New Roman" w:hAnsi="Times New Roman" w:cs="Times New Roman" w:eastAsia="Times New Roman" w:hint="default"/>
          <w:w w:val="101"/>
        </w:rPr>
        <w:t>2020</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23</w:t>
      </w:r>
      <w:r>
        <w:rPr>
          <w:rFonts w:ascii="Times New Roman" w:hAnsi="Times New Roman" w:cs="Times New Roman" w:eastAsia="Times New Roman" w:hint="default"/>
          <w:spacing w:val="-2"/>
        </w:rPr>
        <w:t> </w:t>
      </w:r>
      <w:r>
        <w:rPr>
          <w:spacing w:val="-5"/>
          <w:w w:val="101"/>
        </w:rPr>
        <w:t>日</w:t>
      </w:r>
      <w:r>
        <w:rPr>
          <w:spacing w:val="-10"/>
          <w:w w:val="101"/>
        </w:rPr>
        <w:t>，</w:t>
      </w:r>
      <w:r>
        <w:rPr>
          <w:spacing w:val="-5"/>
          <w:w w:val="101"/>
        </w:rPr>
        <w:t>公</w:t>
      </w:r>
      <w:r>
        <w:rPr>
          <w:w w:val="101"/>
        </w:rPr>
        <w:t>司</w:t>
      </w:r>
      <w:r>
        <w:rPr>
          <w:spacing w:val="-5"/>
          <w:w w:val="101"/>
        </w:rPr>
        <w:t>收</w:t>
      </w:r>
      <w:r>
        <w:rPr>
          <w:w w:val="101"/>
        </w:rPr>
        <w:t>到</w:t>
      </w:r>
      <w:r>
        <w:rPr>
          <w:spacing w:val="-5"/>
          <w:w w:val="101"/>
        </w:rPr>
        <w:t>中</w:t>
      </w:r>
      <w:r>
        <w:rPr>
          <w:w w:val="101"/>
        </w:rPr>
        <w:t>国</w:t>
      </w:r>
      <w:r>
        <w:rPr>
          <w:spacing w:val="-5"/>
          <w:w w:val="101"/>
        </w:rPr>
        <w:t>证</w:t>
      </w:r>
      <w:r>
        <w:rPr>
          <w:w w:val="101"/>
        </w:rPr>
        <w:t>券</w:t>
      </w:r>
      <w:r>
        <w:rPr>
          <w:spacing w:val="-5"/>
          <w:w w:val="101"/>
        </w:rPr>
        <w:t>登</w:t>
      </w:r>
      <w:r>
        <w:rPr>
          <w:w w:val="101"/>
        </w:rPr>
        <w:t>记</w:t>
      </w:r>
      <w:r>
        <w:rPr>
          <w:spacing w:val="-5"/>
          <w:w w:val="101"/>
        </w:rPr>
        <w:t>结</w:t>
      </w:r>
      <w:r>
        <w:rPr>
          <w:w w:val="101"/>
        </w:rPr>
        <w:t>算</w:t>
      </w:r>
      <w:r>
        <w:rPr>
          <w:spacing w:val="-5"/>
          <w:w w:val="101"/>
        </w:rPr>
        <w:t>有</w:t>
      </w:r>
      <w:r>
        <w:rPr>
          <w:w w:val="101"/>
        </w:rPr>
        <w:t>限</w:t>
      </w:r>
      <w:r>
        <w:rPr>
          <w:spacing w:val="-5"/>
          <w:w w:val="101"/>
        </w:rPr>
        <w:t>责</w:t>
      </w:r>
      <w:r>
        <w:rPr>
          <w:w w:val="101"/>
        </w:rPr>
        <w:t>任</w:t>
      </w:r>
      <w:r>
        <w:rPr>
          <w:spacing w:val="-5"/>
          <w:w w:val="101"/>
        </w:rPr>
        <w:t>公司</w:t>
      </w:r>
      <w:r>
        <w:rPr>
          <w:w w:val="101"/>
        </w:rPr>
        <w:t>深</w:t>
      </w:r>
      <w:r>
        <w:rPr>
          <w:spacing w:val="-5"/>
          <w:w w:val="101"/>
        </w:rPr>
        <w:t>圳</w:t>
      </w:r>
      <w:r>
        <w:rPr>
          <w:w w:val="101"/>
        </w:rPr>
        <w:t>分</w:t>
      </w:r>
      <w:r>
        <w:rPr>
          <w:spacing w:val="-5"/>
          <w:w w:val="101"/>
        </w:rPr>
        <w:t>公</w:t>
      </w:r>
      <w:r>
        <w:rPr>
          <w:w w:val="101"/>
        </w:rPr>
        <w:t>司</w:t>
      </w:r>
      <w:r>
        <w:rPr>
          <w:spacing w:val="-5"/>
          <w:w w:val="101"/>
        </w:rPr>
        <w:t>出</w:t>
      </w:r>
      <w:r>
        <w:rPr>
          <w:w w:val="101"/>
        </w:rPr>
        <w:t>具</w:t>
      </w:r>
      <w:r>
        <w:rPr>
          <w:spacing w:val="-10"/>
          <w:w w:val="101"/>
        </w:rPr>
        <w:t>的</w:t>
      </w:r>
      <w:r>
        <w:rPr>
          <w:spacing w:val="-5"/>
          <w:w w:val="101"/>
        </w:rPr>
        <w:t>《</w:t>
      </w:r>
      <w:r>
        <w:rPr>
          <w:w w:val="101"/>
        </w:rPr>
        <w:t>证</w:t>
      </w:r>
      <w:r>
        <w:rPr>
          <w:spacing w:val="-5"/>
          <w:w w:val="101"/>
        </w:rPr>
        <w:t>券</w:t>
      </w:r>
      <w:r>
        <w:rPr>
          <w:w w:val="101"/>
        </w:rPr>
        <w:t>过</w:t>
      </w:r>
      <w:r>
        <w:rPr>
          <w:spacing w:val="-5"/>
          <w:w w:val="101"/>
        </w:rPr>
        <w:t>户</w:t>
      </w:r>
      <w:r>
        <w:rPr>
          <w:w w:val="101"/>
        </w:rPr>
        <w:t>登</w:t>
      </w:r>
      <w:r>
        <w:rPr>
          <w:spacing w:val="-5"/>
          <w:w w:val="101"/>
        </w:rPr>
        <w:t>记</w:t>
      </w:r>
      <w:r>
        <w:rPr>
          <w:w w:val="101"/>
        </w:rPr>
        <w:t>确</w:t>
      </w:r>
      <w:r>
        <w:rPr>
          <w:spacing w:val="-5"/>
          <w:w w:val="101"/>
        </w:rPr>
        <w:t>认</w:t>
      </w:r>
      <w:r>
        <w:rPr>
          <w:w w:val="101"/>
        </w:rPr>
        <w:t>书</w:t>
      </w:r>
      <w:r>
        <w:rPr>
          <w:spacing w:val="-96"/>
          <w:w w:val="101"/>
        </w:rPr>
        <w:t>》</w:t>
      </w:r>
      <w:r>
        <w:rPr>
          <w:spacing w:val="-8"/>
          <w:w w:val="101"/>
        </w:rPr>
        <w:t>，</w:t>
      </w:r>
      <w:r>
        <w:rPr>
          <w:rFonts w:ascii="Times New Roman" w:hAnsi="Times New Roman" w:cs="Times New Roman" w:eastAsia="Times New Roman" w:hint="default"/>
          <w:w w:val="101"/>
        </w:rPr>
        <w:t>“</w:t>
      </w:r>
      <w:r>
        <w:rPr>
          <w:spacing w:val="-5"/>
          <w:w w:val="101"/>
        </w:rPr>
        <w:t>北</w:t>
      </w:r>
      <w:r>
        <w:rPr>
          <w:w w:val="101"/>
        </w:rPr>
        <w:t>京</w:t>
      </w:r>
      <w:r>
        <w:rPr>
          <w:spacing w:val="-5"/>
          <w:w w:val="101"/>
        </w:rPr>
        <w:t>东</w:t>
      </w:r>
      <w:r>
        <w:rPr>
          <w:w w:val="101"/>
        </w:rPr>
        <w:t>方通</w:t>
      </w:r>
      <w:r>
        <w:rPr/>
      </w:r>
    </w:p>
    <w:p>
      <w:pPr>
        <w:pStyle w:val="BodyText"/>
        <w:spacing w:line="302" w:lineRule="auto" w:before="63"/>
        <w:ind w:right="1146"/>
        <w:jc w:val="both"/>
      </w:pPr>
      <w:r>
        <w:rPr>
          <w:spacing w:val="-3"/>
        </w:rPr>
        <w:t>科技股份有限公司回购专用证券账户</w:t>
      </w:r>
      <w:r>
        <w:rPr>
          <w:rFonts w:ascii="Times New Roman" w:hAnsi="Times New Roman" w:cs="Times New Roman" w:eastAsia="Times New Roman" w:hint="default"/>
          <w:spacing w:val="-3"/>
        </w:rPr>
        <w:t>”</w:t>
      </w:r>
      <w:r>
        <w:rPr>
          <w:spacing w:val="-3"/>
        </w:rPr>
        <w:t>所持有的</w:t>
      </w:r>
      <w:r>
        <w:rPr>
          <w:spacing w:val="-30"/>
        </w:rPr>
        <w:t> </w:t>
      </w:r>
      <w:r>
        <w:rPr>
          <w:rFonts w:ascii="Times New Roman" w:hAnsi="Times New Roman" w:cs="Times New Roman" w:eastAsia="Times New Roman" w:hint="default"/>
        </w:rPr>
        <w:t>10,336,816</w:t>
      </w:r>
      <w:r>
        <w:rPr>
          <w:rFonts w:ascii="Times New Roman" w:hAnsi="Times New Roman" w:cs="Times New Roman" w:eastAsia="Times New Roman" w:hint="default"/>
          <w:spacing w:val="9"/>
        </w:rPr>
        <w:t> </w:t>
      </w:r>
      <w:r>
        <w:rPr>
          <w:spacing w:val="-3"/>
        </w:rPr>
        <w:t>股公司回购股票已于</w:t>
      </w:r>
      <w:r>
        <w:rPr>
          <w:spacing w:val="-3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36"/>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spacing w:val="-3"/>
        </w:rPr>
        <w:t>日全部以非交易过户的方式</w:t>
      </w:r>
      <w:r>
        <w:rPr>
          <w:spacing w:val="-83"/>
        </w:rPr>
        <w:t> </w:t>
      </w:r>
      <w:r>
        <w:rPr>
          <w:spacing w:val="-83"/>
        </w:rPr>
      </w:r>
      <w:r>
        <w:rPr>
          <w:spacing w:val="-3"/>
        </w:rPr>
        <w:t>过户至</w:t>
      </w:r>
      <w:r>
        <w:rPr>
          <w:rFonts w:ascii="Times New Roman" w:hAnsi="Times New Roman" w:cs="Times New Roman" w:eastAsia="Times New Roman" w:hint="default"/>
          <w:spacing w:val="-3"/>
        </w:rPr>
        <w:t>“</w:t>
      </w:r>
      <w:r>
        <w:rPr>
          <w:spacing w:val="-3"/>
        </w:rPr>
        <w:t>北京东方通科技股份有限公司</w:t>
      </w:r>
      <w:r>
        <w:rPr>
          <w:rFonts w:ascii="Times New Roman" w:hAnsi="Times New Roman" w:cs="Times New Roman" w:eastAsia="Times New Roman" w:hint="default"/>
          <w:spacing w:val="-3"/>
        </w:rPr>
        <w:t>-</w:t>
      </w:r>
      <w:r>
        <w:rPr>
          <w:spacing w:val="-3"/>
        </w:rPr>
        <w:t>第一期员工持股计划</w:t>
      </w:r>
      <w:r>
        <w:rPr>
          <w:rFonts w:ascii="Times New Roman" w:hAnsi="Times New Roman" w:cs="Times New Roman" w:eastAsia="Times New Roman" w:hint="default"/>
          <w:spacing w:val="-3"/>
        </w:rPr>
        <w:t>”</w:t>
      </w:r>
      <w:r>
        <w:rPr>
          <w:spacing w:val="-3"/>
        </w:rPr>
        <w:t>专户，过户股份数量占公司目前总股本的 </w:t>
      </w:r>
      <w:r>
        <w:rPr>
          <w:rFonts w:ascii="Times New Roman" w:hAnsi="Times New Roman" w:cs="Times New Roman" w:eastAsia="Times New Roman" w:hint="default"/>
        </w:rPr>
        <w:t>3.67%</w:t>
      </w:r>
      <w:r>
        <w:rPr/>
        <w:t>，过户价格为</w:t>
      </w:r>
      <w:r>
        <w:rPr>
          <w:spacing w:val="4"/>
        </w:rPr>
        <w:t> </w:t>
      </w:r>
      <w:r>
        <w:rPr>
          <w:spacing w:val="4"/>
        </w:rPr>
      </w:r>
      <w:r>
        <w:rPr>
          <w:rFonts w:ascii="Times New Roman" w:hAnsi="Times New Roman" w:cs="Times New Roman" w:eastAsia="Times New Roman" w:hint="default"/>
        </w:rPr>
        <w:t>14.52</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33" w:lineRule="auto"/>
        <w:ind w:left="513" w:right="0" w:hanging="360"/>
        <w:jc w:val="left"/>
        <w:rPr>
          <w:rFonts w:ascii="Times New Roman" w:hAnsi="Times New Roman" w:cs="Times New Roman" w:eastAsia="Times New Roman" w:hint="default"/>
        </w:rPr>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11"/>
        </w:rPr>
        <w:t> </w:t>
      </w:r>
      <w:r>
        <w:rPr>
          <w:spacing w:val="11"/>
        </w:rPr>
      </w:r>
      <w:r>
        <w:rPr>
          <w:spacing w:val="-3"/>
        </w:rPr>
        <w:t>报告期内，公司股权激励计划产生的费用合计</w:t>
      </w:r>
      <w:r>
        <w:rPr>
          <w:rFonts w:ascii="Times New Roman" w:hAnsi="Times New Roman" w:cs="Times New Roman" w:eastAsia="Times New Roman" w:hint="default"/>
          <w:spacing w:val="-3"/>
        </w:rPr>
        <w:t>780.32</w:t>
      </w:r>
      <w:r>
        <w:rPr>
          <w:spacing w:val="-3"/>
        </w:rPr>
        <w:t>万元，剔除股权激励费用后归属于上市公司股东的净利润</w:t>
      </w:r>
      <w:r>
        <w:rPr>
          <w:rFonts w:ascii="Times New Roman" w:hAnsi="Times New Roman" w:cs="Times New Roman" w:eastAsia="Times New Roman" w:hint="default"/>
          <w:spacing w:val="-3"/>
        </w:rPr>
        <w:t>14,909.51</w:t>
      </w:r>
    </w:p>
    <w:p>
      <w:pPr>
        <w:pStyle w:val="BodyText"/>
        <w:spacing w:line="234" w:lineRule="exact"/>
        <w:ind w:right="0"/>
        <w:jc w:val="left"/>
      </w:pPr>
      <w:r>
        <w:rPr>
          <w:spacing w:val="-3"/>
        </w:rPr>
        <w:t>万元，股权激励费用占剔除股权激励费用后归属于上市公司股东的净利润的</w:t>
      </w:r>
      <w:r>
        <w:rPr>
          <w:rFonts w:ascii="Times New Roman" w:hAnsi="Times New Roman" w:cs="Times New Roman" w:eastAsia="Times New Roman" w:hint="default"/>
          <w:spacing w:val="-3"/>
        </w:rPr>
        <w:t>5.23%</w:t>
      </w:r>
      <w:r>
        <w:rPr>
          <w:spacing w:val="-3"/>
        </w:rPr>
        <w:t>。其中，核心技术人员股权激励费用为</w:t>
      </w:r>
    </w:p>
    <w:p>
      <w:pPr>
        <w:pStyle w:val="BodyText"/>
        <w:spacing w:line="240" w:lineRule="auto" w:before="63"/>
        <w:ind w:right="0"/>
        <w:jc w:val="left"/>
      </w:pPr>
      <w:r>
        <w:rPr>
          <w:rFonts w:ascii="Times New Roman" w:hAnsi="Times New Roman" w:cs="Times New Roman" w:eastAsia="Times New Roman" w:hint="default"/>
        </w:rPr>
        <w:t>715.18</w:t>
      </w:r>
      <w:r>
        <w:rPr/>
        <w:t>万元，占股权激励总费用的</w:t>
      </w:r>
      <w:r>
        <w:rPr>
          <w:rFonts w:ascii="Times New Roman" w:hAnsi="Times New Roman" w:cs="Times New Roman" w:eastAsia="Times New Roman" w:hint="default"/>
        </w:rPr>
        <w:t>91.65%</w:t>
      </w:r>
      <w:r>
        <w:rPr/>
        <w:t>。</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十五、重大关联交易" w:id="76"/>
      <w:bookmarkEnd w:id="76"/>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7"/>
      <w:bookmarkEnd w:id="7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78"/>
      <w:bookmarkEnd w:id="7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共同对外投资的关联交易" w:id="79"/>
      <w:bookmarkEnd w:id="7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after="0" w:line="343"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left"/>
        <w:rPr>
          <w:b w:val="0"/>
          <w:bCs w:val="0"/>
        </w:rPr>
      </w:pPr>
      <w:bookmarkStart w:name="4、关联债权债务往来" w:id="80"/>
      <w:bookmarkEnd w:id="8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1"/>
      <w:bookmarkEnd w:id="8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托管、承包、租赁事项情况" w:id="83"/>
      <w:bookmarkEnd w:id="8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4"/>
      <w:bookmarkEnd w:id="8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承包情况" w:id="85"/>
      <w:bookmarkEnd w:id="8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3）租赁情况" w:id="86"/>
      <w:bookmarkEnd w:id="8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重大担保" w:id="87"/>
      <w:bookmarkEnd w:id="8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1）担保情况" w:id="88"/>
      <w:bookmarkEnd w:id="88"/>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729"/>
        <w:gridCol w:w="941"/>
        <w:gridCol w:w="941"/>
        <w:gridCol w:w="1316"/>
        <w:gridCol w:w="826"/>
        <w:gridCol w:w="946"/>
        <w:gridCol w:w="994"/>
        <w:gridCol w:w="850"/>
        <w:gridCol w:w="1157"/>
      </w:tblGrid>
      <w:tr>
        <w:trPr>
          <w:trHeight w:val="403" w:hRule="exact"/>
        </w:trPr>
        <w:tc>
          <w:tcPr>
            <w:tcW w:w="970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92"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2" w:hRule="exact"/>
        </w:trPr>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62" w:lineRule="auto"/>
              <w:ind w:left="292" w:right="286" w:firstLine="177"/>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发生日期</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62" w:lineRule="auto"/>
              <w:ind w:left="48" w:right="41" w:firstLine="177"/>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担保金额</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62" w:lineRule="auto"/>
              <w:ind w:left="57" w:right="55" w:firstLine="182"/>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101"/>
                <w:sz w:val="18"/>
                <w:szCs w:val="18"/>
              </w:rPr>
              <w:t> </w:t>
            </w:r>
            <w:r>
              <w:rPr>
                <w:rFonts w:ascii="宋体" w:hAnsi="宋体" w:cs="宋体" w:eastAsia="宋体" w:hint="default"/>
                <w:sz w:val="18"/>
                <w:szCs w:val="18"/>
              </w:rPr>
              <w:t>履行完毕</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62" w:lineRule="auto"/>
              <w:ind w:left="124" w:right="118" w:firstLine="177"/>
              <w:jc w:val="left"/>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w w:val="101"/>
                <w:sz w:val="18"/>
                <w:szCs w:val="18"/>
              </w:rPr>
              <w:t> </w:t>
            </w:r>
            <w:r>
              <w:rPr>
                <w:rFonts w:ascii="宋体" w:hAnsi="宋体" w:cs="宋体" w:eastAsia="宋体" w:hint="default"/>
                <w:spacing w:val="-2"/>
                <w:sz w:val="18"/>
                <w:szCs w:val="18"/>
              </w:rPr>
              <w:t>关联方担保</w:t>
            </w:r>
          </w:p>
        </w:tc>
      </w:tr>
      <w:tr>
        <w:trPr>
          <w:trHeight w:val="639" w:hRule="exact"/>
        </w:trPr>
        <w:tc>
          <w:tcPr>
            <w:tcW w:w="1729" w:type="dxa"/>
            <w:tcBorders>
              <w:top w:val="single" w:sz="4" w:space="0" w:color="000000"/>
              <w:left w:val="single" w:sz="4" w:space="0" w:color="000000"/>
              <w:bottom w:val="single" w:sz="8" w:space="0" w:color="D2D2D2"/>
              <w:right w:val="single" w:sz="4" w:space="0" w:color="000000"/>
            </w:tcBorders>
          </w:tcPr>
          <w:p>
            <w:pPr>
              <w:pStyle w:val="TableParagraph"/>
              <w:spacing w:line="316" w:lineRule="auto" w:before="16"/>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北京东方通科技股份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41"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before="1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26"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20,000</w:t>
            </w:r>
          </w:p>
        </w:tc>
        <w:tc>
          <w:tcPr>
            <w:tcW w:w="946" w:type="dxa"/>
            <w:tcBorders>
              <w:top w:val="single" w:sz="4" w:space="0" w:color="000000"/>
              <w:left w:val="single" w:sz="4" w:space="0" w:color="000000"/>
              <w:bottom w:val="single" w:sz="8" w:space="0" w:color="D2D2D2"/>
              <w:right w:val="single" w:sz="4" w:space="0" w:color="000000"/>
            </w:tcBorders>
          </w:tcPr>
          <w:p>
            <w:pPr>
              <w:pStyle w:val="TableParagraph"/>
              <w:spacing w:line="316" w:lineRule="auto" w:before="16"/>
              <w:ind w:left="23" w:right="185"/>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6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p>
        </w:tc>
        <w:tc>
          <w:tcPr>
            <w:tcW w:w="22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w:t>
            </w:r>
          </w:p>
        </w:tc>
        <w:tc>
          <w:tcPr>
            <w:tcW w:w="30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29"/>
        <w:gridCol w:w="933"/>
        <w:gridCol w:w="949"/>
        <w:gridCol w:w="1324"/>
        <w:gridCol w:w="1068"/>
        <w:gridCol w:w="115"/>
        <w:gridCol w:w="569"/>
        <w:gridCol w:w="361"/>
        <w:gridCol w:w="1063"/>
        <w:gridCol w:w="807"/>
        <w:gridCol w:w="783"/>
      </w:tblGrid>
      <w:tr>
        <w:trPr>
          <w:trHeight w:val="360"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73" w:type="dxa"/>
            <w:gridSpan w:val="2"/>
            <w:tcBorders>
              <w:top w:val="single" w:sz="4" w:space="0" w:color="000000"/>
              <w:left w:val="single" w:sz="10" w:space="0" w:color="D2D2D2"/>
              <w:bottom w:val="single" w:sz="4" w:space="0" w:color="000000"/>
              <w:right w:val="single" w:sz="13" w:space="0" w:color="D2D2D2"/>
            </w:tcBorders>
          </w:tcPr>
          <w:p>
            <w:pPr/>
          </w:p>
        </w:tc>
        <w:tc>
          <w:tcPr>
            <w:tcW w:w="17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6" w:right="0"/>
              <w:jc w:val="left"/>
              <w:rPr>
                <w:rFonts w:ascii="宋体" w:hAnsi="宋体" w:cs="宋体" w:eastAsia="宋体" w:hint="default"/>
                <w:sz w:val="18"/>
                <w:szCs w:val="18"/>
              </w:rPr>
            </w:pPr>
            <w:r>
              <w:rPr>
                <w:rFonts w:ascii="宋体" w:hAnsi="宋体" w:cs="宋体" w:eastAsia="宋体" w:hint="default"/>
                <w:spacing w:val="-3"/>
                <w:sz w:val="18"/>
                <w:szCs w:val="18"/>
              </w:rPr>
              <w:t>际发生额合计（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3014" w:type="dxa"/>
            <w:gridSpan w:val="4"/>
            <w:tcBorders>
              <w:top w:val="single" w:sz="4" w:space="0" w:color="000000"/>
              <w:left w:val="single" w:sz="13" w:space="0" w:color="D2D2D2"/>
              <w:bottom w:val="single" w:sz="4" w:space="0" w:color="000000"/>
              <w:right w:val="single" w:sz="4" w:space="0" w:color="000000"/>
            </w:tcBorders>
          </w:tcPr>
          <w:p>
            <w:pPr/>
          </w:p>
        </w:tc>
      </w:tr>
      <w:tr>
        <w:trPr>
          <w:trHeight w:val="721"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00"/>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27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w:t>
            </w:r>
          </w:p>
        </w:tc>
        <w:tc>
          <w:tcPr>
            <w:tcW w:w="17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6" w:right="101"/>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3014"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394" w:hRule="exact"/>
        </w:trPr>
        <w:tc>
          <w:tcPr>
            <w:tcW w:w="970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54" w:hRule="exact"/>
        </w:trPr>
        <w:tc>
          <w:tcPr>
            <w:tcW w:w="1729" w:type="dxa"/>
            <w:vMerge w:val="restart"/>
            <w:tcBorders>
              <w:top w:val="single" w:sz="4" w:space="0" w:color="000000"/>
              <w:left w:val="single" w:sz="4" w:space="0" w:color="000000"/>
              <w:right w:val="single" w:sz="4" w:space="0" w:color="000000"/>
            </w:tcBorders>
            <w:shd w:val="clear" w:color="auto" w:fill="D2D2D2"/>
          </w:tcPr>
          <w:p>
            <w:pPr/>
          </w:p>
        </w:tc>
        <w:tc>
          <w:tcPr>
            <w:tcW w:w="9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05" w:right="9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49" w:type="dxa"/>
            <w:vMerge w:val="restart"/>
            <w:tcBorders>
              <w:top w:val="single" w:sz="4" w:space="0" w:color="000000"/>
              <w:left w:val="single" w:sz="4" w:space="0" w:color="000000"/>
              <w:right w:val="single" w:sz="4" w:space="0" w:color="000000"/>
            </w:tcBorders>
            <w:shd w:val="clear" w:color="auto" w:fill="D2D2D2"/>
          </w:tcPr>
          <w:p>
            <w:pPr/>
          </w:p>
        </w:tc>
        <w:tc>
          <w:tcPr>
            <w:tcW w:w="1324" w:type="dxa"/>
            <w:vMerge w:val="restart"/>
            <w:tcBorders>
              <w:top w:val="single" w:sz="4" w:space="0" w:color="000000"/>
              <w:left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gridSpan w:val="3"/>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729"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49" w:type="dxa"/>
            <w:vMerge/>
            <w:tcBorders>
              <w:left w:val="single" w:sz="4" w:space="0" w:color="000000"/>
              <w:bottom w:val="nil" w:sz="6" w:space="0" w:color="auto"/>
              <w:right w:val="single" w:sz="4" w:space="0" w:color="000000"/>
            </w:tcBorders>
            <w:shd w:val="clear" w:color="auto" w:fill="D2D2D2"/>
          </w:tcPr>
          <w:p>
            <w:pPr/>
          </w:p>
        </w:tc>
        <w:tc>
          <w:tcPr>
            <w:tcW w:w="1324"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362" w:lineRule="auto" w:before="44"/>
              <w:ind w:left="164" w:right="166" w:firstLine="182"/>
              <w:jc w:val="left"/>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w w:val="101"/>
                <w:sz w:val="18"/>
                <w:szCs w:val="18"/>
              </w:rPr>
              <w:t> </w:t>
            </w:r>
            <w:r>
              <w:rPr>
                <w:rFonts w:ascii="宋体" w:hAnsi="宋体" w:cs="宋体" w:eastAsia="宋体" w:hint="default"/>
                <w:sz w:val="18"/>
                <w:szCs w:val="18"/>
              </w:rPr>
              <w:t>担保金额</w:t>
            </w:r>
          </w:p>
        </w:tc>
        <w:tc>
          <w:tcPr>
            <w:tcW w:w="1045" w:type="dxa"/>
            <w:gridSpan w:val="3"/>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3"/>
              <w:ind w:left="215" w:right="31"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3" w:type="dxa"/>
            <w:vMerge/>
            <w:tcBorders>
              <w:left w:val="single" w:sz="4" w:space="0" w:color="000000"/>
              <w:right w:val="single" w:sz="4" w:space="0" w:color="000000"/>
            </w:tcBorders>
            <w:shd w:val="clear" w:color="auto" w:fill="D2D2D2"/>
          </w:tcPr>
          <w:p>
            <w:pPr/>
          </w:p>
        </w:tc>
        <w:tc>
          <w:tcPr>
            <w:tcW w:w="9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8" w:type="dxa"/>
            <w:vMerge/>
            <w:tcBorders>
              <w:left w:val="single" w:sz="4" w:space="0" w:color="000000"/>
              <w:right w:val="single" w:sz="4" w:space="0" w:color="000000"/>
            </w:tcBorders>
            <w:shd w:val="clear" w:color="auto" w:fill="D2D2D2"/>
          </w:tcPr>
          <w:p>
            <w:pPr/>
          </w:p>
        </w:tc>
        <w:tc>
          <w:tcPr>
            <w:tcW w:w="104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6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7"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63" w:hRule="exact"/>
        </w:trPr>
        <w:tc>
          <w:tcPr>
            <w:tcW w:w="1729" w:type="dxa"/>
            <w:vMerge w:val="restart"/>
            <w:tcBorders>
              <w:top w:val="nil" w:sz="6" w:space="0" w:color="auto"/>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49" w:type="dxa"/>
            <w:vMerge w:val="restart"/>
            <w:tcBorders>
              <w:top w:val="nil" w:sz="6" w:space="0" w:color="auto"/>
              <w:left w:val="single" w:sz="4" w:space="0" w:color="000000"/>
              <w:right w:val="single" w:sz="4" w:space="0" w:color="000000"/>
            </w:tcBorders>
            <w:shd w:val="clear" w:color="auto" w:fill="D2D2D2"/>
          </w:tcPr>
          <w:p>
            <w:pPr/>
          </w:p>
        </w:tc>
        <w:tc>
          <w:tcPr>
            <w:tcW w:w="1324" w:type="dxa"/>
            <w:vMerge w:val="restart"/>
            <w:tcBorders>
              <w:top w:val="nil" w:sz="6" w:space="0" w:color="auto"/>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045" w:type="dxa"/>
            <w:gridSpan w:val="3"/>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807"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54" w:hRule="exact"/>
        </w:trPr>
        <w:tc>
          <w:tcPr>
            <w:tcW w:w="1729" w:type="dxa"/>
            <w:vMerge/>
            <w:tcBorders>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949" w:type="dxa"/>
            <w:vMerge/>
            <w:tcBorders>
              <w:left w:val="single" w:sz="4" w:space="0" w:color="000000"/>
              <w:bottom w:val="single" w:sz="4" w:space="0" w:color="000000"/>
              <w:right w:val="single" w:sz="4" w:space="0" w:color="000000"/>
            </w:tcBorders>
            <w:shd w:val="clear" w:color="auto" w:fill="D2D2D2"/>
          </w:tcPr>
          <w:p>
            <w:pPr/>
          </w:p>
        </w:tc>
        <w:tc>
          <w:tcPr>
            <w:tcW w:w="1324"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gridSpan w:val="3"/>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1" w:hRule="exact"/>
        </w:trPr>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北京微智信业科技有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3,000</w:t>
            </w:r>
          </w:p>
        </w:tc>
        <w:tc>
          <w:tcPr>
            <w:tcW w:w="1324"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3,000</w:t>
            </w:r>
          </w:p>
        </w:tc>
        <w:tc>
          <w:tcPr>
            <w:tcW w:w="1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07"/>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00"/>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7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21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6" w:right="102"/>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5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r>
      <w:tr>
        <w:trPr>
          <w:trHeight w:val="721"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00"/>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7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21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6" w:right="102"/>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5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94" w:hRule="exact"/>
        </w:trPr>
        <w:tc>
          <w:tcPr>
            <w:tcW w:w="970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15"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7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21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6" w:right="102"/>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5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w:t>
            </w:r>
          </w:p>
        </w:tc>
      </w:tr>
      <w:tr>
        <w:trPr>
          <w:trHeight w:val="720" w:hRule="exact"/>
        </w:trPr>
        <w:tc>
          <w:tcPr>
            <w:tcW w:w="26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7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w:t>
            </w:r>
          </w:p>
        </w:tc>
        <w:tc>
          <w:tcPr>
            <w:tcW w:w="21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6" w:right="102"/>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5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23,000</w:t>
            </w:r>
          </w:p>
        </w:tc>
      </w:tr>
      <w:tr>
        <w:trPr>
          <w:trHeight w:val="398" w:hRule="exact"/>
        </w:trPr>
        <w:tc>
          <w:tcPr>
            <w:tcW w:w="61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3582"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w:t>
            </w:r>
          </w:p>
        </w:tc>
      </w:tr>
      <w:tr>
        <w:trPr>
          <w:trHeight w:val="403" w:hRule="exact"/>
        </w:trPr>
        <w:tc>
          <w:tcPr>
            <w:tcW w:w="970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98" w:hRule="exact"/>
        </w:trPr>
        <w:tc>
          <w:tcPr>
            <w:tcW w:w="61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的被担保对象提供的债务担保余额（</w:t>
            </w:r>
            <w:r>
              <w:rPr>
                <w:rFonts w:ascii="Times New Roman" w:hAnsi="Times New Roman" w:cs="Times New Roman" w:eastAsia="Times New Roman" w:hint="default"/>
                <w:spacing w:val="-3"/>
                <w:sz w:val="18"/>
                <w:szCs w:val="18"/>
              </w:rPr>
              <w:t>E</w:t>
            </w:r>
            <w:r>
              <w:rPr>
                <w:rFonts w:ascii="宋体" w:hAnsi="宋体" w:cs="宋体" w:eastAsia="宋体" w:hint="default"/>
                <w:spacing w:val="-3"/>
                <w:sz w:val="18"/>
                <w:szCs w:val="18"/>
              </w:rPr>
              <w:t>）</w:t>
            </w:r>
          </w:p>
        </w:tc>
        <w:tc>
          <w:tcPr>
            <w:tcW w:w="3582"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违规对外担保情况" w:id="89"/>
      <w:bookmarkEnd w:id="89"/>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公司报告期不存在委托理财。</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after="0" w:line="338"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both"/>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十七、社会责任情况" w:id="94"/>
      <w:bookmarkEnd w:id="94"/>
      <w:r>
        <w:rPr>
          <w:b w:val="0"/>
          <w:bCs w:val="0"/>
        </w:rPr>
      </w:r>
      <w:r>
        <w:rPr/>
        <w:t>十七、社会责任情况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both"/>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302" w:lineRule="auto"/>
        <w:ind w:right="1128" w:firstLine="422"/>
        <w:jc w:val="both"/>
      </w:pPr>
      <w:r>
        <w:rPr>
          <w:spacing w:val="-4"/>
        </w:rPr>
        <w:t>公司一直以</w:t>
      </w:r>
      <w:r>
        <w:rPr>
          <w:rFonts w:ascii="Times New Roman" w:hAnsi="Times New Roman" w:cs="Times New Roman" w:eastAsia="Times New Roman" w:hint="default"/>
          <w:spacing w:val="-4"/>
        </w:rPr>
        <w:t>“</w:t>
      </w:r>
      <w:r>
        <w:rPr>
          <w:spacing w:val="-4"/>
        </w:rPr>
        <w:t>发展以中间件为核心的民族基础软件，为客户创造价值、为员工创造幸福、为股东创造利益、为社会做出</w:t>
      </w:r>
      <w:r>
        <w:rPr>
          <w:w w:val="101"/>
        </w:rPr>
        <w:t> </w:t>
      </w:r>
      <w:r>
        <w:rPr>
          <w:spacing w:val="-3"/>
        </w:rPr>
        <w:t>贡献</w:t>
      </w:r>
      <w:r>
        <w:rPr>
          <w:rFonts w:ascii="Times New Roman" w:hAnsi="Times New Roman" w:cs="Times New Roman" w:eastAsia="Times New Roman" w:hint="default"/>
          <w:spacing w:val="-3"/>
        </w:rPr>
        <w:t>”</w:t>
      </w:r>
      <w:r>
        <w:rPr>
          <w:spacing w:val="-3"/>
        </w:rPr>
        <w:t>为使命，秉持</w:t>
      </w:r>
      <w:r>
        <w:rPr>
          <w:rFonts w:ascii="Times New Roman" w:hAnsi="Times New Roman" w:cs="Times New Roman" w:eastAsia="Times New Roman" w:hint="default"/>
          <w:spacing w:val="-3"/>
        </w:rPr>
        <w:t>“</w:t>
      </w:r>
      <w:r>
        <w:rPr>
          <w:spacing w:val="-3"/>
        </w:rPr>
        <w:t>责任、信任、创新、共赢</w:t>
      </w:r>
      <w:r>
        <w:rPr>
          <w:rFonts w:ascii="Times New Roman" w:hAnsi="Times New Roman" w:cs="Times New Roman" w:eastAsia="Times New Roman" w:hint="default"/>
          <w:spacing w:val="-3"/>
        </w:rPr>
        <w:t>”</w:t>
      </w:r>
      <w:r>
        <w:rPr>
          <w:spacing w:val="-3"/>
        </w:rPr>
        <w:t>的核心价值观，不断创新、精益求精，追求企业、员工与社会的和谐发展。</w:t>
      </w:r>
      <w:r>
        <w:rPr>
          <w:spacing w:val="68"/>
        </w:rPr>
        <w:t> </w:t>
      </w:r>
      <w:r>
        <w:rPr>
          <w:spacing w:val="68"/>
        </w:rPr>
      </w:r>
      <w:r>
        <w:rPr>
          <w:spacing w:val="-3"/>
        </w:rPr>
        <w:t>积极履行企业应尽的义务，承担社会责任。</w:t>
      </w:r>
    </w:p>
    <w:p>
      <w:pPr>
        <w:pStyle w:val="BodyText"/>
        <w:spacing w:line="319" w:lineRule="auto" w:before="63"/>
        <w:ind w:right="0" w:firstLine="422"/>
        <w:jc w:val="left"/>
      </w:pPr>
      <w:r>
        <w:rPr>
          <w:rFonts w:ascii="宋体" w:hAnsi="宋体" w:cs="宋体" w:eastAsia="宋体" w:hint="default"/>
          <w:spacing w:val="-4"/>
        </w:rPr>
        <w:t>(1)</w:t>
      </w:r>
      <w:r>
        <w:rPr>
          <w:spacing w:val="-4"/>
        </w:rPr>
        <w:t>公司严格按照坚持《公司法》、《证券法》、《股票上市规则》等法律法规、部门规章、规范性文件和公司章程的</w:t>
      </w:r>
      <w:r>
        <w:rPr>
          <w:w w:val="101"/>
        </w:rPr>
        <w:t> </w:t>
      </w:r>
      <w:r>
        <w:rPr>
          <w:spacing w:val="-5"/>
        </w:rPr>
        <w:t>规定，坚持规范运作，真实、准确、完整、及时公平地向所有股东进行信息披露；依法召开股东大会，积极主动的采取网络</w:t>
      </w:r>
      <w:r>
        <w:rPr>
          <w:spacing w:val="4"/>
        </w:rPr>
        <w:t> </w:t>
      </w:r>
      <w:r>
        <w:rPr>
          <w:spacing w:val="4"/>
        </w:rPr>
      </w:r>
      <w:r>
        <w:rPr>
          <w:spacing w:val="-3"/>
        </w:rPr>
        <w:t>投票等方式扩大股东参与股东大会的比例，不断完善内控体系和法人治理结构，以维护全体股东，特别是中小股东的利益。</w:t>
      </w:r>
      <w:r>
        <w:rPr>
          <w:spacing w:val="66"/>
        </w:rPr>
        <w:t> </w:t>
      </w:r>
      <w:r>
        <w:rPr>
          <w:spacing w:val="66"/>
        </w:rPr>
      </w:r>
      <w:r>
        <w:rPr>
          <w:spacing w:val="-4"/>
        </w:rPr>
        <w:t>同时，通过网上业绩说明会、投资者电话专线、电子邮箱和投资者关系互动平台、接待投资者现场调研等多种方式与投资者</w:t>
      </w:r>
      <w:r>
        <w:rPr>
          <w:spacing w:val="40"/>
        </w:rPr>
        <w:t> </w:t>
      </w:r>
      <w:r>
        <w:rPr>
          <w:spacing w:val="40"/>
        </w:rPr>
      </w:r>
      <w:r>
        <w:rPr>
          <w:spacing w:val="-4"/>
        </w:rPr>
        <w:t>进行沟通交流，提高了公司的透明度和诚信度。通过回复日常投资者咨询、接受投资者来访与调研、召开业绩说明会等多种</w:t>
      </w:r>
      <w:r>
        <w:rPr>
          <w:spacing w:val="40"/>
        </w:rPr>
        <w:t> </w:t>
      </w:r>
      <w:r>
        <w:rPr>
          <w:spacing w:val="40"/>
        </w:rPr>
      </w:r>
      <w:r>
        <w:rPr>
          <w:spacing w:val="-6"/>
        </w:rPr>
        <w:t>形式，不断加深投资者对公司发展战略、运营情况、管理团队、未来发展等情况的了解，增强投资者对公司的认同度。同时，</w:t>
      </w:r>
      <w:r>
        <w:rPr>
          <w:spacing w:val="63"/>
        </w:rPr>
        <w:t> </w:t>
      </w:r>
      <w:r>
        <w:rPr>
          <w:spacing w:val="63"/>
        </w:rPr>
      </w:r>
      <w:r>
        <w:rPr>
          <w:spacing w:val="-3"/>
        </w:rPr>
        <w:t>公司非常重视对投资者的合理回报，制定了相对稳定的利润分配政策和分红方案以回报股东。</w:t>
      </w:r>
    </w:p>
    <w:p>
      <w:pPr>
        <w:pStyle w:val="BodyText"/>
        <w:spacing w:line="352" w:lineRule="auto" w:before="60"/>
        <w:ind w:left="575" w:right="0"/>
        <w:jc w:val="left"/>
      </w:pPr>
      <w:r>
        <w:rPr>
          <w:rFonts w:ascii="宋体" w:hAnsi="宋体" w:cs="宋体" w:eastAsia="宋体" w:hint="default"/>
          <w:spacing w:val="-3"/>
        </w:rPr>
        <w:t>2020</w:t>
      </w:r>
      <w:r>
        <w:rPr>
          <w:spacing w:val="-3"/>
        </w:rPr>
        <w:t>年一季度，爆发新冠肺炎疫情，公司积极履行社会责任，向疫情严重的湖北省相关医疗机构捐助呼吸机等物资。</w:t>
      </w:r>
      <w:r>
        <w:rPr>
          <w:spacing w:val="66"/>
        </w:rPr>
        <w:t> </w:t>
      </w:r>
      <w:r>
        <w:rPr>
          <w:spacing w:val="66"/>
        </w:rPr>
      </w:r>
      <w:r>
        <w:rPr>
          <w:rFonts w:ascii="宋体" w:hAnsi="宋体" w:cs="宋体" w:eastAsia="宋体" w:hint="default"/>
          <w:spacing w:val="-3"/>
        </w:rPr>
        <w:t>(2)</w:t>
      </w:r>
      <w:r>
        <w:rPr>
          <w:spacing w:val="-3"/>
        </w:rPr>
        <w:t>公司一直坚持以人为本的人才理念，实施企业人才战略，严格遵守《劳动法》、《劳动合同法》等相关法律法规，</w:t>
      </w:r>
    </w:p>
    <w:p>
      <w:pPr>
        <w:pStyle w:val="BodyText"/>
        <w:spacing w:line="319" w:lineRule="auto"/>
        <w:ind w:right="1124"/>
        <w:jc w:val="both"/>
      </w:pPr>
      <w:r>
        <w:rPr>
          <w:spacing w:val="-4"/>
        </w:rPr>
        <w:t>与所有员工签订《劳动合同》，为员工办理医疗、养老、失业、工伤、生育等社会保险，依法为员工缴纳保险费用。公司严</w:t>
      </w:r>
      <w:r>
        <w:rPr>
          <w:spacing w:val="40"/>
        </w:rPr>
        <w:t> </w:t>
      </w:r>
      <w:r>
        <w:rPr>
          <w:spacing w:val="40"/>
        </w:rPr>
      </w:r>
      <w:r>
        <w:rPr>
          <w:spacing w:val="-4"/>
        </w:rPr>
        <w:t>格遵守《工会法》，按照有关规定建立工会组织，支持工会依法开展工作，保障员工依法行使民主管理的权利。通过多种途</w:t>
      </w:r>
      <w:r>
        <w:rPr>
          <w:spacing w:val="40"/>
        </w:rPr>
        <w:t> </w:t>
      </w:r>
      <w:r>
        <w:rPr>
          <w:spacing w:val="40"/>
        </w:rPr>
      </w:r>
      <w:r>
        <w:rPr>
          <w:spacing w:val="-3"/>
        </w:rPr>
        <w:t>径和方式提高员工的生活质量，为员工创造、提供广阔的发展平台和施展个人才华的机会，促进员工与企业的共同进步。</w:t>
      </w:r>
    </w:p>
    <w:p>
      <w:pPr>
        <w:pStyle w:val="BodyText"/>
        <w:spacing w:line="321" w:lineRule="auto" w:before="51"/>
        <w:ind w:right="1023" w:firstLine="422"/>
        <w:jc w:val="left"/>
      </w:pPr>
      <w:r>
        <w:rPr>
          <w:rFonts w:ascii="宋体" w:hAnsi="宋体" w:cs="宋体" w:eastAsia="宋体" w:hint="default"/>
          <w:spacing w:val="-5"/>
          <w:w w:val="101"/>
        </w:rPr>
        <w:t>(3)</w:t>
      </w:r>
      <w:r>
        <w:rPr>
          <w:spacing w:val="-5"/>
          <w:w w:val="101"/>
        </w:rPr>
        <w:t>公司始终将依法经营作为公司运行的基本原则，注重企业经济效益与社会效益的同步共赢。公司严格遵守国家法律、</w:t>
      </w:r>
      <w:r>
        <w:rPr>
          <w:w w:val="101"/>
        </w:rPr>
        <w:t> </w:t>
      </w:r>
      <w:r>
        <w:rPr>
          <w:spacing w:val="-3"/>
        </w:rPr>
        <w:t>法规、政策的规定，及时缴纳各项税款，积极发展就业，促进当地经济的发展。</w:t>
      </w:r>
    </w:p>
    <w:p>
      <w:pPr>
        <w:spacing w:line="240" w:lineRule="auto" w:before="13"/>
        <w:rPr>
          <w:rFonts w:ascii="宋体" w:hAnsi="宋体" w:cs="宋体" w:eastAsia="宋体" w:hint="default"/>
          <w:sz w:val="21"/>
          <w:szCs w:val="21"/>
        </w:rPr>
      </w:pPr>
    </w:p>
    <w:p>
      <w:pPr>
        <w:pStyle w:val="Heading4"/>
        <w:spacing w:line="240" w:lineRule="auto"/>
        <w:ind w:right="0"/>
        <w:jc w:val="both"/>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spacing w:val="-3"/>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4935"/>
        <w:jc w:val="left"/>
      </w:pPr>
      <w:r>
        <w:rPr>
          <w:spacing w:val="-3"/>
        </w:rPr>
        <w:t>上市公司及其子公司是否属于环境保护部门公布的重点排污单位</w:t>
      </w:r>
      <w:r>
        <w:rPr>
          <w:spacing w:val="-9"/>
        </w:rPr>
        <w:t> </w:t>
      </w:r>
      <w:r>
        <w:rPr>
          <w:spacing w:val="-9"/>
        </w:rPr>
      </w:r>
      <w:r>
        <w:rPr/>
        <w:t>不适用</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43"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公司报告期不存在需要说明的其他重大事项。</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both"/>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043" w:right="0"/>
        <w:jc w:val="left"/>
        <w:rPr>
          <w:b w:val="0"/>
          <w:bCs w:val="0"/>
        </w:rPr>
      </w:pPr>
      <w:bookmarkStart w:name="_TOC_250007" w:id="100"/>
      <w:bookmarkStart w:name="第六节股份变动及股东情况" w:id="101"/>
      <w:r>
        <w:rPr>
          <w:b w:val="0"/>
          <w:bCs w:val="0"/>
        </w:rPr>
      </w:r>
      <w:r>
        <w:rPr/>
        <w:t>第六节股份变动及股东情况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156"/>
        <w:gridCol w:w="967"/>
        <w:gridCol w:w="759"/>
        <w:gridCol w:w="773"/>
        <w:gridCol w:w="739"/>
        <w:gridCol w:w="754"/>
        <w:gridCol w:w="927"/>
        <w:gridCol w:w="927"/>
        <w:gridCol w:w="956"/>
        <w:gridCol w:w="730"/>
      </w:tblGrid>
      <w:tr>
        <w:trPr>
          <w:trHeight w:val="398" w:hRule="exact"/>
        </w:trPr>
        <w:tc>
          <w:tcPr>
            <w:tcW w:w="21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6"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156" w:type="dxa"/>
            <w:vMerge w:val="restart"/>
            <w:tcBorders>
              <w:top w:val="nil" w:sz="6" w:space="0" w:color="auto"/>
              <w:left w:val="single" w:sz="4" w:space="0" w:color="000000"/>
              <w:right w:val="single" w:sz="4" w:space="0" w:color="000000"/>
            </w:tcBorders>
            <w:shd w:val="clear" w:color="auto" w:fill="D2D2D2"/>
          </w:tcPr>
          <w:p>
            <w:pP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92" w:right="94"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56" w:type="dxa"/>
            <w:vMerge/>
            <w:tcBorders>
              <w:left w:val="single" w:sz="4" w:space="0" w:color="000000"/>
              <w:bottom w:val="nil" w:sz="6" w:space="0" w:color="auto"/>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54"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56" w:type="dxa"/>
            <w:vMerge w:val="restart"/>
            <w:tcBorders>
              <w:top w:val="nil" w:sz="6" w:space="0" w:color="auto"/>
              <w:left w:val="single" w:sz="4" w:space="0" w:color="000000"/>
              <w:right w:val="single" w:sz="4" w:space="0" w:color="000000"/>
            </w:tcBorders>
            <w:shd w:val="clear" w:color="auto" w:fill="D2D2D2"/>
          </w:tcPr>
          <w:p>
            <w:pPr/>
          </w:p>
        </w:tc>
        <w:tc>
          <w:tcPr>
            <w:tcW w:w="967" w:type="dxa"/>
            <w:vMerge/>
            <w:tcBorders>
              <w:left w:val="single" w:sz="4" w:space="0" w:color="000000"/>
              <w:bottom w:val="nil" w:sz="6" w:space="0" w:color="auto"/>
              <w:right w:val="single" w:sz="4" w:space="0" w:color="000000"/>
            </w:tcBorders>
            <w:shd w:val="clear" w:color="auto" w:fill="D2D2D2"/>
          </w:tcPr>
          <w:p>
            <w:pPr/>
          </w:p>
        </w:tc>
        <w:tc>
          <w:tcPr>
            <w:tcW w:w="759"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77,533,251</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27.99%</w:t>
            </w:r>
          </w:p>
        </w:tc>
        <w:tc>
          <w:tcPr>
            <w:tcW w:w="7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-28,925,610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-28,925,610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48,607,641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17.28%</w:t>
            </w:r>
          </w:p>
        </w:tc>
      </w:tr>
      <w:tr>
        <w:trPr>
          <w:trHeight w:val="403"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77,533,251</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27.99%</w:t>
            </w:r>
          </w:p>
        </w:tc>
        <w:tc>
          <w:tcPr>
            <w:tcW w:w="7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-28,925,610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-28,925,610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48,607,641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17.28%</w:t>
            </w:r>
          </w:p>
        </w:tc>
      </w:tr>
      <w:tr>
        <w:trPr>
          <w:trHeight w:val="398"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25,470,654</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9.19%</w:t>
            </w:r>
          </w:p>
        </w:tc>
        <w:tc>
          <w:tcPr>
            <w:tcW w:w="7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-25,470,654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-25,470,654</w:t>
            </w:r>
          </w:p>
        </w:tc>
        <w:tc>
          <w:tcPr>
            <w:tcW w:w="95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52,062,597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18.79%</w:t>
            </w:r>
          </w:p>
        </w:tc>
        <w:tc>
          <w:tcPr>
            <w:tcW w:w="77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-3,454,956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-3,454,956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48,607,641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17.28%</w:t>
            </w:r>
          </w:p>
        </w:tc>
      </w:tr>
      <w:tr>
        <w:trPr>
          <w:trHeight w:val="403"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199,498,457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72.01%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4,264,000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28,925,610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33,189,610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232,688,067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82.72%</w:t>
            </w:r>
          </w:p>
        </w:tc>
      </w:tr>
      <w:tr>
        <w:trPr>
          <w:trHeight w:val="404"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199,498,457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72.01%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4,264,000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28,925,610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33,189,610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232,688,067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82.72%</w:t>
            </w:r>
          </w:p>
        </w:tc>
      </w:tr>
      <w:tr>
        <w:trPr>
          <w:trHeight w:val="398" w:hRule="exact"/>
        </w:trPr>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277,031,708</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4,264,000</w:t>
            </w:r>
          </w:p>
        </w:tc>
        <w:tc>
          <w:tcPr>
            <w:tcW w:w="739"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281,295,708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right="0"/>
        <w:jc w:val="both"/>
      </w:pPr>
      <w:r>
        <w:rPr>
          <w:spacing w:val="-3"/>
        </w:rPr>
        <w:t>股份变动的原因</w:t>
      </w:r>
    </w:p>
    <w:p>
      <w:pPr>
        <w:pStyle w:val="BodyText"/>
        <w:spacing w:line="240" w:lineRule="auto" w:before="119"/>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513" w:right="0"/>
        <w:jc w:val="left"/>
      </w:pPr>
      <w:r>
        <w:rPr>
          <w:rFonts w:ascii="Times New Roman" w:hAnsi="Times New Roman" w:cs="Times New Roman" w:eastAsia="Times New Roman" w:hint="default"/>
          <w:spacing w:val="-3"/>
        </w:rPr>
        <w:t>1</w:t>
      </w:r>
      <w:r>
        <w:rPr>
          <w:spacing w:val="-3"/>
        </w:rPr>
        <w:t>、公司非公开发行股份于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日解除限售，有限售条件股份减少</w:t>
      </w:r>
      <w:r>
        <w:rPr>
          <w:rFonts w:ascii="Times New Roman" w:hAnsi="Times New Roman" w:cs="Times New Roman" w:eastAsia="Times New Roman" w:hint="default"/>
          <w:spacing w:val="-3"/>
        </w:rPr>
        <w:t>45,704,688</w:t>
      </w:r>
      <w:r>
        <w:rPr>
          <w:spacing w:val="-3"/>
        </w:rPr>
        <w:t>股；</w:t>
      </w:r>
      <w:r>
        <w:rPr/>
      </w:r>
    </w:p>
    <w:p>
      <w:pPr>
        <w:pStyle w:val="BodyText"/>
        <w:spacing w:line="304" w:lineRule="auto" w:before="101"/>
        <w:ind w:right="0" w:firstLine="360"/>
        <w:jc w:val="left"/>
      </w:pPr>
      <w:r>
        <w:rPr>
          <w:rFonts w:ascii="Times New Roman" w:hAnsi="Times New Roman" w:cs="Times New Roman" w:eastAsia="Times New Roman" w:hint="default"/>
          <w:spacing w:val="-3"/>
        </w:rPr>
        <w:t>2</w:t>
      </w:r>
      <w:r>
        <w:rPr>
          <w:spacing w:val="-3"/>
        </w:rPr>
        <w:t>、根据公司董事、高级管理人员</w:t>
      </w:r>
      <w:r>
        <w:rPr>
          <w:rFonts w:ascii="Times New Roman" w:hAnsi="Times New Roman" w:cs="Times New Roman" w:eastAsia="Times New Roman" w:hint="default"/>
          <w:spacing w:val="-3"/>
        </w:rPr>
        <w:t>“</w:t>
      </w:r>
      <w:r>
        <w:rPr>
          <w:spacing w:val="-3"/>
        </w:rPr>
        <w:t>任职期间每年转让的股份不超过其持有公司股份总数的</w:t>
      </w:r>
      <w:r>
        <w:rPr>
          <w:rFonts w:ascii="Times New Roman" w:hAnsi="Times New Roman" w:cs="Times New Roman" w:eastAsia="Times New Roman" w:hint="default"/>
          <w:spacing w:val="-3"/>
        </w:rPr>
        <w:t>25%”</w:t>
      </w:r>
      <w:r>
        <w:rPr>
          <w:spacing w:val="-3"/>
        </w:rPr>
        <w:t>的规定，高管锁定股份</w:t>
      </w:r>
      <w:r>
        <w:rPr>
          <w:w w:val="101"/>
        </w:rPr>
        <w:t> </w:t>
      </w:r>
      <w:r>
        <w:rPr/>
        <w:t>增加</w:t>
      </w:r>
      <w:r>
        <w:rPr>
          <w:rFonts w:ascii="Times New Roman" w:hAnsi="Times New Roman" w:cs="Times New Roman" w:eastAsia="Times New Roman" w:hint="default"/>
        </w:rPr>
        <w:t>16,779,078</w:t>
      </w:r>
      <w:r>
        <w:rPr/>
        <w:t>股；</w:t>
      </w:r>
    </w:p>
    <w:p>
      <w:pPr>
        <w:pStyle w:val="BodyText"/>
        <w:spacing w:line="338" w:lineRule="auto" w:before="47"/>
        <w:ind w:right="0" w:firstLine="36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2018</w:t>
      </w:r>
      <w:r>
        <w:rPr>
          <w:spacing w:val="-3"/>
        </w:rPr>
        <w:t>年股票期权激励计划进入第一个行权期，截止报告期末，已行权股份数量</w:t>
      </w:r>
      <w:r>
        <w:rPr>
          <w:rFonts w:ascii="Times New Roman" w:hAnsi="Times New Roman" w:cs="Times New Roman" w:eastAsia="Times New Roman" w:hint="default"/>
          <w:spacing w:val="-3"/>
        </w:rPr>
        <w:t>4,264,000</w:t>
      </w:r>
      <w:r>
        <w:rPr>
          <w:spacing w:val="-3"/>
        </w:rPr>
        <w:t>股，均为无限售条件股份。</w:t>
      </w:r>
      <w:r>
        <w:rPr>
          <w:w w:val="101"/>
        </w:rPr>
        <w:t> </w:t>
      </w:r>
      <w:r>
        <w:rPr>
          <w:spacing w:val="-3"/>
        </w:rPr>
        <w:t>股份变动的批准情况</w:t>
      </w:r>
    </w:p>
    <w:p>
      <w:pPr>
        <w:pStyle w:val="BodyText"/>
        <w:spacing w:line="240" w:lineRule="auto" w:before="46"/>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left="513"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14</w:t>
      </w:r>
      <w:r>
        <w:rPr>
          <w:spacing w:val="-3"/>
        </w:rPr>
        <w:t>日，北京东方通科技股份有限公司（以下简称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）取得中国证券监督管理委员会出具的</w:t>
      </w:r>
    </w:p>
    <w:p>
      <w:pPr>
        <w:pStyle w:val="BodyText"/>
        <w:spacing w:line="302" w:lineRule="auto" w:before="63"/>
        <w:ind w:right="1127"/>
        <w:jc w:val="both"/>
      </w:pPr>
      <w:r>
        <w:rPr>
          <w:spacing w:val="-3"/>
        </w:rPr>
        <w:t>《关于核准北京东方通科技股份有限公司非公开发行股票的批复》（证监许可【</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805</w:t>
      </w:r>
      <w:r>
        <w:rPr>
          <w:spacing w:val="-3"/>
        </w:rPr>
        <w:t>号），核准公司以非公开发行股</w:t>
      </w:r>
      <w:r>
        <w:rPr>
          <w:spacing w:val="80"/>
        </w:rPr>
        <w:t> </w:t>
      </w:r>
      <w:r>
        <w:rPr>
          <w:spacing w:val="80"/>
        </w:rPr>
      </w:r>
      <w:r>
        <w:rPr>
          <w:spacing w:val="-3"/>
        </w:rPr>
        <w:t>票的方式向长安平安富贵东方通资产管理计划、平安汇通星通资本定向投资</w:t>
      </w:r>
      <w:r>
        <w:rPr>
          <w:rFonts w:ascii="Times New Roman" w:hAnsi="Times New Roman" w:cs="Times New Roman" w:eastAsia="Times New Roman" w:hint="default"/>
          <w:spacing w:val="-3"/>
        </w:rPr>
        <w:t>4</w:t>
      </w:r>
      <w:r>
        <w:rPr>
          <w:spacing w:val="-3"/>
        </w:rPr>
        <w:t>号资产管理计划、兴全沈惠中特定客户资产管</w:t>
      </w:r>
      <w:r>
        <w:rPr>
          <w:spacing w:val="71"/>
        </w:rPr>
        <w:t> </w:t>
      </w:r>
      <w:r>
        <w:rPr>
          <w:spacing w:val="71"/>
        </w:rPr>
      </w:r>
      <w:r>
        <w:rPr>
          <w:spacing w:val="-3"/>
        </w:rPr>
        <w:t>理计划、朱曼及黄永军共计五名特定投资者发行</w:t>
      </w:r>
      <w:r>
        <w:rPr>
          <w:rFonts w:ascii="Times New Roman" w:hAnsi="Times New Roman" w:cs="Times New Roman" w:eastAsia="Times New Roman" w:hint="default"/>
          <w:spacing w:val="-3"/>
        </w:rPr>
        <w:t>22,852,344</w:t>
      </w:r>
      <w:r>
        <w:rPr>
          <w:spacing w:val="-3"/>
        </w:rPr>
        <w:t>股人民币普通股（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5</w:t>
      </w:r>
      <w:r>
        <w:rPr>
          <w:spacing w:val="-3"/>
        </w:rPr>
        <w:t>日，公司召开</w:t>
      </w:r>
      <w:r>
        <w:rPr>
          <w:rFonts w:ascii="Times New Roman" w:hAnsi="Times New Roman" w:cs="Times New Roman" w:eastAsia="Times New Roman" w:hint="default"/>
          <w:spacing w:val="-3"/>
        </w:rPr>
        <w:t>2016</w:t>
      </w:r>
      <w:r>
        <w:rPr>
          <w:spacing w:val="-3"/>
        </w:rPr>
        <w:t>年度股</w:t>
      </w:r>
      <w:r>
        <w:rPr>
          <w:spacing w:val="13"/>
        </w:rPr>
        <w:t> </w:t>
      </w:r>
      <w:r>
        <w:rPr>
          <w:spacing w:val="13"/>
        </w:rPr>
      </w:r>
      <w:r>
        <w:rPr>
          <w:spacing w:val="-3"/>
        </w:rPr>
        <w:t>东大会，审议通过了《</w:t>
      </w:r>
      <w:r>
        <w:rPr>
          <w:rFonts w:ascii="Times New Roman" w:hAnsi="Times New Roman" w:cs="Times New Roman" w:eastAsia="Times New Roman" w:hint="default"/>
          <w:spacing w:val="-3"/>
        </w:rPr>
        <w:t>2016</w:t>
      </w:r>
      <w:r>
        <w:rPr>
          <w:spacing w:val="-3"/>
        </w:rPr>
        <w:t>年年度权益分派方案》：以公司现有总股本</w:t>
      </w:r>
      <w:r>
        <w:rPr>
          <w:rFonts w:ascii="Times New Roman" w:hAnsi="Times New Roman" w:cs="Times New Roman" w:eastAsia="Times New Roman" w:hint="default"/>
          <w:spacing w:val="-3"/>
        </w:rPr>
        <w:t>138,515,854</w:t>
      </w:r>
      <w:r>
        <w:rPr>
          <w:spacing w:val="-3"/>
        </w:rPr>
        <w:t>股为基数，向全体股东每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2.00</w:t>
      </w:r>
      <w:r>
        <w:rPr>
          <w:spacing w:val="-3"/>
        </w:rPr>
        <w:t>元人</w:t>
      </w:r>
      <w:r>
        <w:rPr>
          <w:spacing w:val="54"/>
        </w:rPr>
        <w:t> </w:t>
      </w:r>
      <w:r>
        <w:rPr>
          <w:spacing w:val="-3"/>
        </w:rPr>
        <w:t>民币现金（含税），同时，以资本公积金向全体股东每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日该权益分派方案已实施完毕。根据认</w:t>
      </w:r>
      <w:r>
        <w:rPr>
          <w:spacing w:val="-2"/>
        </w:rPr>
        <w:t> </w:t>
      </w:r>
      <w:r>
        <w:rPr>
          <w:spacing w:val="-2"/>
        </w:rPr>
      </w:r>
      <w:r>
        <w:rPr>
          <w:spacing w:val="-6"/>
          <w:w w:val="101"/>
        </w:rPr>
        <w:t>购公司非公开发行所发行股份时，所作出承诺：</w:t>
      </w:r>
      <w:r>
        <w:rPr>
          <w:rFonts w:ascii="Times New Roman" w:hAnsi="Times New Roman" w:cs="Times New Roman" w:eastAsia="Times New Roman" w:hint="default"/>
          <w:spacing w:val="-6"/>
          <w:w w:val="101"/>
        </w:rPr>
        <w:t>“</w:t>
      </w:r>
      <w:r>
        <w:rPr>
          <w:spacing w:val="-6"/>
          <w:w w:val="101"/>
        </w:rPr>
        <w:t>自本次非公开发行结束之日起</w:t>
      </w:r>
      <w:r>
        <w:rPr>
          <w:rFonts w:ascii="Times New Roman" w:hAnsi="Times New Roman" w:cs="Times New Roman" w:eastAsia="Times New Roman" w:hint="default"/>
          <w:spacing w:val="-6"/>
          <w:w w:val="101"/>
        </w:rPr>
        <w:t>36</w:t>
      </w:r>
      <w:r>
        <w:rPr>
          <w:spacing w:val="-6"/>
          <w:w w:val="101"/>
        </w:rPr>
        <w:t>个月内不得转让。</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7</w:t>
      </w:r>
      <w:r>
        <w:rPr>
          <w:spacing w:val="-6"/>
          <w:w w:val="101"/>
        </w:rPr>
        <w:t>月</w:t>
      </w:r>
      <w:r>
        <w:rPr>
          <w:rFonts w:ascii="Times New Roman" w:hAnsi="Times New Roman" w:cs="Times New Roman" w:eastAsia="Times New Roman" w:hint="default"/>
          <w:spacing w:val="-6"/>
          <w:w w:val="101"/>
        </w:rPr>
        <w:t>29</w:t>
      </w:r>
      <w:r>
        <w:rPr>
          <w:spacing w:val="-6"/>
          <w:w w:val="101"/>
        </w:rPr>
        <w:t>日</w:t>
      </w:r>
      <w:r>
        <w:rPr>
          <w:rFonts w:ascii="Times New Roman" w:hAnsi="Times New Roman" w:cs="Times New Roman" w:eastAsia="Times New Roman" w:hint="default"/>
          <w:spacing w:val="-6"/>
          <w:w w:val="101"/>
        </w:rPr>
        <w:t>45,704,688</w:t>
      </w:r>
      <w:r>
        <w:rPr>
          <w:rFonts w:ascii="Times New Roman" w:hAnsi="Times New Roman" w:cs="Times New Roman" w:eastAsia="Times New Roman" w:hint="default"/>
          <w:spacing w:val="-31"/>
          <w:w w:val="101"/>
        </w:rPr>
        <w:t> </w:t>
      </w:r>
      <w:r>
        <w:rPr>
          <w:rFonts w:ascii="Times New Roman" w:hAnsi="Times New Roman" w:cs="Times New Roman" w:eastAsia="Times New Roman" w:hint="default"/>
          <w:spacing w:val="-31"/>
          <w:w w:val="101"/>
        </w:rPr>
      </w:r>
      <w:r>
        <w:rPr>
          <w:spacing w:val="-3"/>
        </w:rPr>
        <w:t>股非公开发行限售股份解禁。</w:t>
      </w:r>
    </w:p>
    <w:p>
      <w:pPr>
        <w:pStyle w:val="BodyText"/>
        <w:spacing w:line="300" w:lineRule="auto" w:before="63"/>
        <w:ind w:right="0" w:firstLine="36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26</w:t>
      </w:r>
      <w:r>
        <w:rPr>
          <w:spacing w:val="-3"/>
        </w:rPr>
        <w:t>日，公司第三届董事会第三十次会议和第三届监事会第二十三次会议审议通过了《关于注销公司</w:t>
      </w:r>
      <w:r>
        <w:rPr>
          <w:rFonts w:ascii="Times New Roman" w:hAnsi="Times New Roman" w:cs="Times New Roman" w:eastAsia="Times New Roman" w:hint="default"/>
          <w:spacing w:val="-3"/>
        </w:rPr>
        <w:t>2018</w:t>
      </w:r>
      <w:r>
        <w:rPr>
          <w:rFonts w:ascii="Times New Roman" w:hAnsi="Times New Roman" w:cs="Times New Roman" w:eastAsia="Times New Roman" w:hint="default"/>
          <w:w w:val="101"/>
        </w:rPr>
        <w:t> </w:t>
      </w:r>
      <w:r>
        <w:rPr>
          <w:spacing w:val="-5"/>
        </w:rPr>
        <w:t>年股票期权激励计划部分已授予股票期权的议案》和《关于公司</w:t>
      </w:r>
      <w:r>
        <w:rPr>
          <w:rFonts w:ascii="Times New Roman" w:hAnsi="Times New Roman" w:cs="Times New Roman" w:eastAsia="Times New Roman" w:hint="default"/>
          <w:spacing w:val="-5"/>
        </w:rPr>
        <w:t>2018</w:t>
      </w:r>
      <w:r>
        <w:rPr>
          <w:spacing w:val="-5"/>
        </w:rPr>
        <w:t>年股票期权激励计划第一个行权期可行权的议案》。根</w:t>
      </w:r>
      <w:r>
        <w:rPr/>
        <w:t> </w:t>
      </w:r>
      <w:r>
        <w:rPr/>
      </w:r>
      <w:r>
        <w:rPr>
          <w:spacing w:val="-4"/>
        </w:rPr>
        <w:t>据公司《</w:t>
      </w:r>
      <w:r>
        <w:rPr>
          <w:rFonts w:ascii="Times New Roman" w:hAnsi="Times New Roman" w:cs="Times New Roman" w:eastAsia="Times New Roman" w:hint="default"/>
          <w:spacing w:val="-4"/>
        </w:rPr>
        <w:t>2018</w:t>
      </w:r>
      <w:r>
        <w:rPr>
          <w:spacing w:val="-4"/>
        </w:rPr>
        <w:t>年股票期权激励计划（草案）》及《</w:t>
      </w:r>
      <w:r>
        <w:rPr>
          <w:rFonts w:ascii="Times New Roman" w:hAnsi="Times New Roman" w:cs="Times New Roman" w:eastAsia="Times New Roman" w:hint="default"/>
          <w:spacing w:val="-4"/>
        </w:rPr>
        <w:t>2018</w:t>
      </w:r>
      <w:r>
        <w:rPr>
          <w:spacing w:val="-4"/>
        </w:rPr>
        <w:t>年股票期权激励计划实施考核管理办法》的相关规定以及董事会薪酬</w:t>
      </w:r>
      <w:r>
        <w:rPr>
          <w:spacing w:val="50"/>
        </w:rPr>
        <w:t> </w:t>
      </w:r>
      <w:r>
        <w:rPr>
          <w:spacing w:val="50"/>
        </w:rPr>
      </w:r>
      <w:r>
        <w:rPr>
          <w:spacing w:val="-3"/>
        </w:rPr>
        <w:t>与考核委员会对激励对象 </w:t>
      </w:r>
      <w:r>
        <w:rPr>
          <w:spacing w:val="61"/>
        </w:rPr>
        <w:t> </w:t>
      </w:r>
      <w:r>
        <w:rPr>
          <w:rFonts w:ascii="Times New Roman" w:hAnsi="Times New Roman" w:cs="Times New Roman" w:eastAsia="Times New Roman" w:hint="default"/>
          <w:spacing w:val="-3"/>
        </w:rPr>
        <w:t>2018</w:t>
      </w:r>
      <w:r>
        <w:rPr>
          <w:spacing w:val="-3"/>
        </w:rPr>
        <w:t>年度绩效考核情况的核实，公司</w:t>
      </w:r>
      <w:r>
        <w:rPr>
          <w:rFonts w:ascii="Times New Roman" w:hAnsi="Times New Roman" w:cs="Times New Roman" w:eastAsia="Times New Roman" w:hint="default"/>
          <w:spacing w:val="-3"/>
        </w:rPr>
        <w:t>2018</w:t>
      </w:r>
      <w:r>
        <w:rPr>
          <w:spacing w:val="-3"/>
        </w:rPr>
        <w:t>年股票期权激励计划第一个行权期的行权条件已达成；</w:t>
      </w:r>
    </w:p>
    <w:p>
      <w:pPr>
        <w:pStyle w:val="BodyText"/>
        <w:spacing w:line="240" w:lineRule="auto" w:before="13"/>
        <w:ind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2018    </w:t>
      </w:r>
      <w:r>
        <w:rPr>
          <w:rFonts w:ascii="Times New Roman" w:hAnsi="Times New Roman" w:cs="Times New Roman" w:eastAsia="Times New Roman" w:hint="default"/>
          <w:spacing w:val="2"/>
        </w:rPr>
        <w:t> </w:t>
      </w:r>
      <w:r>
        <w:rPr>
          <w:spacing w:val="-3"/>
        </w:rPr>
        <w:t>年股票期权激励计划授予日激励对象名单》中，</w:t>
      </w:r>
      <w:r>
        <w:rPr>
          <w:rFonts w:ascii="Times New Roman" w:hAnsi="Times New Roman" w:cs="Times New Roman" w:eastAsia="Times New Roman" w:hint="default"/>
          <w:spacing w:val="-3"/>
        </w:rPr>
        <w:t>2</w:t>
      </w:r>
      <w:r>
        <w:rPr>
          <w:spacing w:val="-3"/>
        </w:rPr>
        <w:t>名激励对象在等待期内已离职，离职激励对象已授予登记的合计</w:t>
      </w:r>
      <w:r>
        <w:rPr>
          <w:rFonts w:ascii="Times New Roman" w:hAnsi="Times New Roman" w:cs="Times New Roman" w:eastAsia="Times New Roman" w:hint="default"/>
          <w:spacing w:val="-3"/>
        </w:rPr>
        <w:t>9</w:t>
      </w:r>
    </w:p>
    <w:p>
      <w:pPr>
        <w:spacing w:after="0" w:line="240" w:lineRule="auto"/>
        <w:jc w:val="both"/>
        <w:rPr>
          <w:rFonts w:ascii="Times New Roman" w:hAnsi="Times New Roman" w:cs="Times New Roman" w:eastAsia="Times New Roman" w:hint="default"/>
        </w:rPr>
        <w:sectPr>
          <w:pgSz w:w="11910" w:h="16840"/>
          <w:pgMar w:header="871" w:footer="979" w:top="1100" w:bottom="1160" w:left="980" w:right="0"/>
        </w:sectPr>
      </w:pPr>
    </w:p>
    <w:p>
      <w:pPr>
        <w:spacing w:line="240" w:lineRule="auto" w:before="10"/>
        <w:rPr>
          <w:rFonts w:ascii="Times New Roman" w:hAnsi="Times New Roman" w:cs="Times New Roman" w:eastAsia="Times New Roman" w:hint="default"/>
          <w:sz w:val="24"/>
          <w:szCs w:val="24"/>
        </w:rPr>
      </w:pPr>
    </w:p>
    <w:p>
      <w:pPr>
        <w:pStyle w:val="BodyText"/>
        <w:spacing w:line="302" w:lineRule="auto" w:before="46"/>
        <w:ind w:right="1126"/>
        <w:jc w:val="both"/>
      </w:pPr>
      <w:r>
        <w:rPr>
          <w:spacing w:val="-3"/>
        </w:rPr>
        <w:t>万份股票期权拟予以注销，本次注销完成后，公司股票期权激励计划有效期内剩余的股票期权数量为</w:t>
      </w:r>
      <w:r>
        <w:rPr>
          <w:rFonts w:ascii="Times New Roman" w:hAnsi="Times New Roman" w:cs="Times New Roman" w:eastAsia="Times New Roman" w:hint="default"/>
          <w:spacing w:val="-3"/>
        </w:rPr>
        <w:t>1,189</w:t>
      </w:r>
      <w:r>
        <w:rPr>
          <w:spacing w:val="-3"/>
        </w:rPr>
        <w:t>万份，激励对象</w:t>
      </w:r>
      <w:r>
        <w:rPr>
          <w:spacing w:val="73"/>
        </w:rPr>
        <w:t> </w:t>
      </w:r>
      <w:r>
        <w:rPr>
          <w:spacing w:val="73"/>
        </w:rPr>
      </w:r>
      <w:r>
        <w:rPr>
          <w:spacing w:val="-5"/>
        </w:rPr>
        <w:t>调整为</w:t>
      </w:r>
      <w:r>
        <w:rPr>
          <w:rFonts w:ascii="Times New Roman" w:hAnsi="Times New Roman" w:cs="Times New Roman" w:eastAsia="Times New Roman" w:hint="default"/>
          <w:spacing w:val="-5"/>
        </w:rPr>
        <w:t>66</w:t>
      </w:r>
      <w:r>
        <w:rPr>
          <w:spacing w:val="-5"/>
        </w:rPr>
        <w:t>人。</w:t>
      </w:r>
      <w:r>
        <w:rPr>
          <w:rFonts w:ascii="Times New Roman" w:hAnsi="Times New Roman" w:cs="Times New Roman" w:eastAsia="Times New Roman" w:hint="default"/>
          <w:spacing w:val="-5"/>
        </w:rPr>
        <w:t>66</w:t>
      </w:r>
      <w:r>
        <w:rPr>
          <w:spacing w:val="-5"/>
        </w:rPr>
        <w:t>名激励对象经</w:t>
      </w:r>
      <w:r>
        <w:rPr>
          <w:rFonts w:ascii="Times New Roman" w:hAnsi="Times New Roman" w:cs="Times New Roman" w:eastAsia="Times New Roman" w:hint="default"/>
          <w:spacing w:val="-5"/>
        </w:rPr>
        <w:t>2018</w:t>
      </w:r>
      <w:r>
        <w:rPr>
          <w:spacing w:val="-5"/>
        </w:rPr>
        <w:t>年度绩效考核后可行权，第一个行权期可行权股票期权数量为</w:t>
      </w:r>
      <w:r>
        <w:rPr>
          <w:rFonts w:ascii="Times New Roman" w:hAnsi="Times New Roman" w:cs="Times New Roman" w:eastAsia="Times New Roman" w:hint="default"/>
          <w:spacing w:val="-5"/>
        </w:rPr>
        <w:t>475.6</w:t>
      </w:r>
      <w:r>
        <w:rPr>
          <w:spacing w:val="-5"/>
        </w:rPr>
        <w:t>万份，行权价格为</w:t>
      </w:r>
      <w:r>
        <w:rPr>
          <w:rFonts w:ascii="Times New Roman" w:hAnsi="Times New Roman" w:cs="Times New Roman" w:eastAsia="Times New Roman" w:hint="default"/>
          <w:spacing w:val="-5"/>
        </w:rPr>
        <w:t>15.06</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3"/>
        </w:rPr>
        <w:t>元</w:t>
      </w:r>
      <w:r>
        <w:rPr>
          <w:rFonts w:ascii="Times New Roman" w:hAnsi="Times New Roman" w:cs="Times New Roman" w:eastAsia="Times New Roman" w:hint="default"/>
          <w:spacing w:val="-3"/>
        </w:rPr>
        <w:t>/</w:t>
      </w:r>
      <w:r>
        <w:rPr>
          <w:spacing w:val="-3"/>
        </w:rPr>
        <w:t>股，行权期限自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19</w:t>
      </w:r>
      <w:r>
        <w:rPr>
          <w:spacing w:val="-3"/>
        </w:rPr>
        <w:t>日当日止。截止报告期末，公司</w:t>
      </w:r>
      <w:r>
        <w:rPr>
          <w:rFonts w:ascii="Times New Roman" w:hAnsi="Times New Roman" w:cs="Times New Roman" w:eastAsia="Times New Roman" w:hint="default"/>
          <w:spacing w:val="-3"/>
        </w:rPr>
        <w:t>2018</w:t>
      </w:r>
      <w:r>
        <w:rPr>
          <w:spacing w:val="-3"/>
        </w:rPr>
        <w:t>年股票期权激励计划已行权股份数量</w:t>
      </w:r>
      <w:r>
        <w:rPr>
          <w:spacing w:val="10"/>
        </w:rPr>
        <w:t> </w:t>
      </w:r>
      <w:r>
        <w:rPr>
          <w:spacing w:val="10"/>
        </w:rPr>
      </w:r>
      <w:r>
        <w:rPr>
          <w:rFonts w:ascii="Times New Roman" w:hAnsi="Times New Roman" w:cs="Times New Roman" w:eastAsia="Times New Roman" w:hint="default"/>
        </w:rPr>
        <w:t>426.4</w:t>
      </w:r>
      <w:r>
        <w:rPr/>
        <w:t>万股。</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both"/>
      </w:pPr>
      <w:r>
        <w:rPr>
          <w:spacing w:val="-3"/>
        </w:rPr>
        <w:t>股份变动的过户情况</w:t>
      </w:r>
    </w:p>
    <w:p>
      <w:pPr>
        <w:pStyle w:val="BodyText"/>
        <w:spacing w:line="338" w:lineRule="auto" w:before="115"/>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38" w:lineRule="auto" w:before="46"/>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43" w:lineRule="auto" w:before="41"/>
        <w:ind w:right="112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38" w:lineRule="auto" w:before="37"/>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pStyle w:val="BodyText"/>
        <w:spacing w:line="240" w:lineRule="auto" w:before="46"/>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634"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9" w:right="372" w:firstLine="17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w w:val="101"/>
                <w:sz w:val="18"/>
                <w:szCs w:val="18"/>
              </w:rPr>
              <w:t> </w:t>
            </w:r>
            <w:r>
              <w:rPr>
                <w:rFonts w:ascii="宋体" w:hAnsi="宋体" w:cs="宋体" w:eastAsia="宋体" w:hint="default"/>
                <w:sz w:val="18"/>
                <w:szCs w:val="18"/>
              </w:rPr>
              <w:t>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9" w:right="372"/>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9" w:right="372"/>
              <w:jc w:val="left"/>
              <w:rPr>
                <w:rFonts w:ascii="宋体" w:hAnsi="宋体" w:cs="宋体" w:eastAsia="宋体" w:hint="default"/>
                <w:sz w:val="18"/>
                <w:szCs w:val="18"/>
              </w:rPr>
            </w:pPr>
            <w:r>
              <w:rPr>
                <w:rFonts w:ascii="宋体" w:hAnsi="宋体" w:cs="宋体" w:eastAsia="宋体" w:hint="default"/>
                <w:sz w:val="18"/>
                <w:szCs w:val="18"/>
              </w:rPr>
              <w:t>本期解除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79" w:right="372" w:firstLine="177"/>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w w:val="101"/>
                <w:sz w:val="18"/>
                <w:szCs w:val="18"/>
              </w:rPr>
              <w:t> </w:t>
            </w:r>
            <w:r>
              <w:rPr>
                <w:rFonts w:ascii="宋体" w:hAnsi="宋体" w:cs="宋体" w:eastAsia="宋体" w:hint="default"/>
                <w:sz w:val="18"/>
                <w:szCs w:val="18"/>
              </w:rPr>
              <w:t>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48" w:right="141" w:firstLine="268"/>
              <w:jc w:val="left"/>
              <w:rPr>
                <w:rFonts w:ascii="宋体" w:hAnsi="宋体" w:cs="宋体" w:eastAsia="宋体" w:hint="default"/>
                <w:sz w:val="18"/>
                <w:szCs w:val="18"/>
              </w:rPr>
            </w:pPr>
            <w:r>
              <w:rPr>
                <w:rFonts w:ascii="宋体" w:hAnsi="宋体" w:cs="宋体" w:eastAsia="宋体" w:hint="default"/>
                <w:sz w:val="18"/>
                <w:szCs w:val="18"/>
              </w:rPr>
              <w:t>拟解</w:t>
            </w:r>
            <w:r>
              <w:rPr>
                <w:rFonts w:ascii="宋体" w:hAnsi="宋体" w:cs="宋体" w:eastAsia="宋体" w:hint="default"/>
                <w:w w:val="101"/>
                <w:sz w:val="18"/>
                <w:szCs w:val="18"/>
              </w:rPr>
              <w:t> </w:t>
            </w:r>
            <w:r>
              <w:rPr>
                <w:rFonts w:ascii="宋体" w:hAnsi="宋体" w:cs="宋体" w:eastAsia="宋体" w:hint="default"/>
                <w:spacing w:val="-2"/>
                <w:sz w:val="18"/>
                <w:szCs w:val="18"/>
              </w:rPr>
              <w:t>除限售日期</w:t>
            </w:r>
          </w:p>
        </w:tc>
      </w:tr>
      <w:tr>
        <w:trPr>
          <w:trHeight w:val="39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1,661,168</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192,176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1,468,992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40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6,821,355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1,376,685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8,198,040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21,713,772</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21,713,772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39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258,639</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258,639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40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21,607,663</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4,643,215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16,964,448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52,062,597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1,380,435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4,835,391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48,607,641</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2"/>
        <w:gridCol w:w="1296"/>
        <w:gridCol w:w="1292"/>
        <w:gridCol w:w="1296"/>
        <w:gridCol w:w="1296"/>
        <w:gridCol w:w="1297"/>
        <w:gridCol w:w="1685"/>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2" w:right="65" w:hanging="360"/>
              <w:jc w:val="left"/>
              <w:rPr>
                <w:rFonts w:ascii="宋体" w:hAnsi="宋体" w:cs="宋体" w:eastAsia="宋体" w:hint="default"/>
                <w:sz w:val="18"/>
                <w:szCs w:val="18"/>
              </w:rPr>
            </w:pPr>
            <w:r>
              <w:rPr>
                <w:rFonts w:ascii="宋体" w:hAnsi="宋体" w:cs="宋体" w:eastAsia="宋体" w:hint="default"/>
                <w:spacing w:val="-3"/>
                <w:sz w:val="18"/>
                <w:szCs w:val="18"/>
              </w:rPr>
              <w:t>股票及其衍生证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券名称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60" w:right="12" w:hanging="437"/>
              <w:jc w:val="left"/>
              <w:rPr>
                <w:rFonts w:ascii="宋体" w:hAnsi="宋体" w:cs="宋体" w:eastAsia="宋体" w:hint="default"/>
                <w:sz w:val="18"/>
                <w:szCs w:val="18"/>
              </w:rPr>
            </w:pPr>
            <w:r>
              <w:rPr>
                <w:rFonts w:ascii="宋体" w:hAnsi="宋体" w:cs="宋体" w:eastAsia="宋体" w:hint="default"/>
                <w:spacing w:val="-5"/>
                <w:sz w:val="18"/>
                <w:szCs w:val="18"/>
              </w:rPr>
              <w:t>发行价格（或利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61" w:right="99" w:hanging="361"/>
              <w:jc w:val="left"/>
              <w:rPr>
                <w:rFonts w:ascii="宋体" w:hAnsi="宋体" w:cs="宋体" w:eastAsia="宋体" w:hint="default"/>
                <w:sz w:val="18"/>
                <w:szCs w:val="18"/>
              </w:rPr>
            </w:pPr>
            <w:r>
              <w:rPr>
                <w:rFonts w:ascii="宋体" w:hAnsi="宋体" w:cs="宋体" w:eastAsia="宋体" w:hint="default"/>
                <w:spacing w:val="-2"/>
                <w:sz w:val="18"/>
                <w:szCs w:val="18"/>
              </w:rPr>
              <w:t>获准上市交易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年股票期权</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2" w:right="0"/>
              <w:jc w:val="left"/>
              <w:rPr>
                <w:rFonts w:ascii="Times New Roman" w:hAnsi="Times New Roman" w:cs="Times New Roman" w:eastAsia="Times New Roman" w:hint="default"/>
                <w:sz w:val="18"/>
                <w:szCs w:val="18"/>
              </w:rPr>
            </w:pPr>
            <w:r>
              <w:rPr>
                <w:rFonts w:ascii="Times New Roman"/>
                <w:sz w:val="18"/>
              </w:rPr>
              <w:t>4,264,000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1" w:right="0"/>
              <w:jc w:val="left"/>
              <w:rPr>
                <w:rFonts w:ascii="Times New Roman" w:hAnsi="Times New Roman" w:cs="Times New Roman" w:eastAsia="Times New Roman" w:hint="default"/>
                <w:sz w:val="18"/>
                <w:szCs w:val="18"/>
              </w:rPr>
            </w:pPr>
            <w:r>
              <w:rPr>
                <w:rFonts w:ascii="Times New Roman"/>
                <w:sz w:val="18"/>
              </w:rPr>
              <w:t>11,890,000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575"/>
      </w:tblGrid>
      <w:tr>
        <w:trPr>
          <w:trHeight w:val="403" w:hRule="exact"/>
        </w:trPr>
        <w:tc>
          <w:tcPr>
            <w:tcW w:w="9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401" w:hRule="exact"/>
        </w:trPr>
        <w:tc>
          <w:tcPr>
            <w:tcW w:w="9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pStyle w:val="BodyText"/>
        <w:spacing w:line="240" w:lineRule="auto" w:before="56"/>
        <w:ind w:right="0"/>
        <w:jc w:val="left"/>
      </w:pPr>
      <w:r>
        <w:rPr>
          <w:spacing w:val="-3"/>
        </w:rPr>
        <w:t>报告期内证券发行（不含优先股）情况的说明</w:t>
      </w:r>
    </w:p>
    <w:p>
      <w:pPr>
        <w:pStyle w:val="BodyText"/>
        <w:spacing w:line="300" w:lineRule="auto" w:before="110"/>
        <w:ind w:right="1122" w:firstLine="36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10</w:t>
      </w:r>
      <w:r>
        <w:rPr>
          <w:spacing w:val="-3"/>
        </w:rPr>
        <w:t>日，公司</w:t>
      </w:r>
      <w:r>
        <w:rPr>
          <w:rFonts w:ascii="Times New Roman" w:hAnsi="Times New Roman" w:cs="Times New Roman" w:eastAsia="Times New Roman" w:hint="default"/>
          <w:spacing w:val="-3"/>
        </w:rPr>
        <w:t>2018</w:t>
      </w:r>
      <w:r>
        <w:rPr>
          <w:spacing w:val="-3"/>
        </w:rPr>
        <w:t>年第二次临时股东大会审议并通过了《关于公司</w:t>
      </w:r>
      <w:r>
        <w:rPr>
          <w:rFonts w:ascii="Times New Roman" w:hAnsi="Times New Roman" w:cs="Times New Roman" w:eastAsia="Times New Roman" w:hint="default"/>
          <w:spacing w:val="-3"/>
        </w:rPr>
        <w:t>&lt;2018 </w:t>
      </w:r>
      <w:r>
        <w:rPr>
          <w:spacing w:val="-5"/>
        </w:rPr>
        <w:t>年股票期权激励计划（草案）</w:t>
      </w:r>
      <w:r>
        <w:rPr>
          <w:rFonts w:ascii="Times New Roman" w:hAnsi="Times New Roman" w:cs="Times New Roman" w:eastAsia="Times New Roman" w:hint="default"/>
          <w:spacing w:val="-5"/>
        </w:rPr>
        <w:t>&gt;</w:t>
      </w:r>
      <w:r>
        <w:rPr>
          <w:spacing w:val="-5"/>
        </w:rPr>
        <w:t>及其摘</w:t>
      </w:r>
      <w:r>
        <w:rPr>
          <w:w w:val="101"/>
        </w:rPr>
        <w:t> </w:t>
      </w:r>
      <w:r>
        <w:rPr>
          <w:spacing w:val="-3"/>
        </w:rPr>
        <w:t>要的议案》，报告期内，进入第一个行权期，第一个行权期可行权股票期权数量为</w:t>
      </w:r>
      <w:r>
        <w:rPr>
          <w:rFonts w:ascii="Times New Roman" w:hAnsi="Times New Roman" w:cs="Times New Roman" w:eastAsia="Times New Roman" w:hint="default"/>
          <w:spacing w:val="-3"/>
        </w:rPr>
        <w:t>475.6</w:t>
      </w:r>
      <w:r>
        <w:rPr>
          <w:spacing w:val="-3"/>
        </w:rPr>
        <w:t>万份，行权价格为</w:t>
      </w:r>
      <w:r>
        <w:rPr>
          <w:rFonts w:ascii="Times New Roman" w:hAnsi="Times New Roman" w:cs="Times New Roman" w:eastAsia="Times New Roman" w:hint="default"/>
          <w:spacing w:val="-3"/>
        </w:rPr>
        <w:t>15.06</w:t>
      </w:r>
      <w:r>
        <w:rPr>
          <w:spacing w:val="-3"/>
        </w:rPr>
        <w:t>元</w:t>
      </w:r>
      <w:r>
        <w:rPr>
          <w:rFonts w:ascii="Times New Roman" w:hAnsi="Times New Roman" w:cs="Times New Roman" w:eastAsia="Times New Roman" w:hint="default"/>
          <w:spacing w:val="-3"/>
        </w:rPr>
        <w:t>/</w:t>
      </w:r>
      <w:r>
        <w:rPr>
          <w:spacing w:val="-3"/>
        </w:rPr>
        <w:t>股，行权</w:t>
      </w:r>
      <w:r>
        <w:rPr>
          <w:spacing w:val="41"/>
        </w:rPr>
        <w:t> </w:t>
      </w:r>
      <w:r>
        <w:rPr>
          <w:spacing w:val="-3"/>
        </w:rPr>
        <w:t>期限自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19</w:t>
      </w:r>
      <w:r>
        <w:rPr>
          <w:spacing w:val="-3"/>
        </w:rPr>
        <w:t>日当日止。截止报告期末，公司</w:t>
      </w:r>
      <w:r>
        <w:rPr>
          <w:rFonts w:ascii="Times New Roman" w:hAnsi="Times New Roman" w:cs="Times New Roman" w:eastAsia="Times New Roman" w:hint="default"/>
          <w:spacing w:val="-3"/>
        </w:rPr>
        <w:t>2018</w:t>
      </w:r>
      <w:r>
        <w:rPr>
          <w:spacing w:val="-3"/>
        </w:rPr>
        <w:t>年股票期权激励计划已行权股份数量</w:t>
      </w:r>
      <w:r>
        <w:rPr>
          <w:rFonts w:ascii="Times New Roman" w:hAnsi="Times New Roman" w:cs="Times New Roman" w:eastAsia="Times New Roman" w:hint="default"/>
          <w:spacing w:val="-3"/>
        </w:rPr>
        <w:t>426.4</w:t>
      </w:r>
      <w:r>
        <w:rPr>
          <w:spacing w:val="-3"/>
        </w:rPr>
        <w:t>万股。</w:t>
      </w:r>
      <w:r>
        <w:rPr>
          <w:spacing w:val="10"/>
        </w:rPr>
        <w:t> </w:t>
      </w:r>
      <w:r>
        <w:rPr>
          <w:spacing w:val="10"/>
        </w:rPr>
      </w:r>
      <w:r>
        <w:rPr/>
        <w:t>公司总股本由</w:t>
      </w:r>
      <w:r>
        <w:rPr>
          <w:rFonts w:ascii="Times New Roman" w:hAnsi="Times New Roman" w:cs="Times New Roman" w:eastAsia="Times New Roman" w:hint="default"/>
        </w:rPr>
        <w:t>277,031,708</w:t>
      </w:r>
      <w:r>
        <w:rPr/>
        <w:t>股变更为</w:t>
      </w:r>
      <w:r>
        <w:rPr>
          <w:rFonts w:ascii="Times New Roman" w:hAnsi="Times New Roman" w:cs="Times New Roman" w:eastAsia="Times New Roman" w:hint="default"/>
        </w:rPr>
        <w:t>281,295,708</w:t>
      </w:r>
      <w:r>
        <w:rPr/>
        <w:t>股。</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122" w:firstLine="36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10</w:t>
      </w:r>
      <w:r>
        <w:rPr>
          <w:spacing w:val="-3"/>
        </w:rPr>
        <w:t>日，公司</w:t>
      </w:r>
      <w:r>
        <w:rPr>
          <w:rFonts w:ascii="Times New Roman" w:hAnsi="Times New Roman" w:cs="Times New Roman" w:eastAsia="Times New Roman" w:hint="default"/>
          <w:spacing w:val="-3"/>
        </w:rPr>
        <w:t>2018</w:t>
      </w:r>
      <w:r>
        <w:rPr>
          <w:spacing w:val="-3"/>
        </w:rPr>
        <w:t>年第二次临时股东大会审议并通过了《关于公司</w:t>
      </w:r>
      <w:r>
        <w:rPr>
          <w:rFonts w:ascii="Times New Roman" w:hAnsi="Times New Roman" w:cs="Times New Roman" w:eastAsia="Times New Roman" w:hint="default"/>
          <w:spacing w:val="-3"/>
        </w:rPr>
        <w:t>&lt;2018 </w:t>
      </w:r>
      <w:r>
        <w:rPr>
          <w:spacing w:val="-5"/>
        </w:rPr>
        <w:t>年股票期权激励计划（草案）</w:t>
      </w:r>
      <w:r>
        <w:rPr>
          <w:rFonts w:ascii="Times New Roman" w:hAnsi="Times New Roman" w:cs="Times New Roman" w:eastAsia="Times New Roman" w:hint="default"/>
          <w:spacing w:val="-5"/>
        </w:rPr>
        <w:t>&gt;</w:t>
      </w:r>
      <w:r>
        <w:rPr>
          <w:spacing w:val="-5"/>
        </w:rPr>
        <w:t>及其摘</w:t>
      </w:r>
      <w:r>
        <w:rPr>
          <w:w w:val="101"/>
        </w:rPr>
        <w:t> </w:t>
      </w:r>
      <w:r>
        <w:rPr>
          <w:spacing w:val="-3"/>
        </w:rPr>
        <w:t>要的议案》，报告期内，进入第一个行权期，第一个行权期可行权股票期权数量为</w:t>
      </w:r>
      <w:r>
        <w:rPr>
          <w:rFonts w:ascii="Times New Roman" w:hAnsi="Times New Roman" w:cs="Times New Roman" w:eastAsia="Times New Roman" w:hint="default"/>
          <w:spacing w:val="-3"/>
        </w:rPr>
        <w:t>475.6</w:t>
      </w:r>
      <w:r>
        <w:rPr>
          <w:spacing w:val="-3"/>
        </w:rPr>
        <w:t>万份，行权价格为</w:t>
      </w:r>
      <w:r>
        <w:rPr>
          <w:rFonts w:ascii="Times New Roman" w:hAnsi="Times New Roman" w:cs="Times New Roman" w:eastAsia="Times New Roman" w:hint="default"/>
          <w:spacing w:val="-3"/>
        </w:rPr>
        <w:t>15.06</w:t>
      </w:r>
      <w:r>
        <w:rPr>
          <w:spacing w:val="-3"/>
        </w:rPr>
        <w:t>元</w:t>
      </w:r>
      <w:r>
        <w:rPr>
          <w:rFonts w:ascii="Times New Roman" w:hAnsi="Times New Roman" w:cs="Times New Roman" w:eastAsia="Times New Roman" w:hint="default"/>
          <w:spacing w:val="-3"/>
        </w:rPr>
        <w:t>/</w:t>
      </w:r>
      <w:r>
        <w:rPr>
          <w:spacing w:val="-3"/>
        </w:rPr>
        <w:t>股，行权</w:t>
      </w:r>
      <w:r>
        <w:rPr>
          <w:spacing w:val="41"/>
        </w:rPr>
        <w:t> </w:t>
      </w:r>
      <w:r>
        <w:rPr>
          <w:spacing w:val="-3"/>
        </w:rPr>
        <w:t>期限自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20</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19</w:t>
      </w:r>
      <w:r>
        <w:rPr>
          <w:spacing w:val="-3"/>
        </w:rPr>
        <w:t>日当日止。截止报告期末，公司</w:t>
      </w:r>
      <w:r>
        <w:rPr>
          <w:rFonts w:ascii="Times New Roman" w:hAnsi="Times New Roman" w:cs="Times New Roman" w:eastAsia="Times New Roman" w:hint="default"/>
          <w:spacing w:val="-3"/>
        </w:rPr>
        <w:t>2018</w:t>
      </w:r>
      <w:r>
        <w:rPr>
          <w:spacing w:val="-3"/>
        </w:rPr>
        <w:t>年股票期权激励计划已行权股份数量</w:t>
      </w:r>
      <w:r>
        <w:rPr>
          <w:rFonts w:ascii="Times New Roman" w:hAnsi="Times New Roman" w:cs="Times New Roman" w:eastAsia="Times New Roman" w:hint="default"/>
          <w:spacing w:val="-3"/>
        </w:rPr>
        <w:t>426.4</w:t>
      </w:r>
      <w:r>
        <w:rPr>
          <w:spacing w:val="-3"/>
        </w:rPr>
        <w:t>万股。</w:t>
      </w:r>
      <w:r>
        <w:rPr>
          <w:spacing w:val="10"/>
        </w:rPr>
        <w:t> </w:t>
      </w:r>
      <w:r>
        <w:rPr>
          <w:spacing w:val="10"/>
        </w:rPr>
      </w:r>
      <w:r>
        <w:rPr/>
        <w:t>公司总股本由</w:t>
      </w:r>
      <w:r>
        <w:rPr>
          <w:rFonts w:ascii="Times New Roman" w:hAnsi="Times New Roman" w:cs="Times New Roman" w:eastAsia="Times New Roman" w:hint="default"/>
        </w:rPr>
        <w:t>277,031,708</w:t>
      </w:r>
      <w:r>
        <w:rPr/>
        <w:t>股变更为</w:t>
      </w:r>
      <w:r>
        <w:rPr>
          <w:rFonts w:ascii="Times New Roman" w:hAnsi="Times New Roman" w:cs="Times New Roman" w:eastAsia="Times New Roman" w:hint="default"/>
        </w:rPr>
        <w:t>281,295,708</w:t>
      </w:r>
      <w:r>
        <w:rPr/>
        <w:t>股。</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pict>
          <v:group style="position:absolute;margin-left:329.640015pt;margin-top:68.117706pt;width:52.85pt;height:31.25pt;mso-position-horizontal-relative:page;mso-position-vertical-relative:paragraph;z-index:-1161160" coordorigin="6593,1362" coordsize="1057,625">
            <v:shape style="position:absolute;left:6593;top:1362;width:1057;height:625" coordorigin="6593,1362" coordsize="1057,625" path="m6593,1987l7649,1987,7649,1362,6593,1362,6593,1987xe" filled="true" fillcolor="#ffffff" stroked="false">
              <v:path arrowok="t"/>
              <v:fill type="solid"/>
            </v:shape>
            <w10:wrap type="none"/>
          </v:group>
        </w:pict>
      </w: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1202"/>
        <w:gridCol w:w="921"/>
        <w:gridCol w:w="1076"/>
        <w:gridCol w:w="1049"/>
        <w:gridCol w:w="1078"/>
        <w:gridCol w:w="1132"/>
        <w:gridCol w:w="843"/>
        <w:gridCol w:w="146"/>
        <w:gridCol w:w="927"/>
      </w:tblGrid>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44,352</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17" w:right="166"/>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40,191</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4"/>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58"/>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3"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7" w:right="49"/>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3" w:type="dxa"/>
            <w:gridSpan w:val="2"/>
            <w:vMerge/>
            <w:tcBorders>
              <w:left w:val="single" w:sz="10" w:space="0" w:color="D2D2D2"/>
              <w:right w:val="single" w:sz="4" w:space="0" w:color="000000"/>
            </w:tcBorders>
          </w:tcPr>
          <w:p>
            <w:pPr/>
          </w:p>
        </w:tc>
      </w:tr>
      <w:tr>
        <w:trPr>
          <w:trHeight w:val="706"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75" w:type="dxa"/>
            <w:gridSpan w:val="2"/>
            <w:vMerge/>
            <w:tcBorders>
              <w:left w:val="single" w:sz="4" w:space="0" w:color="000000"/>
              <w:right w:val="single" w:sz="4" w:space="0" w:color="000000"/>
            </w:tcBorders>
            <w:shd w:val="clear" w:color="auto" w:fill="D2D2D2"/>
          </w:tcPr>
          <w:p>
            <w:pPr/>
          </w:p>
        </w:tc>
        <w:tc>
          <w:tcPr>
            <w:tcW w:w="1073" w:type="dxa"/>
            <w:gridSpan w:val="2"/>
            <w:vMerge/>
            <w:tcBorders>
              <w:left w:val="single" w:sz="10" w:space="0" w:color="D2D2D2"/>
              <w:right w:val="single" w:sz="4" w:space="0" w:color="000000"/>
            </w:tcBorders>
          </w:tcPr>
          <w:p>
            <w:pPr/>
          </w:p>
        </w:tc>
      </w:tr>
      <w:tr>
        <w:trPr>
          <w:trHeight w:val="313"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75" w:type="dxa"/>
            <w:gridSpan w:val="2"/>
            <w:vMerge/>
            <w:tcBorders>
              <w:left w:val="single" w:sz="4" w:space="0" w:color="000000"/>
              <w:bottom w:val="nil" w:sz="6" w:space="0" w:color="auto"/>
              <w:right w:val="single" w:sz="4" w:space="0" w:color="000000"/>
            </w:tcBorders>
            <w:shd w:val="clear" w:color="auto" w:fill="D2D2D2"/>
          </w:tcPr>
          <w:p>
            <w:pPr/>
          </w:p>
        </w:tc>
        <w:tc>
          <w:tcPr>
            <w:tcW w:w="1073" w:type="dxa"/>
            <w:gridSpan w:val="2"/>
            <w:vMerge/>
            <w:tcBorders>
              <w:left w:val="single" w:sz="10" w:space="0" w:color="D2D2D2"/>
              <w:right w:val="single" w:sz="4" w:space="0" w:color="000000"/>
            </w:tcBorders>
          </w:tcPr>
          <w:p>
            <w:pPr/>
          </w:p>
        </w:tc>
      </w:tr>
      <w:tr>
        <w:trPr>
          <w:trHeight w:val="163"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19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3" w:type="dxa"/>
            <w:gridSpan w:val="2"/>
            <w:vMerge/>
            <w:tcBorders>
              <w:left w:val="single" w:sz="10" w:space="0" w:color="D2D2D2"/>
              <w:bottom w:val="single" w:sz="4" w:space="0" w:color="000000"/>
              <w:right w:val="single" w:sz="4" w:space="0" w:color="000000"/>
            </w:tcBorders>
          </w:tcPr>
          <w:p>
            <w:pPr/>
          </w:p>
        </w:tc>
      </w:tr>
      <w:tr>
        <w:trPr>
          <w:trHeight w:val="394" w:hRule="exact"/>
        </w:trPr>
        <w:tc>
          <w:tcPr>
            <w:tcW w:w="957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4"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64"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11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7" w:right="17"/>
              <w:jc w:val="left"/>
              <w:rPr>
                <w:rFonts w:ascii="宋体" w:hAnsi="宋体" w:cs="宋体" w:eastAsia="宋体" w:hint="default"/>
                <w:sz w:val="18"/>
                <w:szCs w:val="18"/>
              </w:rPr>
            </w:pPr>
            <w:r>
              <w:rPr>
                <w:rFonts w:ascii="宋体" w:hAnsi="宋体" w:cs="宋体" w:eastAsia="宋体" w:hint="default"/>
                <w:spacing w:val="-2"/>
                <w:sz w:val="18"/>
                <w:szCs w:val="18"/>
              </w:rPr>
              <w:t>持有无限售条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件的股份数量</w:t>
            </w:r>
          </w:p>
        </w:tc>
        <w:tc>
          <w:tcPr>
            <w:tcW w:w="1916" w:type="dxa"/>
            <w:gridSpan w:val="3"/>
            <w:vMerge/>
            <w:tcBorders>
              <w:left w:val="single" w:sz="4" w:space="0" w:color="000000"/>
              <w:right w:val="single" w:sz="4" w:space="0" w:color="000000"/>
            </w:tcBorders>
            <w:shd w:val="clear" w:color="auto" w:fill="D2D2D2"/>
          </w:tcPr>
          <w:p>
            <w:pPr/>
          </w:p>
        </w:tc>
      </w:tr>
      <w:tr>
        <w:trPr>
          <w:trHeight w:val="142" w:hRule="exact"/>
        </w:trPr>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1132" w:type="dxa"/>
            <w:vMerge/>
            <w:tcBorders>
              <w:left w:val="single" w:sz="4" w:space="0" w:color="000000"/>
              <w:right w:val="single" w:sz="4" w:space="0" w:color="000000"/>
            </w:tcBorders>
            <w:shd w:val="clear" w:color="auto" w:fill="D2D2D2"/>
          </w:tcPr>
          <w:p>
            <w:pPr/>
          </w:p>
        </w:tc>
        <w:tc>
          <w:tcPr>
            <w:tcW w:w="1916"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1132" w:type="dxa"/>
            <w:vMerge/>
            <w:tcBorders>
              <w:left w:val="single" w:sz="4" w:space="0" w:color="000000"/>
              <w:right w:val="single" w:sz="4" w:space="0" w:color="000000"/>
            </w:tcBorders>
            <w:shd w:val="clear" w:color="auto" w:fill="D2D2D2"/>
          </w:tcPr>
          <w:p>
            <w:pPr/>
          </w:p>
        </w:tc>
        <w:tc>
          <w:tcPr>
            <w:tcW w:w="9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27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4"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1132" w:type="dxa"/>
            <w:vMerge/>
            <w:tcBorders>
              <w:left w:val="single" w:sz="4" w:space="0" w:color="000000"/>
              <w:bottom w:val="nil" w:sz="6" w:space="0" w:color="auto"/>
              <w:right w:val="single" w:sz="4" w:space="0" w:color="000000"/>
            </w:tcBorders>
            <w:shd w:val="clear" w:color="auto" w:fill="D2D2D2"/>
          </w:tcPr>
          <w:p>
            <w:pPr/>
          </w:p>
        </w:tc>
        <w:tc>
          <w:tcPr>
            <w:tcW w:w="989" w:type="dxa"/>
            <w:gridSpan w:val="2"/>
            <w:vMerge/>
            <w:tcBorders>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r>
      <w:tr>
        <w:trPr>
          <w:trHeight w:val="163"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1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gridSpan w:val="2"/>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22,619,264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16,964,448</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5,654,816</w:t>
            </w:r>
          </w:p>
        </w:tc>
        <w:tc>
          <w:tcPr>
            <w:tcW w:w="989" w:type="dxa"/>
            <w:gridSpan w:val="2"/>
            <w:tcBorders>
              <w:top w:val="single" w:sz="44" w:space="0" w:color="D2D2D2"/>
              <w:left w:val="single" w:sz="4" w:space="0" w:color="000000"/>
              <w:bottom w:val="single" w:sz="4" w:space="0" w:color="000000"/>
              <w:right w:val="single" w:sz="4" w:space="0" w:color="000000"/>
            </w:tcBorders>
          </w:tcPr>
          <w:p>
            <w:pPr/>
          </w:p>
        </w:tc>
        <w:tc>
          <w:tcPr>
            <w:tcW w:w="927" w:type="dxa"/>
            <w:tcBorders>
              <w:top w:val="single" w:sz="44" w:space="0" w:color="D2D2D2"/>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7.72%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21,725,672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 w:right="0"/>
              <w:jc w:val="left"/>
              <w:rPr>
                <w:rFonts w:ascii="Times New Roman" w:hAnsi="Times New Roman" w:cs="Times New Roman" w:eastAsia="Times New Roman" w:hint="default"/>
                <w:sz w:val="18"/>
                <w:szCs w:val="18"/>
              </w:rPr>
            </w:pPr>
            <w:r>
              <w:rPr>
                <w:rFonts w:ascii="Times New Roman"/>
                <w:sz w:val="18"/>
              </w:rPr>
              <w:t>-7,226,024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21,713,772</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11,900</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8,198,040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8,198,040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1297"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中国银行股份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富通股票混合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型证券投资基</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7,207,361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7,207,361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7,207,361</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1"/>
        <w:gridCol w:w="1196"/>
        <w:gridCol w:w="932"/>
        <w:gridCol w:w="498"/>
        <w:gridCol w:w="568"/>
        <w:gridCol w:w="1061"/>
        <w:gridCol w:w="1066"/>
        <w:gridCol w:w="144"/>
        <w:gridCol w:w="994"/>
        <w:gridCol w:w="855"/>
        <w:gridCol w:w="134"/>
        <w:gridCol w:w="927"/>
      </w:tblGrid>
      <w:tr>
        <w:trPr>
          <w:trHeight w:val="36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8" w:type="dxa"/>
            <w:gridSpan w:val="2"/>
            <w:tcBorders>
              <w:top w:val="single" w:sz="4" w:space="0" w:color="000000"/>
              <w:left w:val="single" w:sz="4" w:space="0" w:color="000000"/>
              <w:bottom w:val="single" w:sz="4" w:space="0" w:color="000000"/>
              <w:right w:val="single" w:sz="4" w:space="0" w:color="000000"/>
            </w:tcBorders>
          </w:tcPr>
          <w:p>
            <w:pP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2.25%</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6,331,594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-1,374,478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6,331,594</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姚晓华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5,540,600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5,540,600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5,540,600</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5,540,600</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杨小萍</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1.77%</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4,979,930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4,979,930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4,979,930</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庞晓曦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3,756,200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8" w:right="0"/>
              <w:jc w:val="left"/>
              <w:rPr>
                <w:rFonts w:ascii="Times New Roman" w:hAnsi="Times New Roman" w:cs="Times New Roman" w:eastAsia="Times New Roman" w:hint="default"/>
                <w:sz w:val="18"/>
                <w:szCs w:val="18"/>
              </w:rPr>
            </w:pPr>
            <w:r>
              <w:rPr>
                <w:rFonts w:ascii="Times New Roman"/>
                <w:sz w:val="18"/>
              </w:rPr>
              <w:t>3,756,200</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中央汇金资产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管理有限责任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3,730,000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3,730,000</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北京和聚投资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管理有限公司</w:t>
            </w:r>
          </w:p>
          <w:p>
            <w:pPr>
              <w:pStyle w:val="TableParagraph"/>
              <w:spacing w:line="321" w:lineRule="auto" w:before="19"/>
              <w:ind w:left="24" w:right="80"/>
              <w:jc w:val="left"/>
              <w:rPr>
                <w:rFonts w:ascii="宋体" w:hAnsi="宋体" w:cs="宋体" w:eastAsia="宋体" w:hint="default"/>
                <w:sz w:val="18"/>
                <w:szCs w:val="18"/>
              </w:rPr>
            </w:pPr>
            <w:r>
              <w:rPr>
                <w:rFonts w:ascii="宋体" w:hAnsi="宋体" w:cs="宋体" w:eastAsia="宋体" w:hint="default"/>
                <w:spacing w:val="-2"/>
                <w:sz w:val="18"/>
                <w:szCs w:val="18"/>
              </w:rPr>
              <w:t>－和聚平台证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券投资基金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1.25%</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11" w:right="0"/>
              <w:jc w:val="left"/>
              <w:rPr>
                <w:rFonts w:ascii="Times New Roman" w:hAnsi="Times New Roman" w:cs="Times New Roman" w:eastAsia="Times New Roman" w:hint="default"/>
                <w:sz w:val="18"/>
                <w:szCs w:val="18"/>
              </w:rPr>
            </w:pPr>
            <w:r>
              <w:rPr>
                <w:rFonts w:ascii="Times New Roman"/>
                <w:sz w:val="18"/>
              </w:rPr>
              <w:t>3,512,526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3,512,526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88" w:right="0"/>
              <w:jc w:val="left"/>
              <w:rPr>
                <w:rFonts w:ascii="Times New Roman" w:hAnsi="Times New Roman" w:cs="Times New Roman" w:eastAsia="Times New Roman" w:hint="default"/>
                <w:sz w:val="18"/>
                <w:szCs w:val="18"/>
              </w:rPr>
            </w:pPr>
            <w:r>
              <w:rPr>
                <w:rFonts w:ascii="Times New Roman"/>
                <w:sz w:val="18"/>
              </w:rPr>
              <w:t>3,512,526</w:t>
            </w: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92"/>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战略投资者或一般法人因配售新股成为前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w:t>
            </w:r>
            <w:r>
              <w:rPr>
                <w:rFonts w:ascii="宋体" w:hAnsi="宋体" w:cs="宋体" w:eastAsia="宋体" w:hint="default"/>
                <w:spacing w:val="-73"/>
                <w:sz w:val="18"/>
                <w:szCs w:val="18"/>
              </w:rPr>
              <w:t> </w:t>
            </w:r>
            <w:r>
              <w:rPr>
                <w:rFonts w:ascii="宋体" w:hAnsi="宋体" w:cs="宋体" w:eastAsia="宋体" w:hint="default"/>
                <w:spacing w:val="-9"/>
                <w:w w:val="101"/>
                <w:sz w:val="18"/>
                <w:szCs w:val="18"/>
              </w:rPr>
              <w:t>股东的情况（如有）（参见注</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4</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5749"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上述股东关联关系或一致行动的说明</w:t>
            </w:r>
          </w:p>
        </w:tc>
        <w:tc>
          <w:tcPr>
            <w:tcW w:w="5749"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pacing w:val="-3"/>
                <w:sz w:val="18"/>
                <w:szCs w:val="18"/>
              </w:rPr>
              <w:t>报告期内，张齐春与朱海东为母子关系，为一致行动人。</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382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83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91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382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3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8"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910"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826" w:type="dxa"/>
            <w:gridSpan w:val="4"/>
            <w:vMerge/>
            <w:tcBorders>
              <w:left w:val="single" w:sz="4" w:space="0" w:color="000000"/>
              <w:bottom w:val="nil" w:sz="6" w:space="0" w:color="auto"/>
              <w:right w:val="single" w:sz="4" w:space="0" w:color="000000"/>
            </w:tcBorders>
            <w:shd w:val="clear" w:color="auto" w:fill="D2D2D2"/>
          </w:tcPr>
          <w:p>
            <w:pPr/>
          </w:p>
        </w:tc>
        <w:tc>
          <w:tcPr>
            <w:tcW w:w="2839" w:type="dxa"/>
            <w:gridSpan w:val="4"/>
            <w:vMerge/>
            <w:tcBorders>
              <w:left w:val="single" w:sz="4" w:space="0" w:color="000000"/>
              <w:bottom w:val="nil" w:sz="6" w:space="0" w:color="auto"/>
              <w:right w:val="single" w:sz="4" w:space="0" w:color="000000"/>
            </w:tcBorders>
            <w:shd w:val="clear" w:color="auto" w:fill="D2D2D2"/>
          </w:tcPr>
          <w:p>
            <w:pPr/>
          </w:p>
        </w:tc>
        <w:tc>
          <w:tcPr>
            <w:tcW w:w="18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82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83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849" w:type="dxa"/>
            <w:gridSpan w:val="2"/>
            <w:vMerge/>
            <w:tcBorders>
              <w:left w:val="single" w:sz="4" w:space="0" w:color="000000"/>
              <w:bottom w:val="single" w:sz="4" w:space="0" w:color="000000"/>
              <w:right w:val="single" w:sz="4" w:space="0" w:color="000000"/>
            </w:tcBorders>
            <w:shd w:val="clear" w:color="auto" w:fill="D2D2D2"/>
          </w:tcPr>
          <w:p>
            <w:pPr/>
          </w:p>
        </w:tc>
        <w:tc>
          <w:tcPr>
            <w:tcW w:w="1061" w:type="dxa"/>
            <w:gridSpan w:val="2"/>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4"/>
              <w:jc w:val="left"/>
              <w:rPr>
                <w:rFonts w:ascii="宋体" w:hAnsi="宋体" w:cs="宋体" w:eastAsia="宋体" w:hint="default"/>
                <w:sz w:val="18"/>
                <w:szCs w:val="18"/>
              </w:rPr>
            </w:pPr>
            <w:r>
              <w:rPr>
                <w:rFonts w:ascii="宋体" w:hAnsi="宋体" w:cs="宋体" w:eastAsia="宋体" w:hint="default"/>
                <w:spacing w:val="-3"/>
                <w:sz w:val="18"/>
                <w:szCs w:val="18"/>
              </w:rPr>
              <w:t>中国银行股份有限公司－海富通股票混合型证</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券投资基金</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7,207,361</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6,331,594</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6,331,594</w:t>
            </w:r>
          </w:p>
        </w:tc>
      </w:tr>
      <w:tr>
        <w:trPr>
          <w:trHeight w:val="404"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5,654,816</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5,654,816</w:t>
            </w:r>
          </w:p>
        </w:tc>
      </w:tr>
      <w:tr>
        <w:trPr>
          <w:trHeight w:val="403"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姚晓华</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5,540,600</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5,540,600</w:t>
            </w:r>
          </w:p>
        </w:tc>
      </w:tr>
      <w:tr>
        <w:trPr>
          <w:trHeight w:val="398"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杨小萍</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4,979,930</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4,979,930</w:t>
            </w:r>
          </w:p>
        </w:tc>
      </w:tr>
      <w:tr>
        <w:trPr>
          <w:trHeight w:val="403"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庞晓曦</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3,756,200</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3,756,200</w:t>
            </w:r>
          </w:p>
        </w:tc>
      </w:tr>
      <w:tr>
        <w:trPr>
          <w:trHeight w:val="404"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中央汇金资产管理有限责任公司</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3,730,000</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3,730,000</w:t>
            </w:r>
          </w:p>
        </w:tc>
      </w:tr>
      <w:tr>
        <w:trPr>
          <w:trHeight w:val="715"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4"/>
              <w:jc w:val="left"/>
              <w:rPr>
                <w:rFonts w:ascii="宋体" w:hAnsi="宋体" w:cs="宋体" w:eastAsia="宋体" w:hint="default"/>
                <w:sz w:val="18"/>
                <w:szCs w:val="18"/>
              </w:rPr>
            </w:pPr>
            <w:r>
              <w:rPr>
                <w:rFonts w:ascii="宋体" w:hAnsi="宋体" w:cs="宋体" w:eastAsia="宋体" w:hint="default"/>
                <w:spacing w:val="-3"/>
                <w:sz w:val="18"/>
                <w:szCs w:val="18"/>
              </w:rPr>
              <w:t>北京和聚投资管理有限公司－和聚平台证券投</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资基金</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3,512,526</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3,512,526</w:t>
            </w:r>
          </w:p>
        </w:tc>
      </w:tr>
      <w:tr>
        <w:trPr>
          <w:trHeight w:val="398"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兴业全球基金－招商银行－沈惠中</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3,422,380</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3,422,380</w:t>
            </w:r>
          </w:p>
        </w:tc>
      </w:tr>
      <w:tr>
        <w:trPr>
          <w:trHeight w:val="716" w:hRule="exact"/>
        </w:trPr>
        <w:tc>
          <w:tcPr>
            <w:tcW w:w="3826" w:type="dxa"/>
            <w:gridSpan w:val="4"/>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84"/>
              <w:jc w:val="left"/>
              <w:rPr>
                <w:rFonts w:ascii="宋体" w:hAnsi="宋体" w:cs="宋体" w:eastAsia="宋体" w:hint="default"/>
                <w:sz w:val="18"/>
                <w:szCs w:val="18"/>
              </w:rPr>
            </w:pPr>
            <w:r>
              <w:rPr>
                <w:rFonts w:ascii="宋体" w:hAnsi="宋体" w:cs="宋体" w:eastAsia="宋体" w:hint="default"/>
                <w:spacing w:val="-3"/>
                <w:sz w:val="18"/>
                <w:szCs w:val="18"/>
              </w:rPr>
              <w:t>中国对外经济贸易信托有限公司－睿远和聚招</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享证券投资集合资金信托计划</w:t>
            </w:r>
          </w:p>
        </w:tc>
        <w:tc>
          <w:tcPr>
            <w:tcW w:w="28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3,403,197</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3,403,197</w:t>
            </w:r>
          </w:p>
        </w:tc>
      </w:tr>
      <w:tr>
        <w:trPr>
          <w:trHeight w:val="1027" w:hRule="exact"/>
        </w:trPr>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w:t>
            </w:r>
          </w:p>
          <w:p>
            <w:pPr>
              <w:pStyle w:val="TableParagraph"/>
              <w:spacing w:line="304" w:lineRule="auto" w:before="63"/>
              <w:ind w:left="24" w:right="93"/>
              <w:jc w:val="left"/>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名股东之间关联关系或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一致行动的说明</w:t>
            </w:r>
          </w:p>
        </w:tc>
        <w:tc>
          <w:tcPr>
            <w:tcW w:w="57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30" w:right="0"/>
              <w:jc w:val="left"/>
              <w:rPr>
                <w:rFonts w:ascii="宋体" w:hAnsi="宋体" w:cs="宋体" w:eastAsia="宋体" w:hint="default"/>
                <w:sz w:val="18"/>
                <w:szCs w:val="18"/>
              </w:rPr>
            </w:pPr>
            <w:r>
              <w:rPr>
                <w:rFonts w:ascii="宋体" w:hAnsi="宋体" w:cs="宋体" w:eastAsia="宋体" w:hint="default"/>
                <w:spacing w:val="-3"/>
                <w:sz w:val="18"/>
                <w:szCs w:val="18"/>
              </w:rPr>
              <w:t>报告期内，张齐春与朱海东为母子关系，为一致行动人。</w:t>
            </w:r>
          </w:p>
        </w:tc>
      </w:tr>
      <w:tr>
        <w:trPr>
          <w:trHeight w:val="1028" w:hRule="exact"/>
        </w:trPr>
        <w:tc>
          <w:tcPr>
            <w:tcW w:w="382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93"/>
              <w:jc w:val="left"/>
              <w:rPr>
                <w:rFonts w:ascii="宋体" w:hAnsi="宋体" w:cs="宋体" w:eastAsia="宋体" w:hint="default"/>
                <w:sz w:val="18"/>
                <w:szCs w:val="18"/>
              </w:rPr>
            </w:pPr>
            <w:r>
              <w:rPr>
                <w:rFonts w:ascii="宋体" w:hAnsi="宋体" w:cs="宋体" w:eastAsia="宋体" w:hint="default"/>
                <w:spacing w:val="-7"/>
                <w:w w:val="101"/>
                <w:sz w:val="18"/>
                <w:szCs w:val="18"/>
              </w:rPr>
              <w:t>参与融资融券业务股东情况说明（如有）（参见</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7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杨</w:t>
            </w:r>
            <w:r>
              <w:rPr>
                <w:rFonts w:ascii="宋体" w:hAnsi="宋体" w:cs="宋体" w:eastAsia="宋体" w:hint="default"/>
                <w:spacing w:val="-5"/>
                <w:w w:val="101"/>
                <w:sz w:val="18"/>
                <w:szCs w:val="18"/>
              </w:rPr>
              <w:t>小</w:t>
            </w:r>
            <w:r>
              <w:rPr>
                <w:rFonts w:ascii="宋体" w:hAnsi="宋体" w:cs="宋体" w:eastAsia="宋体" w:hint="default"/>
                <w:w w:val="101"/>
                <w:sz w:val="18"/>
                <w:szCs w:val="18"/>
              </w:rPr>
              <w:t>萍</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5"/>
                <w:w w:val="101"/>
                <w:sz w:val="18"/>
                <w:szCs w:val="18"/>
              </w:rPr>
              <w:t>财</w:t>
            </w:r>
            <w:r>
              <w:rPr>
                <w:rFonts w:ascii="宋体" w:hAnsi="宋体" w:cs="宋体" w:eastAsia="宋体" w:hint="default"/>
                <w:w w:val="101"/>
                <w:sz w:val="18"/>
                <w:szCs w:val="18"/>
              </w:rPr>
              <w:t>通</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客</w:t>
            </w:r>
            <w:r>
              <w:rPr>
                <w:rFonts w:ascii="宋体" w:hAnsi="宋体" w:cs="宋体" w:eastAsia="宋体" w:hint="default"/>
                <w:w w:val="101"/>
                <w:sz w:val="18"/>
                <w:szCs w:val="18"/>
              </w:rPr>
              <w:t>户</w:t>
            </w:r>
            <w:r>
              <w:rPr>
                <w:rFonts w:ascii="宋体" w:hAnsi="宋体" w:cs="宋体" w:eastAsia="宋体" w:hint="default"/>
                <w:spacing w:val="-5"/>
                <w:w w:val="101"/>
                <w:sz w:val="18"/>
                <w:szCs w:val="18"/>
              </w:rPr>
              <w:t>信</w:t>
            </w:r>
            <w:r>
              <w:rPr>
                <w:rFonts w:ascii="宋体" w:hAnsi="宋体" w:cs="宋体" w:eastAsia="宋体" w:hint="default"/>
                <w:w w:val="101"/>
                <w:sz w:val="18"/>
                <w:szCs w:val="18"/>
              </w:rPr>
              <w:t>用</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担</w:t>
            </w:r>
            <w:r>
              <w:rPr>
                <w:rFonts w:ascii="宋体" w:hAnsi="宋体" w:cs="宋体" w:eastAsia="宋体" w:hint="default"/>
                <w:w w:val="101"/>
                <w:sz w:val="18"/>
                <w:szCs w:val="18"/>
              </w:rPr>
              <w:t>保</w:t>
            </w:r>
            <w:r>
              <w:rPr>
                <w:rFonts w:ascii="宋体" w:hAnsi="宋体" w:cs="宋体" w:eastAsia="宋体" w:hint="default"/>
                <w:spacing w:val="-5"/>
                <w:w w:val="101"/>
                <w:sz w:val="18"/>
                <w:szCs w:val="18"/>
              </w:rPr>
              <w:t>证券</w:t>
            </w:r>
            <w:r>
              <w:rPr>
                <w:rFonts w:ascii="宋体" w:hAnsi="宋体" w:cs="宋体" w:eastAsia="宋体" w:hint="default"/>
                <w:w w:val="101"/>
                <w:sz w:val="18"/>
                <w:szCs w:val="18"/>
              </w:rPr>
              <w:t>账户</w:t>
            </w:r>
            <w:r>
              <w:rPr>
                <w:rFonts w:ascii="宋体" w:hAnsi="宋体" w:cs="宋体" w:eastAsia="宋体" w:hint="default"/>
                <w:spacing w:val="-82"/>
                <w:w w:val="101"/>
                <w:sz w:val="18"/>
                <w:szCs w:val="18"/>
              </w:rPr>
              <w:t>，</w:t>
            </w:r>
            <w:r>
              <w:rPr>
                <w:rFonts w:ascii="宋体" w:hAnsi="宋体" w:cs="宋体" w:eastAsia="宋体" w:hint="default"/>
                <w:w w:val="101"/>
                <w:sz w:val="18"/>
                <w:szCs w:val="18"/>
              </w:rPr>
              <w:t>持有</w:t>
            </w:r>
            <w:r>
              <w:rPr>
                <w:rFonts w:ascii="宋体" w:hAnsi="宋体" w:cs="宋体" w:eastAsia="宋体" w:hint="default"/>
                <w:sz w:val="18"/>
                <w:szCs w:val="18"/>
              </w:rPr>
            </w:r>
          </w:p>
          <w:p>
            <w:pPr>
              <w:pStyle w:val="TableParagraph"/>
              <w:spacing w:line="240" w:lineRule="auto" w:before="7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4979930 </w:t>
            </w:r>
            <w:r>
              <w:rPr>
                <w:rFonts w:ascii="Times New Roman" w:hAnsi="Times New Roman" w:cs="Times New Roman" w:eastAsia="Times New Roman" w:hint="default"/>
                <w:spacing w:val="36"/>
                <w:sz w:val="18"/>
                <w:szCs w:val="18"/>
              </w:rPr>
              <w:t> </w:t>
            </w:r>
            <w:r>
              <w:rPr>
                <w:rFonts w:ascii="宋体" w:hAnsi="宋体" w:cs="宋体" w:eastAsia="宋体" w:hint="default"/>
                <w:spacing w:val="-4"/>
                <w:sz w:val="18"/>
                <w:szCs w:val="18"/>
              </w:rPr>
              <w:t>股；股东庞晓曦通过长城证券股份有限公司客户信用交易担保证</w:t>
            </w:r>
          </w:p>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3756200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3"/>
        <w:rPr>
          <w:rFonts w:ascii="Times New Roman" w:hAnsi="Times New Roman" w:cs="Times New Roman" w:eastAsia="Times New Roman" w:hint="default"/>
          <w:sz w:val="25"/>
          <w:szCs w:val="25"/>
        </w:rPr>
      </w:pPr>
    </w:p>
    <w:p>
      <w:pPr>
        <w:pStyle w:val="BodyText"/>
        <w:spacing w:line="240" w:lineRule="auto" w:before="46"/>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27"/>
        <w:jc w:val="left"/>
      </w:pPr>
      <w:r>
        <w:rPr>
          <w:spacing w:val="-3"/>
        </w:rPr>
        <w:t>控股股东性质：自然人控股</w:t>
      </w:r>
      <w:r>
        <w:rPr>
          <w:spacing w:val="-51"/>
        </w:rPr>
        <w:t> </w:t>
      </w:r>
      <w:r>
        <w:rPr>
          <w:spacing w:val="-51"/>
        </w:rPr>
      </w:r>
      <w:r>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5104"/>
        <w:gridCol w:w="1704"/>
        <w:gridCol w:w="2761"/>
      </w:tblGrid>
      <w:tr>
        <w:trPr>
          <w:trHeight w:val="399"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4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现任公司董事长、总经理</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报告期内控股和参股的其他境内外上市公司的股权情况</w:t>
            </w:r>
          </w:p>
        </w:tc>
        <w:tc>
          <w:tcPr>
            <w:tcW w:w="4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70"/>
        <w:ind w:right="0"/>
        <w:jc w:val="left"/>
      </w:pPr>
      <w:r>
        <w:rPr/>
        <w:t>控股股东报告期内变更</w:t>
      </w:r>
    </w:p>
    <w:p>
      <w:pPr>
        <w:pStyle w:val="BodyText"/>
        <w:spacing w:line="343" w:lineRule="auto" w:before="115"/>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27"/>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3832"/>
        <w:gridCol w:w="1983"/>
        <w:gridCol w:w="1133"/>
        <w:gridCol w:w="2622"/>
      </w:tblGrid>
      <w:tr>
        <w:trPr>
          <w:trHeight w:val="398"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573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现任公司董事长、总经理</w:t>
            </w:r>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年曾控股的境内外上市公司情况</w:t>
            </w:r>
          </w:p>
        </w:tc>
        <w:tc>
          <w:tcPr>
            <w:tcW w:w="573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70"/>
        <w:ind w:right="0"/>
        <w:jc w:val="left"/>
      </w:pPr>
      <w:r>
        <w:rPr>
          <w:spacing w:val="-3"/>
        </w:rPr>
        <w:t>实际控制人报告期内变更</w:t>
      </w:r>
    </w:p>
    <w:p>
      <w:pPr>
        <w:pStyle w:val="BodyText"/>
        <w:spacing w:line="350" w:lineRule="auto" w:before="115"/>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1"/>
        <w:rPr>
          <w:rFonts w:ascii="宋体" w:hAnsi="宋体" w:cs="宋体" w:eastAsia="宋体" w:hint="default"/>
          <w:sz w:val="23"/>
          <w:szCs w:val="23"/>
        </w:rPr>
      </w:pPr>
    </w:p>
    <w:p>
      <w:pPr>
        <w:spacing w:line="2545" w:lineRule="exact"/>
        <w:ind w:left="2500"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3137744" cy="1616202"/>
            <wp:effectExtent l="0" t="0" r="0" b="0"/>
            <wp:docPr id="51" name="image23.jpeg" descr=""/>
            <wp:cNvGraphicFramePr>
              <a:graphicFrameLocks noChangeAspect="1"/>
            </wp:cNvGraphicFramePr>
            <a:graphic>
              <a:graphicData uri="http://schemas.openxmlformats.org/drawingml/2006/picture">
                <pic:pic>
                  <pic:nvPicPr>
                    <pic:cNvPr id="52" name="image23.jpeg"/>
                    <pic:cNvPicPr/>
                  </pic:nvPicPr>
                  <pic:blipFill>
                    <a:blip r:embed="rId38" cstate="print"/>
                    <a:stretch>
                      <a:fillRect/>
                    </a:stretch>
                  </pic:blipFill>
                  <pic:spPr>
                    <a:xfrm>
                      <a:off x="0" y="0"/>
                      <a:ext cx="3137744" cy="1616202"/>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sz w:val="18"/>
          <w:szCs w:val="18"/>
        </w:rPr>
      </w:pPr>
    </w:p>
    <w:p>
      <w:pPr>
        <w:pStyle w:val="BodyText"/>
        <w:spacing w:line="240" w:lineRule="auto" w:before="119"/>
        <w:ind w:right="0"/>
        <w:jc w:val="left"/>
      </w:pPr>
      <w:r>
        <w:rPr>
          <w:spacing w:val="-3"/>
        </w:rPr>
        <w:t>实际控制人通过信托或其他资产管理方式控制公司</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365" w:right="0"/>
        <w:jc w:val="left"/>
        <w:rPr>
          <w:b w:val="0"/>
          <w:bCs w:val="0"/>
        </w:rPr>
      </w:pPr>
      <w:bookmarkStart w:name="_TOC_250006" w:id="115"/>
      <w:bookmarkStart w:name="第七节优先股相关情况" w:id="116"/>
      <w:r>
        <w:rPr>
          <w:b w:val="0"/>
          <w:bCs w:val="0"/>
        </w:rPr>
      </w:r>
      <w:r>
        <w:rPr/>
        <w:t>第七节优先股相关情况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722" w:right="0"/>
        <w:jc w:val="left"/>
        <w:rPr>
          <w:b w:val="0"/>
          <w:bCs w:val="0"/>
        </w:rPr>
      </w:pPr>
      <w:bookmarkStart w:name="_TOC_250005" w:id="117"/>
      <w:bookmarkStart w:name="第八节可转换公司债券相关情况" w:id="118"/>
      <w:r>
        <w:rPr>
          <w:b w:val="0"/>
          <w:bCs w:val="0"/>
        </w:rPr>
      </w:r>
      <w:r>
        <w:rPr/>
        <w:t>第八节可转换公司债券相关情况</w:t>
      </w:r>
      <w:bookmarkEnd w:id="117"/>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757" w:right="0"/>
        <w:jc w:val="left"/>
        <w:rPr>
          <w:b w:val="0"/>
          <w:bCs w:val="0"/>
        </w:rPr>
      </w:pPr>
      <w:bookmarkStart w:name="_TOC_250004" w:id="119"/>
      <w:bookmarkStart w:name="第九节董事、监事、高级管理人员和员工情况" w:id="120"/>
      <w:r>
        <w:rPr>
          <w:b w:val="0"/>
          <w:bCs w:val="0"/>
        </w:rPr>
      </w:r>
      <w:r>
        <w:rPr/>
        <w:t>第九节董事、监事、高级管理人员和员工情况</w:t>
      </w:r>
      <w:bookmarkEnd w:id="119"/>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19" w:type="dxa"/>
        <w:tblLayout w:type="fixed"/>
        <w:tblCellMar>
          <w:top w:w="0" w:type="dxa"/>
          <w:left w:w="0" w:type="dxa"/>
          <w:bottom w:w="0" w:type="dxa"/>
          <w:right w:w="0" w:type="dxa"/>
        </w:tblCellMar>
        <w:tblLook w:val="01E0"/>
      </w:tblPr>
      <w:tblGrid>
        <w:gridCol w:w="778"/>
        <w:gridCol w:w="778"/>
        <w:gridCol w:w="778"/>
        <w:gridCol w:w="782"/>
        <w:gridCol w:w="778"/>
        <w:gridCol w:w="778"/>
        <w:gridCol w:w="778"/>
        <w:gridCol w:w="927"/>
        <w:gridCol w:w="778"/>
        <w:gridCol w:w="898"/>
        <w:gridCol w:w="778"/>
        <w:gridCol w:w="869"/>
      </w:tblGrid>
      <w:tr>
        <w:trPr>
          <w:trHeight w:val="102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0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0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0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01" w:right="1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06" w:right="17"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6" w:right="94"/>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81" w:right="79"/>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7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3"/>
                <w:w w:val="101"/>
                <w:sz w:val="18"/>
                <w:szCs w:val="18"/>
              </w:rPr>
              <w:t>变动（股</w:t>
            </w:r>
            <w:r>
              <w:rPr>
                <w:rFonts w:ascii="宋体" w:hAnsi="宋体" w:cs="宋体" w:eastAsia="宋体" w:hint="default"/>
                <w:spacing w:val="-23"/>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16" w:right="65"/>
              <w:jc w:val="center"/>
              <w:rPr>
                <w:rFonts w:ascii="宋体" w:hAnsi="宋体" w:cs="宋体" w:eastAsia="宋体" w:hint="default"/>
                <w:sz w:val="18"/>
                <w:szCs w:val="18"/>
              </w:rPr>
            </w:pPr>
            <w:r>
              <w:rPr>
                <w:rFonts w:ascii="宋体" w:hAnsi="宋体" w:cs="宋体" w:eastAsia="宋体" w:hint="default"/>
                <w:spacing w:val="-1"/>
                <w:sz w:val="18"/>
                <w:szCs w:val="18"/>
              </w:rPr>
              <w:t>）数（股）</w:t>
            </w:r>
          </w:p>
        </w:tc>
      </w:tr>
      <w:tr>
        <w:trPr>
          <w:trHeight w:val="1027"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14"/>
              <w:jc w:val="right"/>
              <w:rPr>
                <w:rFonts w:ascii="Times New Roman" w:hAnsi="Times New Roman" w:cs="Times New Roman" w:eastAsia="Times New Roman" w:hint="default"/>
                <w:sz w:val="12"/>
                <w:szCs w:val="12"/>
              </w:rPr>
            </w:pPr>
            <w:r>
              <w:rPr>
                <w:rFonts w:ascii="Times New Roman"/>
                <w:spacing w:val="-1"/>
                <w:sz w:val="18"/>
              </w:rPr>
              <w:t>28,662,492</w:t>
            </w:r>
            <w:r>
              <w:rPr>
                <w:rFonts w:ascii="Times New Roman"/>
                <w:color w:val="FF0000"/>
                <w:spacing w:val="-1"/>
                <w:position w:val="8"/>
                <w:sz w:val="12"/>
              </w:rPr>
              <w:t>1</w:t>
            </w:r>
            <w:r>
              <w:rPr>
                <w:rFonts w:ascii="Times New Roman"/>
                <w:spacing w:val="-1"/>
                <w:sz w:val="12"/>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right="19"/>
              <w:jc w:val="right"/>
              <w:rPr>
                <w:rFonts w:ascii="Times New Roman" w:hAnsi="Times New Roman" w:cs="Times New Roman" w:eastAsia="Times New Roman" w:hint="default"/>
                <w:sz w:val="12"/>
                <w:szCs w:val="12"/>
              </w:rPr>
            </w:pPr>
            <w:r>
              <w:rPr>
                <w:rFonts w:ascii="Times New Roman"/>
                <w:spacing w:val="-1"/>
                <w:sz w:val="18"/>
              </w:rPr>
              <w:t>-6,043,228</w:t>
            </w:r>
            <w:r>
              <w:rPr>
                <w:rFonts w:ascii="Times New Roman"/>
                <w:color w:val="FF0000"/>
                <w:spacing w:val="-1"/>
                <w:position w:val="8"/>
                <w:sz w:val="12"/>
              </w:rPr>
              <w:t>2</w:t>
            </w:r>
            <w:r>
              <w:rPr>
                <w:rFonts w:ascii="Times New Roman"/>
                <w:spacing w:val="-1"/>
                <w:sz w:val="12"/>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22,619,264</w:t>
            </w:r>
          </w:p>
        </w:tc>
      </w:tr>
      <w:tr>
        <w:trPr>
          <w:trHeight w:val="1652"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会秘书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344,852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344,852</w:t>
            </w:r>
          </w:p>
        </w:tc>
      </w:tr>
      <w:tr>
        <w:trPr>
          <w:trHeight w:val="102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24" w:right="17"/>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赵永杰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程贤权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陈乔</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刘东婷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齐红</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778"/>
        <w:gridCol w:w="778"/>
        <w:gridCol w:w="778"/>
        <w:gridCol w:w="782"/>
        <w:gridCol w:w="778"/>
        <w:gridCol w:w="778"/>
        <w:gridCol w:w="778"/>
        <w:gridCol w:w="927"/>
        <w:gridCol w:w="778"/>
        <w:gridCol w:w="898"/>
        <w:gridCol w:w="778"/>
        <w:gridCol w:w="869"/>
      </w:tblGrid>
      <w:tr>
        <w:trPr>
          <w:trHeight w:val="1027"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64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8,198,040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8,198,040</w:t>
            </w:r>
          </w:p>
        </w:tc>
      </w:tr>
      <w:tr>
        <w:trPr>
          <w:trHeight w:val="102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r>
      <w:tr>
        <w:trPr>
          <w:trHeight w:val="1027"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37,205,384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-6,043,228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31,167,156</w:t>
            </w:r>
          </w:p>
        </w:tc>
      </w:tr>
    </w:tbl>
    <w:p>
      <w:pPr>
        <w:pStyle w:val="BodyText"/>
        <w:spacing w:line="240" w:lineRule="auto" w:before="53"/>
        <w:ind w:right="0"/>
        <w:jc w:val="left"/>
      </w:pPr>
      <w:r>
        <w:rPr/>
        <w:t>注：</w:t>
      </w:r>
      <w:r>
        <w:rPr>
          <w:rFonts w:ascii="Times New Roman" w:hAnsi="Times New Roman" w:cs="Times New Roman" w:eastAsia="Times New Roman" w:hint="default"/>
        </w:rPr>
        <w:t>1  </w:t>
      </w:r>
      <w:r>
        <w:rPr>
          <w:spacing w:val="-3"/>
        </w:rPr>
        <w:t>其中通过</w:t>
      </w:r>
      <w:r>
        <w:rPr>
          <w:rFonts w:ascii="Times New Roman" w:hAnsi="Times New Roman" w:cs="Times New Roman" w:eastAsia="Times New Roman" w:hint="default"/>
          <w:spacing w:val="-3"/>
        </w:rPr>
        <w:t>“</w:t>
      </w:r>
      <w:r>
        <w:rPr>
          <w:spacing w:val="-3"/>
        </w:rPr>
        <w:t>云南国际信托有限公司</w:t>
      </w:r>
      <w:r>
        <w:rPr>
          <w:rFonts w:ascii="Times New Roman" w:hAnsi="Times New Roman" w:cs="Times New Roman" w:eastAsia="Times New Roman" w:hint="default"/>
          <w:spacing w:val="-3"/>
        </w:rPr>
        <w:t>-</w:t>
      </w:r>
      <w:r>
        <w:rPr>
          <w:spacing w:val="-3"/>
        </w:rPr>
        <w:t>招信智赢点山 </w:t>
      </w:r>
      <w:r>
        <w:rPr>
          <w:rFonts w:ascii="Times New Roman" w:hAnsi="Times New Roman" w:cs="Times New Roman" w:eastAsia="Times New Roman" w:hint="default"/>
        </w:rPr>
        <w:t>1 </w:t>
      </w:r>
      <w:r>
        <w:rPr>
          <w:spacing w:val="-3"/>
        </w:rPr>
        <w:t>号集合资金信托计划</w:t>
      </w:r>
      <w:r>
        <w:rPr>
          <w:rFonts w:ascii="Times New Roman" w:hAnsi="Times New Roman" w:cs="Times New Roman" w:eastAsia="Times New Roman" w:hint="default"/>
          <w:spacing w:val="-3"/>
        </w:rPr>
        <w:t>”</w:t>
      </w:r>
      <w:r>
        <w:rPr>
          <w:spacing w:val="-3"/>
        </w:rPr>
        <w:t>持有 </w:t>
      </w:r>
      <w:r>
        <w:rPr>
          <w:rFonts w:ascii="Times New Roman" w:hAnsi="Times New Roman" w:cs="Times New Roman" w:eastAsia="Times New Roman" w:hint="default"/>
        </w:rPr>
        <w:t>6043228</w:t>
      </w:r>
      <w:r>
        <w:rPr>
          <w:rFonts w:ascii="Times New Roman" w:hAnsi="Times New Roman" w:cs="Times New Roman" w:eastAsia="Times New Roman" w:hint="default"/>
          <w:spacing w:val="17"/>
        </w:rPr>
        <w:t> </w:t>
      </w:r>
      <w:r>
        <w:rPr/>
        <w:t>股</w:t>
      </w:r>
    </w:p>
    <w:p>
      <w:pPr>
        <w:pStyle w:val="BodyText"/>
        <w:spacing w:line="240" w:lineRule="auto" w:before="101"/>
        <w:ind w:left="513" w:right="0"/>
        <w:jc w:val="left"/>
      </w:pPr>
      <w:r>
        <w:rPr>
          <w:rFonts w:ascii="Times New Roman" w:hAnsi="Times New Roman" w:cs="Times New Roman" w:eastAsia="Times New Roman" w:hint="default"/>
        </w:rPr>
        <w:t>2    </w:t>
      </w:r>
      <w:r>
        <w:rPr>
          <w:spacing w:val="-3"/>
        </w:rPr>
        <w:t>因</w:t>
      </w:r>
      <w:r>
        <w:rPr>
          <w:rFonts w:ascii="Times New Roman" w:hAnsi="Times New Roman" w:cs="Times New Roman" w:eastAsia="Times New Roman" w:hint="default"/>
          <w:spacing w:val="-3"/>
        </w:rPr>
        <w:t>“</w:t>
      </w:r>
      <w:r>
        <w:rPr>
          <w:spacing w:val="-3"/>
        </w:rPr>
        <w:t>云南国际信托有限公司</w:t>
      </w:r>
      <w:r>
        <w:rPr>
          <w:rFonts w:ascii="Times New Roman" w:hAnsi="Times New Roman" w:cs="Times New Roman" w:eastAsia="Times New Roman" w:hint="default"/>
          <w:spacing w:val="-3"/>
        </w:rPr>
        <w:t>-</w:t>
      </w:r>
      <w:r>
        <w:rPr>
          <w:spacing w:val="-3"/>
        </w:rPr>
        <w:t>招信智赢点山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号集合资金信托计划</w:t>
      </w:r>
      <w:r>
        <w:rPr>
          <w:rFonts w:ascii="Times New Roman" w:hAnsi="Times New Roman" w:cs="Times New Roman" w:eastAsia="Times New Roman" w:hint="default"/>
          <w:spacing w:val="-3"/>
        </w:rPr>
        <w:t>”</w:t>
      </w:r>
      <w:r>
        <w:rPr>
          <w:spacing w:val="-3"/>
        </w:rPr>
        <w:t>到期且不得续期，全部股份被动减持。</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2391"/>
        <w:gridCol w:w="318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董事会换届离任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任期满六年离任</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监事会换届离任</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2391"/>
        <w:gridCol w:w="318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监事会换届离任</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届满离任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3"/>
      <w:bookmarkEnd w:id="123"/>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公司现任董事、监事、高级管理人员专业背景、主要工作经历以及目前在公司的主要职责</w:t>
      </w:r>
    </w:p>
    <w:p>
      <w:pPr>
        <w:pStyle w:val="BodyText"/>
        <w:spacing w:line="240" w:lineRule="auto" w:before="115"/>
        <w:ind w:right="0"/>
        <w:jc w:val="both"/>
      </w:pPr>
      <w:r>
        <w:rPr>
          <w:spacing w:val="-3"/>
        </w:rPr>
        <w:t>（一）董事会成员：</w:t>
      </w:r>
    </w:p>
    <w:p>
      <w:pPr>
        <w:pStyle w:val="BodyText"/>
        <w:spacing w:line="307" w:lineRule="auto" w:before="76"/>
        <w:ind w:right="1122" w:firstLine="422"/>
        <w:jc w:val="both"/>
      </w:pPr>
      <w:r>
        <w:rPr>
          <w:rFonts w:ascii="Times New Roman" w:hAnsi="Times New Roman" w:cs="Times New Roman" w:eastAsia="Times New Roman" w:hint="default"/>
          <w:spacing w:val="-3"/>
        </w:rPr>
        <w:t>1</w:t>
      </w:r>
      <w:r>
        <w:rPr>
          <w:spacing w:val="-3"/>
        </w:rPr>
        <w:t>、黄永军，男，</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5</w:t>
      </w:r>
      <w:r>
        <w:rPr>
          <w:spacing w:val="-3"/>
        </w:rPr>
        <w:t>月出生，中国国籍，无境外永久居留权，毕业于北京邮电大学，本科学历，学士学位。</w:t>
      </w:r>
      <w:r>
        <w:rPr>
          <w:rFonts w:ascii="Times New Roman" w:hAnsi="Times New Roman" w:cs="Times New Roman" w:eastAsia="Times New Roman" w:hint="default"/>
          <w:spacing w:val="-3"/>
        </w:rPr>
        <w:t>2009</w:t>
      </w:r>
      <w:r>
        <w:rPr>
          <w:rFonts w:ascii="Times New Roman" w:hAnsi="Times New Roman" w:cs="Times New Roman" w:eastAsia="Times New Roman" w:hint="default"/>
          <w:w w:val="101"/>
        </w:rPr>
        <w:t> </w:t>
      </w:r>
      <w:r>
        <w:rPr>
          <w:spacing w:val="-4"/>
        </w:rPr>
        <w:t>年至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月，任北京微智信业科技有限公司公司董事长，</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月起任北京东方通科技股份有限公司总经理，</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2"/>
        </w:rPr>
        <w:t> </w:t>
      </w:r>
      <w:r>
        <w:rPr>
          <w:spacing w:val="-4"/>
        </w:rPr>
        <w:t>月起至今任北京东方通科技股份有限公司董事长。同时兼任公司全资子公司北京微智信业科技有限公司董事、北京泰策科技</w:t>
      </w:r>
      <w:r>
        <w:rPr>
          <w:spacing w:val="43"/>
        </w:rPr>
        <w:t> </w:t>
      </w:r>
      <w:r>
        <w:rPr>
          <w:spacing w:val="43"/>
        </w:rPr>
      </w:r>
      <w:r>
        <w:rPr>
          <w:spacing w:val="-3"/>
        </w:rPr>
        <w:t>有限公司董事。</w:t>
      </w:r>
    </w:p>
    <w:p>
      <w:pPr>
        <w:pStyle w:val="BodyText"/>
        <w:spacing w:line="309" w:lineRule="auto" w:before="26"/>
        <w:ind w:right="1124" w:firstLine="422"/>
        <w:jc w:val="both"/>
      </w:pPr>
      <w:r>
        <w:rPr>
          <w:rFonts w:ascii="Times New Roman" w:hAnsi="Times New Roman" w:cs="Times New Roman" w:eastAsia="Times New Roman" w:hint="default"/>
          <w:spacing w:val="-3"/>
        </w:rPr>
        <w:t>2</w:t>
      </w:r>
      <w:r>
        <w:rPr>
          <w:spacing w:val="-3"/>
        </w:rPr>
        <w:t>、徐少璞，男，</w:t>
      </w:r>
      <w:r>
        <w:rPr>
          <w:rFonts w:ascii="Times New Roman" w:hAnsi="Times New Roman" w:cs="Times New Roman" w:eastAsia="Times New Roman" w:hint="default"/>
          <w:spacing w:val="-3"/>
        </w:rPr>
        <w:t>1971</w:t>
      </w:r>
      <w:r>
        <w:rPr>
          <w:spacing w:val="-3"/>
        </w:rPr>
        <w:t>年</w:t>
      </w:r>
      <w:r>
        <w:rPr>
          <w:rFonts w:ascii="Times New Roman" w:hAnsi="Times New Roman" w:cs="Times New Roman" w:eastAsia="Times New Roman" w:hint="default"/>
          <w:spacing w:val="-3"/>
        </w:rPr>
        <w:t>5</w:t>
      </w:r>
      <w:r>
        <w:rPr>
          <w:spacing w:val="-3"/>
        </w:rPr>
        <w:t>月出生，中国国籍，无境外永久居留权，毕业于哈尔滨工业大学会计学专业，本科学历，学</w:t>
      </w:r>
      <w:r>
        <w:rPr>
          <w:w w:val="101"/>
        </w:rPr>
        <w:t> </w:t>
      </w:r>
      <w:r>
        <w:rPr>
          <w:spacing w:val="-3"/>
        </w:rPr>
        <w:t>士学位，中国注册会计师，高级会计师。</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月，任首安工业消防股份有限公司财务总监。</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月至今，历</w:t>
      </w:r>
      <w:r>
        <w:rPr>
          <w:spacing w:val="5"/>
        </w:rPr>
        <w:t> </w:t>
      </w:r>
      <w:r>
        <w:rPr>
          <w:spacing w:val="5"/>
        </w:rPr>
      </w:r>
      <w:r>
        <w:rPr>
          <w:spacing w:val="-4"/>
        </w:rPr>
        <w:t>任本公司副总经理、财务总监，现任本公司董事、副总经理、董事会秘书、财务总监。同时兼任公司全资子公司北京东方通</w:t>
      </w:r>
      <w:r>
        <w:rPr>
          <w:spacing w:val="40"/>
        </w:rPr>
        <w:t> </w:t>
      </w:r>
      <w:r>
        <w:rPr>
          <w:spacing w:val="40"/>
        </w:rPr>
      </w:r>
      <w:r>
        <w:rPr>
          <w:spacing w:val="-4"/>
        </w:rPr>
        <w:t>宇技术有限公司及成都东方通科技有限责任公司执行董事、总经理，北京微智信业科技有限公司董事、北京泰策科技有限公</w:t>
      </w:r>
      <w:r>
        <w:rPr>
          <w:spacing w:val="43"/>
        </w:rPr>
        <w:t> </w:t>
      </w:r>
      <w:r>
        <w:rPr>
          <w:spacing w:val="43"/>
        </w:rPr>
      </w:r>
      <w:r>
        <w:rPr/>
        <w:t>司董事。</w:t>
      </w:r>
    </w:p>
    <w:p>
      <w:pPr>
        <w:pStyle w:val="BodyText"/>
        <w:spacing w:line="300" w:lineRule="auto" w:before="24"/>
        <w:ind w:right="1122" w:firstLine="422"/>
        <w:jc w:val="both"/>
      </w:pPr>
      <w:r>
        <w:rPr>
          <w:rFonts w:ascii="Times New Roman" w:hAnsi="Times New Roman" w:cs="Times New Roman" w:eastAsia="Times New Roman" w:hint="default"/>
          <w:spacing w:val="-4"/>
        </w:rPr>
        <w:t>3</w:t>
      </w:r>
      <w:r>
        <w:rPr>
          <w:spacing w:val="-4"/>
        </w:rPr>
        <w:t>、曲涛，男，</w:t>
      </w:r>
      <w:r>
        <w:rPr>
          <w:rFonts w:ascii="Times New Roman" w:hAnsi="Times New Roman" w:cs="Times New Roman" w:eastAsia="Times New Roman" w:hint="default"/>
          <w:spacing w:val="-4"/>
        </w:rPr>
        <w:t>1976</w:t>
      </w:r>
      <w:r>
        <w:rPr>
          <w:spacing w:val="-4"/>
        </w:rPr>
        <w:t>年</w:t>
      </w:r>
      <w:r>
        <w:rPr>
          <w:rFonts w:ascii="Times New Roman" w:hAnsi="Times New Roman" w:cs="Times New Roman" w:eastAsia="Times New Roman" w:hint="default"/>
          <w:spacing w:val="-4"/>
        </w:rPr>
        <w:t>12</w:t>
      </w:r>
      <w:r>
        <w:rPr>
          <w:spacing w:val="-4"/>
        </w:rPr>
        <w:t>月出生，中国国籍，无境外永久居留权，毕业于电子科技大学电子工程专业，本科学历，学士</w:t>
      </w:r>
      <w:r>
        <w:rPr>
          <w:w w:val="101"/>
        </w:rPr>
        <w:t> </w:t>
      </w:r>
      <w:r>
        <w:rPr>
          <w:spacing w:val="-4"/>
        </w:rPr>
        <w:t>学位。</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7</w:t>
      </w:r>
      <w:r>
        <w:rPr>
          <w:spacing w:val="-4"/>
        </w:rPr>
        <w:t>月至今，历任公司全资子公司北京微智信业科技有限公司副总经理、总经理、董事长。</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月起，任公司</w:t>
      </w:r>
      <w:r>
        <w:rPr>
          <w:spacing w:val="61"/>
        </w:rPr>
        <w:t> </w:t>
      </w:r>
      <w:r>
        <w:rPr>
          <w:spacing w:val="61"/>
        </w:rPr>
      </w:r>
      <w:r>
        <w:rPr>
          <w:spacing w:val="-3"/>
        </w:rPr>
        <w:t>全资子公司北京惠捷朗科技有限公司执行董事。现任公司董事、总经理。</w:t>
      </w:r>
    </w:p>
    <w:p>
      <w:pPr>
        <w:pStyle w:val="BodyText"/>
        <w:spacing w:line="300" w:lineRule="auto" w:before="31"/>
        <w:ind w:right="1123" w:firstLine="422"/>
        <w:jc w:val="both"/>
      </w:pPr>
      <w:r>
        <w:rPr>
          <w:rFonts w:ascii="Times New Roman" w:hAnsi="Times New Roman" w:cs="Times New Roman" w:eastAsia="Times New Roman" w:hint="default"/>
          <w:spacing w:val="-3"/>
        </w:rPr>
        <w:t>4</w:t>
      </w:r>
      <w:r>
        <w:rPr>
          <w:spacing w:val="-3"/>
        </w:rPr>
        <w:t>、赵永杰，男，</w:t>
      </w:r>
      <w:r>
        <w:rPr>
          <w:rFonts w:ascii="Times New Roman" w:hAnsi="Times New Roman" w:cs="Times New Roman" w:eastAsia="Times New Roman" w:hint="default"/>
          <w:spacing w:val="-3"/>
        </w:rPr>
        <w:t>1971</w:t>
      </w:r>
      <w:r>
        <w:rPr>
          <w:spacing w:val="-3"/>
        </w:rPr>
        <w:t>年</w:t>
      </w:r>
      <w:r>
        <w:rPr>
          <w:rFonts w:ascii="Times New Roman" w:hAnsi="Times New Roman" w:cs="Times New Roman" w:eastAsia="Times New Roman" w:hint="default"/>
          <w:spacing w:val="-3"/>
        </w:rPr>
        <w:t>5</w:t>
      </w:r>
      <w:r>
        <w:rPr>
          <w:spacing w:val="-3"/>
        </w:rPr>
        <w:t>月出生，中国国籍，无境外永久居留权，毕业于四川大学计算机科学专业，后取得香港理工</w:t>
      </w:r>
      <w:r>
        <w:rPr>
          <w:w w:val="101"/>
        </w:rPr>
        <w:t> </w:t>
      </w:r>
      <w:r>
        <w:rPr>
          <w:spacing w:val="-4"/>
        </w:rPr>
        <w:t>大学工商管理硕士、挪威管理学院管理学硕士学位。</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月，历任上海贝尔股份有限公司高级副总裁等多个</w:t>
      </w:r>
      <w:r>
        <w:rPr>
          <w:spacing w:val="63"/>
        </w:rPr>
        <w:t> </w:t>
      </w:r>
      <w:r>
        <w:rPr>
          <w:spacing w:val="63"/>
        </w:rPr>
      </w:r>
      <w:r>
        <w:rPr>
          <w:spacing w:val="-3"/>
        </w:rPr>
        <w:t>高级管理岗位；</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月，任中盈优创资讯科技有限公司副总裁；</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月至今，任上海华信长安网络科技</w:t>
      </w:r>
      <w:r>
        <w:rPr>
          <w:spacing w:val="3"/>
        </w:rPr>
        <w:t> </w:t>
      </w:r>
      <w:r>
        <w:rPr>
          <w:spacing w:val="3"/>
        </w:rPr>
      </w:r>
      <w:r>
        <w:rPr>
          <w:spacing w:val="-3"/>
        </w:rPr>
        <w:t>有限公司副总经理。现任本公司董事。</w:t>
      </w:r>
    </w:p>
    <w:p>
      <w:pPr>
        <w:pStyle w:val="BodyText"/>
        <w:spacing w:line="304" w:lineRule="auto" w:before="31"/>
        <w:ind w:right="1123" w:firstLine="422"/>
        <w:jc w:val="both"/>
      </w:pPr>
      <w:r>
        <w:rPr>
          <w:rFonts w:ascii="Times New Roman" w:hAnsi="Times New Roman" w:cs="Times New Roman" w:eastAsia="Times New Roman" w:hint="default"/>
          <w:spacing w:val="-4"/>
        </w:rPr>
        <w:t>5</w:t>
      </w:r>
      <w:r>
        <w:rPr>
          <w:spacing w:val="-4"/>
        </w:rPr>
        <w:t>、丁芸，女，</w:t>
      </w:r>
      <w:r>
        <w:rPr>
          <w:rFonts w:ascii="Times New Roman" w:hAnsi="Times New Roman" w:cs="Times New Roman" w:eastAsia="Times New Roman" w:hint="default"/>
          <w:spacing w:val="-4"/>
        </w:rPr>
        <w:t>1954</w:t>
      </w:r>
      <w:r>
        <w:rPr>
          <w:spacing w:val="-4"/>
        </w:rPr>
        <w:t>年</w:t>
      </w:r>
      <w:r>
        <w:rPr>
          <w:rFonts w:ascii="Times New Roman" w:hAnsi="Times New Roman" w:cs="Times New Roman" w:eastAsia="Times New Roman" w:hint="default"/>
          <w:spacing w:val="-4"/>
        </w:rPr>
        <w:t>11</w:t>
      </w:r>
      <w:r>
        <w:rPr>
          <w:spacing w:val="-4"/>
        </w:rPr>
        <w:t>月出生，中国国籍，无境外永久居留权，毕业于北京财贸学院财政专业，后取得中国地质大学</w:t>
      </w:r>
      <w:r>
        <w:rPr>
          <w:w w:val="101"/>
        </w:rPr>
        <w:t> </w:t>
      </w:r>
      <w:r>
        <w:rPr>
          <w:spacing w:val="-4"/>
        </w:rPr>
        <w:t>资源产业经济博士学位。长期从事财政、税收、财会理论和实务研究，出版税收筹划、中国税制、税务代理等多部著作、教</w:t>
      </w:r>
      <w:r>
        <w:rPr>
          <w:spacing w:val="40"/>
        </w:rPr>
        <w:t> </w:t>
      </w:r>
      <w:r>
        <w:rPr>
          <w:spacing w:val="40"/>
        </w:rPr>
      </w:r>
      <w:r>
        <w:rPr>
          <w:spacing w:val="-4"/>
        </w:rPr>
        <w:t>材，</w:t>
      </w:r>
      <w:r>
        <w:rPr>
          <w:rFonts w:ascii="Times New Roman" w:hAnsi="Times New Roman" w:cs="Times New Roman" w:eastAsia="Times New Roman" w:hint="default"/>
          <w:spacing w:val="-4"/>
        </w:rPr>
        <w:t>1983</w:t>
      </w:r>
      <w:r>
        <w:rPr>
          <w:spacing w:val="-4"/>
        </w:rPr>
        <w:t>至今，首都经济贸易大学财税学院教授，硕士生导师，具有注册会计师、注册税务师资格，现任中国税务学会常务</w:t>
      </w:r>
      <w:r>
        <w:rPr>
          <w:spacing w:val="47"/>
        </w:rPr>
        <w:t> </w:t>
      </w:r>
      <w:r>
        <w:rPr>
          <w:spacing w:val="47"/>
        </w:rPr>
      </w:r>
      <w:r>
        <w:rPr>
          <w:spacing w:val="-3"/>
        </w:rPr>
        <w:t>理事、学术委员、中国注册税务师协会常务理事，北京国际税收研究会常务理事。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月至今，任拉萨国瑞税务咨询股</w:t>
      </w:r>
      <w:r>
        <w:rPr>
          <w:spacing w:val="76"/>
        </w:rPr>
        <w:t> </w:t>
      </w:r>
      <w:r>
        <w:rPr>
          <w:spacing w:val="76"/>
        </w:rPr>
      </w:r>
      <w:r>
        <w:rPr>
          <w:spacing w:val="-3"/>
        </w:rPr>
        <w:t>份有限公司独立董事，</w:t>
      </w:r>
      <w:r>
        <w:rPr>
          <w:rFonts w:ascii="Times New Roman" w:hAnsi="Times New Roman" w:cs="Times New Roman" w:eastAsia="Times New Roman" w:hint="default"/>
          <w:spacing w:val="-3"/>
        </w:rPr>
        <w:t>2017</w:t>
      </w:r>
      <w:r>
        <w:rPr>
          <w:spacing w:val="-3"/>
        </w:rPr>
        <w:t>年至今，任二十一世纪空间技术应用股份有限公司独立董事。现任本公司独立董事。</w:t>
      </w:r>
    </w:p>
    <w:p>
      <w:pPr>
        <w:pStyle w:val="BodyText"/>
        <w:spacing w:line="300" w:lineRule="auto" w:before="9"/>
        <w:ind w:right="1047" w:firstLine="422"/>
        <w:jc w:val="both"/>
      </w:pPr>
      <w:r>
        <w:rPr>
          <w:rFonts w:ascii="Times New Roman" w:hAnsi="Times New Roman" w:cs="Times New Roman" w:eastAsia="Times New Roman" w:hint="default"/>
          <w:spacing w:val="-3"/>
        </w:rPr>
        <w:t>6</w:t>
      </w:r>
      <w:r>
        <w:rPr>
          <w:spacing w:val="-3"/>
        </w:rPr>
        <w:t>、范贵福，男，</w:t>
      </w:r>
      <w:r>
        <w:rPr>
          <w:rFonts w:ascii="Times New Roman" w:hAnsi="Times New Roman" w:cs="Times New Roman" w:eastAsia="Times New Roman" w:hint="default"/>
          <w:spacing w:val="-3"/>
        </w:rPr>
        <w:t>1964</w:t>
      </w:r>
      <w:r>
        <w:rPr>
          <w:spacing w:val="-3"/>
        </w:rPr>
        <w:t>年</w:t>
      </w:r>
      <w:r>
        <w:rPr>
          <w:rFonts w:ascii="Times New Roman" w:hAnsi="Times New Roman" w:cs="Times New Roman" w:eastAsia="Times New Roman" w:hint="default"/>
          <w:spacing w:val="-3"/>
        </w:rPr>
        <w:t>2</w:t>
      </w:r>
      <w:r>
        <w:rPr>
          <w:spacing w:val="-3"/>
        </w:rPr>
        <w:t>月出生，中国国籍，无境外永久居留权，毕业于北京邮电大学电信工程专业，硕士研究生。</w:t>
      </w:r>
      <w:r>
        <w:rPr>
          <w:w w:val="101"/>
        </w:rPr>
        <w:t> </w:t>
      </w:r>
      <w:r>
        <w:rPr>
          <w:spacing w:val="-3"/>
        </w:rPr>
        <w:t>曾任职于山西省晋中地区邮电局（现晋中联通公司）载波室，《电信商情》杂志编辑部主编，《通信世界》杂志社副主编，</w:t>
      </w:r>
    </w:p>
    <w:p>
      <w:pPr>
        <w:pStyle w:val="BodyText"/>
        <w:spacing w:line="300" w:lineRule="auto" w:before="31"/>
        <w:ind w:right="1131"/>
        <w:jc w:val="both"/>
      </w:pPr>
      <w:r>
        <w:rPr>
          <w:spacing w:val="-3"/>
        </w:rPr>
        <w:t>《中国数据通信》主编。</w:t>
      </w:r>
      <w:r>
        <w:rPr>
          <w:rFonts w:ascii="Times New Roman" w:hAnsi="Times New Roman" w:cs="Times New Roman" w:eastAsia="Times New Roman" w:hint="default"/>
          <w:spacing w:val="-3"/>
        </w:rPr>
        <w:t>2004</w:t>
      </w:r>
      <w:r>
        <w:rPr>
          <w:spacing w:val="-3"/>
        </w:rPr>
        <w:t>年至今，任中国通信企业协会通信网络运营专业委员会秘书长。</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2</w:t>
      </w:r>
      <w:r>
        <w:rPr>
          <w:spacing w:val="-3"/>
        </w:rPr>
        <w:t>月至今，任北京梅泰</w:t>
      </w:r>
      <w:r>
        <w:rPr>
          <w:spacing w:val="83"/>
        </w:rPr>
        <w:t> </w:t>
      </w:r>
      <w:r>
        <w:rPr>
          <w:spacing w:val="83"/>
        </w:rPr>
      </w:r>
      <w:r>
        <w:rPr>
          <w:spacing w:val="-3"/>
        </w:rPr>
        <w:t>诺通信技术股份有限公司监事。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月至今，任杭州纵横通信股份有限公司独立董事。</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月至今，任元道通信股 份有限公司独立董事。现任本公司独立董事。</w:t>
      </w:r>
    </w:p>
    <w:p>
      <w:pPr>
        <w:pStyle w:val="BodyText"/>
        <w:spacing w:line="300" w:lineRule="auto" w:before="31"/>
        <w:ind w:right="1122" w:firstLine="422"/>
        <w:jc w:val="both"/>
      </w:pPr>
      <w:r>
        <w:rPr>
          <w:rFonts w:ascii="Times New Roman" w:hAnsi="Times New Roman" w:cs="Times New Roman" w:eastAsia="Times New Roman" w:hint="default"/>
          <w:spacing w:val="-3"/>
        </w:rPr>
        <w:t>7</w:t>
      </w:r>
      <w:r>
        <w:rPr>
          <w:spacing w:val="-3"/>
        </w:rPr>
        <w:t>、程贤权，男，</w:t>
      </w:r>
      <w:r>
        <w:rPr>
          <w:rFonts w:ascii="Times New Roman" w:hAnsi="Times New Roman" w:cs="Times New Roman" w:eastAsia="Times New Roman" w:hint="default"/>
          <w:spacing w:val="-3"/>
        </w:rPr>
        <w:t>1975</w:t>
      </w:r>
      <w:r>
        <w:rPr>
          <w:spacing w:val="-3"/>
        </w:rPr>
        <w:t>年</w:t>
      </w:r>
      <w:r>
        <w:rPr>
          <w:rFonts w:ascii="Times New Roman" w:hAnsi="Times New Roman" w:cs="Times New Roman" w:eastAsia="Times New Roman" w:hint="default"/>
          <w:spacing w:val="-3"/>
        </w:rPr>
        <w:t>6</w:t>
      </w:r>
      <w:r>
        <w:rPr>
          <w:spacing w:val="-3"/>
        </w:rPr>
        <w:t>月出生，中国国籍，无境外永久居留权，律师，毕业于中国人民大学民商法专业，硕士研究</w:t>
      </w:r>
      <w:r>
        <w:rPr>
          <w:w w:val="101"/>
        </w:rPr>
        <w:t> </w:t>
      </w:r>
      <w:r>
        <w:rPr>
          <w:spacing w:val="-3"/>
        </w:rPr>
        <w:t>生，</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5</w:t>
      </w:r>
      <w:r>
        <w:rPr>
          <w:spacing w:val="-3"/>
        </w:rPr>
        <w:t>月至今，国浩律师（北京）事务所，律师</w:t>
      </w:r>
      <w:r>
        <w:rPr>
          <w:rFonts w:ascii="Times New Roman" w:hAnsi="Times New Roman" w:cs="Times New Roman" w:eastAsia="Times New Roman" w:hint="default"/>
          <w:spacing w:val="-3"/>
        </w:rPr>
        <w:t>/</w:t>
      </w:r>
      <w:r>
        <w:rPr>
          <w:spacing w:val="-3"/>
        </w:rPr>
        <w:t>合伙人。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月至今，任内蒙古霍林河露天煤业股份有限公司独</w:t>
      </w:r>
      <w:r>
        <w:rPr>
          <w:spacing w:val="-2"/>
        </w:rPr>
        <w:t> </w:t>
      </w:r>
      <w:r>
        <w:rPr>
          <w:spacing w:val="-2"/>
        </w:rPr>
      </w:r>
      <w:r>
        <w:rPr>
          <w:spacing w:val="-4"/>
        </w:rPr>
        <w:t>立董事；</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6</w:t>
      </w:r>
      <w:r>
        <w:rPr>
          <w:spacing w:val="-4"/>
        </w:rPr>
        <w:t>月至今，任北京值得买科技股份有限公司独立董事；</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月至今，任北京品恩科技股份有限公司独立董</w:t>
      </w:r>
      <w:r>
        <w:rPr>
          <w:spacing w:val="60"/>
        </w:rPr>
        <w:t> </w:t>
      </w:r>
      <w:r>
        <w:rPr>
          <w:spacing w:val="60"/>
        </w:rPr>
      </w:r>
      <w:r>
        <w:rPr>
          <w:spacing w:val="-3"/>
        </w:rPr>
        <w:t>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月至今，任湖南高桥大市场股份有限公司独立董事。现任本公司独立董事。</w:t>
      </w:r>
    </w:p>
    <w:p>
      <w:pPr>
        <w:spacing w:line="240" w:lineRule="auto" w:before="12"/>
        <w:rPr>
          <w:rFonts w:ascii="宋体" w:hAnsi="宋体" w:cs="宋体" w:eastAsia="宋体" w:hint="default"/>
          <w:sz w:val="24"/>
          <w:szCs w:val="24"/>
        </w:rPr>
      </w:pPr>
    </w:p>
    <w:p>
      <w:pPr>
        <w:pStyle w:val="BodyText"/>
        <w:spacing w:line="240" w:lineRule="auto"/>
        <w:ind w:left="575" w:right="0"/>
        <w:jc w:val="left"/>
      </w:pPr>
      <w:r>
        <w:rPr>
          <w:spacing w:val="-3"/>
        </w:rPr>
        <w:t>（二）监事会成员：</w:t>
      </w:r>
    </w:p>
    <w:p>
      <w:pPr>
        <w:pStyle w:val="BodyText"/>
        <w:spacing w:line="240" w:lineRule="auto" w:before="76"/>
        <w:ind w:left="575"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1</w:t>
      </w:r>
      <w:r>
        <w:rPr>
          <w:spacing w:val="-5"/>
        </w:rPr>
        <w:t>、陈乔，男，</w:t>
      </w:r>
      <w:r>
        <w:rPr>
          <w:rFonts w:ascii="Times New Roman" w:hAnsi="Times New Roman" w:cs="Times New Roman" w:eastAsia="Times New Roman" w:hint="default"/>
          <w:spacing w:val="-5"/>
        </w:rPr>
        <w:t>1973</w:t>
      </w:r>
      <w:r>
        <w:rPr>
          <w:spacing w:val="-5"/>
        </w:rPr>
        <w:t>年</w:t>
      </w:r>
      <w:r>
        <w:rPr>
          <w:rFonts w:ascii="Times New Roman" w:hAnsi="Times New Roman" w:cs="Times New Roman" w:eastAsia="Times New Roman" w:hint="default"/>
          <w:spacing w:val="-5"/>
        </w:rPr>
        <w:t>7</w:t>
      </w:r>
      <w:r>
        <w:rPr>
          <w:spacing w:val="-5"/>
        </w:rPr>
        <w:t>月出生，中国国籍，无境外永久居留权，毕业于天津大学通信专业，本科学历，学士学位。</w:t>
      </w:r>
      <w:r>
        <w:rPr>
          <w:rFonts w:ascii="Times New Roman" w:hAnsi="Times New Roman" w:cs="Times New Roman" w:eastAsia="Times New Roman" w:hint="default"/>
          <w:spacing w:val="-5"/>
        </w:rPr>
        <w:t>2014</w:t>
      </w:r>
    </w:p>
    <w:p>
      <w:pPr>
        <w:pStyle w:val="BodyText"/>
        <w:spacing w:line="240" w:lineRule="auto" w:before="63"/>
        <w:ind w:right="0"/>
        <w:jc w:val="both"/>
      </w:pP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9</w:t>
      </w:r>
      <w:r>
        <w:rPr>
          <w:spacing w:val="-3"/>
        </w:rPr>
        <w:t>月，任艺俪源云印刷有限公司副总经理、技术总监；</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月，任恒安嘉新（北京）科技股</w:t>
      </w:r>
    </w:p>
    <w:p>
      <w:pPr>
        <w:spacing w:after="0" w:line="240"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份公司解决方案中心副经理；</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月至今，任公司解决方案中心技术总监。现任本公司监事会主席。</w:t>
      </w:r>
    </w:p>
    <w:p>
      <w:pPr>
        <w:pStyle w:val="BodyText"/>
        <w:spacing w:line="300" w:lineRule="auto" w:before="63"/>
        <w:ind w:right="0" w:firstLine="422"/>
        <w:jc w:val="left"/>
      </w:pPr>
      <w:r>
        <w:rPr>
          <w:rFonts w:ascii="Times New Roman" w:hAnsi="Times New Roman" w:cs="Times New Roman" w:eastAsia="Times New Roman" w:hint="default"/>
          <w:spacing w:val="-5"/>
        </w:rPr>
        <w:t>2</w:t>
      </w:r>
      <w:r>
        <w:rPr>
          <w:spacing w:val="-5"/>
        </w:rPr>
        <w:t>、刘东婷，女，</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11</w:t>
      </w:r>
      <w:r>
        <w:rPr>
          <w:spacing w:val="-5"/>
        </w:rPr>
        <w:t>月出生，中国国籍，无境外永久居留权，毕业于北京财务职业学院，连锁企业经营管理专业，</w:t>
      </w:r>
      <w:r>
        <w:rPr>
          <w:w w:val="101"/>
        </w:rPr>
        <w:t> </w:t>
      </w:r>
      <w:r>
        <w:rPr>
          <w:spacing w:val="-3"/>
        </w:rPr>
        <w:t>大专学历。</w:t>
      </w:r>
      <w:r>
        <w:rPr>
          <w:rFonts w:ascii="Times New Roman" w:hAnsi="Times New Roman" w:cs="Times New Roman" w:eastAsia="Times New Roman" w:hint="default"/>
          <w:spacing w:val="-3"/>
        </w:rPr>
        <w:t>2013</w:t>
      </w:r>
      <w:r>
        <w:rPr>
          <w:spacing w:val="-3"/>
        </w:rPr>
        <w:t>年至今任公司全资子公司北京微智信业科技有限公司行政主管，现任本公司监事。</w:t>
      </w:r>
    </w:p>
    <w:p>
      <w:pPr>
        <w:pStyle w:val="BodyText"/>
        <w:spacing w:line="300" w:lineRule="auto" w:before="13"/>
        <w:ind w:right="0" w:firstLine="422"/>
        <w:jc w:val="left"/>
      </w:pPr>
      <w:r>
        <w:rPr>
          <w:rFonts w:ascii="Times New Roman" w:hAnsi="Times New Roman" w:cs="Times New Roman" w:eastAsia="Times New Roman" w:hint="default"/>
          <w:spacing w:val="-4"/>
        </w:rPr>
        <w:t>3</w:t>
      </w:r>
      <w:r>
        <w:rPr>
          <w:spacing w:val="-4"/>
        </w:rPr>
        <w:t>、齐红，女，</w:t>
      </w:r>
      <w:r>
        <w:rPr>
          <w:rFonts w:ascii="Times New Roman" w:hAnsi="Times New Roman" w:cs="Times New Roman" w:eastAsia="Times New Roman" w:hint="default"/>
          <w:spacing w:val="-4"/>
        </w:rPr>
        <w:t>1966</w:t>
      </w:r>
      <w:r>
        <w:rPr>
          <w:spacing w:val="-4"/>
        </w:rPr>
        <w:t>年</w:t>
      </w:r>
      <w:r>
        <w:rPr>
          <w:rFonts w:ascii="Times New Roman" w:hAnsi="Times New Roman" w:cs="Times New Roman" w:eastAsia="Times New Roman" w:hint="default"/>
          <w:spacing w:val="-4"/>
        </w:rPr>
        <w:t>10</w:t>
      </w:r>
      <w:r>
        <w:rPr>
          <w:spacing w:val="-4"/>
        </w:rPr>
        <w:t>月出生，中国国籍，毕业于天津财经学院会计专业，本科学历。齐红女士自</w:t>
      </w:r>
      <w:r>
        <w:rPr>
          <w:rFonts w:ascii="Times New Roman" w:hAnsi="Times New Roman" w:cs="Times New Roman" w:eastAsia="Times New Roman" w:hint="default"/>
          <w:spacing w:val="-4"/>
        </w:rPr>
        <w:t>2004</w:t>
      </w:r>
      <w:r>
        <w:rPr>
          <w:spacing w:val="-4"/>
        </w:rPr>
        <w:t>年至今，任公</w:t>
      </w:r>
      <w:r>
        <w:rPr>
          <w:w w:val="101"/>
        </w:rPr>
        <w:t> </w:t>
      </w:r>
      <w:r>
        <w:rPr>
          <w:spacing w:val="-3"/>
        </w:rPr>
        <w:t>司全资子公司北京泰策科技有限公司财务主管。现任本公司职工代表监事。</w:t>
      </w:r>
    </w:p>
    <w:p>
      <w:pPr>
        <w:spacing w:line="240" w:lineRule="auto" w:before="3"/>
        <w:rPr>
          <w:rFonts w:ascii="宋体" w:hAnsi="宋体" w:cs="宋体" w:eastAsia="宋体" w:hint="default"/>
          <w:sz w:val="26"/>
          <w:szCs w:val="26"/>
        </w:rPr>
      </w:pPr>
    </w:p>
    <w:p>
      <w:pPr>
        <w:pStyle w:val="BodyText"/>
        <w:spacing w:line="240" w:lineRule="auto"/>
        <w:ind w:left="575" w:right="0"/>
        <w:jc w:val="left"/>
      </w:pPr>
      <w:r>
        <w:rPr/>
        <w:t>（三）高级管理人员：</w:t>
      </w:r>
    </w:p>
    <w:p>
      <w:pPr>
        <w:pStyle w:val="BodyText"/>
        <w:spacing w:line="240" w:lineRule="auto" w:before="76"/>
        <w:ind w:left="575" w:right="0"/>
        <w:jc w:val="left"/>
      </w:pPr>
      <w:r>
        <w:rPr>
          <w:rFonts w:ascii="Times New Roman" w:hAnsi="Times New Roman" w:cs="Times New Roman" w:eastAsia="Times New Roman" w:hint="default"/>
          <w:spacing w:val="-3"/>
        </w:rPr>
        <w:t>1</w:t>
      </w:r>
      <w:r>
        <w:rPr>
          <w:spacing w:val="-3"/>
        </w:rPr>
        <w:t>、黄永军先生，总经理，详见本节</w:t>
      </w:r>
      <w:r>
        <w:rPr>
          <w:rFonts w:ascii="Times New Roman" w:hAnsi="Times New Roman" w:cs="Times New Roman" w:eastAsia="Times New Roman" w:hint="default"/>
          <w:spacing w:val="-3"/>
        </w:rPr>
        <w:t>“</w:t>
      </w:r>
      <w:r>
        <w:rPr>
          <w:spacing w:val="-3"/>
        </w:rPr>
        <w:t>（一）、董事会成员</w:t>
      </w:r>
      <w:r>
        <w:rPr>
          <w:rFonts w:ascii="Times New Roman" w:hAnsi="Times New Roman" w:cs="Times New Roman" w:eastAsia="Times New Roman" w:hint="default"/>
          <w:spacing w:val="-3"/>
        </w:rPr>
        <w:t>1”</w:t>
      </w:r>
      <w:r>
        <w:rPr>
          <w:spacing w:val="-3"/>
        </w:rPr>
        <w:t>介绍；</w:t>
      </w:r>
    </w:p>
    <w:p>
      <w:pPr>
        <w:pStyle w:val="BodyText"/>
        <w:spacing w:line="240" w:lineRule="auto" w:before="63"/>
        <w:ind w:left="575" w:right="0"/>
        <w:jc w:val="left"/>
      </w:pPr>
      <w:r>
        <w:rPr>
          <w:rFonts w:ascii="Times New Roman" w:hAnsi="Times New Roman" w:cs="Times New Roman" w:eastAsia="Times New Roman" w:hint="default"/>
          <w:spacing w:val="-3"/>
        </w:rPr>
        <w:t>2</w:t>
      </w:r>
      <w:r>
        <w:rPr>
          <w:spacing w:val="-3"/>
        </w:rPr>
        <w:t>、徐少璞先生，常务副总经理，详见本节</w:t>
      </w:r>
      <w:r>
        <w:rPr>
          <w:rFonts w:ascii="Times New Roman" w:hAnsi="Times New Roman" w:cs="Times New Roman" w:eastAsia="Times New Roman" w:hint="default"/>
          <w:spacing w:val="-3"/>
        </w:rPr>
        <w:t>“</w:t>
      </w:r>
      <w:r>
        <w:rPr>
          <w:spacing w:val="-3"/>
        </w:rPr>
        <w:t>（一）、董事会成员</w:t>
      </w:r>
      <w:r>
        <w:rPr>
          <w:rFonts w:ascii="Times New Roman" w:hAnsi="Times New Roman" w:cs="Times New Roman" w:eastAsia="Times New Roman" w:hint="default"/>
          <w:spacing w:val="-3"/>
        </w:rPr>
        <w:t>2”</w:t>
      </w:r>
      <w:r>
        <w:rPr>
          <w:spacing w:val="-3"/>
        </w:rPr>
        <w:t>介绍；</w:t>
      </w:r>
    </w:p>
    <w:p>
      <w:pPr>
        <w:pStyle w:val="BodyText"/>
        <w:spacing w:line="240" w:lineRule="auto" w:before="63"/>
        <w:ind w:left="575" w:right="0"/>
        <w:jc w:val="left"/>
      </w:pPr>
      <w:r>
        <w:rPr>
          <w:rFonts w:ascii="Times New Roman" w:hAnsi="Times New Roman" w:cs="Times New Roman" w:eastAsia="Times New Roman" w:hint="default"/>
          <w:spacing w:val="-3"/>
        </w:rPr>
        <w:t>3</w:t>
      </w:r>
      <w:r>
        <w:rPr>
          <w:spacing w:val="-3"/>
        </w:rPr>
        <w:t>、曲涛先生，副总经理，详见本节</w:t>
      </w:r>
      <w:r>
        <w:rPr>
          <w:rFonts w:ascii="Times New Roman" w:hAnsi="Times New Roman" w:cs="Times New Roman" w:eastAsia="Times New Roman" w:hint="default"/>
          <w:spacing w:val="-3"/>
        </w:rPr>
        <w:t>“</w:t>
      </w:r>
      <w:r>
        <w:rPr>
          <w:spacing w:val="-3"/>
        </w:rPr>
        <w:t>（一）、董事会成员</w:t>
      </w:r>
      <w:r>
        <w:rPr>
          <w:rFonts w:ascii="Times New Roman" w:hAnsi="Times New Roman" w:cs="Times New Roman" w:eastAsia="Times New Roman" w:hint="default"/>
          <w:spacing w:val="-3"/>
        </w:rPr>
        <w:t>3”</w:t>
      </w:r>
      <w:r>
        <w:rPr>
          <w:spacing w:val="-3"/>
        </w:rPr>
        <w:t>介绍；</w:t>
      </w:r>
    </w:p>
    <w:p>
      <w:pPr>
        <w:pStyle w:val="BodyText"/>
        <w:spacing w:line="300" w:lineRule="auto" w:before="63"/>
        <w:ind w:right="1121" w:firstLine="422"/>
        <w:jc w:val="both"/>
      </w:pPr>
      <w:r>
        <w:rPr>
          <w:rFonts w:ascii="Times New Roman" w:hAnsi="Times New Roman" w:cs="Times New Roman" w:eastAsia="Times New Roman" w:hint="default"/>
          <w:spacing w:val="-3"/>
        </w:rPr>
        <w:t>4</w:t>
      </w:r>
      <w:r>
        <w:rPr>
          <w:spacing w:val="-3"/>
        </w:rPr>
        <w:t>、张春林，男，</w:t>
      </w:r>
      <w:r>
        <w:rPr>
          <w:rFonts w:ascii="Times New Roman" w:hAnsi="Times New Roman" w:cs="Times New Roman" w:eastAsia="Times New Roman" w:hint="default"/>
          <w:spacing w:val="-3"/>
        </w:rPr>
        <w:t>1977</w:t>
      </w:r>
      <w:r>
        <w:rPr>
          <w:spacing w:val="-3"/>
        </w:rPr>
        <w:t>年</w:t>
      </w:r>
      <w:r>
        <w:rPr>
          <w:rFonts w:ascii="Times New Roman" w:hAnsi="Times New Roman" w:cs="Times New Roman" w:eastAsia="Times New Roman" w:hint="default"/>
          <w:spacing w:val="-3"/>
        </w:rPr>
        <w:t>1</w:t>
      </w:r>
      <w:r>
        <w:rPr>
          <w:spacing w:val="-3"/>
        </w:rPr>
        <w:t>月出生，中国国籍，无境外永久居留权，毕业于中国海洋大学计算机软件专业，本科学历，</w:t>
      </w:r>
      <w:r>
        <w:rPr>
          <w:w w:val="101"/>
        </w:rPr>
        <w:t> </w:t>
      </w:r>
      <w:r>
        <w:rPr>
          <w:spacing w:val="-4"/>
        </w:rPr>
        <w:t>硕士学位。张春林先生</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月，任上海欣方智能通信有限公司技术总监；</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5</w:t>
      </w:r>
      <w:r>
        <w:rPr>
          <w:spacing w:val="-4"/>
        </w:rPr>
        <w:t>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月，任深圳优网</w:t>
      </w:r>
      <w:r>
        <w:rPr>
          <w:spacing w:val="80"/>
        </w:rPr>
        <w:t> </w:t>
      </w:r>
      <w:r>
        <w:rPr>
          <w:spacing w:val="80"/>
        </w:rPr>
      </w:r>
      <w:r>
        <w:rPr>
          <w:spacing w:val="-3"/>
        </w:rPr>
        <w:t>科技有限公司副总经理，兼任北京优网助帮信息科技公司总经理；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月至今任公司全资子公司北京微智信业科技有限</w:t>
      </w:r>
      <w:r>
        <w:rPr>
          <w:spacing w:val="77"/>
        </w:rPr>
        <w:t> </w:t>
      </w:r>
      <w:r>
        <w:rPr>
          <w:spacing w:val="77"/>
        </w:rPr>
      </w:r>
      <w:r>
        <w:rPr>
          <w:spacing w:val="-3"/>
        </w:rPr>
        <w:t>公司副总经理。现任公司副总经理。</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spacing w:line="240" w:lineRule="auto"/>
        <w:ind w:right="0"/>
        <w:jc w:val="left"/>
      </w:pPr>
      <w:r>
        <w:rPr>
          <w:spacing w:val="-3"/>
        </w:rPr>
        <w:t>在股东单位任职情况</w:t>
      </w:r>
    </w:p>
    <w:p>
      <w:pPr>
        <w:pStyle w:val="BodyText"/>
        <w:spacing w:line="338" w:lineRule="auto" w:before="115"/>
        <w:ind w:right="792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在其他单位任职情况</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1" w:right="65" w:hanging="270"/>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赵永杰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上海华信长安网络科技有限公司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94"/>
              <w:jc w:val="left"/>
              <w:rPr>
                <w:rFonts w:ascii="宋体" w:hAnsi="宋体" w:cs="宋体" w:eastAsia="宋体" w:hint="default"/>
                <w:sz w:val="18"/>
                <w:szCs w:val="18"/>
              </w:rPr>
            </w:pPr>
            <w:r>
              <w:rPr>
                <w:rFonts w:ascii="宋体" w:hAnsi="宋体" w:cs="宋体" w:eastAsia="宋体" w:hint="default"/>
                <w:spacing w:val="-3"/>
                <w:sz w:val="18"/>
                <w:szCs w:val="18"/>
              </w:rPr>
              <w:t>中国通信企业协会通信网络运营专业委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员会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北京数知科技股份有限公司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杭州纵横通信股份有限公司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元道通信股份有限公司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首都经济贸易大学财税学院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教授，硕士生</w:t>
            </w:r>
            <w:r>
              <w:rPr>
                <w:rFonts w:ascii="宋体" w:hAnsi="宋体" w:cs="宋体" w:eastAsia="宋体" w:hint="default"/>
                <w:w w:val="101"/>
                <w:sz w:val="18"/>
                <w:szCs w:val="18"/>
              </w:rPr>
              <w:t> </w:t>
            </w:r>
            <w:r>
              <w:rPr>
                <w:rFonts w:ascii="宋体" w:hAnsi="宋体" w:cs="宋体" w:eastAsia="宋体" w:hint="default"/>
                <w:sz w:val="18"/>
                <w:szCs w:val="18"/>
              </w:rPr>
              <w:t>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中国税务学会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常务理事、学</w:t>
            </w:r>
            <w:r>
              <w:rPr>
                <w:rFonts w:ascii="宋体" w:hAnsi="宋体" w:cs="宋体" w:eastAsia="宋体" w:hint="default"/>
                <w:w w:val="101"/>
                <w:sz w:val="18"/>
                <w:szCs w:val="18"/>
              </w:rPr>
              <w:t> </w:t>
            </w:r>
            <w:r>
              <w:rPr>
                <w:rFonts w:ascii="宋体" w:hAnsi="宋体" w:cs="宋体" w:eastAsia="宋体" w:hint="default"/>
                <w:sz w:val="18"/>
                <w:szCs w:val="18"/>
              </w:rPr>
              <w:t>术委员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中国注册税务师协会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北京国际税收研究会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拉萨国瑞税务咨询股份有限公司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二十一世纪空间技术应用股份有限公司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程贤权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内蒙古霍林河露天煤业股份有限公司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程贤权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北京值得买科技股份有限公司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程贤权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4"/>
              <w:jc w:val="left"/>
              <w:rPr>
                <w:rFonts w:ascii="宋体" w:hAnsi="宋体" w:cs="宋体" w:eastAsia="宋体" w:hint="default"/>
                <w:sz w:val="18"/>
                <w:szCs w:val="18"/>
              </w:rPr>
            </w:pPr>
            <w:r>
              <w:rPr>
                <w:rFonts w:ascii="宋体" w:hAnsi="宋体" w:cs="宋体" w:eastAsia="宋体" w:hint="default"/>
                <w:spacing w:val="-3"/>
                <w:sz w:val="18"/>
                <w:szCs w:val="18"/>
              </w:rPr>
              <w:t>北京品恩科技股份有限公司（拟上市公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程贤权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5"/>
              <w:jc w:val="left"/>
              <w:rPr>
                <w:rFonts w:ascii="宋体" w:hAnsi="宋体" w:cs="宋体" w:eastAsia="宋体" w:hint="default"/>
                <w:sz w:val="18"/>
                <w:szCs w:val="18"/>
              </w:rPr>
            </w:pPr>
            <w:r>
              <w:rPr>
                <w:rFonts w:ascii="宋体" w:hAnsi="宋体" w:cs="宋体" w:eastAsia="宋体" w:hint="default"/>
                <w:spacing w:val="-3"/>
                <w:sz w:val="18"/>
                <w:szCs w:val="18"/>
              </w:rPr>
              <w:t>湖南高桥大市场股份有限公司（拟上市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董事、监事、高级管理人员报酬的决策程序、确定依据、实际支付情况</w:t>
      </w:r>
    </w:p>
    <w:p>
      <w:pPr>
        <w:pStyle w:val="BodyText"/>
        <w:spacing w:line="333" w:lineRule="auto" w:before="115"/>
        <w:ind w:left="522" w:right="0"/>
        <w:jc w:val="left"/>
      </w:pPr>
      <w:r>
        <w:rPr>
          <w:rFonts w:ascii="Times New Roman" w:hAnsi="Times New Roman" w:cs="Times New Roman" w:eastAsia="Times New Roman" w:hint="default"/>
          <w:spacing w:val="-3"/>
        </w:rPr>
        <w:t>1.</w:t>
      </w:r>
      <w:r>
        <w:rPr>
          <w:spacing w:val="-3"/>
        </w:rPr>
        <w:t>董事、监事、高级管理人员报酬的决策程序：</w:t>
      </w:r>
      <w:r>
        <w:rPr>
          <w:spacing w:val="-23"/>
        </w:rPr>
        <w:t> </w:t>
      </w:r>
      <w:r>
        <w:rPr>
          <w:spacing w:val="-23"/>
        </w:rPr>
      </w:r>
      <w:r>
        <w:rPr>
          <w:spacing w:val="-3"/>
        </w:rPr>
        <w:t>在公司任职的董事、监事和高级管理人员的报酬按照公司董事会《薪酬与考核委员会议事规则》的规定，结合其经营</w:t>
      </w:r>
    </w:p>
    <w:p>
      <w:pPr>
        <w:pStyle w:val="BodyText"/>
        <w:spacing w:line="240" w:lineRule="auto" w:before="11"/>
        <w:ind w:left="162" w:right="0"/>
        <w:jc w:val="left"/>
      </w:pPr>
      <w:r>
        <w:rPr>
          <w:spacing w:val="-3"/>
        </w:rPr>
        <w:t>绩效、工作能力、岗位职级等考核确定并发放。</w:t>
      </w:r>
    </w:p>
    <w:p>
      <w:pPr>
        <w:pStyle w:val="BodyText"/>
        <w:spacing w:line="333" w:lineRule="auto" w:before="119"/>
        <w:ind w:left="522" w:right="0"/>
        <w:jc w:val="left"/>
      </w:pPr>
      <w:r>
        <w:rPr>
          <w:rFonts w:ascii="Times New Roman" w:hAnsi="Times New Roman" w:cs="Times New Roman" w:eastAsia="Times New Roman" w:hint="default"/>
          <w:spacing w:val="-3"/>
        </w:rPr>
        <w:t>2.</w:t>
      </w:r>
      <w:r>
        <w:rPr>
          <w:spacing w:val="-3"/>
        </w:rPr>
        <w:t>董事、监事、高级管理人员报酬确定依据：</w:t>
      </w:r>
      <w:r>
        <w:rPr>
          <w:spacing w:val="-23"/>
        </w:rPr>
        <w:t> </w:t>
      </w:r>
      <w:r>
        <w:rPr>
          <w:spacing w:val="-23"/>
        </w:rPr>
      </w:r>
      <w:r>
        <w:rPr>
          <w:spacing w:val="-5"/>
        </w:rPr>
        <w:t>外部董事不在公司领取薪酬。在公司任职的董事、监事不另外支付津贴。独立董事津贴根据经股东大会审议通过的《独</w:t>
      </w:r>
    </w:p>
    <w:p>
      <w:pPr>
        <w:pStyle w:val="BodyText"/>
        <w:spacing w:line="240" w:lineRule="auto" w:before="11"/>
        <w:ind w:left="162" w:right="0"/>
        <w:jc w:val="left"/>
      </w:pPr>
      <w:r>
        <w:rPr>
          <w:spacing w:val="-3"/>
        </w:rPr>
        <w:t>立董事津贴管理办法》相关规定进行支付。</w:t>
      </w:r>
    </w:p>
    <w:p>
      <w:pPr>
        <w:pStyle w:val="BodyText"/>
        <w:spacing w:line="331" w:lineRule="auto" w:before="115"/>
        <w:ind w:right="0" w:firstLine="369"/>
        <w:jc w:val="left"/>
      </w:pPr>
      <w:r>
        <w:rPr>
          <w:rFonts w:ascii="Times New Roman" w:hAnsi="Times New Roman" w:cs="Times New Roman" w:eastAsia="Times New Roman" w:hint="default"/>
          <w:spacing w:val="-3"/>
        </w:rPr>
        <w:t>3.</w:t>
      </w:r>
      <w:r>
        <w:rPr>
          <w:spacing w:val="-3"/>
        </w:rPr>
        <w:t>董事、监事和高级管理人员报酬的实际支付情况：</w:t>
      </w:r>
      <w:r>
        <w:rPr>
          <w:w w:val="101"/>
        </w:rPr>
        <w:t> </w:t>
      </w:r>
      <w:r>
        <w:rPr>
          <w:spacing w:val="-4"/>
        </w:rPr>
        <w:t>依据公司盈利水平及董事、监事、高级管理人员的职责履行情况并结合年度绩效完成情况综合确定。其中独董领用津贴，不</w:t>
      </w:r>
      <w:r>
        <w:rPr>
          <w:spacing w:val="40"/>
        </w:rPr>
        <w:t> </w:t>
      </w:r>
      <w:r>
        <w:rPr>
          <w:spacing w:val="40"/>
        </w:rPr>
      </w:r>
      <w:r>
        <w:rPr>
          <w:spacing w:val="-3"/>
        </w:rPr>
        <w:t>享受公司其他薪金保险等待遇。</w:t>
      </w:r>
    </w:p>
    <w:p>
      <w:pPr>
        <w:pStyle w:val="BodyText"/>
        <w:spacing w:line="240" w:lineRule="auto" w:before="46"/>
        <w:ind w:right="0"/>
        <w:jc w:val="left"/>
      </w:pPr>
      <w:r>
        <w:rPr>
          <w:spacing w:val="-3"/>
        </w:rPr>
        <w:t>公司报告期内董事、监事和高级管理人员报酬情况</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388"/>
        <w:gridCol w:w="1901"/>
        <w:gridCol w:w="869"/>
        <w:gridCol w:w="836"/>
        <w:gridCol w:w="1133"/>
        <w:gridCol w:w="1700"/>
        <w:gridCol w:w="1873"/>
      </w:tblGrid>
      <w:tr>
        <w:trPr>
          <w:trHeight w:val="75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54"/>
              <w:ind w:left="307" w:right="296"/>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54"/>
              <w:ind w:left="302" w:right="296" w:firstLine="177"/>
              <w:jc w:val="left"/>
              <w:rPr>
                <w:rFonts w:ascii="宋体" w:hAnsi="宋体" w:cs="宋体" w:eastAsia="宋体" w:hint="default"/>
                <w:sz w:val="18"/>
                <w:szCs w:val="18"/>
              </w:rPr>
            </w:pPr>
            <w:r>
              <w:rPr>
                <w:rFonts w:ascii="宋体" w:hAnsi="宋体" w:cs="宋体" w:eastAsia="宋体" w:hint="default"/>
                <w:sz w:val="18"/>
                <w:szCs w:val="18"/>
              </w:rPr>
              <w:t>是否在公司</w:t>
            </w:r>
            <w:r>
              <w:rPr>
                <w:rFonts w:ascii="宋体" w:hAnsi="宋体" w:cs="宋体" w:eastAsia="宋体" w:hint="default"/>
                <w:w w:val="101"/>
                <w:sz w:val="18"/>
                <w:szCs w:val="18"/>
              </w:rPr>
              <w:t> </w:t>
            </w:r>
            <w:r>
              <w:rPr>
                <w:rFonts w:ascii="宋体" w:hAnsi="宋体" w:cs="宋体" w:eastAsia="宋体" w:hint="default"/>
                <w:spacing w:val="-3"/>
                <w:sz w:val="18"/>
                <w:szCs w:val="18"/>
              </w:rPr>
              <w:t>关联方获取报酬</w:t>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董事长、总经理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0"/>
              <w:jc w:val="left"/>
              <w:rPr>
                <w:rFonts w:ascii="宋体" w:hAnsi="宋体" w:cs="宋体" w:eastAsia="宋体" w:hint="default"/>
                <w:sz w:val="18"/>
                <w:szCs w:val="18"/>
              </w:rPr>
            </w:pPr>
            <w:r>
              <w:rPr>
                <w:rFonts w:ascii="宋体" w:hAnsi="宋体" w:cs="宋体" w:eastAsia="宋体" w:hint="default"/>
                <w:spacing w:val="-2"/>
                <w:sz w:val="18"/>
                <w:szCs w:val="18"/>
              </w:rPr>
              <w:t>董事、副总经理、财务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总监、董事会秘书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78.6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17.98</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赵永杰</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14.4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14.4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程贤权</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陈乔</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388"/>
        <w:gridCol w:w="1901"/>
        <w:gridCol w:w="869"/>
        <w:gridCol w:w="836"/>
        <w:gridCol w:w="1133"/>
        <w:gridCol w:w="1700"/>
        <w:gridCol w:w="1873"/>
      </w:tblGrid>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刘东婷</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4.78</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齐红</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76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杨宏皞</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14.4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17.68</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40.77</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4.04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16.16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484.04</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979" w:top="1100" w:bottom="1160" w:left="980" w:right="0"/>
        </w:sectPr>
      </w:pPr>
    </w:p>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7" w:space="4265"/>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可行权股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已行权股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3" w:right="60" w:firstLine="48"/>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1"/>
                <w:sz w:val="18"/>
                <w:szCs w:val="18"/>
              </w:rPr>
              <w:t> </w:t>
            </w:r>
            <w:r>
              <w:rPr>
                <w:rFonts w:ascii="宋体" w:hAnsi="宋体" w:cs="宋体" w:eastAsia="宋体" w:hint="default"/>
                <w:sz w:val="18"/>
                <w:szCs w:val="18"/>
              </w:rPr>
              <w:t>已行权股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数行权价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格（元</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8" w:right="38"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w:t>
            </w:r>
            <w:r>
              <w:rPr>
                <w:rFonts w:ascii="宋体" w:hAnsi="宋体" w:cs="宋体" w:eastAsia="宋体" w:hint="default"/>
                <w:w w:val="101"/>
                <w:sz w:val="18"/>
                <w:szCs w:val="18"/>
              </w:rPr>
              <w:t> </w:t>
            </w:r>
            <w:r>
              <w:rPr>
                <w:rFonts w:ascii="宋体" w:hAnsi="宋体" w:cs="宋体" w:eastAsia="宋体" w:hint="default"/>
                <w:spacing w:val="-2"/>
                <w:sz w:val="18"/>
                <w:szCs w:val="18"/>
              </w:rPr>
              <w:t>市价（元</w:t>
            </w:r>
            <w:r>
              <w:rPr>
                <w:rFonts w:ascii="Times New Roman" w:hAnsi="Times New Roman" w:cs="Times New Roman" w:eastAsia="Times New Roman" w:hint="default"/>
                <w:spacing w:val="-2"/>
                <w:sz w:val="18"/>
                <w:szCs w:val="18"/>
              </w:rPr>
              <w:t>/</w:t>
            </w:r>
          </w:p>
          <w:p>
            <w:pPr>
              <w:pStyle w:val="TableParagraph"/>
              <w:spacing w:line="197" w:lineRule="exact" w:before="8"/>
              <w:ind w:left="5"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7"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期初持有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本期已解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锁股份数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72" w:right="60"/>
              <w:jc w:val="center"/>
              <w:rPr>
                <w:rFonts w:ascii="宋体" w:hAnsi="宋体" w:cs="宋体" w:eastAsia="宋体" w:hint="default"/>
                <w:sz w:val="18"/>
                <w:szCs w:val="18"/>
              </w:rPr>
            </w:pPr>
            <w:r>
              <w:rPr>
                <w:rFonts w:ascii="宋体" w:hAnsi="宋体" w:cs="宋体" w:eastAsia="宋体" w:hint="default"/>
                <w:spacing w:val="-2"/>
                <w:sz w:val="18"/>
                <w:szCs w:val="18"/>
              </w:rPr>
              <w:t>报告期新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授予限制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性股票数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47" w:right="38" w:firstLine="1"/>
              <w:jc w:val="center"/>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w w:val="101"/>
                <w:sz w:val="18"/>
                <w:szCs w:val="18"/>
              </w:rPr>
              <w:t> </w:t>
            </w:r>
            <w:r>
              <w:rPr>
                <w:rFonts w:ascii="宋体" w:hAnsi="宋体" w:cs="宋体" w:eastAsia="宋体" w:hint="default"/>
                <w:sz w:val="18"/>
                <w:szCs w:val="18"/>
              </w:rPr>
              <w:t>票的授予</w:t>
            </w:r>
            <w:r>
              <w:rPr>
                <w:rFonts w:ascii="宋体" w:hAnsi="宋体" w:cs="宋体" w:eastAsia="宋体" w:hint="default"/>
                <w:w w:val="101"/>
                <w:sz w:val="18"/>
                <w:szCs w:val="18"/>
              </w:rPr>
              <w:t> </w:t>
            </w:r>
            <w:r>
              <w:rPr>
                <w:rFonts w:ascii="宋体" w:hAnsi="宋体" w:cs="宋体" w:eastAsia="宋体" w:hint="default"/>
                <w:spacing w:val="-2"/>
                <w:sz w:val="18"/>
                <w:szCs w:val="18"/>
              </w:rPr>
              <w:t>价格（元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期末持有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both"/>
              <w:rPr>
                <w:rFonts w:ascii="宋体" w:hAnsi="宋体" w:cs="宋体" w:eastAsia="宋体" w:hint="default"/>
                <w:sz w:val="18"/>
                <w:szCs w:val="18"/>
              </w:rPr>
            </w:pPr>
            <w:r>
              <w:rPr>
                <w:rFonts w:ascii="宋体" w:hAnsi="宋体" w:cs="宋体" w:eastAsia="宋体" w:hint="default"/>
                <w:spacing w:val="-19"/>
                <w:w w:val="101"/>
                <w:sz w:val="18"/>
                <w:szCs w:val="18"/>
              </w:rPr>
              <w:t>董事、副总</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9"/>
                <w:w w:val="101"/>
                <w:sz w:val="18"/>
                <w:szCs w:val="18"/>
              </w:rPr>
              <w:t>经理、董事</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9"/>
                <w:w w:val="101"/>
                <w:sz w:val="18"/>
                <w:szCs w:val="18"/>
              </w:rPr>
              <w:t>会秘书、财</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务总监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41" w:hRule="exact"/>
        </w:trPr>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0" w:type="dxa"/>
            <w:gridSpan w:val="10"/>
            <w:vMerge w:val="restart"/>
            <w:tcBorders>
              <w:top w:val="single" w:sz="4" w:space="0" w:color="000000"/>
              <w:left w:val="single" w:sz="8" w:space="0" w:color="D2D2D2"/>
              <w:right w:val="single" w:sz="4" w:space="0" w:color="000000"/>
            </w:tcBorders>
          </w:tcPr>
          <w:p>
            <w:pPr>
              <w:pStyle w:val="TableParagraph"/>
              <w:spacing w:line="297" w:lineRule="auto" w:before="53"/>
              <w:ind w:left="19" w:right="17" w:firstLine="36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25</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8"/>
                <w:w w:val="101"/>
                <w:sz w:val="18"/>
                <w:szCs w:val="18"/>
              </w:rPr>
              <w:t>日，第三届董事会第十四次会议和第三届监事会第十一次会议，审议通过了《关于公司</w:t>
            </w:r>
            <w:r>
              <w:rPr>
                <w:rFonts w:ascii="Times New Roman" w:hAnsi="Times New Roman" w:cs="Times New Roman" w:eastAsia="Times New Roman" w:hint="default"/>
                <w:spacing w:val="-8"/>
                <w:w w:val="101"/>
                <w:sz w:val="18"/>
                <w:szCs w:val="18"/>
              </w:rPr>
              <w:t>&lt;2018</w:t>
            </w:r>
            <w:r>
              <w:rPr>
                <w:rFonts w:ascii="Times New Roman" w:hAnsi="Times New Roman" w:cs="Times New Roman" w:eastAsia="Times New Roman" w:hint="default"/>
                <w:w w:val="101"/>
                <w:sz w:val="18"/>
                <w:szCs w:val="18"/>
              </w:rPr>
              <w:t> </w:t>
            </w:r>
            <w:r>
              <w:rPr>
                <w:rFonts w:ascii="宋体" w:hAnsi="宋体" w:cs="宋体" w:eastAsia="宋体" w:hint="default"/>
                <w:spacing w:val="-8"/>
                <w:w w:val="101"/>
                <w:sz w:val="18"/>
                <w:szCs w:val="18"/>
              </w:rPr>
              <w:t>年股票期权激励计划（草案）</w:t>
            </w:r>
            <w:r>
              <w:rPr>
                <w:rFonts w:ascii="Times New Roman" w:hAnsi="Times New Roman" w:cs="Times New Roman" w:eastAsia="Times New Roman" w:hint="default"/>
                <w:spacing w:val="-8"/>
                <w:w w:val="101"/>
                <w:sz w:val="18"/>
                <w:szCs w:val="18"/>
              </w:rPr>
              <w:t>&gt;</w:t>
            </w:r>
            <w:r>
              <w:rPr>
                <w:rFonts w:ascii="宋体" w:hAnsi="宋体" w:cs="宋体" w:eastAsia="宋体" w:hint="default"/>
                <w:spacing w:val="-8"/>
                <w:w w:val="101"/>
                <w:sz w:val="18"/>
                <w:szCs w:val="18"/>
              </w:rPr>
              <w:t>及其摘要的议案》、《关于公司</w:t>
            </w:r>
            <w:r>
              <w:rPr>
                <w:rFonts w:ascii="Times New Roman" w:hAnsi="Times New Roman" w:cs="Times New Roman" w:eastAsia="Times New Roman" w:hint="default"/>
                <w:spacing w:val="-8"/>
                <w:w w:val="101"/>
                <w:sz w:val="18"/>
                <w:szCs w:val="18"/>
              </w:rPr>
              <w:t>&lt;2018</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年股票期权激励计划实施考核管理办法</w:t>
            </w:r>
            <w:r>
              <w:rPr>
                <w:rFonts w:ascii="Times New Roman" w:hAnsi="Times New Roman" w:cs="Times New Roman" w:eastAsia="Times New Roman" w:hint="default"/>
                <w:spacing w:val="-3"/>
                <w:w w:val="101"/>
                <w:sz w:val="18"/>
                <w:szCs w:val="18"/>
              </w:rPr>
              <w:t>&gt;</w:t>
            </w:r>
            <w:r>
              <w:rPr>
                <w:rFonts w:ascii="宋体" w:hAnsi="宋体" w:cs="宋体" w:eastAsia="宋体" w:hint="default"/>
                <w:spacing w:val="-3"/>
                <w:w w:val="101"/>
                <w:sz w:val="18"/>
                <w:szCs w:val="18"/>
              </w:rPr>
              <w:t>的</w:t>
            </w:r>
            <w:r>
              <w:rPr>
                <w:rFonts w:ascii="宋体" w:hAnsi="宋体" w:cs="宋体" w:eastAsia="宋体" w:hint="default"/>
                <w:spacing w:val="-72"/>
                <w:w w:val="101"/>
                <w:sz w:val="18"/>
                <w:szCs w:val="18"/>
              </w:rPr>
              <w:t> </w:t>
            </w:r>
            <w:r>
              <w:rPr>
                <w:rFonts w:ascii="宋体" w:hAnsi="宋体" w:cs="宋体" w:eastAsia="宋体" w:hint="default"/>
                <w:spacing w:val="-4"/>
                <w:sz w:val="18"/>
                <w:szCs w:val="18"/>
              </w:rPr>
              <w:t>议案》等相关议案，经内部公示，并经公司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年第二次临时股东大会审议通过。</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日，第三届</w:t>
            </w:r>
          </w:p>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十</w:t>
            </w:r>
            <w:r>
              <w:rPr>
                <w:rFonts w:ascii="宋体" w:hAnsi="宋体" w:cs="宋体" w:eastAsia="宋体" w:hint="default"/>
                <w:spacing w:val="-5"/>
                <w:w w:val="101"/>
                <w:sz w:val="18"/>
                <w:szCs w:val="18"/>
              </w:rPr>
              <w:t>六</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和</w:t>
            </w:r>
            <w:r>
              <w:rPr>
                <w:rFonts w:ascii="宋体" w:hAnsi="宋体" w:cs="宋体" w:eastAsia="宋体" w:hint="default"/>
                <w:w w:val="101"/>
                <w:sz w:val="18"/>
                <w:szCs w:val="18"/>
              </w:rPr>
              <w:t>第</w:t>
            </w:r>
            <w:r>
              <w:rPr>
                <w:rFonts w:ascii="宋体" w:hAnsi="宋体" w:cs="宋体" w:eastAsia="宋体" w:hint="default"/>
                <w:spacing w:val="-5"/>
                <w:w w:val="101"/>
                <w:sz w:val="18"/>
                <w:szCs w:val="18"/>
              </w:rPr>
              <w:t>三</w:t>
            </w:r>
            <w:r>
              <w:rPr>
                <w:rFonts w:ascii="宋体" w:hAnsi="宋体" w:cs="宋体" w:eastAsia="宋体" w:hint="default"/>
                <w:w w:val="101"/>
                <w:sz w:val="18"/>
                <w:szCs w:val="18"/>
              </w:rPr>
              <w:t>届</w:t>
            </w:r>
            <w:r>
              <w:rPr>
                <w:rFonts w:ascii="宋体" w:hAnsi="宋体" w:cs="宋体" w:eastAsia="宋体" w:hint="default"/>
                <w:spacing w:val="-5"/>
                <w:w w:val="101"/>
                <w:sz w:val="18"/>
                <w:szCs w:val="18"/>
              </w:rPr>
              <w:t>监</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十</w:t>
            </w:r>
            <w:r>
              <w:rPr>
                <w:rFonts w:ascii="宋体" w:hAnsi="宋体" w:cs="宋体" w:eastAsia="宋体" w:hint="default"/>
                <w:w w:val="101"/>
                <w:sz w:val="18"/>
                <w:szCs w:val="18"/>
              </w:rPr>
              <w:t>三</w:t>
            </w:r>
            <w:r>
              <w:rPr>
                <w:rFonts w:ascii="宋体" w:hAnsi="宋体" w:cs="宋体" w:eastAsia="宋体" w:hint="default"/>
                <w:spacing w:val="-5"/>
                <w:w w:val="101"/>
                <w:sz w:val="18"/>
                <w:szCs w:val="18"/>
              </w:rPr>
              <w:t>次</w:t>
            </w:r>
            <w:r>
              <w:rPr>
                <w:rFonts w:ascii="宋体" w:hAnsi="宋体" w:cs="宋体" w:eastAsia="宋体" w:hint="default"/>
                <w:w w:val="101"/>
                <w:sz w:val="18"/>
                <w:szCs w:val="18"/>
              </w:rPr>
              <w:t>会</w:t>
            </w:r>
            <w:r>
              <w:rPr>
                <w:rFonts w:ascii="宋体" w:hAnsi="宋体" w:cs="宋体" w:eastAsia="宋体" w:hint="default"/>
                <w:spacing w:val="-5"/>
                <w:w w:val="101"/>
                <w:sz w:val="18"/>
                <w:szCs w:val="18"/>
              </w:rPr>
              <w:t>议</w:t>
            </w:r>
            <w:r>
              <w:rPr>
                <w:rFonts w:ascii="宋体" w:hAnsi="宋体" w:cs="宋体" w:eastAsia="宋体" w:hint="default"/>
                <w:w w:val="101"/>
                <w:sz w:val="18"/>
                <w:szCs w:val="18"/>
              </w:rPr>
              <w:t>审</w:t>
            </w:r>
            <w:r>
              <w:rPr>
                <w:rFonts w:ascii="宋体" w:hAnsi="宋体" w:cs="宋体" w:eastAsia="宋体" w:hint="default"/>
                <w:spacing w:val="-5"/>
                <w:w w:val="101"/>
                <w:sz w:val="18"/>
                <w:szCs w:val="18"/>
              </w:rPr>
              <w:t>议</w:t>
            </w: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spacing w:val="-92"/>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调</w:t>
            </w:r>
            <w:r>
              <w:rPr>
                <w:rFonts w:ascii="宋体" w:hAnsi="宋体" w:cs="宋体" w:eastAsia="宋体" w:hint="default"/>
                <w:w w:val="101"/>
                <w:sz w:val="18"/>
                <w:szCs w:val="18"/>
              </w:rPr>
              <w:t>整公司</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期</w:t>
            </w:r>
            <w:r>
              <w:rPr>
                <w:rFonts w:ascii="宋体" w:hAnsi="宋体" w:cs="宋体" w:eastAsia="宋体" w:hint="default"/>
                <w:w w:val="101"/>
                <w:sz w:val="18"/>
                <w:szCs w:val="18"/>
              </w:rPr>
              <w:t>权</w:t>
            </w:r>
            <w:r>
              <w:rPr>
                <w:rFonts w:ascii="宋体" w:hAnsi="宋体" w:cs="宋体" w:eastAsia="宋体" w:hint="default"/>
                <w:spacing w:val="-5"/>
                <w:w w:val="101"/>
                <w:sz w:val="18"/>
                <w:szCs w:val="18"/>
              </w:rPr>
              <w:t>激</w:t>
            </w:r>
            <w:r>
              <w:rPr>
                <w:rFonts w:ascii="宋体" w:hAnsi="宋体" w:cs="宋体" w:eastAsia="宋体" w:hint="default"/>
                <w:w w:val="101"/>
                <w:sz w:val="18"/>
                <w:szCs w:val="18"/>
              </w:rPr>
              <w:t>励</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相</w:t>
            </w:r>
            <w:r>
              <w:rPr>
                <w:rFonts w:ascii="宋体" w:hAnsi="宋体" w:cs="宋体" w:eastAsia="宋体" w:hint="default"/>
                <w:w w:val="101"/>
                <w:sz w:val="18"/>
                <w:szCs w:val="18"/>
              </w:rPr>
              <w:t>关事</w:t>
            </w:r>
            <w:r>
              <w:rPr>
                <w:rFonts w:ascii="宋体" w:hAnsi="宋体" w:cs="宋体" w:eastAsia="宋体" w:hint="default"/>
                <w:sz w:val="18"/>
                <w:szCs w:val="18"/>
              </w:rPr>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w w:val="101"/>
                <w:sz w:val="18"/>
                <w:szCs w:val="18"/>
              </w:rPr>
              <w:t>项</w:t>
            </w:r>
            <w:r>
              <w:rPr>
                <w:rFonts w:ascii="宋体" w:hAnsi="宋体" w:cs="宋体" w:eastAsia="宋体" w:hint="default"/>
                <w:spacing w:val="-5"/>
                <w:w w:val="101"/>
                <w:sz w:val="18"/>
                <w:szCs w:val="18"/>
              </w:rPr>
              <w:t>的</w:t>
            </w:r>
            <w:r>
              <w:rPr>
                <w:rFonts w:ascii="宋体" w:hAnsi="宋体" w:cs="宋体" w:eastAsia="宋体" w:hint="default"/>
                <w:w w:val="101"/>
                <w:sz w:val="18"/>
                <w:szCs w:val="18"/>
              </w:rPr>
              <w:t>议</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及</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期</w:t>
            </w:r>
            <w:r>
              <w:rPr>
                <w:rFonts w:ascii="宋体" w:hAnsi="宋体" w:cs="宋体" w:eastAsia="宋体" w:hint="default"/>
                <w:w w:val="101"/>
                <w:sz w:val="18"/>
                <w:szCs w:val="18"/>
              </w:rPr>
              <w:t>权</w:t>
            </w:r>
            <w:r>
              <w:rPr>
                <w:rFonts w:ascii="宋体" w:hAnsi="宋体" w:cs="宋体" w:eastAsia="宋体" w:hint="default"/>
                <w:spacing w:val="-5"/>
                <w:w w:val="101"/>
                <w:sz w:val="18"/>
                <w:szCs w:val="18"/>
              </w:rPr>
              <w:t>激</w:t>
            </w:r>
            <w:r>
              <w:rPr>
                <w:rFonts w:ascii="宋体" w:hAnsi="宋体" w:cs="宋体" w:eastAsia="宋体" w:hint="default"/>
                <w:w w:val="101"/>
                <w:sz w:val="18"/>
                <w:szCs w:val="18"/>
              </w:rPr>
              <w:t>励</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受</w:t>
            </w:r>
            <w:r>
              <w:rPr>
                <w:rFonts w:ascii="宋体" w:hAnsi="宋体" w:cs="宋体" w:eastAsia="宋体" w:hint="default"/>
                <w:w w:val="101"/>
                <w:sz w:val="18"/>
                <w:szCs w:val="18"/>
              </w:rPr>
              <w:t>激</w:t>
            </w:r>
            <w:r>
              <w:rPr>
                <w:rFonts w:ascii="宋体" w:hAnsi="宋体" w:cs="宋体" w:eastAsia="宋体" w:hint="default"/>
                <w:spacing w:val="-5"/>
                <w:w w:val="101"/>
                <w:sz w:val="18"/>
                <w:szCs w:val="18"/>
              </w:rPr>
              <w:t>励</w:t>
            </w:r>
            <w:r>
              <w:rPr>
                <w:rFonts w:ascii="宋体" w:hAnsi="宋体" w:cs="宋体" w:eastAsia="宋体" w:hint="default"/>
                <w:w w:val="101"/>
                <w:sz w:val="18"/>
                <w:szCs w:val="18"/>
              </w:rPr>
              <w:t>对</w:t>
            </w:r>
            <w:r>
              <w:rPr>
                <w:rFonts w:ascii="宋体" w:hAnsi="宋体" w:cs="宋体" w:eastAsia="宋体" w:hint="default"/>
                <w:spacing w:val="-5"/>
                <w:w w:val="101"/>
                <w:sz w:val="18"/>
                <w:szCs w:val="18"/>
              </w:rPr>
              <w:t>象</w:t>
            </w:r>
            <w:r>
              <w:rPr>
                <w:rFonts w:ascii="宋体" w:hAnsi="宋体" w:cs="宋体" w:eastAsia="宋体" w:hint="default"/>
                <w:w w:val="101"/>
                <w:sz w:val="18"/>
                <w:szCs w:val="18"/>
              </w:rPr>
              <w:t>授</w:t>
            </w:r>
            <w:r>
              <w:rPr>
                <w:rFonts w:ascii="宋体" w:hAnsi="宋体" w:cs="宋体" w:eastAsia="宋体" w:hint="default"/>
                <w:spacing w:val="-5"/>
                <w:w w:val="101"/>
                <w:sz w:val="18"/>
                <w:szCs w:val="18"/>
              </w:rPr>
              <w:t>予</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期</w:t>
            </w:r>
            <w:r>
              <w:rPr>
                <w:rFonts w:ascii="宋体" w:hAnsi="宋体" w:cs="宋体" w:eastAsia="宋体" w:hint="default"/>
                <w:spacing w:val="-5"/>
                <w:w w:val="101"/>
                <w:sz w:val="18"/>
                <w:szCs w:val="18"/>
              </w:rPr>
              <w:t>权</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本</w:t>
            </w:r>
            <w:r>
              <w:rPr>
                <w:rFonts w:ascii="宋体" w:hAnsi="宋体" w:cs="宋体" w:eastAsia="宋体" w:hint="default"/>
                <w:spacing w:val="-5"/>
                <w:w w:val="101"/>
                <w:sz w:val="18"/>
                <w:szCs w:val="18"/>
              </w:rPr>
              <w:t>次</w:t>
            </w:r>
            <w:r>
              <w:rPr>
                <w:rFonts w:ascii="宋体" w:hAnsi="宋体" w:cs="宋体" w:eastAsia="宋体" w:hint="default"/>
                <w:w w:val="101"/>
                <w:sz w:val="18"/>
                <w:szCs w:val="18"/>
              </w:rPr>
              <w:t>股</w:t>
            </w:r>
            <w:r>
              <w:rPr>
                <w:rFonts w:ascii="宋体" w:hAnsi="宋体" w:cs="宋体" w:eastAsia="宋体" w:hint="default"/>
                <w:spacing w:val="-5"/>
                <w:w w:val="101"/>
                <w:sz w:val="18"/>
                <w:szCs w:val="18"/>
              </w:rPr>
              <w:t>权</w:t>
            </w:r>
            <w:r>
              <w:rPr>
                <w:rFonts w:ascii="宋体" w:hAnsi="宋体" w:cs="宋体" w:eastAsia="宋体" w:hint="default"/>
                <w:w w:val="101"/>
                <w:sz w:val="18"/>
                <w:szCs w:val="18"/>
              </w:rPr>
              <w:t>激</w:t>
            </w:r>
            <w:r>
              <w:rPr>
                <w:rFonts w:ascii="宋体" w:hAnsi="宋体" w:cs="宋体" w:eastAsia="宋体" w:hint="default"/>
                <w:spacing w:val="-5"/>
                <w:w w:val="101"/>
                <w:sz w:val="18"/>
                <w:szCs w:val="18"/>
              </w:rPr>
              <w:t>励</w:t>
            </w:r>
            <w:r>
              <w:rPr>
                <w:rFonts w:ascii="宋体" w:hAnsi="宋体" w:cs="宋体" w:eastAsia="宋体" w:hint="default"/>
                <w:w w:val="101"/>
                <w:sz w:val="18"/>
                <w:szCs w:val="18"/>
              </w:rPr>
              <w:t>计</w:t>
            </w:r>
            <w:r>
              <w:rPr>
                <w:rFonts w:ascii="宋体" w:hAnsi="宋体" w:cs="宋体" w:eastAsia="宋体" w:hint="default"/>
                <w:spacing w:val="-5"/>
                <w:w w:val="101"/>
                <w:sz w:val="18"/>
                <w:szCs w:val="18"/>
              </w:rPr>
              <w:t>划</w:t>
            </w:r>
            <w:r>
              <w:rPr>
                <w:rFonts w:ascii="宋体" w:hAnsi="宋体" w:cs="宋体" w:eastAsia="宋体" w:hint="default"/>
                <w:w w:val="101"/>
                <w:sz w:val="18"/>
                <w:szCs w:val="18"/>
              </w:rPr>
              <w:t>受</w:t>
            </w:r>
            <w:r>
              <w:rPr>
                <w:rFonts w:ascii="宋体" w:hAnsi="宋体" w:cs="宋体" w:eastAsia="宋体" w:hint="default"/>
                <w:sz w:val="18"/>
                <w:szCs w:val="18"/>
              </w:rPr>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激励对象人数由</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名变更为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68</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名；授予的股票期权数量由</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万份变更为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1,198</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万份。董事及高级管理人员</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共获授股票期权</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92 </w:t>
            </w:r>
            <w:r>
              <w:rPr>
                <w:rFonts w:ascii="宋体" w:hAnsi="宋体" w:cs="宋体" w:eastAsia="宋体" w:hint="default"/>
                <w:spacing w:val="-5"/>
                <w:sz w:val="18"/>
                <w:szCs w:val="18"/>
              </w:rPr>
              <w:t>万份，</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4"/>
                <w:sz w:val="18"/>
                <w:szCs w:val="18"/>
              </w:rPr>
              <w:t>日当日为第一个行权期，董事及高级管理人员可</w:t>
            </w:r>
          </w:p>
          <w:p>
            <w:pPr>
              <w:pStyle w:val="TableParagraph"/>
              <w:spacing w:line="240" w:lineRule="auto" w:before="68"/>
              <w:ind w:left="19" w:right="0"/>
              <w:jc w:val="left"/>
              <w:rPr>
                <w:rFonts w:ascii="宋体" w:hAnsi="宋体" w:cs="宋体" w:eastAsia="宋体" w:hint="default"/>
                <w:sz w:val="18"/>
                <w:szCs w:val="18"/>
              </w:rPr>
            </w:pPr>
            <w:r>
              <w:rPr>
                <w:rFonts w:ascii="宋体" w:hAnsi="宋体" w:cs="宋体" w:eastAsia="宋体" w:hint="default"/>
                <w:sz w:val="18"/>
                <w:szCs w:val="18"/>
              </w:rPr>
              <w:t>行权股票期权数量为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万份。</w:t>
            </w:r>
          </w:p>
        </w:tc>
      </w:tr>
      <w:tr>
        <w:trPr>
          <w:trHeight w:val="706" w:hRule="exact"/>
        </w:trPr>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04"/>
              <w:jc w:val="left"/>
              <w:rPr>
                <w:rFonts w:ascii="宋体" w:hAnsi="宋体" w:cs="宋体" w:eastAsia="宋体" w:hint="default"/>
                <w:sz w:val="18"/>
                <w:szCs w:val="18"/>
              </w:rPr>
            </w:pPr>
            <w:r>
              <w:rPr>
                <w:rFonts w:ascii="宋体" w:hAnsi="宋体" w:cs="宋体" w:eastAsia="宋体" w:hint="default"/>
                <w:sz w:val="18"/>
                <w:szCs w:val="18"/>
              </w:rPr>
              <w:t>备注（如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w:t>
            </w:r>
          </w:p>
        </w:tc>
        <w:tc>
          <w:tcPr>
            <w:tcW w:w="8700" w:type="dxa"/>
            <w:gridSpan w:val="10"/>
            <w:vMerge/>
            <w:tcBorders>
              <w:left w:val="single" w:sz="8" w:space="0" w:color="D2D2D2"/>
              <w:right w:val="single" w:sz="4" w:space="0" w:color="000000"/>
            </w:tcBorders>
          </w:tcPr>
          <w:p>
            <w:pPr/>
          </w:p>
        </w:tc>
      </w:tr>
      <w:tr>
        <w:trPr>
          <w:trHeight w:val="941" w:hRule="exact"/>
        </w:trPr>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0" w:type="dxa"/>
            <w:gridSpan w:val="10"/>
            <w:vMerge/>
            <w:tcBorders>
              <w:left w:val="single" w:sz="8" w:space="0" w:color="D2D2D2"/>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306</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374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680</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680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474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71</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680</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68</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680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0"/>
        <w:jc w:val="left"/>
      </w:pPr>
      <w:r>
        <w:rPr>
          <w:spacing w:val="-4"/>
        </w:rPr>
        <w:t>公司薪酬政策采取通过岗位价值评估，明确公司各个岗位的相对价值，从而为个岗位的薪酬标准提供依据的原则，同时解决</w:t>
      </w:r>
      <w:r>
        <w:rPr>
          <w:spacing w:val="43"/>
        </w:rPr>
        <w:t> </w:t>
      </w:r>
      <w:r>
        <w:rPr>
          <w:spacing w:val="43"/>
        </w:rPr>
      </w:r>
      <w:r>
        <w:rPr>
          <w:spacing w:val="-3"/>
        </w:rPr>
        <w:t>各岗位薪酬的内、外部公平性的问题。通过定期任职资格评审等环节，确定每个岗位对应的薪酬体系。</w:t>
      </w:r>
      <w:r>
        <w:rPr>
          <w:spacing w:val="42"/>
        </w:rPr>
        <w:t> </w:t>
      </w:r>
      <w:r>
        <w:rPr>
          <w:spacing w:val="42"/>
        </w:rPr>
      </w: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300" w:lineRule="auto" w:before="18"/>
        <w:ind w:right="0" w:firstLine="360"/>
        <w:jc w:val="left"/>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日，公司核心技术人员为</w:t>
      </w:r>
      <w:r>
        <w:rPr>
          <w:rFonts w:ascii="Times New Roman" w:hAnsi="Times New Roman" w:cs="Times New Roman" w:eastAsia="Times New Roman" w:hint="default"/>
          <w:spacing w:val="-3"/>
        </w:rPr>
        <w:t>53</w:t>
      </w:r>
      <w:r>
        <w:rPr>
          <w:spacing w:val="-3"/>
        </w:rPr>
        <w:t>人，占全体员工人数的</w:t>
      </w:r>
      <w:r>
        <w:rPr>
          <w:rFonts w:ascii="Times New Roman" w:hAnsi="Times New Roman" w:cs="Times New Roman" w:eastAsia="Times New Roman" w:hint="default"/>
          <w:spacing w:val="-3"/>
        </w:rPr>
        <w:t>7.79%</w:t>
      </w:r>
      <w:r>
        <w:rPr>
          <w:spacing w:val="-3"/>
        </w:rPr>
        <w:t>，上年同期核心技术人员为</w:t>
      </w:r>
      <w:r>
        <w:rPr>
          <w:rFonts w:ascii="Times New Roman" w:hAnsi="Times New Roman" w:cs="Times New Roman" w:eastAsia="Times New Roman" w:hint="default"/>
          <w:spacing w:val="-3"/>
        </w:rPr>
        <w:t>30</w:t>
      </w:r>
      <w:r>
        <w:rPr>
          <w:spacing w:val="-3"/>
        </w:rPr>
        <w:t>人，占全体员</w:t>
      </w:r>
      <w:r>
        <w:rPr>
          <w:w w:val="101"/>
        </w:rPr>
        <w:t> </w:t>
      </w:r>
      <w:r>
        <w:rPr>
          <w:spacing w:val="-3"/>
        </w:rPr>
        <w:t>工人数的</w:t>
      </w:r>
      <w:r>
        <w:rPr>
          <w:rFonts w:ascii="Times New Roman" w:hAnsi="Times New Roman" w:cs="Times New Roman" w:eastAsia="Times New Roman" w:hint="default"/>
          <w:spacing w:val="-3"/>
        </w:rPr>
        <w:t>5.14%</w:t>
      </w:r>
      <w:r>
        <w:rPr>
          <w:spacing w:val="-3"/>
        </w:rPr>
        <w:t>；截至报告期末，核心技术人员薪酬占全体员工薪酬的</w:t>
      </w:r>
      <w:r>
        <w:rPr>
          <w:rFonts w:ascii="Times New Roman" w:hAnsi="Times New Roman" w:cs="Times New Roman" w:eastAsia="Times New Roman" w:hint="default"/>
          <w:spacing w:val="-3"/>
        </w:rPr>
        <w:t>24.98%</w:t>
      </w:r>
      <w:r>
        <w:rPr>
          <w:spacing w:val="-3"/>
        </w:rPr>
        <w:t>，上年同期为</w:t>
      </w:r>
      <w:r>
        <w:rPr>
          <w:rFonts w:ascii="Times New Roman" w:hAnsi="Times New Roman" w:cs="Times New Roman" w:eastAsia="Times New Roman" w:hint="default"/>
          <w:spacing w:val="-3"/>
        </w:rPr>
        <w:t>18.47%</w:t>
      </w:r>
      <w:r>
        <w:rPr>
          <w:spacing w:val="-3"/>
        </w:rPr>
        <w:t>。</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spacing w:val="-3"/>
        </w:rPr>
        <w:t>以各岗位为中心的年度培训规划：</w:t>
      </w:r>
    </w:p>
    <w:p>
      <w:pPr>
        <w:pStyle w:val="BodyText"/>
        <w:spacing w:line="300" w:lineRule="auto" w:before="76"/>
        <w:ind w:right="0"/>
        <w:jc w:val="left"/>
      </w:pPr>
      <w:r>
        <w:rPr>
          <w:rFonts w:ascii="Times New Roman" w:hAnsi="Times New Roman" w:cs="Times New Roman" w:eastAsia="Times New Roman" w:hint="default"/>
        </w:rPr>
        <w:t>* </w:t>
      </w:r>
      <w:r>
        <w:rPr>
          <w:spacing w:val="-4"/>
        </w:rPr>
        <w:t>针对高层管理人员，通过攻读</w:t>
      </w:r>
      <w:r>
        <w:rPr>
          <w:rFonts w:ascii="Times New Roman" w:hAnsi="Times New Roman" w:cs="Times New Roman" w:eastAsia="Times New Roman" w:hint="default"/>
          <w:spacing w:val="-4"/>
        </w:rPr>
        <w:t>EMBA</w:t>
      </w:r>
      <w:r>
        <w:rPr>
          <w:spacing w:val="-4"/>
        </w:rPr>
        <w:t>、领导研修等方式，强化管理能力的系统学习，培养高层管理者的管理视野和开放心</w:t>
      </w:r>
      <w:r>
        <w:rPr>
          <w:spacing w:val="-74"/>
        </w:rPr>
        <w:t> </w:t>
      </w:r>
      <w:r>
        <w:rPr>
          <w:spacing w:val="-74"/>
        </w:rPr>
      </w:r>
      <w:r>
        <w:rPr>
          <w:spacing w:val="-3"/>
        </w:rPr>
        <w:t>态，熟悉经济规律和市场规则，提升经营管理能力和领导水平；</w:t>
      </w:r>
    </w:p>
    <w:p>
      <w:pPr>
        <w:pStyle w:val="BodyText"/>
        <w:spacing w:line="240" w:lineRule="auto" w:before="31"/>
        <w:ind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37"/>
        </w:rPr>
        <w:t> </w:t>
      </w:r>
      <w:r>
        <w:rPr>
          <w:spacing w:val="-4"/>
        </w:rPr>
        <w:t>针对中层人员，主要是开发他们的管理智慧，改进管理方式方法，提高其对下属的亲和力和指导能力，促使其与部下一起</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both"/>
      </w:pPr>
      <w:r>
        <w:rPr/>
        <w:t>不断进步和成长；</w:t>
      </w:r>
    </w:p>
    <w:p>
      <w:pPr>
        <w:pStyle w:val="BodyText"/>
        <w:spacing w:line="300" w:lineRule="auto" w:before="76"/>
        <w:ind w:right="1061"/>
        <w:jc w:val="both"/>
      </w:pPr>
      <w:r>
        <w:rPr>
          <w:rFonts w:ascii="Times New Roman" w:hAnsi="Times New Roman" w:cs="Times New Roman" w:eastAsia="Times New Roman" w:hint="default"/>
        </w:rPr>
        <w:t>* </w:t>
      </w:r>
      <w:r>
        <w:rPr>
          <w:spacing w:val="-3"/>
        </w:rPr>
        <w:t>针对业务骨干，主要是提高技能、更新知识、开发其进取精神、创新能力和协作能力、提高员工的职业意识与职业素养，</w:t>
      </w:r>
      <w:r>
        <w:rPr>
          <w:spacing w:val="-41"/>
        </w:rPr>
        <w:t> </w:t>
      </w:r>
      <w:r>
        <w:rPr>
          <w:spacing w:val="-41"/>
        </w:rPr>
      </w:r>
      <w:r>
        <w:rPr>
          <w:spacing w:val="-3"/>
        </w:rPr>
        <w:t>提升其主动积极的工作态度与团队合作与沟通的能力，增强敬业精神与服务观念，加强其专业水准；</w:t>
      </w:r>
    </w:p>
    <w:p>
      <w:pPr>
        <w:pStyle w:val="BodyText"/>
        <w:spacing w:line="309" w:lineRule="auto" w:before="32"/>
        <w:ind w:right="1124"/>
        <w:jc w:val="both"/>
      </w:pPr>
      <w:r>
        <w:rPr>
          <w:rFonts w:ascii="Times New Roman" w:hAnsi="Times New Roman" w:cs="Times New Roman" w:eastAsia="Times New Roman" w:hint="default"/>
        </w:rPr>
        <w:t>* </w:t>
      </w:r>
      <w:r>
        <w:rPr>
          <w:spacing w:val="-4"/>
        </w:rPr>
        <w:t>针对基层员工，主要根据工作说明书和工作规范的要求，开发其操作技能方面的潜力（提高熟练程度、降低错误率、争抢</w:t>
      </w:r>
      <w:r>
        <w:rPr>
          <w:spacing w:val="-58"/>
        </w:rPr>
        <w:t> </w:t>
      </w:r>
      <w:r>
        <w:rPr>
          <w:spacing w:val="-58"/>
        </w:rPr>
      </w:r>
      <w:r>
        <w:rPr>
          <w:spacing w:val="-4"/>
        </w:rPr>
        <w:t>迁移能力和具有一定创新能力），培养敬业精神、工作责任感和事业心，做好入司前，上岗中，工作后各项培训与培养工作</w:t>
      </w:r>
      <w:r>
        <w:rPr>
          <w:spacing w:val="40"/>
        </w:rPr>
        <w:t> </w:t>
      </w:r>
      <w:r>
        <w:rPr>
          <w:spacing w:val="40"/>
        </w:rPr>
      </w:r>
      <w:r>
        <w:rPr>
          <w:spacing w:val="-3"/>
        </w:rPr>
        <w:t>计划，帮助他们度过适应期；</w:t>
      </w:r>
    </w:p>
    <w:p>
      <w:pPr>
        <w:spacing w:line="240" w:lineRule="auto" w:before="0"/>
        <w:rPr>
          <w:rFonts w:ascii="宋体" w:hAnsi="宋体" w:cs="宋体" w:eastAsia="宋体" w:hint="default"/>
          <w:sz w:val="23"/>
          <w:szCs w:val="23"/>
        </w:rPr>
      </w:pPr>
    </w:p>
    <w:p>
      <w:pPr>
        <w:pStyle w:val="Heading4"/>
        <w:spacing w:line="240" w:lineRule="auto"/>
        <w:ind w:right="0"/>
        <w:jc w:val="both"/>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both"/>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571"/>
        <w:jc w:val="center"/>
        <w:rPr>
          <w:b w:val="0"/>
          <w:bCs w:val="0"/>
        </w:rPr>
      </w:pPr>
      <w:bookmarkStart w:name="_TOC_250003" w:id="130"/>
      <w:bookmarkStart w:name="第十节公司治理" w:id="131"/>
      <w:r>
        <w:rPr>
          <w:b w:val="0"/>
          <w:bCs w:val="0"/>
        </w:rPr>
      </w:r>
      <w:r>
        <w:rPr/>
        <w:t>第十节公司治理</w:t>
      </w:r>
      <w:bookmarkEnd w:id="130"/>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446" w:right="0"/>
        <w:jc w:val="left"/>
      </w:pPr>
      <w:r>
        <w:rPr>
          <w:spacing w:val="-5"/>
        </w:rPr>
        <w:t>报告期内，公司严格按照《公司法》、《证券法》、《上市公司治理准则》、《深圳证券交易所创业板股票上市规则》、</w:t>
      </w:r>
    </w:p>
    <w:p>
      <w:pPr>
        <w:pStyle w:val="BodyText"/>
        <w:spacing w:line="319" w:lineRule="auto" w:before="76"/>
        <w:ind w:right="1123"/>
        <w:jc w:val="both"/>
      </w:pPr>
      <w:r>
        <w:rPr>
          <w:spacing w:val="-4"/>
        </w:rPr>
        <w:t>《深圳证券交易所创业板上市公司规范运作指引》等法律法规要求，不断建立健全公司内部管理和控制制度，持续深入开展</w:t>
      </w:r>
      <w:r>
        <w:rPr>
          <w:spacing w:val="43"/>
        </w:rPr>
        <w:t> </w:t>
      </w:r>
      <w:r>
        <w:rPr>
          <w:spacing w:val="43"/>
        </w:rPr>
      </w:r>
      <w:r>
        <w:rPr>
          <w:spacing w:val="-4"/>
        </w:rPr>
        <w:t>公司治理活动，进一步规范公司运作；积极开展董事、监事、高级管理人员培训教育和管理工作；加强信息披露的透明性和</w:t>
      </w:r>
      <w:r>
        <w:rPr>
          <w:spacing w:val="40"/>
        </w:rPr>
        <w:t> </w:t>
      </w:r>
      <w:r>
        <w:rPr>
          <w:spacing w:val="40"/>
        </w:rPr>
      </w:r>
      <w:r>
        <w:rPr>
          <w:spacing w:val="-3"/>
        </w:rPr>
        <w:t>公平性，提高公司治理水平。 截至报告期末，公司治理的实际情况符合中国证监会《上市公司治理准则》和《深圳证券交</w:t>
      </w:r>
      <w:r>
        <w:rPr>
          <w:spacing w:val="-36"/>
        </w:rPr>
        <w:t> </w:t>
      </w:r>
      <w:r>
        <w:rPr>
          <w:spacing w:val="-36"/>
        </w:rPr>
      </w:r>
      <w:r>
        <w:rPr>
          <w:spacing w:val="-3"/>
        </w:rPr>
        <w:t>易所创业板上市公司规范运作指引》等法律法规和规范性文件的要求。</w:t>
      </w:r>
    </w:p>
    <w:p>
      <w:pPr>
        <w:pStyle w:val="BodyText"/>
        <w:spacing w:line="333" w:lineRule="auto" w:before="60"/>
        <w:ind w:left="575" w:right="0" w:hanging="423"/>
        <w:jc w:val="left"/>
      </w:pPr>
      <w:r>
        <w:rPr>
          <w:rFonts w:ascii="Times New Roman" w:hAnsi="Times New Roman" w:cs="Times New Roman" w:eastAsia="Times New Roman" w:hint="default"/>
        </w:rPr>
        <w:t>1</w:t>
      </w:r>
      <w:r>
        <w:rPr/>
        <w:t>、关于股东与股东大会</w:t>
      </w:r>
      <w:r>
        <w:rPr>
          <w:spacing w:val="-85"/>
        </w:rPr>
        <w:t> </w:t>
      </w:r>
      <w:r>
        <w:rPr>
          <w:spacing w:val="-85"/>
        </w:rPr>
      </w:r>
      <w:r>
        <w:rPr>
          <w:spacing w:val="-2"/>
        </w:rPr>
        <w:t>公司股东按照《公司章程》、《上市公司股东大会规则》的规定按其所持股份享有平等地位，并承担相应义务。公司</w:t>
      </w:r>
    </w:p>
    <w:p>
      <w:pPr>
        <w:pStyle w:val="BodyText"/>
        <w:spacing w:line="319" w:lineRule="auto" w:before="7"/>
        <w:ind w:right="0"/>
        <w:jc w:val="left"/>
      </w:pPr>
      <w:r>
        <w:rPr>
          <w:spacing w:val="-4"/>
        </w:rPr>
        <w:t>严格按照《公司法》、《上市公司股东大会规则》以及公司《章程》、《股东大会议事规则》和深圳证券交易所创业板的相</w:t>
      </w:r>
      <w:r>
        <w:rPr>
          <w:spacing w:val="40"/>
        </w:rPr>
        <w:t> </w:t>
      </w:r>
      <w:r>
        <w:rPr>
          <w:spacing w:val="40"/>
        </w:rPr>
      </w:r>
      <w:r>
        <w:rPr>
          <w:spacing w:val="-3"/>
        </w:rPr>
        <w:t>关规定和要求，规范股东大会的召集、召开和表决程序。报告期内公司召开的股东大会均由董事会召集召开，董事长主持，</w:t>
      </w:r>
      <w:r>
        <w:rPr>
          <w:spacing w:val="66"/>
        </w:rPr>
        <w:t> </w:t>
      </w:r>
      <w:r>
        <w:rPr>
          <w:spacing w:val="66"/>
        </w:rPr>
      </w:r>
      <w:r>
        <w:rPr>
          <w:spacing w:val="-4"/>
        </w:rPr>
        <w:t>董事长不能主持的情况下，副董事长主持。公司治理结构能够保证所有股东，特别是中小股东享有平等地位，合法行使自己</w:t>
      </w:r>
      <w:r>
        <w:rPr>
          <w:spacing w:val="40"/>
        </w:rPr>
        <w:t> </w:t>
      </w:r>
      <w:r>
        <w:rPr>
          <w:spacing w:val="40"/>
        </w:rPr>
      </w:r>
      <w:r>
        <w:rPr>
          <w:spacing w:val="-4"/>
        </w:rPr>
        <w:t>的权利，保证了股东对公司重大事项的知情权、参与权、表决权。按照《公司法》、《公司章程》的规定应由股东大会审议</w:t>
      </w:r>
      <w:r>
        <w:rPr>
          <w:spacing w:val="40"/>
        </w:rPr>
        <w:t> </w:t>
      </w:r>
      <w:r>
        <w:rPr>
          <w:spacing w:val="40"/>
        </w:rPr>
      </w:r>
      <w:r>
        <w:rPr>
          <w:spacing w:val="-3"/>
        </w:rPr>
        <w:t>的重大事项，均按照相应的权限审批后提交股东大会审议，不存在越权审批或先实施后审议的情况。</w:t>
      </w:r>
    </w:p>
    <w:p>
      <w:pPr>
        <w:pStyle w:val="BodyText"/>
        <w:spacing w:line="333" w:lineRule="auto" w:before="60"/>
        <w:ind w:left="575" w:right="0" w:hanging="423"/>
        <w:jc w:val="left"/>
      </w:pPr>
      <w:r>
        <w:rPr>
          <w:rFonts w:ascii="Times New Roman" w:hAnsi="Times New Roman" w:cs="Times New Roman" w:eastAsia="Times New Roman" w:hint="default"/>
        </w:rPr>
        <w:t>2</w:t>
      </w:r>
      <w:r>
        <w:rPr/>
        <w:t>、关于公司与控股股东</w:t>
      </w:r>
      <w:r>
        <w:rPr>
          <w:spacing w:val="-85"/>
        </w:rPr>
        <w:t> </w:t>
      </w:r>
      <w:r>
        <w:rPr>
          <w:spacing w:val="-85"/>
        </w:rPr>
      </w:r>
      <w:r>
        <w:rPr>
          <w:spacing w:val="-2"/>
        </w:rPr>
        <w:t>公司具有独立的业务经营能力及完备的运营体系，在业务、人员、资产、机构、财务上均独立于控股股东（实际控制</w:t>
      </w:r>
    </w:p>
    <w:p>
      <w:pPr>
        <w:pStyle w:val="BodyText"/>
        <w:spacing w:line="319" w:lineRule="auto" w:before="6"/>
        <w:ind w:right="1123"/>
        <w:jc w:val="both"/>
      </w:pPr>
      <w:r>
        <w:rPr>
          <w:spacing w:val="-8"/>
        </w:rPr>
        <w:t>人），公司董事会、监事会和内部机构根据其议事规则或公司制度独立运作。公司控股股东能严格规范自己的行为，按照《上</w:t>
      </w:r>
      <w:r>
        <w:rPr>
          <w:spacing w:val="3"/>
        </w:rPr>
        <w:t> </w:t>
      </w:r>
      <w:r>
        <w:rPr>
          <w:spacing w:val="3"/>
        </w:rPr>
      </w:r>
      <w:r>
        <w:rPr>
          <w:spacing w:val="-4"/>
        </w:rPr>
        <w:t>市公司治理准则》、《深圳证券交易所创业板股票上市规则》、《深圳证券交易所创业板上市公司规范运作指引》、《公司</w:t>
      </w:r>
      <w:r>
        <w:rPr>
          <w:spacing w:val="40"/>
        </w:rPr>
        <w:t> </w:t>
      </w:r>
      <w:r>
        <w:rPr>
          <w:spacing w:val="40"/>
        </w:rPr>
      </w:r>
      <w:r>
        <w:rPr>
          <w:spacing w:val="-4"/>
        </w:rPr>
        <w:t>章程》等规定和要求，没有超越股东大会直接或间接干预公司经营活动。报告期内，公司没有为控股股东提供担保，未损害</w:t>
      </w:r>
      <w:r>
        <w:rPr>
          <w:spacing w:val="40"/>
        </w:rPr>
        <w:t> </w:t>
      </w:r>
      <w:r>
        <w:rPr>
          <w:spacing w:val="40"/>
        </w:rPr>
      </w:r>
      <w:r>
        <w:rPr>
          <w:spacing w:val="-3"/>
        </w:rPr>
        <w:t>公司及其他股东的利益，亦不存在控股股东非经营性占用公司资金的行为。</w:t>
      </w:r>
    </w:p>
    <w:p>
      <w:pPr>
        <w:pStyle w:val="BodyText"/>
        <w:spacing w:line="338" w:lineRule="auto" w:before="56"/>
        <w:ind w:left="575" w:right="1123" w:hanging="423"/>
        <w:jc w:val="left"/>
      </w:pPr>
      <w:r>
        <w:rPr>
          <w:rFonts w:ascii="Times New Roman" w:hAnsi="Times New Roman" w:cs="Times New Roman" w:eastAsia="Times New Roman" w:hint="default"/>
        </w:rPr>
        <w:t>3</w:t>
      </w:r>
      <w:r>
        <w:rPr/>
        <w:t>、关于董事和董事会</w:t>
      </w:r>
      <w:r>
        <w:rPr>
          <w:spacing w:val="-88"/>
        </w:rPr>
        <w:t> </w:t>
      </w:r>
      <w:r>
        <w:rPr>
          <w:spacing w:val="-88"/>
        </w:rPr>
      </w:r>
      <w:r>
        <w:rPr>
          <w:spacing w:val="-2"/>
        </w:rPr>
        <w:t>公司严格按照《公司法》、《公司章程》规定的选聘程序选举董事。董事会由</w:t>
      </w:r>
      <w:r>
        <w:rPr>
          <w:rFonts w:ascii="Times New Roman" w:hAnsi="Times New Roman" w:cs="Times New Roman" w:eastAsia="Times New Roman" w:hint="default"/>
          <w:spacing w:val="-2"/>
        </w:rPr>
        <w:t>7</w:t>
      </w:r>
      <w:r>
        <w:rPr>
          <w:spacing w:val="-2"/>
        </w:rPr>
        <w:t>人组成，其中</w:t>
      </w:r>
      <w:r>
        <w:rPr>
          <w:rFonts w:ascii="Times New Roman" w:hAnsi="Times New Roman" w:cs="Times New Roman" w:eastAsia="Times New Roman" w:hint="default"/>
          <w:spacing w:val="-2"/>
        </w:rPr>
        <w:t>3</w:t>
      </w:r>
      <w:r>
        <w:rPr>
          <w:spacing w:val="-2"/>
        </w:rPr>
        <w:t>人为独立董事。公司董</w:t>
      </w:r>
    </w:p>
    <w:p>
      <w:pPr>
        <w:pStyle w:val="BodyText"/>
        <w:spacing w:line="217" w:lineRule="exact"/>
        <w:ind w:right="0"/>
        <w:jc w:val="left"/>
      </w:pPr>
      <w:r>
        <w:rPr>
          <w:w w:val="101"/>
        </w:rPr>
        <w:t>事</w:t>
      </w:r>
      <w:r>
        <w:rPr>
          <w:spacing w:val="-5"/>
          <w:w w:val="101"/>
        </w:rPr>
        <w:t>会</w:t>
      </w:r>
      <w:r>
        <w:rPr>
          <w:w w:val="101"/>
        </w:rPr>
        <w:t>人</w:t>
      </w:r>
      <w:r>
        <w:rPr>
          <w:spacing w:val="-5"/>
          <w:w w:val="101"/>
        </w:rPr>
        <w:t>数</w:t>
      </w:r>
      <w:r>
        <w:rPr>
          <w:w w:val="101"/>
        </w:rPr>
        <w:t>和</w:t>
      </w:r>
      <w:r>
        <w:rPr>
          <w:spacing w:val="-5"/>
          <w:w w:val="101"/>
        </w:rPr>
        <w:t>人</w:t>
      </w:r>
      <w:r>
        <w:rPr>
          <w:w w:val="101"/>
        </w:rPr>
        <w:t>员</w:t>
      </w:r>
      <w:r>
        <w:rPr>
          <w:spacing w:val="-5"/>
          <w:w w:val="101"/>
        </w:rPr>
        <w:t>构</w:t>
      </w:r>
      <w:r>
        <w:rPr>
          <w:w w:val="101"/>
        </w:rPr>
        <w:t>成</w:t>
      </w:r>
      <w:r>
        <w:rPr>
          <w:spacing w:val="-5"/>
          <w:w w:val="101"/>
        </w:rPr>
        <w:t>符</w:t>
      </w:r>
      <w:r>
        <w:rPr>
          <w:w w:val="101"/>
        </w:rPr>
        <w:t>合</w:t>
      </w:r>
      <w:r>
        <w:rPr>
          <w:spacing w:val="-5"/>
          <w:w w:val="101"/>
        </w:rPr>
        <w:t>法</w:t>
      </w:r>
      <w:r>
        <w:rPr>
          <w:w w:val="101"/>
        </w:rPr>
        <w:t>律</w:t>
      </w:r>
      <w:r>
        <w:rPr>
          <w:spacing w:val="-39"/>
          <w:w w:val="101"/>
        </w:rPr>
        <w:t>、</w:t>
      </w:r>
      <w:r>
        <w:rPr>
          <w:w w:val="101"/>
        </w:rPr>
        <w:t>法</w:t>
      </w:r>
      <w:r>
        <w:rPr>
          <w:spacing w:val="-5"/>
          <w:w w:val="101"/>
        </w:rPr>
        <w:t>规</w:t>
      </w:r>
      <w:r>
        <w:rPr>
          <w:w w:val="101"/>
        </w:rPr>
        <w:t>的</w:t>
      </w:r>
      <w:r>
        <w:rPr>
          <w:spacing w:val="-5"/>
          <w:w w:val="101"/>
        </w:rPr>
        <w:t>要求</w:t>
      </w:r>
      <w:r>
        <w:rPr>
          <w:spacing w:val="-34"/>
          <w:w w:val="101"/>
        </w:rPr>
        <w:t>。</w:t>
      </w:r>
      <w:r>
        <w:rPr>
          <w:spacing w:val="-5"/>
          <w:w w:val="101"/>
        </w:rPr>
        <w:t>各</w:t>
      </w:r>
      <w:r>
        <w:rPr>
          <w:w w:val="101"/>
        </w:rPr>
        <w:t>位</w:t>
      </w:r>
      <w:r>
        <w:rPr>
          <w:spacing w:val="-5"/>
          <w:w w:val="101"/>
        </w:rPr>
        <w:t>董</w:t>
      </w:r>
      <w:r>
        <w:rPr>
          <w:w w:val="101"/>
        </w:rPr>
        <w:t>事</w:t>
      </w:r>
      <w:r>
        <w:rPr>
          <w:spacing w:val="-5"/>
          <w:w w:val="101"/>
        </w:rPr>
        <w:t>能</w:t>
      </w:r>
      <w:r>
        <w:rPr>
          <w:w w:val="101"/>
        </w:rPr>
        <w:t>够</w:t>
      </w:r>
      <w:r>
        <w:rPr>
          <w:spacing w:val="-5"/>
          <w:w w:val="101"/>
        </w:rPr>
        <w:t>依</w:t>
      </w:r>
      <w:r>
        <w:rPr>
          <w:spacing w:val="-34"/>
          <w:w w:val="101"/>
        </w:rPr>
        <w:t>据</w:t>
      </w:r>
      <w:r>
        <w:rPr>
          <w:spacing w:val="-5"/>
          <w:w w:val="101"/>
        </w:rPr>
        <w:t>《</w:t>
      </w:r>
      <w:r>
        <w:rPr>
          <w:w w:val="101"/>
        </w:rPr>
        <w:t>公</w:t>
      </w:r>
      <w:r>
        <w:rPr>
          <w:spacing w:val="-5"/>
          <w:w w:val="101"/>
        </w:rPr>
        <w:t>司</w:t>
      </w:r>
      <w:r>
        <w:rPr>
          <w:w w:val="101"/>
        </w:rPr>
        <w:t>章</w:t>
      </w:r>
      <w:r>
        <w:rPr>
          <w:spacing w:val="-5"/>
          <w:w w:val="101"/>
        </w:rPr>
        <w:t>程</w:t>
      </w:r>
      <w:r>
        <w:rPr>
          <w:spacing w:val="-39"/>
          <w:w w:val="101"/>
        </w:rPr>
        <w:t>》</w:t>
      </w:r>
      <w:r>
        <w:rPr>
          <w:spacing w:val="-73"/>
          <w:w w:val="101"/>
        </w:rPr>
        <w:t>、</w:t>
      </w:r>
      <w:r>
        <w:rPr>
          <w:w w:val="101"/>
        </w:rPr>
        <w:t>《</w:t>
      </w:r>
      <w:r>
        <w:rPr>
          <w:spacing w:val="-5"/>
          <w:w w:val="101"/>
        </w:rPr>
        <w:t>董</w:t>
      </w:r>
      <w:r>
        <w:rPr>
          <w:w w:val="101"/>
        </w:rPr>
        <w:t>事</w:t>
      </w:r>
      <w:r>
        <w:rPr>
          <w:spacing w:val="-5"/>
          <w:w w:val="101"/>
        </w:rPr>
        <w:t>会</w:t>
      </w:r>
      <w:r>
        <w:rPr>
          <w:w w:val="101"/>
        </w:rPr>
        <w:t>议</w:t>
      </w:r>
      <w:r>
        <w:rPr>
          <w:spacing w:val="-5"/>
          <w:w w:val="101"/>
        </w:rPr>
        <w:t>事</w:t>
      </w:r>
      <w:r>
        <w:rPr>
          <w:w w:val="101"/>
        </w:rPr>
        <w:t>规</w:t>
      </w:r>
      <w:r>
        <w:rPr>
          <w:spacing w:val="-5"/>
          <w:w w:val="101"/>
        </w:rPr>
        <w:t>则</w:t>
      </w:r>
      <w:r>
        <w:rPr>
          <w:spacing w:val="-39"/>
          <w:w w:val="101"/>
        </w:rPr>
        <w:t>》</w:t>
      </w:r>
      <w:r>
        <w:rPr>
          <w:spacing w:val="-73"/>
          <w:w w:val="101"/>
        </w:rPr>
        <w:t>、</w:t>
      </w:r>
      <w:r>
        <w:rPr>
          <w:w w:val="101"/>
        </w:rPr>
        <w:t>《</w:t>
      </w:r>
      <w:r>
        <w:rPr>
          <w:spacing w:val="-5"/>
          <w:w w:val="101"/>
        </w:rPr>
        <w:t>独</w:t>
      </w:r>
      <w:r>
        <w:rPr>
          <w:w w:val="101"/>
        </w:rPr>
        <w:t>立</w:t>
      </w:r>
      <w:r>
        <w:rPr>
          <w:spacing w:val="-5"/>
          <w:w w:val="101"/>
        </w:rPr>
        <w:t>董</w:t>
      </w:r>
      <w:r>
        <w:rPr>
          <w:w w:val="101"/>
        </w:rPr>
        <w:t>事</w:t>
      </w:r>
      <w:r>
        <w:rPr>
          <w:spacing w:val="-5"/>
          <w:w w:val="101"/>
        </w:rPr>
        <w:t>工</w:t>
      </w:r>
      <w:r>
        <w:rPr>
          <w:w w:val="101"/>
        </w:rPr>
        <w:t>作</w:t>
      </w:r>
      <w:r>
        <w:rPr>
          <w:spacing w:val="-5"/>
          <w:w w:val="101"/>
        </w:rPr>
        <w:t>制度</w:t>
      </w:r>
      <w:r>
        <w:rPr>
          <w:spacing w:val="-34"/>
          <w:w w:val="101"/>
        </w:rPr>
        <w:t>》</w:t>
      </w:r>
      <w:r>
        <w:rPr>
          <w:w w:val="101"/>
        </w:rPr>
        <w:t>、</w:t>
      </w:r>
      <w:r>
        <w:rPr/>
      </w:r>
    </w:p>
    <w:p>
      <w:pPr>
        <w:pStyle w:val="BodyText"/>
        <w:spacing w:line="321" w:lineRule="auto" w:before="76"/>
        <w:ind w:right="1123"/>
        <w:jc w:val="both"/>
      </w:pPr>
      <w:r>
        <w:rPr>
          <w:spacing w:val="-4"/>
        </w:rPr>
        <w:t>《深圳证券交易所创业板上市公司规范运作指引》等规定开展工作，以认真负责的态度出席董事会和股东大会，从公司和全</w:t>
      </w:r>
      <w:r>
        <w:rPr>
          <w:spacing w:val="43"/>
        </w:rPr>
        <w:t> </w:t>
      </w:r>
      <w:r>
        <w:rPr>
          <w:spacing w:val="43"/>
        </w:rPr>
      </w:r>
      <w:r>
        <w:rPr>
          <w:spacing w:val="-4"/>
        </w:rPr>
        <w:t>体股东的利益出发，忠实履行职责，积极参加有关培训，学习有关法律法规，促进董事会规范运作和科学决策。董事会会议</w:t>
      </w:r>
      <w:r>
        <w:rPr>
          <w:spacing w:val="40"/>
        </w:rPr>
        <w:t> </w:t>
      </w:r>
      <w:r>
        <w:rPr>
          <w:spacing w:val="40"/>
        </w:rPr>
      </w:r>
      <w:r>
        <w:rPr>
          <w:spacing w:val="-3"/>
        </w:rPr>
        <w:t>程序符合规定，会议记录完整、真实，会议相关信息披露及时、准确、充分。</w:t>
      </w:r>
    </w:p>
    <w:p>
      <w:pPr>
        <w:pStyle w:val="BodyText"/>
        <w:spacing w:line="333" w:lineRule="auto" w:before="53"/>
        <w:ind w:left="575" w:right="1123" w:hanging="423"/>
        <w:jc w:val="left"/>
      </w:pPr>
      <w:r>
        <w:rPr>
          <w:rFonts w:ascii="Times New Roman" w:hAnsi="Times New Roman" w:cs="Times New Roman" w:eastAsia="Times New Roman" w:hint="default"/>
        </w:rPr>
        <w:t>4</w:t>
      </w:r>
      <w:r>
        <w:rPr/>
        <w:t>、关于监事和监事会</w:t>
      </w:r>
      <w:r>
        <w:rPr>
          <w:spacing w:val="-88"/>
        </w:rPr>
        <w:t> </w:t>
      </w:r>
      <w:r>
        <w:rPr>
          <w:spacing w:val="-88"/>
        </w:rPr>
      </w:r>
      <w:r>
        <w:rPr>
          <w:spacing w:val="-2"/>
        </w:rPr>
        <w:t>公司严格按照《公司法》、《公司章程》规定的选聘程序选举监事，监事会设监事</w:t>
      </w:r>
      <w:r>
        <w:rPr>
          <w:rFonts w:ascii="Times New Roman" w:hAnsi="Times New Roman" w:cs="Times New Roman" w:eastAsia="Times New Roman" w:hint="default"/>
          <w:spacing w:val="-2"/>
        </w:rPr>
        <w:t>3</w:t>
      </w:r>
      <w:r>
        <w:rPr>
          <w:spacing w:val="-2"/>
        </w:rPr>
        <w:t>名，其中职工选举的监事</w:t>
      </w:r>
      <w:r>
        <w:rPr>
          <w:rFonts w:ascii="Times New Roman" w:hAnsi="Times New Roman" w:cs="Times New Roman" w:eastAsia="Times New Roman" w:hint="default"/>
          <w:spacing w:val="-2"/>
        </w:rPr>
        <w:t>1</w:t>
      </w:r>
      <w:r>
        <w:rPr>
          <w:spacing w:val="-2"/>
        </w:rPr>
        <w:t>名。公</w:t>
      </w:r>
    </w:p>
    <w:p>
      <w:pPr>
        <w:pStyle w:val="BodyText"/>
        <w:spacing w:line="221" w:lineRule="exact"/>
        <w:ind w:right="0"/>
        <w:jc w:val="left"/>
      </w:pPr>
      <w:r>
        <w:rPr>
          <w:spacing w:val="-4"/>
        </w:rPr>
        <w:t>司监事会人数和人员构成符合法律、法规的要求。各位监事能够按照《公司章程》、《监事会议事规则》等规定的要求，以</w:t>
      </w:r>
    </w:p>
    <w:p>
      <w:pPr>
        <w:pStyle w:val="BodyText"/>
        <w:spacing w:line="321" w:lineRule="auto" w:before="76"/>
        <w:ind w:right="1122"/>
        <w:jc w:val="both"/>
      </w:pPr>
      <w:r>
        <w:rPr>
          <w:spacing w:val="-4"/>
        </w:rPr>
        <w:t>认真负责的态度出席监事会，学习有关法律法规、积极参加相关业务培训，本着对全体股东尤其是中小股东负责的精神，对</w:t>
      </w:r>
      <w:r>
        <w:rPr>
          <w:spacing w:val="40"/>
        </w:rPr>
        <w:t> </w:t>
      </w:r>
      <w:r>
        <w:rPr>
          <w:spacing w:val="40"/>
        </w:rPr>
      </w:r>
      <w:r>
        <w:rPr>
          <w:spacing w:val="-4"/>
        </w:rPr>
        <w:t>公司重大事项、关联交易、财务状况以及董事和其他高级管理人员履行职责的合法、合规性进行监督并发表独立意见，维护</w:t>
      </w:r>
      <w:r>
        <w:rPr>
          <w:spacing w:val="42"/>
        </w:rPr>
        <w:t> </w:t>
      </w:r>
      <w:r>
        <w:rPr>
          <w:spacing w:val="42"/>
        </w:rPr>
      </w:r>
      <w:r>
        <w:rPr>
          <w:spacing w:val="-3"/>
        </w:rPr>
        <w:t>公司及股东的合法权益。</w:t>
      </w:r>
    </w:p>
    <w:p>
      <w:pPr>
        <w:pStyle w:val="BodyText"/>
        <w:spacing w:line="333" w:lineRule="auto" w:before="58"/>
        <w:ind w:left="575" w:right="0" w:hanging="423"/>
        <w:jc w:val="left"/>
      </w:pPr>
      <w:r>
        <w:rPr>
          <w:rFonts w:ascii="Times New Roman" w:hAnsi="Times New Roman" w:cs="Times New Roman" w:eastAsia="Times New Roman" w:hint="default"/>
        </w:rPr>
        <w:t>5</w:t>
      </w:r>
      <w:r>
        <w:rPr/>
        <w:t>、关于绩效评价与激励约束机制</w:t>
      </w:r>
      <w:r>
        <w:rPr>
          <w:spacing w:val="-86"/>
        </w:rPr>
        <w:t> </w:t>
      </w:r>
      <w:r>
        <w:rPr>
          <w:spacing w:val="-86"/>
        </w:rPr>
      </w:r>
      <w:r>
        <w:rPr>
          <w:spacing w:val="-2"/>
        </w:rPr>
        <w:t>公司建立并逐步完善公正、透明的董事、监事、高级管理人员的绩效评价标准与激励约束机制；高级管理人员的聘任</w:t>
      </w:r>
    </w:p>
    <w:p>
      <w:pPr>
        <w:pStyle w:val="BodyText"/>
        <w:spacing w:line="240" w:lineRule="auto" w:before="11"/>
        <w:ind w:right="0"/>
        <w:jc w:val="left"/>
      </w:pPr>
      <w:r>
        <w:rPr>
          <w:spacing w:val="-3"/>
        </w:rPr>
        <w:t>公开、透明，符合相关法律、法规的规定。</w:t>
      </w:r>
    </w:p>
    <w:p>
      <w:pPr>
        <w:pStyle w:val="BodyText"/>
        <w:spacing w:line="338" w:lineRule="auto" w:before="115"/>
        <w:ind w:left="575" w:right="1123" w:hanging="423"/>
        <w:jc w:val="left"/>
      </w:pPr>
      <w:r>
        <w:rPr>
          <w:rFonts w:ascii="Times New Roman" w:hAnsi="Times New Roman" w:cs="Times New Roman" w:eastAsia="Times New Roman" w:hint="default"/>
        </w:rPr>
        <w:t>6</w:t>
      </w:r>
      <w:r>
        <w:rPr/>
        <w:t>、关于相关利益者</w:t>
      </w:r>
      <w:r>
        <w:rPr>
          <w:spacing w:val="-85"/>
        </w:rPr>
        <w:t> </w:t>
      </w:r>
      <w:r>
        <w:rPr>
          <w:spacing w:val="-85"/>
        </w:rPr>
      </w:r>
      <w:r>
        <w:rPr>
          <w:spacing w:val="-2"/>
        </w:rPr>
        <w:t>公司能够充分尊重和维护相关利益者的合法权益，积极与相关利益者合作，加强与各方的沟通和交流，实现社会、股</w:t>
      </w:r>
    </w:p>
    <w:p>
      <w:pPr>
        <w:pStyle w:val="BodyText"/>
        <w:spacing w:line="240" w:lineRule="auto" w:before="7"/>
        <w:ind w:right="0"/>
        <w:jc w:val="left"/>
      </w:pPr>
      <w:r>
        <w:rPr>
          <w:spacing w:val="-3"/>
        </w:rPr>
        <w:t>东、公司、员工等各方利益的协调平衡，推动公司持续、稳定、健康发展。</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33" w:lineRule="auto" w:before="46"/>
        <w:ind w:left="446" w:right="0" w:hanging="293"/>
        <w:jc w:val="left"/>
      </w:pPr>
      <w:r>
        <w:rPr>
          <w:rFonts w:ascii="Times New Roman" w:hAnsi="Times New Roman" w:cs="Times New Roman" w:eastAsia="Times New Roman" w:hint="default"/>
        </w:rPr>
        <w:t>7</w:t>
      </w:r>
      <w:r>
        <w:rPr/>
        <w:t>、关于公司与投资者</w:t>
      </w:r>
      <w:r>
        <w:rPr>
          <w:spacing w:val="-88"/>
        </w:rPr>
        <w:t> </w:t>
      </w:r>
      <w:r>
        <w:rPr>
          <w:spacing w:val="-88"/>
        </w:rPr>
      </w:r>
      <w:r>
        <w:rPr>
          <w:spacing w:val="-3"/>
        </w:rPr>
        <w:t>公司高度重视投资者关系和投资者关系管理。董事会秘书办公室为公司的投资者关系管理职能部门，由董事会秘书全面</w:t>
      </w:r>
    </w:p>
    <w:p>
      <w:pPr>
        <w:pStyle w:val="BodyText"/>
        <w:spacing w:line="319" w:lineRule="auto" w:before="6"/>
        <w:ind w:right="1123"/>
        <w:jc w:val="both"/>
      </w:pPr>
      <w:r>
        <w:rPr>
          <w:spacing w:val="-4"/>
        </w:rPr>
        <w:t>负责公司信息披露工作及投资者关系管理工作。报告期内，公司通过年度报告网上说明会、接待投资者现场调研、及时回答</w:t>
      </w:r>
      <w:r>
        <w:rPr>
          <w:spacing w:val="40"/>
        </w:rPr>
        <w:t> </w:t>
      </w:r>
      <w:r>
        <w:rPr>
          <w:spacing w:val="40"/>
        </w:rPr>
      </w:r>
      <w:r>
        <w:rPr>
          <w:spacing w:val="-4"/>
        </w:rPr>
        <w:t>投资者互动平台上提出的问题、接听投资者电话等多种方式，有效开展投资者关系管理工作，积极加强与投资者的沟通。同</w:t>
      </w:r>
      <w:r>
        <w:rPr>
          <w:spacing w:val="40"/>
        </w:rPr>
        <w:t> </w:t>
      </w:r>
      <w:r>
        <w:rPr>
          <w:spacing w:val="40"/>
        </w:rPr>
      </w:r>
      <w:r>
        <w:rPr>
          <w:spacing w:val="-4"/>
        </w:rPr>
        <w:t>时，公司严格按照相关规定，要求参加现场调研的投资者签署承诺书，并及时披露现场调研活动记录，未在投资者关系管理</w:t>
      </w:r>
      <w:r>
        <w:rPr>
          <w:spacing w:val="40"/>
        </w:rPr>
        <w:t> </w:t>
      </w:r>
      <w:r>
        <w:rPr>
          <w:spacing w:val="40"/>
        </w:rPr>
      </w:r>
      <w:r>
        <w:rPr>
          <w:spacing w:val="-3"/>
        </w:rPr>
        <w:t>活动中违规泄露未公开的重大信息。</w:t>
      </w:r>
    </w:p>
    <w:p>
      <w:pPr>
        <w:pStyle w:val="BodyText"/>
        <w:spacing w:line="338" w:lineRule="auto" w:before="60"/>
        <w:ind w:left="575" w:right="0" w:hanging="423"/>
        <w:jc w:val="left"/>
      </w:pPr>
      <w:r>
        <w:rPr>
          <w:rFonts w:ascii="Times New Roman" w:hAnsi="Times New Roman" w:cs="Times New Roman" w:eastAsia="Times New Roman" w:hint="default"/>
          <w:spacing w:val="-3"/>
        </w:rPr>
        <w:t>8</w:t>
      </w:r>
      <w:r>
        <w:rPr>
          <w:spacing w:val="-3"/>
        </w:rPr>
        <w:t>、关于信息披露与透明度</w:t>
      </w:r>
      <w:r>
        <w:rPr>
          <w:spacing w:val="-52"/>
        </w:rPr>
        <w:t> </w:t>
      </w:r>
      <w:r>
        <w:rPr>
          <w:spacing w:val="-52"/>
        </w:rPr>
      </w:r>
      <w:r>
        <w:rPr>
          <w:spacing w:val="-2"/>
        </w:rPr>
        <w:t>公司严格按照《深圳证券交易所创业板股票上市规则》、《上市公司信息披露管理办法》等有关法律法规和《公司信</w:t>
      </w:r>
    </w:p>
    <w:p>
      <w:pPr>
        <w:pStyle w:val="BodyText"/>
        <w:spacing w:line="314" w:lineRule="auto" w:before="3"/>
        <w:ind w:right="1123"/>
        <w:jc w:val="both"/>
      </w:pPr>
      <w:r>
        <w:rPr>
          <w:spacing w:val="-4"/>
        </w:rPr>
        <w:t>息披露管理制度》的规定，加强信息披露事务管理，履行信息披露义务。公司已建立内幕信息知情人登记管理机制，严格控</w:t>
      </w:r>
      <w:r>
        <w:rPr>
          <w:spacing w:val="40"/>
        </w:rPr>
        <w:t> </w:t>
      </w:r>
      <w:r>
        <w:rPr>
          <w:spacing w:val="40"/>
        </w:rPr>
      </w:r>
      <w:r>
        <w:rPr/>
        <w:t>制内幕信息知情人范围。公司指定《中国证券报》、《证券时报》和中国证监会创业板指定信息披露网站（巨潮资讯网</w:t>
      </w:r>
      <w:r>
        <w:rPr>
          <w:spacing w:val="72"/>
        </w:rPr>
        <w:t> </w:t>
      </w:r>
      <w:r>
        <w:rPr>
          <w:spacing w:val="72"/>
        </w:rPr>
      </w:r>
      <w:hyperlink r:id="rId11">
        <w:r>
          <w:rPr>
            <w:rFonts w:ascii="Times New Roman" w:hAnsi="Times New Roman" w:cs="Times New Roman" w:eastAsia="Times New Roman" w:hint="default"/>
            <w:spacing w:val="-1"/>
          </w:rPr>
          <w:t>www.cninfo.com.cn</w:t>
        </w:r>
      </w:hyperlink>
      <w:r>
        <w:rPr>
          <w:spacing w:val="-1"/>
        </w:rPr>
        <w:t>）为公司信息披露报纸和网站，真实、准确、及时、完整的披露信息，确保所有投资者公平获取公司信</w:t>
      </w:r>
      <w:r>
        <w:rPr>
          <w:spacing w:val="39"/>
        </w:rPr>
        <w:t> </w:t>
      </w:r>
      <w:r>
        <w:rPr>
          <w:spacing w:val="39"/>
        </w:rPr>
      </w:r>
      <w:r>
        <w:rPr/>
        <w:t>息。</w:t>
      </w:r>
    </w:p>
    <w:p>
      <w:pPr>
        <w:pStyle w:val="BodyText"/>
        <w:spacing w:line="240" w:lineRule="auto" w:before="59"/>
        <w:ind w:right="0"/>
        <w:jc w:val="both"/>
      </w:pPr>
      <w:r>
        <w:rPr>
          <w:spacing w:val="-3"/>
        </w:rPr>
        <w:t>公司治理的实际状况与中国证监会发布的有关上市公司治理的规范性文件是否存在重大差异</w:t>
      </w:r>
    </w:p>
    <w:p>
      <w:pPr>
        <w:pStyle w:val="BodyText"/>
        <w:spacing w:line="338" w:lineRule="auto" w:before="120"/>
        <w:ind w:right="362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24" w:lineRule="auto"/>
        <w:ind w:right="0" w:firstLine="422"/>
        <w:jc w:val="left"/>
      </w:pPr>
      <w:r>
        <w:rPr>
          <w:spacing w:val="-2"/>
        </w:rPr>
        <w:t>公司严格按照《公司法》、《证券法》等有关法律法规和《公司章程》的要求规范运作，与控股股东在业务、人员、</w:t>
      </w:r>
      <w:r>
        <w:rPr>
          <w:w w:val="101"/>
        </w:rPr>
        <w:t> </w:t>
      </w:r>
      <w:r>
        <w:rPr>
          <w:spacing w:val="-3"/>
        </w:rPr>
        <w:t>资产、机构、财务等方面保持独立，具有独立完整的业务及自主经营能力。</w:t>
      </w:r>
    </w:p>
    <w:p>
      <w:pPr>
        <w:pStyle w:val="BodyText"/>
        <w:spacing w:line="304" w:lineRule="auto" w:before="52"/>
        <w:ind w:right="1123" w:firstLine="422"/>
        <w:jc w:val="left"/>
      </w:pPr>
      <w:r>
        <w:rPr>
          <w:rFonts w:ascii="Times New Roman" w:hAnsi="Times New Roman" w:cs="Times New Roman" w:eastAsia="Times New Roman" w:hint="default"/>
          <w:spacing w:val="-4"/>
        </w:rPr>
        <w:t>1</w:t>
      </w:r>
      <w:r>
        <w:rPr>
          <w:spacing w:val="-4"/>
        </w:rPr>
        <w:t>、业务方面：公司拥有独立完整的业务体系和自主经营能力，控股股东按照承诺未从事与公司业务相同或相近的业务</w:t>
      </w:r>
      <w:r>
        <w:rPr>
          <w:w w:val="101"/>
        </w:rPr>
        <w:t> </w:t>
      </w:r>
      <w:r>
        <w:rPr/>
        <w:t>活动。</w:t>
      </w:r>
    </w:p>
    <w:p>
      <w:pPr>
        <w:pStyle w:val="BodyText"/>
        <w:spacing w:line="304" w:lineRule="auto" w:before="61"/>
        <w:ind w:right="0" w:firstLine="422"/>
        <w:jc w:val="left"/>
      </w:pPr>
      <w:r>
        <w:rPr>
          <w:rFonts w:ascii="Times New Roman" w:hAnsi="Times New Roman" w:cs="Times New Roman" w:eastAsia="Times New Roman" w:hint="default"/>
          <w:spacing w:val="-4"/>
        </w:rPr>
        <w:t>2</w:t>
      </w:r>
      <w:r>
        <w:rPr>
          <w:spacing w:val="-4"/>
        </w:rPr>
        <w:t>、人员方面：公司拥有独立的人事和劳资管理体系，公司总经理、副总经理、财务负责人和董事会秘书等高级管理人</w:t>
      </w:r>
      <w:r>
        <w:rPr>
          <w:w w:val="101"/>
        </w:rPr>
        <w:t> </w:t>
      </w:r>
      <w:r>
        <w:rPr>
          <w:spacing w:val="-3"/>
        </w:rPr>
        <w:t>员均在本公司领取报酬。</w:t>
      </w:r>
    </w:p>
    <w:p>
      <w:pPr>
        <w:pStyle w:val="BodyText"/>
        <w:spacing w:line="240" w:lineRule="auto" w:before="66"/>
        <w:ind w:left="575" w:right="0"/>
        <w:jc w:val="left"/>
      </w:pPr>
      <w:r>
        <w:rPr>
          <w:rFonts w:ascii="Times New Roman" w:hAnsi="Times New Roman" w:cs="Times New Roman" w:eastAsia="Times New Roman" w:hint="default"/>
          <w:spacing w:val="-3"/>
        </w:rPr>
        <w:t>3</w:t>
      </w:r>
      <w:r>
        <w:rPr>
          <w:spacing w:val="-3"/>
        </w:rPr>
        <w:t>、资产方面：公司供、销系统完整独立。商标、非专利技术等无形资产和有形资产均有本公司拥有，产权界定清晰。</w:t>
      </w:r>
    </w:p>
    <w:p>
      <w:pPr>
        <w:pStyle w:val="BodyText"/>
        <w:spacing w:line="304" w:lineRule="auto" w:before="101"/>
        <w:ind w:right="0" w:firstLine="422"/>
        <w:jc w:val="left"/>
      </w:pPr>
      <w:r>
        <w:rPr>
          <w:rFonts w:ascii="Times New Roman" w:hAnsi="Times New Roman" w:cs="Times New Roman" w:eastAsia="Times New Roman" w:hint="default"/>
          <w:spacing w:val="-3"/>
        </w:rPr>
        <w:t>4</w:t>
      </w:r>
      <w:r>
        <w:rPr>
          <w:spacing w:val="-3"/>
        </w:rPr>
        <w:t>、机构方面：公司设有健全的组织机构体系，股东大会、董事会、监事会及董事会下属专业委员会等机构独立运作，</w:t>
      </w:r>
      <w:r>
        <w:rPr>
          <w:w w:val="101"/>
        </w:rPr>
        <w:t> </w:t>
      </w:r>
      <w:r>
        <w:rPr>
          <w:spacing w:val="-3"/>
        </w:rPr>
        <w:t>不受控股股东及其他单位或个人的干涉。</w:t>
      </w:r>
    </w:p>
    <w:p>
      <w:pPr>
        <w:pStyle w:val="BodyText"/>
        <w:spacing w:line="304" w:lineRule="auto" w:before="61"/>
        <w:ind w:right="0" w:firstLine="422"/>
        <w:jc w:val="left"/>
      </w:pPr>
      <w:r>
        <w:rPr>
          <w:rFonts w:ascii="Times New Roman" w:hAnsi="Times New Roman" w:cs="Times New Roman" w:eastAsia="Times New Roman" w:hint="default"/>
          <w:spacing w:val="-4"/>
        </w:rPr>
        <w:t>5</w:t>
      </w:r>
      <w:r>
        <w:rPr>
          <w:spacing w:val="-4"/>
        </w:rPr>
        <w:t>、财务方面：公司设有完整、独立的财务机构，配备了充足的专职财务人员，建立了独立的会计核算体系和财务管理</w:t>
      </w:r>
      <w:r>
        <w:rPr>
          <w:w w:val="101"/>
        </w:rPr>
        <w:t> </w:t>
      </w:r>
      <w:r>
        <w:rPr>
          <w:spacing w:val="-3"/>
        </w:rPr>
        <w:t>制度，并独立开设银行账户、独立纳税、独立做出财务决策。</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4"/>
        <w:rPr>
          <w:rFonts w:ascii="宋体" w:hAnsi="宋体" w:cs="宋体" w:eastAsia="宋体" w:hint="default"/>
          <w:b/>
          <w:bCs/>
          <w:sz w:val="27"/>
          <w:szCs w:val="27"/>
        </w:rPr>
      </w:pPr>
    </w:p>
    <w:tbl>
      <w:tblPr>
        <w:tblW w:w="0" w:type="auto"/>
        <w:jc w:val="left"/>
        <w:tblInd w:w="119" w:type="dxa"/>
        <w:tblLayout w:type="fixed"/>
        <w:tblCellMar>
          <w:top w:w="0" w:type="dxa"/>
          <w:left w:w="0" w:type="dxa"/>
          <w:bottom w:w="0" w:type="dxa"/>
          <w:right w:w="0" w:type="dxa"/>
        </w:tblCellMar>
        <w:tblLook w:val="01E0"/>
      </w:tblPr>
      <w:tblGrid>
        <w:gridCol w:w="1570"/>
        <w:gridCol w:w="1292"/>
        <w:gridCol w:w="1138"/>
        <w:gridCol w:w="1560"/>
        <w:gridCol w:w="1700"/>
        <w:gridCol w:w="2439"/>
      </w:tblGrid>
      <w:tr>
        <w:trPr>
          <w:trHeight w:val="442"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1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8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left="201" w:right="0" w:firstLine="91"/>
              <w:jc w:val="left"/>
              <w:rPr>
                <w:rFonts w:ascii="宋体" w:hAnsi="宋体" w:cs="宋体" w:eastAsia="宋体" w:hint="default"/>
                <w:sz w:val="18"/>
                <w:szCs w:val="18"/>
              </w:rPr>
            </w:pPr>
            <w:r>
              <w:rPr>
                <w:rFonts w:ascii="宋体" w:hAnsi="宋体" w:cs="宋体" w:eastAsia="宋体" w:hint="default"/>
                <w:sz w:val="18"/>
                <w:szCs w:val="18"/>
              </w:rPr>
              <w:t>投资者</w:t>
            </w: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8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3"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42" w:hRule="exact"/>
        </w:trPr>
        <w:tc>
          <w:tcPr>
            <w:tcW w:w="157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292"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34.46%</w:t>
            </w:r>
          </w:p>
        </w:tc>
        <w:tc>
          <w:tcPr>
            <w:tcW w:w="156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0" w:type="dxa"/>
            <w:tcBorders>
              <w:top w:val="single" w:sz="19"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39" w:type="dxa"/>
            <w:tcBorders>
              <w:top w:val="single" w:sz="19" w:space="0" w:color="D2D2D2"/>
              <w:left w:val="single" w:sz="4" w:space="0" w:color="000000"/>
              <w:bottom w:val="single" w:sz="4" w:space="0" w:color="000000"/>
              <w:right w:val="single" w:sz="4" w:space="0" w:color="000000"/>
            </w:tcBorders>
          </w:tcPr>
          <w:p>
            <w:pPr>
              <w:pStyle w:val="TableParagraph"/>
              <w:spacing w:line="309" w:lineRule="auto" w:before="54"/>
              <w:ind w:left="28" w:right="14"/>
              <w:jc w:val="both"/>
              <w:rPr>
                <w:rFonts w:ascii="宋体" w:hAnsi="宋体" w:cs="宋体" w:eastAsia="宋体" w:hint="default"/>
                <w:sz w:val="18"/>
                <w:szCs w:val="18"/>
              </w:rPr>
            </w:pPr>
            <w:r>
              <w:rPr>
                <w:rFonts w:ascii="宋体" w:hAnsi="宋体" w:cs="宋体" w:eastAsia="宋体" w:hint="default"/>
                <w:sz w:val="18"/>
                <w:szCs w:val="18"/>
              </w:rPr>
              <w:t>具体请见公司于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日披露于巨潮资讯网（公告编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2019-001</w:t>
            </w:r>
            <w:r>
              <w:rPr>
                <w:rFonts w:ascii="宋体" w:hAnsi="宋体" w:cs="宋体" w:eastAsia="宋体" w:hint="default"/>
                <w:sz w:val="18"/>
                <w:szCs w:val="18"/>
              </w:rPr>
              <w:t>）</w:t>
            </w:r>
          </w:p>
        </w:tc>
      </w:tr>
    </w:tbl>
    <w:p>
      <w:pPr>
        <w:spacing w:after="0" w:line="309" w:lineRule="auto"/>
        <w:jc w:val="both"/>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1570"/>
        <w:gridCol w:w="1292"/>
        <w:gridCol w:w="1138"/>
        <w:gridCol w:w="1560"/>
        <w:gridCol w:w="1700"/>
        <w:gridCol w:w="2439"/>
      </w:tblGrid>
      <w:tr>
        <w:trPr>
          <w:trHeight w:val="102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年度股东大会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具体请见公司于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4" w:lineRule="auto" w:before="58"/>
              <w:ind w:left="28"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日披露于巨潮资讯网（公告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2019-029</w:t>
            </w:r>
            <w:r>
              <w:rPr>
                <w:rFonts w:ascii="宋体" w:hAnsi="宋体" w:cs="宋体" w:eastAsia="宋体" w:hint="default"/>
                <w:sz w:val="18"/>
                <w:szCs w:val="18"/>
              </w:rPr>
              <w:t>）</w:t>
            </w:r>
          </w:p>
        </w:tc>
      </w:tr>
      <w:tr>
        <w:trPr>
          <w:trHeight w:val="1023"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4" w:lineRule="auto"/>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具体请见公司于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4" w:lineRule="auto" w:before="58"/>
              <w:ind w:left="28"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日披露于巨潮资讯网（公告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2019-048</w:t>
            </w:r>
            <w:r>
              <w:rPr>
                <w:rFonts w:ascii="宋体" w:hAnsi="宋体" w:cs="宋体" w:eastAsia="宋体" w:hint="default"/>
                <w:sz w:val="18"/>
                <w:szCs w:val="18"/>
              </w:rPr>
              <w:t>）</w:t>
            </w:r>
          </w:p>
        </w:tc>
      </w:tr>
      <w:tr>
        <w:trPr>
          <w:trHeight w:val="1028"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具体请见公司于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4" w:lineRule="auto" w:before="58"/>
              <w:ind w:left="28"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日披露于巨潮资讯网（公告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2019-071</w:t>
            </w:r>
            <w:r>
              <w:rPr>
                <w:rFonts w:ascii="宋体" w:hAnsi="宋体" w:cs="宋体" w:eastAsia="宋体" w:hint="default"/>
                <w:sz w:val="18"/>
                <w:szCs w:val="18"/>
              </w:rPr>
              <w:t>）</w:t>
            </w:r>
          </w:p>
        </w:tc>
      </w:tr>
      <w:tr>
        <w:trPr>
          <w:trHeight w:val="102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年第四次临时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具体请见公司于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4" w:lineRule="auto" w:before="63"/>
              <w:ind w:left="28"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日披露于巨潮资讯网（公告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2019-087</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丁芸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范贵福</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程贤权</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362" w:lineRule="auto" w:before="53"/>
        <w:ind w:right="7927"/>
        <w:jc w:val="left"/>
      </w:pPr>
      <w:r>
        <w:rPr>
          <w:spacing w:val="-3"/>
        </w:rPr>
        <w:t>连续两次未亲自出席董事会的说明</w:t>
      </w:r>
      <w:r>
        <w:rPr>
          <w:spacing w:val="-44"/>
        </w:rPr>
        <w:t> </w:t>
      </w:r>
      <w:r>
        <w:rPr>
          <w:spacing w:val="-44"/>
        </w:rPr>
      </w:r>
      <w:r>
        <w:rPr/>
        <w:t>不适用</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pStyle w:val="BodyText"/>
        <w:spacing w:line="343" w:lineRule="auto" w:before="115"/>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spacing w:after="0" w:line="240" w:lineRule="auto"/>
        <w:jc w:val="left"/>
        <w:sectPr>
          <w:footerReference w:type="default" r:id="rId39"/>
          <w:pgSz w:w="11910" w:h="16840"/>
          <w:pgMar w:footer="979" w:header="871" w:top="1100" w:bottom="1160" w:left="980" w:right="0"/>
        </w:sectPr>
      </w:pPr>
    </w:p>
    <w:p>
      <w:pPr>
        <w:spacing w:line="240" w:lineRule="auto" w:before="3"/>
        <w:rPr>
          <w:rFonts w:ascii="宋体" w:hAnsi="宋体" w:cs="宋体" w:eastAsia="宋体" w:hint="default"/>
          <w:sz w:val="22"/>
          <w:szCs w:val="22"/>
        </w:rPr>
      </w:pPr>
    </w:p>
    <w:p>
      <w:pPr>
        <w:pStyle w:val="BodyText"/>
        <w:spacing w:line="338" w:lineRule="auto" w:before="46"/>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9" w:lineRule="auto" w:before="41"/>
        <w:ind w:right="1123" w:firstLine="360"/>
        <w:jc w:val="left"/>
      </w:pPr>
      <w:r>
        <w:rPr>
          <w:spacing w:val="-5"/>
        </w:rPr>
        <w:t>报告期内，公司独立董事严格按照《公司法》、《证券法》、《深圳证券交易所创业板股票上市规则》、《深圳证券交</w:t>
      </w:r>
      <w:r>
        <w:rPr>
          <w:w w:val="101"/>
        </w:rPr>
        <w:t> </w:t>
      </w:r>
      <w:r>
        <w:rPr>
          <w:spacing w:val="-6"/>
        </w:rPr>
        <w:t>易所创业板上市公司规范运作指引》、《关于在上市公司建立独立董事制度的指导意见》及《公司章程》等规范性文件要求，</w:t>
      </w:r>
      <w:r>
        <w:rPr>
          <w:spacing w:val="63"/>
        </w:rPr>
        <w:t> </w:t>
      </w:r>
      <w:r>
        <w:rPr>
          <w:spacing w:val="63"/>
        </w:rPr>
      </w:r>
      <w:r>
        <w:rPr>
          <w:spacing w:val="-4"/>
        </w:rPr>
        <w:t>积极出席公司董事会、股东大会，认真履行独立董事职责，对公司的发展决策提出了建设性的意见或建议，与其他董事、监</w:t>
      </w:r>
      <w:r>
        <w:rPr>
          <w:spacing w:val="39"/>
        </w:rPr>
        <w:t> </w:t>
      </w:r>
      <w:r>
        <w:rPr>
          <w:spacing w:val="39"/>
        </w:rPr>
      </w:r>
      <w:r>
        <w:rPr>
          <w:spacing w:val="-4"/>
        </w:rPr>
        <w:t>事及管理层及时沟通交流，掌握公司发展动态。同时，对公司完善内控制度等方面提出了很多专业性建议，有效保证了公司</w:t>
      </w:r>
      <w:r>
        <w:rPr>
          <w:spacing w:val="40"/>
        </w:rPr>
        <w:t> </w:t>
      </w:r>
      <w:r>
        <w:rPr>
          <w:spacing w:val="40"/>
        </w:rPr>
      </w:r>
      <w:r>
        <w:rPr>
          <w:spacing w:val="-4"/>
        </w:rPr>
        <w:t>董事会决策的公正性和客观性，维护了公司整体利益和广大中小股东的合法权益，为公司的规范运作和健康发展发挥了积极</w:t>
      </w:r>
      <w:r>
        <w:rPr>
          <w:spacing w:val="43"/>
        </w:rPr>
        <w:t> </w:t>
      </w:r>
      <w:r>
        <w:rPr>
          <w:spacing w:val="43"/>
        </w:rPr>
      </w:r>
      <w:r>
        <w:rPr/>
        <w:t>作用。</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pStyle w:val="BodyText"/>
        <w:spacing w:line="304" w:lineRule="auto"/>
        <w:ind w:right="0" w:firstLine="360"/>
        <w:jc w:val="left"/>
      </w:pPr>
      <w:r>
        <w:rPr>
          <w:spacing w:val="-4"/>
        </w:rPr>
        <w:t>公司董事会下设四个专门委员会，分别为：战略委员会、审计委员会、薪酬与考核委员会、提名委员会。</w:t>
      </w:r>
      <w:r>
        <w:rPr>
          <w:rFonts w:ascii="Times New Roman" w:hAnsi="Times New Roman" w:cs="Times New Roman" w:eastAsia="Times New Roman" w:hint="default"/>
          <w:spacing w:val="-4"/>
        </w:rPr>
        <w:t>2018</w:t>
      </w:r>
      <w:r>
        <w:rPr>
          <w:spacing w:val="-4"/>
        </w:rPr>
        <w:t>年度，各</w:t>
      </w:r>
      <w:r>
        <w:rPr>
          <w:w w:val="101"/>
        </w:rPr>
        <w:t> </w:t>
      </w:r>
      <w:r>
        <w:rPr>
          <w:spacing w:val="-3"/>
        </w:rPr>
        <w:t>专门委员会本着勤勉尽责的原则，按照有关法律、法规、规范性文件及公司各专门委员会工作细则的规定开展相关工作。</w:t>
      </w:r>
    </w:p>
    <w:p>
      <w:pPr>
        <w:pStyle w:val="BodyText"/>
        <w:spacing w:line="240" w:lineRule="auto" w:before="66"/>
        <w:ind w:left="513" w:right="0"/>
        <w:jc w:val="left"/>
      </w:pPr>
      <w:r>
        <w:rPr>
          <w:spacing w:val="-3"/>
        </w:rPr>
        <w:t>报告期内，各专门委员会履职情况如下：</w:t>
      </w:r>
    </w:p>
    <w:p>
      <w:pPr>
        <w:pStyle w:val="BodyText"/>
        <w:spacing w:line="312" w:lineRule="auto" w:before="115"/>
        <w:ind w:right="1123" w:firstLine="422"/>
        <w:jc w:val="both"/>
      </w:pPr>
      <w:r>
        <w:rPr>
          <w:rFonts w:ascii="Times New Roman" w:hAnsi="Times New Roman" w:cs="Times New Roman" w:eastAsia="Times New Roman" w:hint="default"/>
          <w:spacing w:val="-1"/>
        </w:rPr>
        <w:t>1.</w:t>
      </w:r>
      <w:r>
        <w:rPr>
          <w:spacing w:val="-1"/>
        </w:rPr>
        <w:t>报告期内，公司董事会战略委员会按照《董事会战略委员会工作细则》等相关制度的规定，了解公司的经营情况及</w:t>
      </w:r>
      <w:r>
        <w:rPr>
          <w:w w:val="101"/>
        </w:rPr>
        <w:t> </w:t>
      </w:r>
      <w:r>
        <w:rPr>
          <w:spacing w:val="-4"/>
        </w:rPr>
        <w:t>发展状况，对公司的战略规划进行审核，积极研究符合公司发展方向的战略布局，为公司的健康、快速发展出谋划策，促进</w:t>
      </w:r>
      <w:r>
        <w:rPr>
          <w:spacing w:val="40"/>
        </w:rPr>
        <w:t> </w:t>
      </w:r>
      <w:r>
        <w:rPr>
          <w:spacing w:val="40"/>
        </w:rPr>
      </w:r>
      <w:r>
        <w:rPr>
          <w:spacing w:val="-3"/>
        </w:rPr>
        <w:t>了公司董事会决策的科学性、高效性。</w:t>
      </w:r>
    </w:p>
    <w:p>
      <w:pPr>
        <w:pStyle w:val="BodyText"/>
        <w:spacing w:line="309" w:lineRule="auto" w:before="56"/>
        <w:ind w:right="1123" w:firstLine="422"/>
        <w:jc w:val="left"/>
      </w:pPr>
      <w:r>
        <w:rPr>
          <w:rFonts w:ascii="Times New Roman" w:hAnsi="Times New Roman" w:cs="Times New Roman" w:eastAsia="Times New Roman" w:hint="default"/>
        </w:rPr>
        <w:t>2.</w:t>
      </w:r>
      <w:r>
        <w:rPr/>
        <w:t>报告期内，公司董事会审计委员会按照《董事会审计委员会工作细则》等相关制度的规定，积极履行职责，认真审</w:t>
      </w:r>
      <w:r>
        <w:rPr>
          <w:w w:val="101"/>
        </w:rPr>
        <w:t> </w:t>
      </w:r>
      <w:r>
        <w:rPr>
          <w:spacing w:val="-4"/>
        </w:rPr>
        <w:t>议公司内审部门提交的内审报告及工作计划，指导公司审计部在内部审计过程中应重点关注和检查的事项，督促公司内部控</w:t>
      </w:r>
      <w:r>
        <w:rPr>
          <w:spacing w:val="42"/>
        </w:rPr>
        <w:t> </w:t>
      </w:r>
      <w:r>
        <w:rPr>
          <w:spacing w:val="42"/>
        </w:rPr>
      </w:r>
      <w:r>
        <w:rPr>
          <w:spacing w:val="-6"/>
        </w:rPr>
        <w:t>制的有效执行。重点对公司定期财务报告、监督公司内部审计制度实施、协助制定和审查公司内部控制制度等事项进行审议。</w:t>
      </w:r>
      <w:r>
        <w:rPr>
          <w:spacing w:val="63"/>
        </w:rPr>
        <w:t> </w:t>
      </w:r>
      <w:r>
        <w:rPr>
          <w:spacing w:val="63"/>
        </w:rPr>
      </w:r>
      <w:r>
        <w:rPr>
          <w:spacing w:val="-4"/>
        </w:rPr>
        <w:t>审计委员会就会计师事务所从事公司年度审计的工作进行了总结评价、对公司变更</w:t>
      </w:r>
      <w:r>
        <w:rPr>
          <w:rFonts w:ascii="Times New Roman" w:hAnsi="Times New Roman" w:cs="Times New Roman" w:eastAsia="Times New Roman" w:hint="default"/>
          <w:spacing w:val="-4"/>
        </w:rPr>
        <w:t>2019</w:t>
      </w:r>
      <w:r>
        <w:rPr>
          <w:spacing w:val="-4"/>
        </w:rPr>
        <w:t>年度审计机构事项提出建议，并发表</w:t>
      </w:r>
      <w:r>
        <w:rPr>
          <w:spacing w:val="47"/>
        </w:rPr>
        <w:t> </w:t>
      </w:r>
      <w:r>
        <w:rPr>
          <w:spacing w:val="47"/>
        </w:rPr>
      </w:r>
      <w:r>
        <w:rPr/>
        <w:t>了审核意见。</w:t>
      </w:r>
    </w:p>
    <w:p>
      <w:pPr>
        <w:pStyle w:val="BodyText"/>
        <w:spacing w:line="302" w:lineRule="auto" w:before="58"/>
        <w:ind w:right="1122" w:firstLine="422"/>
        <w:jc w:val="both"/>
      </w:pPr>
      <w:r>
        <w:rPr>
          <w:rFonts w:ascii="Times New Roman" w:hAnsi="Times New Roman" w:cs="Times New Roman" w:eastAsia="Times New Roman" w:hint="default"/>
          <w:spacing w:val="-1"/>
        </w:rPr>
        <w:t>3.</w:t>
      </w:r>
      <w:r>
        <w:rPr>
          <w:spacing w:val="-1"/>
        </w:rPr>
        <w:t>报告期内，公司董事会薪酬与考核委员会，按照《董事会薪酬与考核委员会工作细则》等相关制度的规定，对公司</w:t>
      </w:r>
      <w:r>
        <w:rPr>
          <w:w w:val="101"/>
        </w:rPr>
        <w:t> </w:t>
      </w:r>
      <w:r>
        <w:rPr>
          <w:spacing w:val="-4"/>
        </w:rPr>
        <w:t>董事和高级管理人员的薪酬情况进行了考评，监督公司薪酬制度的执行情况，对公司</w:t>
      </w:r>
      <w:r>
        <w:rPr>
          <w:rFonts w:ascii="Times New Roman" w:hAnsi="Times New Roman" w:cs="Times New Roman" w:eastAsia="Times New Roman" w:hint="default"/>
          <w:spacing w:val="-4"/>
        </w:rPr>
        <w:t>2018</w:t>
      </w:r>
      <w:r>
        <w:rPr>
          <w:spacing w:val="-4"/>
        </w:rPr>
        <w:t>年股票期权激励计划第一个行权期</w:t>
      </w:r>
      <w:r>
        <w:rPr>
          <w:spacing w:val="51"/>
        </w:rPr>
        <w:t> </w:t>
      </w:r>
      <w:r>
        <w:rPr>
          <w:spacing w:val="51"/>
        </w:rPr>
      </w:r>
      <w:r>
        <w:rPr>
          <w:spacing w:val="-3"/>
        </w:rPr>
        <w:t>可行权事项发表了审核意见。</w:t>
      </w:r>
    </w:p>
    <w:p>
      <w:pPr>
        <w:pStyle w:val="BodyText"/>
        <w:spacing w:line="304" w:lineRule="auto" w:before="68"/>
        <w:ind w:right="0" w:firstLine="422"/>
        <w:jc w:val="left"/>
      </w:pPr>
      <w:r>
        <w:rPr>
          <w:rFonts w:ascii="Times New Roman" w:hAnsi="Times New Roman" w:cs="Times New Roman" w:eastAsia="Times New Roman" w:hint="default"/>
          <w:spacing w:val="-1"/>
        </w:rPr>
        <w:t>4.</w:t>
      </w:r>
      <w:r>
        <w:rPr>
          <w:spacing w:val="-1"/>
        </w:rPr>
        <w:t>报告期内，董事会提名委员会按照《董事会提名委员会工作细则》等相关制度的规定，认真履行自己的职责，对换</w:t>
      </w:r>
      <w:r>
        <w:rPr>
          <w:w w:val="101"/>
        </w:rPr>
        <w:t> </w:t>
      </w:r>
      <w:r>
        <w:rPr>
          <w:spacing w:val="-3"/>
        </w:rPr>
        <w:t>届选举暨提名第四届董事会董事候选人的任职资格认真进行了核查，并发表了审核意见。</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监事会在报告期内的监督活动中发现公司是否存在风险</w:t>
      </w:r>
    </w:p>
    <w:p>
      <w:pPr>
        <w:pStyle w:val="BodyText"/>
        <w:spacing w:line="343" w:lineRule="auto" w:before="115"/>
        <w:ind w:right="727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21" w:lineRule="auto"/>
        <w:ind w:right="0" w:firstLine="360"/>
        <w:jc w:val="left"/>
      </w:pPr>
      <w:r>
        <w:rPr>
          <w:spacing w:val="-4"/>
        </w:rPr>
        <w:t>报告期内，公司采取高级管理人员的薪酬与公司业绩挂钩的绩效考核与激励约束机制，对高级管理人员实行基本年薪和</w:t>
      </w:r>
      <w:r>
        <w:rPr>
          <w:w w:val="101"/>
        </w:rPr>
        <w:t> </w:t>
      </w:r>
      <w:r>
        <w:rPr>
          <w:spacing w:val="-3"/>
        </w:rPr>
        <w:t>年终绩效考核相结合的薪酬制度。</w:t>
      </w:r>
    </w:p>
    <w:p>
      <w:pPr>
        <w:pStyle w:val="BodyText"/>
        <w:spacing w:line="321" w:lineRule="auto" w:before="49"/>
        <w:ind w:right="0" w:firstLine="360"/>
        <w:jc w:val="left"/>
      </w:pPr>
      <w:r>
        <w:rPr>
          <w:spacing w:val="-5"/>
          <w:w w:val="101"/>
        </w:rPr>
        <w:t>根据公司年度经营目标完成情况以及高级管理人员的工作业绩，由董事会薪酬与考核委员会对高级管理人员进行年度绩</w:t>
      </w:r>
      <w:r>
        <w:rPr>
          <w:w w:val="101"/>
        </w:rPr>
        <w:t> </w:t>
      </w:r>
      <w:r>
        <w:rPr>
          <w:spacing w:val="-3"/>
        </w:rPr>
        <w:t>效考核，并监督薪酬制度执行情况。公司则根据绩效考核结果兑现其绩效年薪，并进行奖惩。</w:t>
      </w:r>
    </w:p>
    <w:p>
      <w:pPr>
        <w:spacing w:after="0" w:line="321" w:lineRule="auto"/>
        <w:jc w:val="left"/>
        <w:sectPr>
          <w:footerReference w:type="default" r:id="rId40"/>
          <w:pgSz w:w="11910" w:h="16840"/>
          <w:pgMar w:footer="979" w:header="871" w:top="1100" w:bottom="1160" w:left="980" w:right="0"/>
          <w:pgNumType w:start="101"/>
        </w:sect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BodyText"/>
        <w:spacing w:line="240" w:lineRule="auto" w:before="46"/>
        <w:ind w:left="0" w:right="1151"/>
        <w:jc w:val="right"/>
      </w:pPr>
      <w:r>
        <w:rPr/>
        <w:pict>
          <v:shape style="position:absolute;margin-left:56.424pt;margin-top:-246.218262pt;width:479.25pt;height:565.1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45"/>
                    <w:gridCol w:w="3037"/>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26"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5" w:type="dxa"/>
                        <w:vMerge w:val="restart"/>
                        <w:tcBorders>
                          <w:top w:val="single" w:sz="4" w:space="0" w:color="000000"/>
                          <w:left w:val="single" w:sz="10" w:space="0" w:color="D2D2D2"/>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0"/>
                          <w:ind w:left="21" w:right="-29"/>
                          <w:jc w:val="left"/>
                          <w:rPr>
                            <w:rFonts w:ascii="宋体" w:hAnsi="宋体" w:cs="宋体" w:eastAsia="宋体" w:hint="default"/>
                            <w:sz w:val="18"/>
                            <w:szCs w:val="18"/>
                          </w:rPr>
                        </w:pPr>
                        <w:r>
                          <w:rPr>
                            <w:rFonts w:ascii="宋体" w:hAnsi="宋体" w:cs="宋体" w:eastAsia="宋体" w:hint="default"/>
                            <w:spacing w:val="-3"/>
                            <w:sz w:val="18"/>
                            <w:szCs w:val="18"/>
                          </w:rPr>
                          <w:t>财务报告内部控制存在重大缺陷的迹象包</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11"/>
                            <w:w w:val="101"/>
                            <w:sz w:val="18"/>
                            <w:szCs w:val="18"/>
                          </w:rPr>
                          <w:t>括：（</w:t>
                        </w:r>
                        <w:r>
                          <w:rPr>
                            <w:rFonts w:ascii="Times New Roman" w:hAnsi="Times New Roman" w:cs="Times New Roman" w:eastAsia="Times New Roman" w:hint="default"/>
                            <w:spacing w:val="-11"/>
                            <w:w w:val="101"/>
                            <w:sz w:val="18"/>
                            <w:szCs w:val="18"/>
                          </w:rPr>
                          <w:t>1</w:t>
                        </w:r>
                        <w:r>
                          <w:rPr>
                            <w:rFonts w:ascii="宋体" w:hAnsi="宋体" w:cs="宋体" w:eastAsia="宋体" w:hint="default"/>
                            <w:spacing w:val="-11"/>
                            <w:w w:val="101"/>
                            <w:sz w:val="18"/>
                            <w:szCs w:val="18"/>
                          </w:rPr>
                          <w:t>）控制环境无效；（</w:t>
                        </w:r>
                        <w:r>
                          <w:rPr>
                            <w:rFonts w:ascii="Times New Roman" w:hAnsi="Times New Roman" w:cs="Times New Roman" w:eastAsia="Times New Roman" w:hint="default"/>
                            <w:spacing w:val="-11"/>
                            <w:w w:val="101"/>
                            <w:sz w:val="18"/>
                            <w:szCs w:val="18"/>
                          </w:rPr>
                          <w:t>2</w:t>
                        </w:r>
                        <w:r>
                          <w:rPr>
                            <w:rFonts w:ascii="宋体" w:hAnsi="宋体" w:cs="宋体" w:eastAsia="宋体" w:hint="default"/>
                            <w:spacing w:val="-11"/>
                            <w:w w:val="101"/>
                            <w:sz w:val="18"/>
                            <w:szCs w:val="18"/>
                          </w:rPr>
                          <w:t>）公司董事、</w:t>
                        </w:r>
                        <w:r>
                          <w:rPr>
                            <w:rFonts w:ascii="宋体" w:hAnsi="宋体" w:cs="宋体" w:eastAsia="宋体" w:hint="default"/>
                            <w:w w:val="101"/>
                            <w:sz w:val="18"/>
                            <w:szCs w:val="18"/>
                          </w:rPr>
                          <w:t> </w:t>
                        </w:r>
                        <w:r>
                          <w:rPr>
                            <w:rFonts w:ascii="宋体" w:hAnsi="宋体" w:cs="宋体" w:eastAsia="宋体" w:hint="default"/>
                            <w:spacing w:val="-3"/>
                            <w:sz w:val="18"/>
                            <w:szCs w:val="18"/>
                          </w:rPr>
                          <w:t>监事和高级管理人员舞弊并给公司造成重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大损失和不利影响；（</w:t>
                        </w:r>
                        <w:r>
                          <w:rPr>
                            <w:rFonts w:ascii="Times New Roman" w:hAnsi="Times New Roman" w:cs="Times New Roman" w:eastAsia="Times New Roman" w:hint="default"/>
                            <w:spacing w:val="-7"/>
                            <w:w w:val="101"/>
                            <w:sz w:val="18"/>
                            <w:szCs w:val="18"/>
                          </w:rPr>
                          <w:t>3</w:t>
                        </w:r>
                        <w:r>
                          <w:rPr>
                            <w:rFonts w:ascii="宋体" w:hAnsi="宋体" w:cs="宋体" w:eastAsia="宋体" w:hint="default"/>
                            <w:spacing w:val="-7"/>
                            <w:w w:val="101"/>
                            <w:sz w:val="18"/>
                            <w:szCs w:val="18"/>
                          </w:rPr>
                          <w:t>）注册会计师发现</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当期财务报告存在重大错报，而内部控制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在运行过程中未能发现该错报；（</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）已经</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发现并报告给管理层的重要缺陷在合理的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时间内未加以改正；（</w:t>
                        </w:r>
                        <w:r>
                          <w:rPr>
                            <w:rFonts w:ascii="Times New Roman" w:hAnsi="Times New Roman" w:cs="Times New Roman" w:eastAsia="Times New Roman" w:hint="default"/>
                            <w:spacing w:val="-7"/>
                            <w:w w:val="101"/>
                            <w:sz w:val="18"/>
                            <w:szCs w:val="18"/>
                          </w:rPr>
                          <w:t>5</w:t>
                        </w:r>
                        <w:r>
                          <w:rPr>
                            <w:rFonts w:ascii="宋体" w:hAnsi="宋体" w:cs="宋体" w:eastAsia="宋体" w:hint="default"/>
                            <w:spacing w:val="-7"/>
                            <w:w w:val="101"/>
                            <w:sz w:val="18"/>
                            <w:szCs w:val="18"/>
                          </w:rPr>
                          <w:t>）审计委员会和内</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部审计部对公司的内部控制监督无效。财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务报告内部控制存在重要缺陷的迹象包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w w:val="101"/>
                            <w:sz w:val="18"/>
                            <w:szCs w:val="18"/>
                          </w:rPr>
                          <w:t>括：（</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）未依照公认会计准则选择和应用</w:t>
                        </w:r>
                        <w:r>
                          <w:rPr>
                            <w:rFonts w:ascii="宋体" w:hAnsi="宋体" w:cs="宋体" w:eastAsia="宋体" w:hint="default"/>
                            <w:w w:val="101"/>
                            <w:sz w:val="18"/>
                            <w:szCs w:val="18"/>
                          </w:rPr>
                          <w:t> </w:t>
                        </w:r>
                        <w:r>
                          <w:rPr>
                            <w:rFonts w:ascii="宋体" w:hAnsi="宋体" w:cs="宋体" w:eastAsia="宋体" w:hint="default"/>
                            <w:spacing w:val="-7"/>
                            <w:w w:val="101"/>
                            <w:sz w:val="18"/>
                            <w:szCs w:val="18"/>
                          </w:rPr>
                          <w:t>会计政策；（</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）未建立反舞弊程序和控制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7"/>
                            <w:w w:val="101"/>
                            <w:sz w:val="18"/>
                            <w:szCs w:val="18"/>
                          </w:rPr>
                          <w:t>措施；（</w:t>
                        </w:r>
                        <w:r>
                          <w:rPr>
                            <w:rFonts w:ascii="Times New Roman" w:hAnsi="Times New Roman" w:cs="Times New Roman" w:eastAsia="Times New Roman" w:hint="default"/>
                            <w:spacing w:val="-7"/>
                            <w:w w:val="101"/>
                            <w:sz w:val="18"/>
                            <w:szCs w:val="18"/>
                          </w:rPr>
                          <w:t>3</w:t>
                        </w:r>
                        <w:r>
                          <w:rPr>
                            <w:rFonts w:ascii="宋体" w:hAnsi="宋体" w:cs="宋体" w:eastAsia="宋体" w:hint="default"/>
                            <w:spacing w:val="-7"/>
                            <w:w w:val="101"/>
                            <w:sz w:val="18"/>
                            <w:szCs w:val="18"/>
                          </w:rPr>
                          <w:t>）财务报告过程中出现单独或多</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项缺陷，虽然未达到重大缺陷认定标准，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8"/>
                            <w:sz w:val="18"/>
                            <w:szCs w:val="18"/>
                          </w:rPr>
                          <w:t>但影响到财务报告达到真实、准确的目标；</w:t>
                        </w:r>
                        <w:r>
                          <w:rPr>
                            <w:rFonts w:ascii="宋体" w:hAnsi="宋体" w:cs="宋体" w:eastAsia="宋体" w:hint="default"/>
                            <w:sz w:val="18"/>
                            <w:szCs w:val="18"/>
                          </w:rPr>
                        </w:r>
                      </w:p>
                      <w:p>
                        <w:pPr>
                          <w:pStyle w:val="TableParagraph"/>
                          <w:spacing w:line="314" w:lineRule="auto" w:before="24"/>
                          <w:ind w:left="21" w:right="-29"/>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）对于非常规或特殊交易的账务处理没</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有建立相应的控制机制或没有实施且没有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相应的补偿性控制。一般缺陷是指除上述</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8"/>
                            <w:sz w:val="18"/>
                            <w:szCs w:val="18"/>
                          </w:rPr>
                          <w:t>重大缺陷、重要缺陷之外的其他控制缺陷。</w:t>
                        </w:r>
                        <w:r>
                          <w:rPr>
                            <w:rFonts w:ascii="宋体" w:hAnsi="宋体" w:cs="宋体" w:eastAsia="宋体" w:hint="default"/>
                            <w:sz w:val="18"/>
                            <w:szCs w:val="18"/>
                          </w:rPr>
                        </w:r>
                      </w:p>
                    </w:tc>
                    <w:tc>
                      <w:tcPr>
                        <w:tcW w:w="3037" w:type="dxa"/>
                        <w:vMerge w:val="restart"/>
                        <w:tcBorders>
                          <w:top w:val="single" w:sz="4" w:space="0" w:color="000000"/>
                          <w:left w:val="single" w:sz="10" w:space="0" w:color="FFFFFF"/>
                          <w:right w:val="single" w:sz="4" w:space="0" w:color="000000"/>
                        </w:tcBorders>
                      </w:tcPr>
                      <w:p>
                        <w:pPr>
                          <w:pStyle w:val="TableParagraph"/>
                          <w:spacing w:line="307" w:lineRule="auto" w:before="53"/>
                          <w:ind w:left="4" w:right="12"/>
                          <w:jc w:val="both"/>
                          <w:rPr>
                            <w:rFonts w:ascii="宋体" w:hAnsi="宋体" w:cs="宋体" w:eastAsia="宋体" w:hint="default"/>
                            <w:sz w:val="18"/>
                            <w:szCs w:val="18"/>
                          </w:rPr>
                        </w:pPr>
                        <w:r>
                          <w:rPr>
                            <w:rFonts w:ascii="宋体" w:hAnsi="宋体" w:cs="宋体" w:eastAsia="宋体" w:hint="default"/>
                            <w:spacing w:val="-11"/>
                            <w:w w:val="101"/>
                            <w:sz w:val="18"/>
                            <w:szCs w:val="18"/>
                          </w:rPr>
                          <w:t>重大缺陷的认定标准：（</w:t>
                        </w:r>
                        <w:r>
                          <w:rPr>
                            <w:rFonts w:ascii="Times New Roman" w:hAnsi="Times New Roman" w:cs="Times New Roman" w:eastAsia="Times New Roman" w:hint="default"/>
                            <w:spacing w:val="-11"/>
                            <w:w w:val="101"/>
                            <w:sz w:val="18"/>
                            <w:szCs w:val="18"/>
                          </w:rPr>
                          <w:t>1</w:t>
                        </w:r>
                        <w:r>
                          <w:rPr>
                            <w:rFonts w:ascii="宋体" w:hAnsi="宋体" w:cs="宋体" w:eastAsia="宋体" w:hint="default"/>
                            <w:spacing w:val="-11"/>
                            <w:w w:val="101"/>
                            <w:sz w:val="18"/>
                            <w:szCs w:val="18"/>
                          </w:rPr>
                          <w:t>）公司重大事</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7"/>
                            <w:sz w:val="18"/>
                            <w:szCs w:val="18"/>
                          </w:rPr>
                          <w:t>项决策违反国家法律法规，决策程序缺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乏集体民主程序，或集体民主决策程序</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11"/>
                            <w:w w:val="101"/>
                            <w:sz w:val="18"/>
                            <w:szCs w:val="18"/>
                          </w:rPr>
                          <w:t>不规范；（</w:t>
                        </w:r>
                        <w:r>
                          <w:rPr>
                            <w:rFonts w:ascii="Times New Roman" w:hAnsi="Times New Roman" w:cs="Times New Roman" w:eastAsia="Times New Roman" w:hint="default"/>
                            <w:spacing w:val="-11"/>
                            <w:w w:val="101"/>
                            <w:sz w:val="18"/>
                            <w:szCs w:val="18"/>
                          </w:rPr>
                          <w:t>2</w:t>
                        </w:r>
                        <w:r>
                          <w:rPr>
                            <w:rFonts w:ascii="宋体" w:hAnsi="宋体" w:cs="宋体" w:eastAsia="宋体" w:hint="default"/>
                            <w:spacing w:val="-11"/>
                            <w:w w:val="101"/>
                            <w:sz w:val="18"/>
                            <w:szCs w:val="18"/>
                          </w:rPr>
                          <w:t>）公司决策程序不科学，或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1"/>
                            <w:w w:val="101"/>
                            <w:sz w:val="18"/>
                            <w:szCs w:val="18"/>
                          </w:rPr>
                          <w:t>决策出现重大失误；（</w:t>
                        </w:r>
                        <w:r>
                          <w:rPr>
                            <w:rFonts w:ascii="Times New Roman" w:hAnsi="Times New Roman" w:cs="Times New Roman" w:eastAsia="Times New Roman" w:hint="default"/>
                            <w:spacing w:val="-11"/>
                            <w:w w:val="101"/>
                            <w:sz w:val="18"/>
                            <w:szCs w:val="18"/>
                          </w:rPr>
                          <w:t>3</w:t>
                        </w:r>
                        <w:r>
                          <w:rPr>
                            <w:rFonts w:ascii="宋体" w:hAnsi="宋体" w:cs="宋体" w:eastAsia="宋体" w:hint="default"/>
                            <w:spacing w:val="-11"/>
                            <w:w w:val="101"/>
                            <w:sz w:val="18"/>
                            <w:szCs w:val="18"/>
                          </w:rPr>
                          <w:t>）重要业务缺乏</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1"/>
                            <w:w w:val="101"/>
                            <w:sz w:val="18"/>
                            <w:szCs w:val="18"/>
                          </w:rPr>
                          <w:t>制度控制或制度系统性失效；（</w:t>
                        </w:r>
                        <w:r>
                          <w:rPr>
                            <w:rFonts w:ascii="Times New Roman" w:hAnsi="Times New Roman" w:cs="Times New Roman" w:eastAsia="Times New Roman" w:hint="default"/>
                            <w:spacing w:val="-11"/>
                            <w:w w:val="101"/>
                            <w:sz w:val="18"/>
                            <w:szCs w:val="18"/>
                          </w:rPr>
                          <w:t>4</w:t>
                        </w:r>
                        <w:r>
                          <w:rPr>
                            <w:rFonts w:ascii="宋体" w:hAnsi="宋体" w:cs="宋体" w:eastAsia="宋体" w:hint="default"/>
                            <w:spacing w:val="-11"/>
                            <w:w w:val="101"/>
                            <w:sz w:val="18"/>
                            <w:szCs w:val="18"/>
                          </w:rPr>
                          <w:t>）中高</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级管理人员和高级技术人员严重流失</w:t>
                        </w:r>
                      </w:p>
                      <w:p>
                        <w:pPr>
                          <w:pStyle w:val="TableParagraph"/>
                          <w:spacing w:line="307" w:lineRule="auto" w:before="26"/>
                          <w:ind w:left="4" w:right="1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）媒体负面新闻频频曝光，对公司</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声誉造成重大损害，或发生严重影响社</w:t>
                        </w:r>
                        <w:r>
                          <w:rPr>
                            <w:rFonts w:ascii="宋体" w:hAnsi="宋体" w:cs="宋体" w:eastAsia="宋体" w:hint="default"/>
                            <w:w w:val="101"/>
                            <w:sz w:val="18"/>
                            <w:szCs w:val="18"/>
                          </w:rPr>
                          <w:t> </w:t>
                        </w:r>
                        <w:r>
                          <w:rPr>
                            <w:rFonts w:ascii="宋体" w:hAnsi="宋体" w:cs="宋体" w:eastAsia="宋体" w:hint="default"/>
                            <w:spacing w:val="-11"/>
                            <w:w w:val="101"/>
                            <w:sz w:val="18"/>
                            <w:szCs w:val="18"/>
                          </w:rPr>
                          <w:t>会公共利益的事件；（</w:t>
                        </w:r>
                        <w:r>
                          <w:rPr>
                            <w:rFonts w:ascii="Times New Roman" w:hAnsi="Times New Roman" w:cs="Times New Roman" w:eastAsia="Times New Roman" w:hint="default"/>
                            <w:spacing w:val="-11"/>
                            <w:w w:val="101"/>
                            <w:sz w:val="18"/>
                            <w:szCs w:val="18"/>
                          </w:rPr>
                          <w:t>6</w:t>
                        </w:r>
                        <w:r>
                          <w:rPr>
                            <w:rFonts w:ascii="宋体" w:hAnsi="宋体" w:cs="宋体" w:eastAsia="宋体" w:hint="default"/>
                            <w:spacing w:val="-11"/>
                            <w:w w:val="101"/>
                            <w:sz w:val="18"/>
                            <w:szCs w:val="18"/>
                          </w:rPr>
                          <w:t>）内部控制评价</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的结果特别是重大缺陷或重要缺陷未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得到整改。重要缺陷的认定标准：（</w:t>
                        </w:r>
                        <w:r>
                          <w:rPr>
                            <w:rFonts w:ascii="Times New Roman" w:hAnsi="Times New Roman" w:cs="Times New Roman" w:eastAsia="Times New Roman" w:hint="default"/>
                            <w:spacing w:val="-8"/>
                            <w:w w:val="101"/>
                            <w:sz w:val="18"/>
                            <w:szCs w:val="18"/>
                          </w:rPr>
                          <w:t>1</w:t>
                        </w:r>
                        <w:r>
                          <w:rPr>
                            <w:rFonts w:ascii="Times New Roman" w:hAnsi="Times New Roman" w:cs="Times New Roman" w:eastAsia="Times New Roman" w:hint="default"/>
                            <w:spacing w:val="-36"/>
                            <w:w w:val="101"/>
                            <w:sz w:val="18"/>
                            <w:szCs w:val="18"/>
                          </w:rPr>
                          <w:t> </w:t>
                        </w:r>
                        <w:r>
                          <w:rPr>
                            <w:rFonts w:ascii="宋体" w:hAnsi="宋体" w:cs="宋体" w:eastAsia="宋体" w:hint="default"/>
                            <w:spacing w:val="-3"/>
                            <w:sz w:val="18"/>
                            <w:szCs w:val="18"/>
                          </w:rPr>
                          <w:t>重要业务制度控制或系统存在缺陷；</w:t>
                        </w:r>
                      </w:p>
                      <w:p>
                        <w:pPr>
                          <w:pStyle w:val="TableParagraph"/>
                          <w:spacing w:line="307" w:lineRule="auto" w:before="26"/>
                          <w:ind w:left="4" w:right="1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）公司违反国家法律、法规、规章</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7"/>
                            <w:sz w:val="18"/>
                            <w:szCs w:val="18"/>
                          </w:rPr>
                          <w:t>政府政策等，导致政府或监管机构的调</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11"/>
                            <w:w w:val="101"/>
                            <w:sz w:val="18"/>
                            <w:szCs w:val="18"/>
                          </w:rPr>
                          <w:t>查，并被处以罚款或罚金；（</w:t>
                        </w:r>
                        <w:r>
                          <w:rPr>
                            <w:rFonts w:ascii="Times New Roman" w:hAnsi="Times New Roman" w:cs="Times New Roman" w:eastAsia="Times New Roman" w:hint="default"/>
                            <w:spacing w:val="-11"/>
                            <w:w w:val="101"/>
                            <w:sz w:val="18"/>
                            <w:szCs w:val="18"/>
                          </w:rPr>
                          <w:t>3</w:t>
                        </w:r>
                        <w:r>
                          <w:rPr>
                            <w:rFonts w:ascii="宋体" w:hAnsi="宋体" w:cs="宋体" w:eastAsia="宋体" w:hint="default"/>
                            <w:spacing w:val="-11"/>
                            <w:w w:val="101"/>
                            <w:sz w:val="18"/>
                            <w:szCs w:val="18"/>
                          </w:rPr>
                          <w:t>）关键岗</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11"/>
                            <w:w w:val="101"/>
                            <w:sz w:val="18"/>
                            <w:szCs w:val="18"/>
                          </w:rPr>
                          <w:t>位业务人员流失严重；（</w:t>
                        </w:r>
                        <w:r>
                          <w:rPr>
                            <w:rFonts w:ascii="Times New Roman" w:hAnsi="Times New Roman" w:cs="Times New Roman" w:eastAsia="Times New Roman" w:hint="default"/>
                            <w:spacing w:val="-11"/>
                            <w:w w:val="101"/>
                            <w:sz w:val="18"/>
                            <w:szCs w:val="18"/>
                          </w:rPr>
                          <w:t>4</w:t>
                        </w:r>
                        <w:r>
                          <w:rPr>
                            <w:rFonts w:ascii="宋体" w:hAnsi="宋体" w:cs="宋体" w:eastAsia="宋体" w:hint="default"/>
                            <w:spacing w:val="-11"/>
                            <w:w w:val="101"/>
                            <w:sz w:val="18"/>
                            <w:szCs w:val="18"/>
                          </w:rPr>
                          <w:t>）媒体出现负</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7"/>
                            <w:sz w:val="18"/>
                            <w:szCs w:val="18"/>
                          </w:rPr>
                          <w:t>面新闻，波及局部区域。一般缺陷的认</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11"/>
                            <w:w w:val="101"/>
                            <w:sz w:val="18"/>
                            <w:szCs w:val="18"/>
                          </w:rPr>
                          <w:t>定标准：（</w:t>
                        </w:r>
                        <w:r>
                          <w:rPr>
                            <w:rFonts w:ascii="Times New Roman" w:hAnsi="Times New Roman" w:cs="Times New Roman" w:eastAsia="Times New Roman" w:hint="default"/>
                            <w:spacing w:val="-11"/>
                            <w:w w:val="101"/>
                            <w:sz w:val="18"/>
                            <w:szCs w:val="18"/>
                          </w:rPr>
                          <w:t>1</w:t>
                        </w:r>
                        <w:r>
                          <w:rPr>
                            <w:rFonts w:ascii="宋体" w:hAnsi="宋体" w:cs="宋体" w:eastAsia="宋体" w:hint="default"/>
                            <w:spacing w:val="-11"/>
                            <w:w w:val="101"/>
                            <w:sz w:val="18"/>
                            <w:szCs w:val="18"/>
                          </w:rPr>
                          <w:t>）违反企业内部规章，但未</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1"/>
                            <w:w w:val="101"/>
                            <w:sz w:val="18"/>
                            <w:szCs w:val="18"/>
                          </w:rPr>
                          <w:t>形成损失；（</w:t>
                        </w:r>
                        <w:r>
                          <w:rPr>
                            <w:rFonts w:ascii="Times New Roman" w:hAnsi="Times New Roman" w:cs="Times New Roman" w:eastAsia="Times New Roman" w:hint="default"/>
                            <w:spacing w:val="-11"/>
                            <w:w w:val="101"/>
                            <w:sz w:val="18"/>
                            <w:szCs w:val="18"/>
                          </w:rPr>
                          <w:t>2</w:t>
                        </w:r>
                        <w:r>
                          <w:rPr>
                            <w:rFonts w:ascii="宋体" w:hAnsi="宋体" w:cs="宋体" w:eastAsia="宋体" w:hint="default"/>
                            <w:spacing w:val="-11"/>
                            <w:w w:val="101"/>
                            <w:sz w:val="18"/>
                            <w:szCs w:val="18"/>
                          </w:rPr>
                          <w:t>）一般业务制度或系统存</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6"/>
                            <w:w w:val="101"/>
                            <w:sz w:val="18"/>
                            <w:szCs w:val="18"/>
                          </w:rPr>
                          <w:t>在缺陷；（</w:t>
                        </w:r>
                        <w:r>
                          <w:rPr>
                            <w:rFonts w:ascii="Times New Roman" w:hAnsi="Times New Roman" w:cs="Times New Roman" w:eastAsia="Times New Roman" w:hint="default"/>
                            <w:spacing w:val="-16"/>
                            <w:w w:val="101"/>
                            <w:sz w:val="18"/>
                            <w:szCs w:val="18"/>
                          </w:rPr>
                          <w:t>3</w:t>
                        </w:r>
                        <w:r>
                          <w:rPr>
                            <w:rFonts w:ascii="宋体" w:hAnsi="宋体" w:cs="宋体" w:eastAsia="宋体" w:hint="default"/>
                            <w:spacing w:val="-16"/>
                            <w:w w:val="101"/>
                            <w:sz w:val="18"/>
                            <w:szCs w:val="18"/>
                          </w:rPr>
                          <w:t>）公司一般缺陷未得到整改</w:t>
                        </w:r>
                        <w:r>
                          <w:rPr>
                            <w:rFonts w:ascii="宋体" w:hAnsi="宋体" w:cs="宋体" w:eastAsia="宋体" w:hint="default"/>
                            <w:spacing w:val="-16"/>
                            <w:sz w:val="18"/>
                            <w:szCs w:val="18"/>
                          </w:rPr>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5" w:type="dxa"/>
                        <w:vMerge/>
                        <w:tcBorders>
                          <w:left w:val="single" w:sz="10" w:space="0" w:color="D2D2D2"/>
                          <w:right w:val="single" w:sz="10" w:space="0" w:color="FFFFFF"/>
                        </w:tcBorders>
                      </w:tcPr>
                      <w:p>
                        <w:pPr/>
                      </w:p>
                    </w:tc>
                    <w:tc>
                      <w:tcPr>
                        <w:tcW w:w="3037" w:type="dxa"/>
                        <w:vMerge/>
                        <w:tcBorders>
                          <w:left w:val="single" w:sz="10" w:space="0" w:color="FFFFFF"/>
                          <w:right w:val="single" w:sz="4" w:space="0" w:color="000000"/>
                        </w:tcBorders>
                      </w:tcPr>
                      <w:p>
                        <w:pPr/>
                      </w:p>
                    </w:tc>
                  </w:tr>
                  <w:tr>
                    <w:trPr>
                      <w:trHeight w:val="3126"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5" w:type="dxa"/>
                        <w:vMerge/>
                        <w:tcBorders>
                          <w:left w:val="single" w:sz="10" w:space="0" w:color="D2D2D2"/>
                          <w:bottom w:val="single" w:sz="4" w:space="0" w:color="000000"/>
                          <w:right w:val="single" w:sz="10" w:space="0" w:color="FFFFFF"/>
                        </w:tcBorders>
                      </w:tcPr>
                      <w:p>
                        <w:pPr/>
                      </w:p>
                    </w:tc>
                    <w:tc>
                      <w:tcPr>
                        <w:tcW w:w="3037" w:type="dxa"/>
                        <w:vMerge/>
                        <w:tcBorders>
                          <w:left w:val="single" w:sz="10" w:space="0" w:color="FFFFFF"/>
                          <w:bottom w:val="single" w:sz="4" w:space="0" w:color="000000"/>
                          <w:right w:val="single" w:sz="4" w:space="0" w:color="000000"/>
                        </w:tcBorders>
                      </w:tcPr>
                      <w:p>
                        <w:pPr/>
                      </w:p>
                    </w:tc>
                  </w:tr>
                  <w:tr>
                    <w:trPr>
                      <w:trHeight w:val="610"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5" w:type="dxa"/>
                        <w:vMerge w:val="restart"/>
                        <w:tcBorders>
                          <w:top w:val="single" w:sz="4" w:space="0" w:color="000000"/>
                          <w:left w:val="single" w:sz="10" w:space="0" w:color="D2D2D2"/>
                          <w:right w:val="single" w:sz="10" w:space="0" w:color="FFFFFF"/>
                        </w:tcBorders>
                      </w:tcPr>
                      <w:p>
                        <w:pPr>
                          <w:pStyle w:val="TableParagraph"/>
                          <w:spacing w:line="240" w:lineRule="auto" w:before="53"/>
                          <w:ind w:left="21" w:right="0"/>
                          <w:jc w:val="both"/>
                          <w:rPr>
                            <w:rFonts w:ascii="宋体" w:hAnsi="宋体" w:cs="宋体" w:eastAsia="宋体" w:hint="default"/>
                            <w:sz w:val="18"/>
                            <w:szCs w:val="18"/>
                          </w:rPr>
                        </w:pPr>
                        <w:r>
                          <w:rPr>
                            <w:rFonts w:ascii="宋体" w:hAnsi="宋体" w:cs="宋体" w:eastAsia="宋体" w:hint="default"/>
                            <w:spacing w:val="-3"/>
                            <w:sz w:val="18"/>
                            <w:szCs w:val="18"/>
                          </w:rPr>
                          <w:t>一般缺陷：资产总额错报额＜资产总额的</w:t>
                        </w:r>
                      </w:p>
                      <w:p>
                        <w:pPr>
                          <w:pStyle w:val="TableParagraph"/>
                          <w:spacing w:line="240" w:lineRule="auto" w:before="71"/>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pacing w:val="-3"/>
                            <w:sz w:val="18"/>
                            <w:szCs w:val="18"/>
                          </w:rPr>
                          <w:t>营业收入错报额＜营业收入的</w:t>
                        </w:r>
                      </w:p>
                      <w:p>
                        <w:pPr>
                          <w:pStyle w:val="TableParagraph"/>
                          <w:spacing w:line="309" w:lineRule="auto" w:before="63"/>
                          <w:ind w:left="21"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6"/>
                            <w:sz w:val="18"/>
                            <w:szCs w:val="18"/>
                          </w:rPr>
                          <w:t>；利润总额错报额＜利润总额的 </w:t>
                        </w:r>
                        <w:r>
                          <w:rPr>
                            <w:rFonts w:ascii="Times New Roman" w:hAnsi="Times New Roman" w:cs="Times New Roman" w:eastAsia="Times New Roman" w:hint="default"/>
                            <w:spacing w:val="-3"/>
                            <w:sz w:val="18"/>
                            <w:szCs w:val="18"/>
                          </w:rPr>
                          <w:t>2% </w:t>
                        </w:r>
                        <w:r>
                          <w:rPr>
                            <w:rFonts w:ascii="宋体" w:hAnsi="宋体" w:cs="宋体" w:eastAsia="宋体" w:hint="default"/>
                            <w:spacing w:val="-39"/>
                            <w:sz w:val="18"/>
                            <w:szCs w:val="18"/>
                          </w:rPr>
                          <w:t>。</w:t>
                        </w:r>
                        <w:r>
                          <w:rPr>
                            <w:rFonts w:ascii="宋体" w:hAnsi="宋体" w:cs="宋体" w:eastAsia="宋体" w:hint="default"/>
                            <w:spacing w:val="-76"/>
                            <w:sz w:val="18"/>
                            <w:szCs w:val="18"/>
                          </w:rPr>
                          <w:t> </w:t>
                        </w:r>
                        <w:r>
                          <w:rPr>
                            <w:rFonts w:ascii="宋体" w:hAnsi="宋体" w:cs="宋体" w:eastAsia="宋体" w:hint="default"/>
                            <w:spacing w:val="-11"/>
                            <w:w w:val="101"/>
                            <w:sz w:val="18"/>
                            <w:szCs w:val="18"/>
                          </w:rPr>
                          <w:t>重要缺陷：（资产总额错报额）资产总额的</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25"/>
                            <w:sz w:val="18"/>
                            <w:szCs w:val="18"/>
                          </w:rPr>
                          <w:t> </w:t>
                        </w:r>
                        <w:r>
                          <w:rPr>
                            <w:rFonts w:ascii="宋体" w:hAnsi="宋体" w:cs="宋体" w:eastAsia="宋体" w:hint="default"/>
                            <w:spacing w:val="-3"/>
                            <w:sz w:val="18"/>
                            <w:szCs w:val="18"/>
                          </w:rPr>
                          <w:t>（营业收</w:t>
                        </w:r>
                      </w:p>
                    </w:tc>
                    <w:tc>
                      <w:tcPr>
                        <w:tcW w:w="3037" w:type="dxa"/>
                        <w:vMerge w:val="restart"/>
                        <w:tcBorders>
                          <w:top w:val="single" w:sz="4" w:space="0" w:color="000000"/>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5" w:type="dxa"/>
                        <w:vMerge/>
                        <w:tcBorders>
                          <w:left w:val="single" w:sz="10" w:space="0" w:color="D2D2D2"/>
                          <w:right w:val="single" w:sz="10" w:space="0" w:color="FFFFFF"/>
                        </w:tcBorders>
                      </w:tcPr>
                      <w:p>
                        <w:pPr/>
                      </w:p>
                    </w:tc>
                    <w:tc>
                      <w:tcPr>
                        <w:tcW w:w="3037" w:type="dxa"/>
                        <w:vMerge/>
                        <w:tcBorders>
                          <w:left w:val="single" w:sz="10" w:space="0" w:color="FFFFFF"/>
                          <w:right w:val="single" w:sz="4" w:space="0" w:color="000000"/>
                        </w:tcBorders>
                      </w:tcPr>
                      <w:p>
                        <w:pPr/>
                      </w:p>
                    </w:tc>
                  </w:tr>
                  <w:tr>
                    <w:trPr>
                      <w:trHeight w:val="610"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5" w:type="dxa"/>
                        <w:vMerge/>
                        <w:tcBorders>
                          <w:left w:val="single" w:sz="10" w:space="0" w:color="D2D2D2"/>
                          <w:bottom w:val="single" w:sz="4" w:space="0" w:color="000000"/>
                          <w:right w:val="single" w:sz="10" w:space="0" w:color="FFFFFF"/>
                        </w:tcBorders>
                      </w:tcPr>
                      <w:p>
                        <w:pPr/>
                      </w:p>
                    </w:tc>
                    <w:tc>
                      <w:tcPr>
                        <w:tcW w:w="3037" w:type="dxa"/>
                        <w:vMerge/>
                        <w:tcBorders>
                          <w:left w:val="single" w:sz="10" w:space="0" w:color="FFFFFF"/>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6"/>
        <w:ind w:left="0" w:right="1151"/>
        <w:jc w:val="right"/>
      </w:pPr>
      <w:r>
        <w:rPr>
          <w:w w:val="101"/>
        </w:rPr>
        <w:t>）</w:t>
      </w:r>
      <w:r>
        <w:rPr/>
      </w:r>
    </w:p>
    <w:p>
      <w:pPr>
        <w:spacing w:line="240" w:lineRule="auto" w:before="2"/>
        <w:rPr>
          <w:rFonts w:ascii="宋体" w:hAnsi="宋体" w:cs="宋体" w:eastAsia="宋体" w:hint="default"/>
          <w:sz w:val="26"/>
          <w:szCs w:val="26"/>
        </w:rPr>
      </w:pPr>
    </w:p>
    <w:p>
      <w:pPr>
        <w:pStyle w:val="BodyText"/>
        <w:spacing w:line="240" w:lineRule="auto" w:before="46"/>
        <w:ind w:left="0" w:right="1127"/>
        <w:jc w:val="right"/>
      </w:pPr>
      <w:r>
        <w:rPr>
          <w:w w:val="101"/>
        </w:rPr>
        <w:t>、</w:t>
      </w:r>
      <w:r>
        <w:rPr/>
      </w:r>
    </w:p>
    <w:p>
      <w:pPr>
        <w:spacing w:line="240" w:lineRule="auto" w:before="11"/>
        <w:rPr>
          <w:rFonts w:ascii="宋体" w:hAnsi="宋体" w:cs="宋体" w:eastAsia="宋体" w:hint="default"/>
          <w:sz w:val="28"/>
          <w:szCs w:val="28"/>
        </w:rPr>
      </w:pPr>
    </w:p>
    <w:p>
      <w:pPr>
        <w:spacing w:line="312" w:lineRule="exact"/>
        <w:ind w:left="670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5pt;height:15.6pt;mso-position-horizontal-relative:char;mso-position-vertical-relative:line" coordorigin="0,0" coordsize="2997,312">
            <v:group style="position:absolute;left:0;top:0;width:2997;height:312" coordorigin="0,0" coordsize="2997,312">
              <v:shape style="position:absolute;left:0;top:0;width:2997;height:312" coordorigin="0,0" coordsize="2997,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312" w:lineRule="exact"/>
        <w:ind w:left="670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5pt;height:15.6pt;mso-position-horizontal-relative:char;mso-position-vertical-relative:line" coordorigin="0,0" coordsize="2997,312">
            <v:group style="position:absolute;left:0;top:0;width:2997;height:312" coordorigin="0,0" coordsize="2997,312">
              <v:shape style="position:absolute;left:0;top:0;width:2997;height:312" coordorigin="0,0" coordsize="2997,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BodyText"/>
        <w:spacing w:line="240" w:lineRule="auto" w:before="15"/>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94" w:lineRule="exact"/>
        <w:ind w:left="670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49.85pt;height:19.75pt;mso-position-horizontal-relative:char;mso-position-vertical-relative:line" coordorigin="0,0" coordsize="2997,395">
            <v:group style="position:absolute;left:0;top:0;width:2997;height:395" coordorigin="0,0" coordsize="2997,395">
              <v:shape style="position:absolute;left:0;top:0;width:2997;height:395" coordorigin="0,0" coordsize="2997,395" path="m0,394l2996,394,2996,0,0,0,0,394xe" filled="true" fillcolor="#ffffff" stroked="false">
                <v:path arrowok="t"/>
                <v:fill type="solid"/>
              </v:shape>
            </v:group>
          </v:group>
        </w:pict>
      </w:r>
      <w:r>
        <w:rPr>
          <w:rFonts w:ascii="宋体" w:hAnsi="宋体" w:cs="宋体" w:eastAsia="宋体" w:hint="default"/>
          <w:position w:val="-7"/>
          <w:sz w:val="20"/>
          <w:szCs w:val="20"/>
        </w:rPr>
      </w:r>
    </w:p>
    <w:p>
      <w:pPr>
        <w:spacing w:after="0" w:line="394" w:lineRule="exact"/>
        <w:rPr>
          <w:rFonts w:ascii="宋体" w:hAnsi="宋体" w:cs="宋体" w:eastAsia="宋体" w:hint="default"/>
          <w:sz w:val="20"/>
          <w:szCs w:val="20"/>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328"/>
        <w:gridCol w:w="3049"/>
      </w:tblGrid>
      <w:tr>
        <w:trPr>
          <w:trHeight w:val="192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入错报额）营业收入的</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错报＜营业收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入的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pacing w:val="-3"/>
                <w:sz w:val="18"/>
                <w:szCs w:val="18"/>
              </w:rPr>
              <w:t>（利润总额错报额）利润总额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。重大缺陷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资产总额错报额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；利润总额错报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1910" w:lineRule="exact"/>
              <w:ind w:right="-56"/>
              <w:jc w:val="left"/>
              <w:rPr>
                <w:rFonts w:ascii="宋体" w:hAnsi="宋体" w:cs="宋体" w:eastAsia="宋体" w:hint="default"/>
                <w:sz w:val="20"/>
                <w:szCs w:val="20"/>
              </w:rPr>
            </w:pPr>
            <w:r>
              <w:rPr>
                <w:rFonts w:ascii="宋体" w:hAnsi="宋体" w:cs="宋体" w:eastAsia="宋体" w:hint="default"/>
                <w:position w:val="-37"/>
                <w:sz w:val="20"/>
                <w:szCs w:val="20"/>
              </w:rPr>
              <w:pict>
                <v:group style="width:152.25pt;height:95.55pt;mso-position-horizontal-relative:char;mso-position-vertical-relative:line" coordorigin="0,0" coordsize="3045,1911">
                  <v:group style="position:absolute;left:0;top:0;width:3045;height:1911" coordorigin="0,0" coordsize="3045,1911">
                    <v:shape style="position:absolute;left:0;top:0;width:3045;height:1911" coordorigin="0,0" coordsize="3045,1911" path="m0,1911l3044,1911,3044,0,0,0,0,1911xe" filled="true" fillcolor="#ffffff" stroked="false">
                      <v:path arrowok="t"/>
                      <v:fill type="solid"/>
                    </v:shape>
                  </v:group>
                </v:group>
              </w:pict>
            </w:r>
            <w:r>
              <w:rPr>
                <w:rFonts w:ascii="宋体" w:hAnsi="宋体" w:cs="宋体" w:eastAsia="宋体" w:hint="default"/>
                <w:position w:val="-37"/>
                <w:sz w:val="20"/>
                <w:szCs w:val="20"/>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pict>
          <v:shape style="position:absolute;margin-left:376.922394pt;margin-top:-188.008347pt;width:158.25pt;height:95.55pt;mso-position-horizontal-relative:page;mso-position-vertical-relative:paragraph;z-index:-11610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0" w:right="0"/>
                    <w:jc w:val="left"/>
                  </w:pPr>
                  <w:r>
                    <w:rPr>
                      <w:w w:val="101"/>
                    </w:rPr>
                    <w:t>：</w:t>
                  </w:r>
                  <w:r>
                    <w:rPr/>
                  </w:r>
                </w:p>
              </w:txbxContent>
            </v:textbox>
            <w10:wrap type="none"/>
          </v:shape>
        </w:pict>
      </w:r>
      <w:bookmarkStart w:name="十、内部控制审计报告或鉴证报告" w:id="148"/>
      <w:bookmarkEnd w:id="148"/>
      <w:r>
        <w:rPr>
          <w:b w:val="0"/>
          <w:bCs w:val="0"/>
        </w:rPr>
      </w:r>
      <w:r>
        <w:rPr/>
        <w:t>十、内部控制审计报告或鉴证报告</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t>不适用</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043" w:right="0"/>
        <w:jc w:val="left"/>
        <w:rPr>
          <w:b w:val="0"/>
          <w:bCs w:val="0"/>
        </w:rPr>
      </w:pPr>
      <w:bookmarkStart w:name="_TOC_250002" w:id="149"/>
      <w:bookmarkStart w:name="第十一节公司债券相关情况" w:id="150"/>
      <w:r>
        <w:rPr>
          <w:b w:val="0"/>
          <w:bCs w:val="0"/>
        </w:rPr>
      </w:r>
      <w:r>
        <w:rPr/>
        <w:t>第十一节公司债券相关情况</w:t>
      </w:r>
      <w:bookmarkEnd w:id="149"/>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53"/>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576"/>
        <w:jc w:val="center"/>
        <w:rPr>
          <w:b w:val="0"/>
          <w:bCs w:val="0"/>
        </w:rPr>
      </w:pPr>
      <w:bookmarkStart w:name="_TOC_250001" w:id="151"/>
      <w:bookmarkStart w:name="第十二节财务报告" w:id="152"/>
      <w:r>
        <w:rPr>
          <w:b w:val="0"/>
          <w:bCs w:val="0"/>
        </w:rPr>
      </w:r>
      <w:r>
        <w:rPr/>
        <w:t>第十二节财务报告</w:t>
      </w:r>
      <w:bookmarkEnd w:id="151"/>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大华会计师事务所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[2020]008227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刘文豪、徐文博</w:t>
            </w:r>
          </w:p>
        </w:tc>
      </w:tr>
    </w:tbl>
    <w:p>
      <w:pPr>
        <w:pStyle w:val="BodyText"/>
        <w:spacing w:line="240" w:lineRule="auto" w:before="53"/>
        <w:ind w:left="2602" w:right="3575"/>
        <w:jc w:val="center"/>
      </w:pPr>
      <w:r>
        <w:rPr/>
        <w:t>审计报告正文</w:t>
      </w:r>
    </w:p>
    <w:p>
      <w:pPr>
        <w:pStyle w:val="Heading2"/>
        <w:spacing w:line="240" w:lineRule="auto" w:before="146"/>
        <w:ind w:right="0"/>
        <w:jc w:val="left"/>
        <w:rPr>
          <w:b w:val="0"/>
          <w:bCs w:val="0"/>
        </w:rPr>
      </w:pPr>
      <w:r>
        <w:rPr/>
        <w:t>北京东方通科技股份有限公司全体股东：</w:t>
      </w:r>
      <w:r>
        <w:rPr>
          <w:b w:val="0"/>
          <w:bCs w:val="0"/>
        </w:rPr>
      </w:r>
    </w:p>
    <w:p>
      <w:pPr>
        <w:pStyle w:val="Heading2"/>
        <w:spacing w:line="240" w:lineRule="auto" w:before="156"/>
        <w:ind w:right="0"/>
        <w:jc w:val="left"/>
        <w:rPr>
          <w:b w:val="0"/>
          <w:bCs w:val="0"/>
        </w:rPr>
      </w:pPr>
      <w:r>
        <w:rPr/>
        <w:t>（一）</w:t>
      </w:r>
      <w:r>
        <w:rPr>
          <w:spacing w:val="-81"/>
        </w:rPr>
        <w:t> </w:t>
      </w:r>
      <w:r>
        <w:rPr/>
        <w:t>审计意见</w:t>
      </w:r>
      <w:r>
        <w:rPr>
          <w:b w:val="0"/>
          <w:bCs w:val="0"/>
        </w:rPr>
      </w:r>
    </w:p>
    <w:p>
      <w:pPr>
        <w:pStyle w:val="Heading3"/>
        <w:spacing w:line="338" w:lineRule="auto" w:before="151"/>
        <w:ind w:right="1131" w:firstLine="561"/>
        <w:jc w:val="both"/>
      </w:pPr>
      <w:r>
        <w:rPr/>
        <w:t>我们审计了北京东方通科技股份有限公司</w:t>
      </w:r>
      <w:r>
        <w:rPr>
          <w:rFonts w:ascii="Times New Roman" w:hAnsi="Times New Roman" w:cs="Times New Roman" w:eastAsia="Times New Roman" w:hint="default"/>
        </w:rPr>
        <w:t>(</w:t>
      </w:r>
      <w:r>
        <w:rPr/>
        <w:t>以下简称东方通</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2019</w:t>
      </w:r>
      <w:r>
        <w:rPr/>
        <w:t>年度的合并及母公司利润表、合并及母公司现金流量</w:t>
      </w:r>
      <w:r>
        <w:rPr>
          <w:spacing w:val="-91"/>
        </w:rPr>
        <w:t> </w:t>
      </w:r>
      <w:r>
        <w:rPr>
          <w:spacing w:val="-91"/>
        </w:rPr>
      </w:r>
      <w:r>
        <w:rPr/>
        <w:t>表、合并及母公司股东权益变动表以及相关财务报表附注。</w:t>
      </w:r>
    </w:p>
    <w:p>
      <w:pPr>
        <w:pStyle w:val="Heading3"/>
        <w:spacing w:line="348" w:lineRule="auto" w:before="58"/>
        <w:ind w:right="1129" w:firstLine="561"/>
        <w:jc w:val="both"/>
      </w:pPr>
      <w:r>
        <w:rPr>
          <w:spacing w:val="-2"/>
        </w:rPr>
        <w:t>我们认为，后附的财务报表在所有重大方面按照企业会计准则的规定编制，公允反映了</w:t>
      </w:r>
      <w:r>
        <w:rPr/>
        <w:t> 东方通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年度的合并及母公司经营成果和现</w:t>
      </w:r>
      <w:r>
        <w:rPr>
          <w:spacing w:val="-92"/>
        </w:rPr>
        <w:t> </w:t>
      </w:r>
      <w:r>
        <w:rPr>
          <w:spacing w:val="-92"/>
        </w:rPr>
      </w:r>
      <w:r>
        <w:rPr/>
        <w:t>金流量。</w:t>
      </w:r>
    </w:p>
    <w:p>
      <w:pPr>
        <w:spacing w:line="360" w:lineRule="auto" w:before="43"/>
        <w:ind w:left="714" w:right="1108" w:hanging="562"/>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82"/>
          <w:sz w:val="24"/>
          <w:szCs w:val="24"/>
        </w:rPr>
        <w:t> </w:t>
      </w:r>
      <w:r>
        <w:rPr>
          <w:rFonts w:ascii="宋体" w:hAnsi="宋体" w:cs="宋体" w:eastAsia="宋体" w:hint="default"/>
          <w:b/>
          <w:bCs/>
          <w:sz w:val="24"/>
          <w:szCs w:val="24"/>
        </w:rPr>
        <w:t>形成审计意见的基础</w:t>
      </w:r>
      <w:r>
        <w:rPr>
          <w:rFonts w:ascii="宋体" w:hAnsi="宋体" w:cs="宋体" w:eastAsia="宋体" w:hint="default"/>
          <w:b/>
          <w:bCs/>
          <w:w w:val="99"/>
          <w:sz w:val="24"/>
          <w:szCs w:val="24"/>
        </w:rPr>
        <w:t> </w:t>
      </w:r>
      <w:r>
        <w:rPr>
          <w:rFonts w:ascii="宋体" w:hAnsi="宋体" w:cs="宋体" w:eastAsia="宋体" w:hint="default"/>
          <w:spacing w:val="-1"/>
          <w:sz w:val="24"/>
          <w:szCs w:val="24"/>
        </w:rPr>
        <w:t>我们按照中国注册会计师审计准则的规定执行了审计工作。审计报告的“注册会计师对</w:t>
      </w:r>
    </w:p>
    <w:p>
      <w:pPr>
        <w:pStyle w:val="Heading3"/>
        <w:spacing w:line="357" w:lineRule="auto" w:before="31"/>
        <w:ind w:right="1135"/>
        <w:jc w:val="both"/>
      </w:pPr>
      <w:r>
        <w:rPr/>
        <w:t>财务报表审计的责任”部分进一步阐述了我们在这些准则下的责任。按照中国注册会计师职</w:t>
      </w:r>
      <w:r>
        <w:rPr>
          <w:spacing w:val="-92"/>
        </w:rPr>
        <w:t> </w:t>
      </w:r>
      <w:r>
        <w:rPr>
          <w:spacing w:val="-92"/>
        </w:rPr>
      </w:r>
      <w:r>
        <w:rPr/>
        <w:t>业道德守则，我们独立于东方通，并履行了职业道德方面的其他责任。我们相信，我们获取</w:t>
      </w:r>
      <w:r>
        <w:rPr>
          <w:spacing w:val="-93"/>
        </w:rPr>
        <w:t> </w:t>
      </w:r>
      <w:r>
        <w:rPr>
          <w:spacing w:val="-93"/>
        </w:rPr>
      </w:r>
      <w:r>
        <w:rPr/>
        <w:t>的审计证据是充分、适当的，为发表审计意见提供了基础。</w:t>
      </w:r>
    </w:p>
    <w:p>
      <w:pPr>
        <w:spacing w:line="355" w:lineRule="auto" w:before="38"/>
        <w:ind w:left="714" w:right="0" w:hanging="562"/>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82"/>
          <w:sz w:val="24"/>
          <w:szCs w:val="24"/>
        </w:rPr>
        <w:t> </w:t>
      </w:r>
      <w:r>
        <w:rPr>
          <w:rFonts w:ascii="宋体" w:hAnsi="宋体" w:cs="宋体" w:eastAsia="宋体" w:hint="default"/>
          <w:b/>
          <w:bCs/>
          <w:sz w:val="24"/>
          <w:szCs w:val="24"/>
        </w:rPr>
        <w:t>关键审计事项</w:t>
      </w:r>
      <w:r>
        <w:rPr>
          <w:rFonts w:ascii="宋体" w:hAnsi="宋体" w:cs="宋体" w:eastAsia="宋体" w:hint="default"/>
          <w:b/>
          <w:bCs/>
          <w:w w:val="99"/>
          <w:sz w:val="24"/>
          <w:szCs w:val="24"/>
        </w:rPr>
        <w:t> </w:t>
      </w:r>
      <w:r>
        <w:rPr>
          <w:rFonts w:ascii="宋体" w:hAnsi="宋体" w:cs="宋体" w:eastAsia="宋体" w:hint="default"/>
          <w:spacing w:val="-2"/>
          <w:sz w:val="24"/>
          <w:szCs w:val="24"/>
        </w:rPr>
        <w:t>关键审计事项是我们根据职业判断，认为对本期财务报表审计最为重要的事项。这些事</w:t>
      </w:r>
    </w:p>
    <w:p>
      <w:pPr>
        <w:pStyle w:val="Heading3"/>
        <w:spacing w:line="355" w:lineRule="auto"/>
        <w:ind w:right="1136"/>
        <w:jc w:val="both"/>
      </w:pPr>
      <w:r>
        <w:rPr/>
        <w:t>项的应对以对财务报表整体进行审计并形成审计意见为背景，我们不对这些事项单独发表意</w:t>
      </w:r>
      <w:r>
        <w:rPr>
          <w:spacing w:val="-93"/>
        </w:rPr>
        <w:t> </w:t>
      </w:r>
      <w:r>
        <w:rPr>
          <w:spacing w:val="-93"/>
        </w:rPr>
      </w:r>
      <w:r>
        <w:rPr/>
        <w:t>见。</w:t>
      </w:r>
    </w:p>
    <w:p>
      <w:pPr>
        <w:pStyle w:val="Heading3"/>
        <w:spacing w:line="355" w:lineRule="auto"/>
        <w:ind w:right="3710" w:firstLine="561"/>
        <w:jc w:val="left"/>
      </w:pPr>
      <w:r>
        <w:rPr/>
        <w:t>我们确定商誉减值是需要在审计报告中沟通的关键审计事项。 </w:t>
      </w:r>
      <w:r>
        <w:rPr>
          <w:rFonts w:ascii="宋体" w:hAnsi="宋体" w:cs="宋体" w:eastAsia="宋体" w:hint="default"/>
        </w:rPr>
        <w:t>1.</w:t>
      </w:r>
      <w:r>
        <w:rPr/>
        <w:t>事项描述</w:t>
      </w:r>
    </w:p>
    <w:p>
      <w:pPr>
        <w:pStyle w:val="Heading3"/>
        <w:spacing w:line="240" w:lineRule="auto"/>
        <w:ind w:left="714" w:right="0"/>
        <w:jc w:val="left"/>
      </w:pPr>
      <w:r>
        <w:rPr/>
        <w:t>如财务报表附注六（注释</w:t>
      </w:r>
      <w:r>
        <w:rPr>
          <w:rFonts w:ascii="宋体" w:hAnsi="宋体" w:cs="宋体" w:eastAsia="宋体" w:hint="default"/>
        </w:rPr>
        <w:t>13</w:t>
      </w:r>
      <w:r>
        <w:rPr/>
        <w:t>）所述，截至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日，公司合并报表中商誉账面原</w:t>
      </w:r>
    </w:p>
    <w:p>
      <w:pPr>
        <w:spacing w:after="0" w:line="240" w:lineRule="auto"/>
        <w:jc w:val="left"/>
        <w:sectPr>
          <w:pgSz w:w="11910" w:h="16840"/>
          <w:pgMar w:header="871" w:footer="979" w:top="1100" w:bottom="1160" w:left="980" w:right="0"/>
        </w:sectPr>
      </w:pPr>
    </w:p>
    <w:p>
      <w:pPr>
        <w:spacing w:line="240" w:lineRule="auto" w:before="10"/>
        <w:rPr>
          <w:rFonts w:ascii="宋体" w:hAnsi="宋体" w:cs="宋体" w:eastAsia="宋体" w:hint="default"/>
          <w:sz w:val="25"/>
          <w:szCs w:val="25"/>
        </w:rPr>
      </w:pPr>
    </w:p>
    <w:p>
      <w:pPr>
        <w:pStyle w:val="Heading3"/>
        <w:spacing w:line="357" w:lineRule="auto" w:before="26"/>
        <w:ind w:right="1132"/>
        <w:jc w:val="both"/>
      </w:pPr>
      <w:r>
        <w:rPr/>
        <w:t>值为</w:t>
      </w:r>
      <w:r>
        <w:rPr>
          <w:rFonts w:ascii="宋体" w:hAnsi="宋体" w:cs="宋体" w:eastAsia="宋体" w:hint="default"/>
        </w:rPr>
        <w:t>1,461,870,910.40</w:t>
      </w:r>
      <w:r>
        <w:rPr>
          <w:rFonts w:ascii="宋体" w:hAnsi="宋体" w:cs="宋体" w:eastAsia="宋体" w:hint="default"/>
          <w:spacing w:val="21"/>
        </w:rPr>
        <w:t> </w:t>
      </w:r>
      <w:r>
        <w:rPr>
          <w:spacing w:val="-3"/>
        </w:rPr>
        <w:t>元，商誉减值准备为</w:t>
      </w:r>
      <w:r>
        <w:rPr>
          <w:rFonts w:ascii="宋体" w:hAnsi="宋体" w:cs="宋体" w:eastAsia="宋体" w:hint="default"/>
          <w:spacing w:val="-3"/>
        </w:rPr>
        <w:t>402,383,984.52</w:t>
      </w:r>
      <w:r>
        <w:rPr>
          <w:spacing w:val="-3"/>
        </w:rPr>
        <w:t>元。管理层在每年年度终了对商</w:t>
      </w:r>
      <w:r>
        <w:rPr>
          <w:spacing w:val="-118"/>
        </w:rPr>
        <w:t> </w:t>
      </w:r>
      <w:r>
        <w:rPr>
          <w:spacing w:val="-118"/>
        </w:rPr>
      </w:r>
      <w:r>
        <w:rPr/>
        <w:t>誉进行减值测试，并依据减值测试的结果调整商誉的账面价值。因管理层商誉减值测试的评</w:t>
      </w:r>
      <w:r>
        <w:rPr>
          <w:spacing w:val="-93"/>
        </w:rPr>
        <w:t> </w:t>
      </w:r>
      <w:r>
        <w:rPr>
          <w:spacing w:val="-93"/>
        </w:rPr>
      </w:r>
      <w:r>
        <w:rPr/>
        <w:t>估过程复杂，需要高度的判断，减值评估涉及确定折现率等评估参数及对未来若干年的经营</w:t>
      </w:r>
      <w:r>
        <w:rPr>
          <w:spacing w:val="-93"/>
        </w:rPr>
        <w:t> </w:t>
      </w:r>
      <w:r>
        <w:rPr>
          <w:spacing w:val="-93"/>
        </w:rPr>
      </w:r>
      <w:r>
        <w:rPr/>
        <w:t>和财务情况的假设，包括未来若干年的销售增长率和毛利率等。因为商誉账面价值较大，对</w:t>
      </w:r>
      <w:r>
        <w:rPr>
          <w:spacing w:val="-93"/>
        </w:rPr>
        <w:t> </w:t>
      </w:r>
      <w:r>
        <w:rPr>
          <w:spacing w:val="-93"/>
        </w:rPr>
      </w:r>
      <w:r>
        <w:rPr/>
        <w:t>财务报表影响重大，我们将商誉减值列为关键审计事项。</w:t>
      </w:r>
    </w:p>
    <w:p>
      <w:pPr>
        <w:pStyle w:val="Heading3"/>
        <w:spacing w:line="240" w:lineRule="auto" w:before="34"/>
        <w:ind w:right="0"/>
        <w:jc w:val="both"/>
      </w:pPr>
      <w:r>
        <w:rPr>
          <w:rFonts w:ascii="宋体" w:hAnsi="宋体" w:cs="宋体" w:eastAsia="宋体" w:hint="default"/>
        </w:rPr>
        <w:t>2.</w:t>
      </w:r>
      <w:r>
        <w:rPr/>
        <w:t>审计应对</w:t>
      </w:r>
    </w:p>
    <w:p>
      <w:pPr>
        <w:pStyle w:val="Heading3"/>
        <w:spacing w:line="240" w:lineRule="auto" w:before="156"/>
        <w:ind w:left="714" w:right="0"/>
        <w:jc w:val="left"/>
      </w:pPr>
      <w:r>
        <w:rPr/>
        <w:t>我们对于商誉减值所实施的重要审计程序包括：</w:t>
      </w:r>
    </w:p>
    <w:p>
      <w:pPr>
        <w:pStyle w:val="Heading3"/>
        <w:spacing w:line="240" w:lineRule="auto" w:before="151"/>
        <w:ind w:left="633" w:right="0"/>
        <w:jc w:val="left"/>
      </w:pPr>
      <w:r>
        <w:rPr/>
        <w:t>（</w:t>
      </w:r>
      <w:r>
        <w:rPr>
          <w:rFonts w:ascii="宋体" w:hAnsi="宋体" w:cs="宋体" w:eastAsia="宋体" w:hint="default"/>
        </w:rPr>
        <w:t>1</w:t>
      </w:r>
      <w:r>
        <w:rPr/>
        <w:t>）对公司商誉减值测试相关的内部控制的设计及执行有效性进行了评估和测试；</w:t>
      </w:r>
    </w:p>
    <w:p>
      <w:pPr>
        <w:pStyle w:val="Heading3"/>
        <w:spacing w:line="355" w:lineRule="auto" w:before="156"/>
        <w:ind w:right="1120" w:firstLine="480"/>
        <w:jc w:val="both"/>
      </w:pPr>
      <w:r>
        <w:rPr>
          <w:spacing w:val="3"/>
        </w:rPr>
        <w:t>（</w:t>
      </w:r>
      <w:r>
        <w:rPr>
          <w:rFonts w:ascii="宋体" w:hAnsi="宋体" w:cs="宋体" w:eastAsia="宋体" w:hint="default"/>
          <w:spacing w:val="3"/>
        </w:rPr>
        <w:t>2</w:t>
      </w:r>
      <w:r>
        <w:rPr>
          <w:spacing w:val="3"/>
        </w:rPr>
        <w:t>）分析管理层对商誉所属资产组的认定和进行商誉减值测试时采用的关键假设和方</w:t>
      </w:r>
      <w:r>
        <w:rPr>
          <w:spacing w:val="4"/>
        </w:rPr>
        <w:t> </w:t>
      </w:r>
      <w:r>
        <w:rPr/>
        <w:t>法，检查相关的假设和方法的合理性；</w:t>
      </w:r>
    </w:p>
    <w:p>
      <w:pPr>
        <w:pStyle w:val="Heading3"/>
        <w:spacing w:line="355" w:lineRule="auto"/>
        <w:ind w:right="1128" w:firstLine="480"/>
        <w:jc w:val="both"/>
      </w:pPr>
      <w:r>
        <w:rPr>
          <w:spacing w:val="-2"/>
        </w:rPr>
        <w:t>（</w:t>
      </w:r>
      <w:r>
        <w:rPr>
          <w:rFonts w:ascii="宋体" w:hAnsi="宋体" w:cs="宋体" w:eastAsia="宋体" w:hint="default"/>
          <w:spacing w:val="-2"/>
        </w:rPr>
        <w:t>3</w:t>
      </w:r>
      <w:r>
        <w:rPr>
          <w:spacing w:val="-2"/>
        </w:rPr>
        <w:t>）测试管理层减值测试所依据的基础数据，我们将</w:t>
      </w:r>
      <w:r>
        <w:rPr>
          <w:rFonts w:ascii="宋体" w:hAnsi="宋体" w:cs="宋体" w:eastAsia="宋体" w:hint="default"/>
          <w:spacing w:val="-2"/>
        </w:rPr>
        <w:t>2019</w:t>
      </w:r>
      <w:r>
        <w:rPr>
          <w:spacing w:val="-2"/>
        </w:rPr>
        <w:t>年度的实际结果与以前年度相</w:t>
      </w:r>
      <w:r>
        <w:rPr/>
        <w:t> 应的预测数据进行了比较，以评价管理层对现金流量的预测是否可靠；</w:t>
      </w:r>
    </w:p>
    <w:p>
      <w:pPr>
        <w:pStyle w:val="Heading3"/>
        <w:spacing w:line="357" w:lineRule="auto"/>
        <w:ind w:right="1130" w:firstLine="480"/>
        <w:jc w:val="both"/>
      </w:pPr>
      <w:r>
        <w:rPr>
          <w:spacing w:val="-3"/>
        </w:rPr>
        <w:t>（</w:t>
      </w:r>
      <w:r>
        <w:rPr>
          <w:rFonts w:ascii="宋体" w:hAnsi="宋体" w:cs="宋体" w:eastAsia="宋体" w:hint="default"/>
          <w:spacing w:val="-3"/>
        </w:rPr>
        <w:t>4</w:t>
      </w:r>
      <w:r>
        <w:rPr>
          <w:spacing w:val="-3"/>
        </w:rPr>
        <w:t>）验证商誉减值测试模型的计算准确性，将预测期收入增长率与公司的历史收入增长</w:t>
      </w:r>
      <w:r>
        <w:rPr/>
        <w:t> 率以及行业历史数据进行比较；将后续预测期增长率与我们根据经济数据作出的独立预期值</w:t>
      </w:r>
      <w:r>
        <w:rPr>
          <w:spacing w:val="-93"/>
        </w:rPr>
        <w:t> </w:t>
      </w:r>
      <w:r>
        <w:rPr>
          <w:spacing w:val="-93"/>
        </w:rPr>
      </w:r>
      <w:r>
        <w:rPr/>
        <w:t>进行比较；将预测的毛利率与以往业绩进行比较，并考虑市场趋势；</w:t>
      </w:r>
    </w:p>
    <w:p>
      <w:pPr>
        <w:pStyle w:val="Heading3"/>
        <w:spacing w:line="360" w:lineRule="auto" w:before="34"/>
        <w:ind w:right="1134" w:firstLine="480"/>
        <w:jc w:val="both"/>
      </w:pPr>
      <w:r>
        <w:rPr>
          <w:spacing w:val="-3"/>
        </w:rPr>
        <w:t>（</w:t>
      </w:r>
      <w:r>
        <w:rPr>
          <w:rFonts w:ascii="宋体" w:hAnsi="宋体" w:cs="宋体" w:eastAsia="宋体" w:hint="default"/>
          <w:spacing w:val="-3"/>
        </w:rPr>
        <w:t>5</w:t>
      </w:r>
      <w:r>
        <w:rPr>
          <w:spacing w:val="-3"/>
        </w:rPr>
        <w:t>）比较商誉所属资产组的账面价值与其可收回金额的差异，确认是否存在商誉减值情</w:t>
      </w:r>
      <w:r>
        <w:rPr/>
        <w:t> 况。</w:t>
      </w:r>
    </w:p>
    <w:p>
      <w:pPr>
        <w:pStyle w:val="Heading3"/>
        <w:spacing w:line="240" w:lineRule="auto" w:before="32"/>
        <w:ind w:left="633" w:right="0"/>
        <w:jc w:val="left"/>
      </w:pPr>
      <w:r>
        <w:rPr/>
        <w:t>基于已执行的审计工作，管理层对商誉减值做出的判断可以被我们获取的证据所支持。</w:t>
      </w:r>
    </w:p>
    <w:p>
      <w:pPr>
        <w:pStyle w:val="Heading2"/>
        <w:spacing w:line="240" w:lineRule="auto" w:before="156"/>
        <w:ind w:right="0"/>
        <w:jc w:val="both"/>
        <w:rPr>
          <w:b w:val="0"/>
          <w:bCs w:val="0"/>
        </w:rPr>
      </w:pPr>
      <w:r>
        <w:rPr/>
        <w:t>（四）</w:t>
      </w:r>
      <w:r>
        <w:rPr>
          <w:spacing w:val="-81"/>
        </w:rPr>
        <w:t> </w:t>
      </w:r>
      <w:r>
        <w:rPr/>
        <w:t>其他信息</w:t>
      </w:r>
      <w:r>
        <w:rPr>
          <w:b w:val="0"/>
          <w:bCs w:val="0"/>
        </w:rPr>
      </w:r>
    </w:p>
    <w:p>
      <w:pPr>
        <w:pStyle w:val="Heading3"/>
        <w:spacing w:line="360" w:lineRule="auto" w:before="151"/>
        <w:ind w:right="1128" w:firstLine="561"/>
        <w:jc w:val="both"/>
      </w:pPr>
      <w:r>
        <w:rPr>
          <w:spacing w:val="-2"/>
        </w:rPr>
        <w:t>东方通管理层对其他信息负责。其他信息包括东方通</w:t>
      </w:r>
      <w:r>
        <w:rPr>
          <w:rFonts w:ascii="宋体" w:hAnsi="宋体" w:cs="宋体" w:eastAsia="宋体" w:hint="default"/>
          <w:spacing w:val="-2"/>
        </w:rPr>
        <w:t>2019</w:t>
      </w:r>
      <w:r>
        <w:rPr>
          <w:spacing w:val="-2"/>
        </w:rPr>
        <w:t>年年报中涵盖的信息，但不包</w:t>
      </w:r>
      <w:r>
        <w:rPr/>
        <w:t> 括财务报表和我们的审计报告。</w:t>
      </w:r>
    </w:p>
    <w:p>
      <w:pPr>
        <w:pStyle w:val="Heading3"/>
        <w:spacing w:line="360" w:lineRule="auto" w:before="31"/>
        <w:ind w:right="1130" w:firstLine="561"/>
        <w:jc w:val="both"/>
      </w:pPr>
      <w:r>
        <w:rPr>
          <w:spacing w:val="-2"/>
        </w:rPr>
        <w:t>我们对财务报表发表的审计意见不涵盖其他信息，我们也不对其他信息发表任何形式的</w:t>
      </w:r>
      <w:r>
        <w:rPr/>
        <w:t> 鉴证结论。</w:t>
      </w:r>
    </w:p>
    <w:p>
      <w:pPr>
        <w:pStyle w:val="Heading3"/>
        <w:spacing w:line="360" w:lineRule="auto" w:before="31"/>
        <w:ind w:right="1130" w:firstLine="561"/>
        <w:jc w:val="both"/>
      </w:pPr>
      <w:r>
        <w:rPr>
          <w:spacing w:val="-2"/>
        </w:rPr>
        <w:t>结合我们对财务报表的审计，我们的责任是阅读其他信息，在此过程中，考虑其他信息</w:t>
      </w:r>
      <w:r>
        <w:rPr/>
        <w:t> 是否与财务报表或我们在审计过程中了解的情况存在重大不一致或者似乎存在重大错报。</w:t>
      </w:r>
    </w:p>
    <w:p>
      <w:pPr>
        <w:pStyle w:val="Heading3"/>
        <w:spacing w:line="360" w:lineRule="auto" w:before="31"/>
        <w:ind w:right="1087" w:firstLine="561"/>
        <w:jc w:val="both"/>
      </w:pPr>
      <w:r>
        <w:rPr/>
        <w:t>基于我们已执行的工作，如果我们确定其他信息存在重大错报，我们应当报告该事实。 在这方面，我们无任何事项需要报告。</w:t>
      </w:r>
    </w:p>
    <w:p>
      <w:pPr>
        <w:spacing w:line="360" w:lineRule="auto" w:before="32"/>
        <w:ind w:left="714" w:right="0" w:hanging="562"/>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pacing w:val="-82"/>
          <w:sz w:val="24"/>
          <w:szCs w:val="24"/>
        </w:rPr>
        <w:t> </w:t>
      </w:r>
      <w:r>
        <w:rPr>
          <w:rFonts w:ascii="宋体" w:hAnsi="宋体" w:cs="宋体" w:eastAsia="宋体" w:hint="default"/>
          <w:b/>
          <w:bCs/>
          <w:sz w:val="24"/>
          <w:szCs w:val="24"/>
        </w:rPr>
        <w:t>管理层和治理层对财务报表的责任</w:t>
      </w:r>
      <w:r>
        <w:rPr>
          <w:rFonts w:ascii="宋体" w:hAnsi="宋体" w:cs="宋体" w:eastAsia="宋体" w:hint="default"/>
          <w:b/>
          <w:bCs/>
          <w:w w:val="99"/>
          <w:sz w:val="24"/>
          <w:szCs w:val="24"/>
        </w:rPr>
        <w:t> </w:t>
      </w:r>
      <w:r>
        <w:rPr>
          <w:rFonts w:ascii="宋体" w:hAnsi="宋体" w:cs="宋体" w:eastAsia="宋体" w:hint="default"/>
          <w:spacing w:val="-5"/>
          <w:sz w:val="24"/>
          <w:szCs w:val="24"/>
        </w:rPr>
        <w:t>东方通管理层负责按照企业会计准则的规定编制财务报表，使其实现公允反映，并设计、</w:t>
      </w:r>
    </w:p>
    <w:p>
      <w:pPr>
        <w:spacing w:after="0" w:line="360" w:lineRule="auto"/>
        <w:jc w:val="left"/>
        <w:rPr>
          <w:rFonts w:ascii="宋体" w:hAnsi="宋体" w:cs="宋体" w:eastAsia="宋体" w:hint="default"/>
          <w:sz w:val="24"/>
          <w:szCs w:val="24"/>
        </w:rPr>
        <w:sectPr>
          <w:pgSz w:w="11910" w:h="16840"/>
          <w:pgMar w:header="871" w:footer="979" w:top="1100" w:bottom="1160" w:left="980" w:right="0"/>
        </w:sectPr>
      </w:pPr>
    </w:p>
    <w:p>
      <w:pPr>
        <w:spacing w:line="240" w:lineRule="auto" w:before="10"/>
        <w:rPr>
          <w:rFonts w:ascii="宋体" w:hAnsi="宋体" w:cs="宋体" w:eastAsia="宋体" w:hint="default"/>
          <w:sz w:val="25"/>
          <w:szCs w:val="25"/>
        </w:rPr>
      </w:pPr>
    </w:p>
    <w:p>
      <w:pPr>
        <w:pStyle w:val="Heading3"/>
        <w:spacing w:line="355" w:lineRule="auto" w:before="26"/>
        <w:ind w:left="714" w:right="0" w:hanging="562"/>
        <w:jc w:val="left"/>
      </w:pPr>
      <w:r>
        <w:rPr/>
        <w:t>执行和维护必要的内部控制，以使财务报表不存在由于舞弊或错误导致的重大错报。 </w:t>
      </w:r>
      <w:r>
        <w:rPr>
          <w:spacing w:val="-2"/>
        </w:rPr>
        <w:t>在编制财务报表时，东方通管理层负责评估东方通的持续经营能力，披露与持续经营相</w:t>
      </w:r>
    </w:p>
    <w:p>
      <w:pPr>
        <w:pStyle w:val="Heading3"/>
        <w:spacing w:line="355" w:lineRule="auto"/>
        <w:ind w:right="1136"/>
        <w:jc w:val="both"/>
      </w:pPr>
      <w:r>
        <w:rPr/>
        <w:t>关的事项（如适用），并运用持续经营假设，除非管理层计划清算东方通、终止运营或别无</w:t>
      </w:r>
      <w:r>
        <w:rPr>
          <w:spacing w:val="-93"/>
        </w:rPr>
        <w:t> </w:t>
      </w:r>
      <w:r>
        <w:rPr>
          <w:spacing w:val="-93"/>
        </w:rPr>
      </w:r>
      <w:r>
        <w:rPr/>
        <w:t>其他现实的选择。</w:t>
      </w:r>
    </w:p>
    <w:p>
      <w:pPr>
        <w:pStyle w:val="Heading3"/>
        <w:spacing w:line="240" w:lineRule="auto"/>
        <w:ind w:left="714" w:right="0"/>
        <w:jc w:val="left"/>
      </w:pPr>
      <w:r>
        <w:rPr/>
        <w:t>治理层负责监督东方通的财务报告过程。</w:t>
      </w:r>
    </w:p>
    <w:p>
      <w:pPr>
        <w:spacing w:line="360" w:lineRule="auto" w:before="151"/>
        <w:ind w:left="714" w:right="0" w:hanging="562"/>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82"/>
          <w:sz w:val="24"/>
          <w:szCs w:val="24"/>
        </w:rPr>
        <w:t> </w:t>
      </w:r>
      <w:r>
        <w:rPr>
          <w:rFonts w:ascii="宋体" w:hAnsi="宋体" w:cs="宋体" w:eastAsia="宋体" w:hint="default"/>
          <w:b/>
          <w:bCs/>
          <w:sz w:val="24"/>
          <w:szCs w:val="24"/>
        </w:rPr>
        <w:t>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4"/>
          <w:sz w:val="24"/>
          <w:szCs w:val="24"/>
        </w:rPr>
        <w:t>我们的目标是对财务报表整体是否不存在由于舞弊或错误导致的重大错报获取合理保</w:t>
      </w:r>
      <w:r>
        <w:rPr>
          <w:rFonts w:ascii="宋体" w:hAnsi="宋体" w:cs="宋体" w:eastAsia="宋体" w:hint="default"/>
          <w:sz w:val="24"/>
          <w:szCs w:val="24"/>
        </w:rPr>
      </w:r>
    </w:p>
    <w:p>
      <w:pPr>
        <w:pStyle w:val="Heading3"/>
        <w:spacing w:line="357" w:lineRule="auto" w:before="31"/>
        <w:ind w:right="1132"/>
        <w:jc w:val="both"/>
      </w:pPr>
      <w:r>
        <w:rPr/>
        <w:t>证，并出具包含审计意见的审计报告。合理保证是高水平的保证，但并不能保证按照审计准</w:t>
      </w:r>
      <w:r>
        <w:rPr>
          <w:spacing w:val="-89"/>
        </w:rPr>
        <w:t> </w:t>
      </w:r>
      <w:r>
        <w:rPr>
          <w:spacing w:val="-89"/>
        </w:rPr>
      </w:r>
      <w:r>
        <w:rPr/>
        <w:t>则执行的审计在某一重大错报存在时总能发现。错报可能由于舞弊或错误导致，如果合理预</w:t>
      </w:r>
      <w:r>
        <w:rPr>
          <w:spacing w:val="-93"/>
        </w:rPr>
        <w:t> </w:t>
      </w:r>
      <w:r>
        <w:rPr>
          <w:spacing w:val="-93"/>
        </w:rPr>
      </w:r>
      <w:r>
        <w:rPr/>
        <w:t>期错报单独或汇总起来可能影响财务报表使用者依据财务报表作出的经济决策，则通常认为</w:t>
      </w:r>
      <w:r>
        <w:rPr>
          <w:spacing w:val="-93"/>
        </w:rPr>
        <w:t> </w:t>
      </w:r>
      <w:r>
        <w:rPr>
          <w:spacing w:val="-93"/>
        </w:rPr>
      </w:r>
      <w:r>
        <w:rPr/>
        <w:t>错报是重大的。</w:t>
      </w:r>
    </w:p>
    <w:p>
      <w:pPr>
        <w:pStyle w:val="Heading3"/>
        <w:spacing w:line="360" w:lineRule="auto" w:before="34"/>
        <w:ind w:right="1087" w:firstLine="561"/>
        <w:jc w:val="both"/>
      </w:pPr>
      <w:r>
        <w:rPr/>
        <w:t>在按照审计准则执行审计工作的过程中，我们运用职业判断，并保持职业怀疑。同时， 我们也执行以下工作：</w:t>
      </w:r>
    </w:p>
    <w:p>
      <w:pPr>
        <w:pStyle w:val="Heading3"/>
        <w:spacing w:line="357" w:lineRule="auto" w:before="32"/>
        <w:ind w:right="1132" w:firstLine="561"/>
        <w:jc w:val="both"/>
      </w:pPr>
      <w:r>
        <w:rPr/>
        <w:t>（</w:t>
      </w:r>
      <w:r>
        <w:rPr>
          <w:rFonts w:ascii="宋体" w:hAnsi="宋体" w:cs="宋体" w:eastAsia="宋体" w:hint="default"/>
        </w:rPr>
        <w:t>1</w:t>
      </w:r>
      <w:r>
        <w:rPr/>
        <w:t>）识别和评估由于舞弊或错误导致的财务报表重大错报风险，设计和实施审计程序 以应对这些风险，并获取充分、适当的审计证据，作为发表审计意见的基础。由于舞弊可能</w:t>
      </w:r>
      <w:r>
        <w:rPr>
          <w:spacing w:val="-93"/>
        </w:rPr>
        <w:t> </w:t>
      </w:r>
      <w:r>
        <w:rPr>
          <w:spacing w:val="-93"/>
        </w:rPr>
      </w:r>
      <w:r>
        <w:rPr/>
        <w:t>涉及串通、伪造、故意遗漏、虚假陈述或凌驾于内部控制之上，未能发现由于舞弊导致的重</w:t>
      </w:r>
      <w:r>
        <w:rPr>
          <w:spacing w:val="-89"/>
        </w:rPr>
        <w:t> </w:t>
      </w:r>
      <w:r>
        <w:rPr>
          <w:spacing w:val="-89"/>
        </w:rPr>
      </w:r>
      <w:r>
        <w:rPr/>
        <w:t>大错报的风险高于未能发现由于错误导致的重大错报的风险。</w:t>
      </w:r>
    </w:p>
    <w:p>
      <w:pPr>
        <w:pStyle w:val="Heading3"/>
        <w:spacing w:line="360" w:lineRule="auto" w:before="34"/>
        <w:ind w:right="1137" w:firstLine="561"/>
        <w:jc w:val="both"/>
      </w:pPr>
      <w:r>
        <w:rPr/>
        <w:t>（</w:t>
      </w:r>
      <w:r>
        <w:rPr>
          <w:rFonts w:ascii="宋体" w:hAnsi="宋体" w:cs="宋体" w:eastAsia="宋体" w:hint="default"/>
        </w:rPr>
        <w:t>2</w:t>
      </w:r>
      <w:r>
        <w:rPr/>
        <w:t>）了解与审计相关的内部控制，以设计恰当的审计程序，但目的并非对内部控制的 有效性发表意见。</w:t>
      </w:r>
    </w:p>
    <w:p>
      <w:pPr>
        <w:pStyle w:val="Heading3"/>
        <w:spacing w:line="240" w:lineRule="auto" w:before="31"/>
        <w:ind w:left="714" w:right="0"/>
        <w:jc w:val="left"/>
      </w:pPr>
      <w:r>
        <w:rPr/>
        <w:t>（</w:t>
      </w:r>
      <w:r>
        <w:rPr>
          <w:rFonts w:ascii="宋体" w:hAnsi="宋体" w:cs="宋体" w:eastAsia="宋体" w:hint="default"/>
        </w:rPr>
        <w:t>3</w:t>
      </w:r>
      <w:r>
        <w:rPr/>
        <w:t>）评价管理层选用会计政策的恰当性和作出会计估计及相关披露的合理性。</w:t>
      </w:r>
    </w:p>
    <w:p>
      <w:pPr>
        <w:pStyle w:val="Heading3"/>
        <w:spacing w:line="357" w:lineRule="auto" w:before="157"/>
        <w:ind w:right="1134" w:firstLine="561"/>
        <w:jc w:val="both"/>
      </w:pPr>
      <w:r>
        <w:rPr/>
        <w:t>（</w:t>
      </w:r>
      <w:r>
        <w:rPr>
          <w:rFonts w:ascii="宋体" w:hAnsi="宋体" w:cs="宋体" w:eastAsia="宋体" w:hint="default"/>
        </w:rPr>
        <w:t>4</w:t>
      </w:r>
      <w:r>
        <w:rPr/>
        <w:t>）对管理层使用持续经营假设的恰当性得出结论。同时，根据获取的审计证据，就 </w:t>
      </w:r>
      <w:r>
        <w:rPr>
          <w:spacing w:val="6"/>
        </w:rPr>
        <w:t>可能导致对东方通持续经营能力产生重大疑虑的事项或情况是否存在重大不确定性得出结</w:t>
      </w:r>
      <w:r>
        <w:rPr>
          <w:spacing w:val="-103"/>
        </w:rPr>
        <w:t> </w:t>
      </w:r>
      <w:r>
        <w:rPr>
          <w:spacing w:val="-103"/>
        </w:rPr>
      </w:r>
      <w:r>
        <w:rPr/>
        <w:t>论。如果我们得出结论认为存在重大不确定性，审计准则要求我们在审计报告中提请报告使</w:t>
      </w:r>
      <w:r>
        <w:rPr>
          <w:spacing w:val="-93"/>
        </w:rPr>
        <w:t> </w:t>
      </w:r>
      <w:r>
        <w:rPr>
          <w:spacing w:val="-93"/>
        </w:rPr>
      </w:r>
      <w:r>
        <w:rPr/>
        <w:t>用者注意财务报表中的相关披露；如果披露不充分，我们应当发表非无保留意见。我们的结</w:t>
      </w:r>
      <w:r>
        <w:rPr>
          <w:spacing w:val="-91"/>
        </w:rPr>
        <w:t> </w:t>
      </w:r>
      <w:r>
        <w:rPr>
          <w:spacing w:val="-91"/>
        </w:rPr>
      </w:r>
      <w:r>
        <w:rPr/>
        <w:t>论基于截至审计报告日可获得的信息。然而，未来的事项或情况可能导致东方通不能持续经</w:t>
      </w:r>
      <w:r>
        <w:rPr>
          <w:spacing w:val="-93"/>
        </w:rPr>
        <w:t> </w:t>
      </w:r>
      <w:r>
        <w:rPr>
          <w:spacing w:val="-93"/>
        </w:rPr>
      </w:r>
      <w:r>
        <w:rPr/>
        <w:t>营。</w:t>
      </w:r>
    </w:p>
    <w:p>
      <w:pPr>
        <w:pStyle w:val="Heading3"/>
        <w:spacing w:line="355" w:lineRule="auto" w:before="38"/>
        <w:ind w:right="1123" w:firstLine="561"/>
        <w:jc w:val="left"/>
      </w:pPr>
      <w:r>
        <w:rPr/>
        <w:t>（</w:t>
      </w:r>
      <w:r>
        <w:rPr>
          <w:rFonts w:ascii="宋体" w:hAnsi="宋体" w:cs="宋体" w:eastAsia="宋体" w:hint="default"/>
        </w:rPr>
        <w:t>5</w:t>
      </w:r>
      <w:r>
        <w:rPr/>
        <w:t>）评价财务报表的总体列报、结构和内容，并评价财务报表是否公允反映相关交易 和事项。</w:t>
      </w:r>
    </w:p>
    <w:p>
      <w:pPr>
        <w:pStyle w:val="Heading3"/>
        <w:spacing w:line="240" w:lineRule="auto"/>
        <w:ind w:left="714" w:right="0"/>
        <w:jc w:val="left"/>
      </w:pPr>
      <w:r>
        <w:rPr/>
        <w:t>（</w:t>
      </w:r>
      <w:r>
        <w:rPr>
          <w:rFonts w:ascii="宋体" w:hAnsi="宋体" w:cs="宋体" w:eastAsia="宋体" w:hint="default"/>
        </w:rPr>
        <w:t>6</w:t>
      </w:r>
      <w:r>
        <w:rPr/>
        <w:t>）就东方通中实体或业务活动的财务信息获取充分、适当的审计证据，以对财务报</w:t>
      </w:r>
    </w:p>
    <w:p>
      <w:pPr>
        <w:spacing w:after="0" w:line="240" w:lineRule="auto"/>
        <w:jc w:val="left"/>
        <w:sectPr>
          <w:pgSz w:w="11910" w:h="16840"/>
          <w:pgMar w:header="871" w:footer="979" w:top="1100" w:bottom="1160" w:left="980" w:right="0"/>
        </w:sectPr>
      </w:pPr>
    </w:p>
    <w:p>
      <w:pPr>
        <w:spacing w:line="240" w:lineRule="auto" w:before="10"/>
        <w:rPr>
          <w:rFonts w:ascii="宋体" w:hAnsi="宋体" w:cs="宋体" w:eastAsia="宋体" w:hint="default"/>
          <w:sz w:val="25"/>
          <w:szCs w:val="25"/>
        </w:rPr>
      </w:pPr>
    </w:p>
    <w:p>
      <w:pPr>
        <w:pStyle w:val="Heading3"/>
        <w:spacing w:line="355" w:lineRule="auto" w:before="26"/>
        <w:ind w:left="714" w:right="0" w:hanging="562"/>
        <w:jc w:val="left"/>
      </w:pPr>
      <w:r>
        <w:rPr/>
        <w:t>表发表意见。我们负责指导、监督和执行集团审计。我们对审计意见承担全部责任。 </w:t>
      </w:r>
      <w:r>
        <w:rPr>
          <w:spacing w:val="-2"/>
        </w:rPr>
        <w:t>我们与治理层就计划的审计范围、时间安排和重大审计发现等事项进行沟通，包括沟通</w:t>
      </w:r>
    </w:p>
    <w:p>
      <w:pPr>
        <w:pStyle w:val="Heading3"/>
        <w:spacing w:line="355" w:lineRule="auto"/>
        <w:ind w:left="714" w:right="0" w:hanging="562"/>
        <w:jc w:val="left"/>
      </w:pPr>
      <w:r>
        <w:rPr/>
        <w:t>我们在审计中识别出的值得关注的内部控制缺陷。 </w:t>
      </w:r>
      <w:r>
        <w:rPr>
          <w:spacing w:val="-2"/>
        </w:rPr>
        <w:t>我们还就已遵守与独立性相关的职业道德要求向治理层提供声明，并与治理层沟通可能</w:t>
      </w:r>
    </w:p>
    <w:p>
      <w:pPr>
        <w:pStyle w:val="Heading3"/>
        <w:spacing w:line="355" w:lineRule="auto"/>
        <w:ind w:left="714" w:right="0" w:hanging="562"/>
        <w:jc w:val="left"/>
      </w:pPr>
      <w:r>
        <w:rPr/>
        <w:t>被合理认为影响我们独立性的所有关系和其他事项，以及相关的防范措施（如适用）。 </w:t>
      </w:r>
      <w:r>
        <w:rPr>
          <w:spacing w:val="-2"/>
        </w:rPr>
        <w:t>从与治理层沟通过的事项中，我们确定哪些事项对本期财务报表审计最为重要，因而构</w:t>
      </w:r>
    </w:p>
    <w:p>
      <w:pPr>
        <w:pStyle w:val="Heading3"/>
        <w:spacing w:line="357" w:lineRule="auto"/>
        <w:ind w:right="1136"/>
        <w:jc w:val="both"/>
      </w:pPr>
      <w:r>
        <w:rPr/>
        <w:t>成关键审计事项。我们在审计报告中描述这些事项，除非法律法规禁止公开披露这些事项，</w:t>
      </w:r>
      <w:r>
        <w:rPr>
          <w:spacing w:val="-93"/>
        </w:rPr>
        <w:t> </w:t>
      </w:r>
      <w:r>
        <w:rPr>
          <w:spacing w:val="-93"/>
        </w:rPr>
      </w:r>
      <w:r>
        <w:rPr/>
        <w:t>或在极少数情形下，如果合理预期在审计报告中沟通某事项造成的负面后果超过在公众利益</w:t>
      </w:r>
      <w:r>
        <w:rPr>
          <w:spacing w:val="-93"/>
        </w:rPr>
        <w:t> </w:t>
      </w:r>
      <w:r>
        <w:rPr>
          <w:spacing w:val="-93"/>
        </w:rPr>
      </w: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tbl>
      <w:tblPr>
        <w:tblW w:w="0" w:type="auto"/>
        <w:jc w:val="left"/>
        <w:tblInd w:w="553" w:type="dxa"/>
        <w:tblLayout w:type="fixed"/>
        <w:tblCellMar>
          <w:top w:w="0" w:type="dxa"/>
          <w:left w:w="0" w:type="dxa"/>
          <w:bottom w:w="0" w:type="dxa"/>
          <w:right w:w="0" w:type="dxa"/>
        </w:tblCellMar>
        <w:tblLook w:val="01E0"/>
      </w:tblPr>
      <w:tblGrid>
        <w:gridCol w:w="4242"/>
        <w:gridCol w:w="3499"/>
      </w:tblGrid>
      <w:tr>
        <w:trPr>
          <w:trHeight w:val="448"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58" w:lineRule="exact"/>
              <w:ind w:right="317"/>
              <w:jc w:val="center"/>
              <w:rPr>
                <w:rFonts w:ascii="Times New Roman" w:hAnsi="Times New Roman" w:cs="Times New Roman" w:eastAsia="Times New Roman" w:hint="default"/>
                <w:sz w:val="24"/>
                <w:szCs w:val="24"/>
              </w:rPr>
            </w:pPr>
            <w:r>
              <w:rPr>
                <w:rFonts w:ascii="宋体" w:hAnsi="宋体" w:cs="宋体" w:eastAsia="宋体" w:hint="default"/>
                <w:sz w:val="24"/>
                <w:szCs w:val="24"/>
              </w:rPr>
              <w:t>大华会计师事务所</w:t>
            </w:r>
            <w:r>
              <w:rPr>
                <w:rFonts w:ascii="Times New Roman" w:hAnsi="Times New Roman" w:cs="Times New Roman" w:eastAsia="Times New Roman" w:hint="default"/>
                <w:sz w:val="24"/>
                <w:szCs w:val="24"/>
              </w:rPr>
              <w:t>(</w:t>
            </w:r>
            <w:r>
              <w:rPr>
                <w:rFonts w:ascii="宋体" w:hAnsi="宋体" w:cs="宋体" w:eastAsia="宋体" w:hint="default"/>
                <w:sz w:val="24"/>
                <w:szCs w:val="24"/>
              </w:rPr>
              <w:t>特殊普通合伙</w:t>
            </w:r>
            <w:r>
              <w:rPr>
                <w:rFonts w:ascii="Times New Roman" w:hAnsi="Times New Roman" w:cs="Times New Roman" w:eastAsia="Times New Roman" w:hint="default"/>
                <w:sz w:val="24"/>
                <w:szCs w:val="24"/>
              </w:rPr>
              <w:t>)</w:t>
            </w: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exact"/>
              <w:ind w:left="519" w:right="0"/>
              <w:jc w:val="left"/>
              <w:rPr>
                <w:rFonts w:ascii="宋体" w:hAnsi="宋体" w:cs="宋体" w:eastAsia="宋体" w:hint="default"/>
                <w:sz w:val="24"/>
                <w:szCs w:val="24"/>
              </w:rPr>
            </w:pPr>
            <w:r>
              <w:rPr>
                <w:rFonts w:ascii="宋体" w:hAnsi="宋体" w:cs="宋体" w:eastAsia="宋体" w:hint="default"/>
                <w:sz w:val="24"/>
                <w:szCs w:val="24"/>
              </w:rPr>
              <w:t>中国注册会计师：刘文豪</w:t>
            </w:r>
          </w:p>
        </w:tc>
      </w:tr>
      <w:tr>
        <w:trPr>
          <w:trHeight w:val="965" w:hRule="exact"/>
        </w:trPr>
        <w:tc>
          <w:tcPr>
            <w:tcW w:w="424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20"/>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b/>
                <w:bCs/>
                <w:sz w:val="24"/>
                <w:szCs w:val="24"/>
              </w:rPr>
              <w:t>·</w:t>
            </w:r>
            <w:r>
              <w:rPr>
                <w:rFonts w:ascii="宋体" w:hAnsi="宋体" w:cs="宋体" w:eastAsia="宋体" w:hint="default"/>
                <w:sz w:val="24"/>
                <w:szCs w:val="24"/>
              </w:rPr>
              <w:t>北京</w:t>
            </w: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369" w:right="0"/>
              <w:jc w:val="left"/>
              <w:rPr>
                <w:rFonts w:ascii="宋体" w:hAnsi="宋体" w:cs="宋体" w:eastAsia="宋体" w:hint="default"/>
                <w:sz w:val="24"/>
                <w:szCs w:val="24"/>
              </w:rPr>
            </w:pPr>
            <w:r>
              <w:rPr>
                <w:rFonts w:ascii="宋体" w:hAnsi="宋体" w:cs="宋体" w:eastAsia="宋体" w:hint="default"/>
                <w:sz w:val="24"/>
                <w:szCs w:val="24"/>
              </w:rPr>
              <w:t>（项目合伙人）</w:t>
            </w:r>
          </w:p>
        </w:tc>
      </w:tr>
      <w:tr>
        <w:trPr>
          <w:trHeight w:val="1280" w:hRule="exact"/>
        </w:trPr>
        <w:tc>
          <w:tcPr>
            <w:tcW w:w="4242"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33"/>
                <w:szCs w:val="33"/>
              </w:rPr>
            </w:pPr>
          </w:p>
          <w:p>
            <w:pPr>
              <w:pStyle w:val="TableParagraph"/>
              <w:spacing w:line="240" w:lineRule="auto"/>
              <w:ind w:left="519" w:right="0"/>
              <w:jc w:val="left"/>
              <w:rPr>
                <w:rFonts w:ascii="宋体" w:hAnsi="宋体" w:cs="宋体" w:eastAsia="宋体" w:hint="default"/>
                <w:sz w:val="24"/>
                <w:szCs w:val="24"/>
              </w:rPr>
            </w:pPr>
            <w:r>
              <w:rPr>
                <w:rFonts w:ascii="宋体" w:hAnsi="宋体" w:cs="宋体" w:eastAsia="宋体" w:hint="default"/>
                <w:sz w:val="24"/>
                <w:szCs w:val="24"/>
              </w:rPr>
              <w:t>中国注册会计师：徐文博</w:t>
            </w:r>
          </w:p>
        </w:tc>
      </w:tr>
      <w:tr>
        <w:trPr>
          <w:trHeight w:val="763" w:hRule="exact"/>
        </w:trPr>
        <w:tc>
          <w:tcPr>
            <w:tcW w:w="4242"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4"/>
                <w:szCs w:val="34"/>
              </w:rPr>
            </w:pPr>
          </w:p>
          <w:p>
            <w:pPr>
              <w:pStyle w:val="TableParagraph"/>
              <w:spacing w:line="240" w:lineRule="auto"/>
              <w:ind w:left="658" w:right="0"/>
              <w:jc w:val="left"/>
              <w:rPr>
                <w:rFonts w:ascii="宋体" w:hAnsi="宋体" w:cs="宋体" w:eastAsia="宋体" w:hint="default"/>
                <w:sz w:val="24"/>
                <w:szCs w:val="24"/>
              </w:rPr>
            </w:pPr>
            <w:r>
              <w:rPr>
                <w:rFonts w:ascii="宋体" w:hAnsi="宋体" w:cs="宋体" w:eastAsia="宋体" w:hint="default"/>
                <w:sz w:val="24"/>
                <w:szCs w:val="24"/>
              </w:rPr>
              <w:t>二〇二〇年四月二十八日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2"/>
        <w:spacing w:line="240" w:lineRule="auto" w:before="26"/>
        <w:ind w:right="0"/>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3"/>
        </w:rPr>
        <w:t>编制单位：北京东方通科技股份有限公司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9" w:space="678"/>
            <w:col w:w="1642" w:space="3203"/>
            <w:col w:w="2008"/>
          </w:cols>
        </w:sectPr>
      </w:pP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006"/>
        <w:gridCol w:w="3347"/>
        <w:gridCol w:w="3335"/>
      </w:tblGrid>
      <w:tr>
        <w:trPr>
          <w:trHeight w:val="404"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355,932,386.88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370,094,606.09</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6,513,200.00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929,920.00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449,446,677.41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350,312,838.59</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10,719,636.69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4,732,360.89</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12,559,715.45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7,179,724.32</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26,615,480.10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38,577,722.60</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66,159.51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40,851.19</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861,853,256.04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771,868,023.68</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88,853,818.89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67,605,343.76</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5,200,000.00</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84,597,253.75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4,050,192.08</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18,480,715.87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17,138,257.90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1,059,486,925.88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1,077,053,612.42</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36,415,569.49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15,363,720.59</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1,335,557.52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78,806,592.98</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1,294,369,841.40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1,260,359,394.69</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2,156,223,097.44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2,032,227,418.37</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10,168,552.09</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49,941,029.95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55,496,692.40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5,443,847.21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7,271,317.71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77"/>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977"/>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17,817,972.74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14,829,832.87</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56,145,223.84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28,350,685.64</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267,731,380.45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338,177,765.61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431,248,006.28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492,126,294.23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112,000,000.00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5,538,600.00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5,468,820.00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134,391.67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315,026.67</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69,672,991.67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117,783,846.67</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500,920,997.95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609,910,140.90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281,295,708.00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277,031,708.00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1,271,515,215.47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1,184,086,255.80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150,004,584.16</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29,707,740.91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222,788,019.27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84,877,947.23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3006"/>
        <w:gridCol w:w="3347"/>
        <w:gridCol w:w="3347"/>
      </w:tblGrid>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1,655,302,099.49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1,422,317,277.47</w:t>
            </w:r>
          </w:p>
        </w:tc>
      </w:tr>
      <w:tr>
        <w:trPr>
          <w:trHeight w:val="398"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47" w:type="dxa"/>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1,655,302,099.49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1,422,317,277.47</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2,156,223,097.44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2,032,227,418.37</w:t>
            </w:r>
          </w:p>
        </w:tc>
      </w:tr>
    </w:tbl>
    <w:p>
      <w:pPr>
        <w:spacing w:line="240" w:lineRule="auto" w:before="2"/>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right="0"/>
        <w:jc w:val="left"/>
      </w:pPr>
      <w:r>
        <w:rPr>
          <w:spacing w:val="-3"/>
        </w:rPr>
        <w:t>法定代表人：黄永军</w:t>
        <w:tab/>
        <w:t>主管会计工作负责人：徐少璞</w:t>
        <w:tab/>
        <w:t>会计机构负责人：王巧瑞</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138,976,425.82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170,909,652.24</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3,513,200.00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929,920.00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136,125,727.76</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111,523,755.75</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3,977,292.85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1,795,271.67</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103,592,543.52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59,371,218.01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386,185,189.95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344,529,817.67</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1,511,447,213.29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1,507,765,424.70</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2,575,051.71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1,146,963.22</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4,524,201.73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6,303,112.53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28,159,650.71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7,147,874.78</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1,551,706,117.44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1,522,363,375.23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1,937,891,307.39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1,866,893,192.90</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10,168,552.09</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5,193,139.86</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2,433,169.16</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3,462,340.38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1,068,768.31</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11,914,607.39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10,144,586.26</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35,259,296.58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8,072,205.18</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315,404,578.11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383,444,977.89</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405,402,514.41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453,163,706.80</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112,000,000.00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5,538,600.00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5,468,820.00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69,538,600.00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117,468,820.00</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474,941,114.41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570,632,526.80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281,295,708.00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277,031,708.00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1,271,515,215.47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1,184,086,255.80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150,004,584.16</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29,707,740.91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30,436,112.76</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-41,178,664.14</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1,462,950,192.98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1,296,260,666.10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1,937,891,307.39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1,866,893,192.90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097"/>
        <w:gridCol w:w="3263"/>
        <w:gridCol w:w="3323"/>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98" w:right="0"/>
              <w:jc w:val="left"/>
              <w:rPr>
                <w:rFonts w:ascii="Times New Roman" w:hAnsi="Times New Roman" w:cs="Times New Roman" w:eastAsia="Times New Roman" w:hint="default"/>
                <w:sz w:val="18"/>
                <w:szCs w:val="18"/>
              </w:rPr>
            </w:pPr>
            <w:r>
              <w:rPr>
                <w:rFonts w:ascii="Times New Roman"/>
                <w:sz w:val="18"/>
              </w:rPr>
              <w:t>499,969,903.75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65" w:right="0"/>
              <w:jc w:val="left"/>
              <w:rPr>
                <w:rFonts w:ascii="Times New Roman" w:hAnsi="Times New Roman" w:cs="Times New Roman" w:eastAsia="Times New Roman" w:hint="default"/>
                <w:sz w:val="18"/>
                <w:szCs w:val="18"/>
              </w:rPr>
            </w:pPr>
            <w:r>
              <w:rPr>
                <w:rFonts w:ascii="Times New Roman"/>
                <w:sz w:val="18"/>
              </w:rPr>
              <w:t>372,052,345.23</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75pt;margin-top:509.779968pt;width:161.15pt;height:20.65pt;mso-position-horizontal-relative:page;mso-position-vertical-relative:page;z-index:-1160992" coordorigin="4235,10196" coordsize="3223,413">
            <v:group style="position:absolute;left:4247;top:10208;width:2;height:389" coordorigin="4247,10208" coordsize="2,389">
              <v:shape style="position:absolute;left:4247;top:10208;width:2;height:389" coordorigin="4247,10208" coordsize="0,389" path="m4247,10208l4247,10596e" filled="false" stroked="true" strokeweight="1.2pt" strokecolor="#ffffff">
                <v:path arrowok="t"/>
              </v:shape>
            </v:group>
            <v:group style="position:absolute;left:4259;top:10208;width:3199;height:389" coordorigin="4259,10208" coordsize="3199,389">
              <v:shape style="position:absolute;left:4259;top:10208;width:3199;height:389" coordorigin="4259,10208" coordsize="3199,389" path="m4259,10596l7457,10596,7457,10208,4259,10208,4259,10596xe" filled="true" fillcolor="#ffffff" stroked="false">
                <v:path arrowok="t"/>
                <v:fill type="solid"/>
              </v:shape>
            </v:group>
            <w10:wrap type="none"/>
          </v:group>
        </w:pict>
      </w:r>
    </w:p>
    <w:tbl>
      <w:tblPr>
        <w:tblW w:w="0" w:type="auto"/>
        <w:jc w:val="left"/>
        <w:tblInd w:w="119" w:type="dxa"/>
        <w:tblLayout w:type="fixed"/>
        <w:tblCellMar>
          <w:top w:w="0" w:type="dxa"/>
          <w:left w:w="0" w:type="dxa"/>
          <w:bottom w:w="0" w:type="dxa"/>
          <w:right w:w="0" w:type="dxa"/>
        </w:tblCellMar>
        <w:tblLook w:val="01E0"/>
      </w:tblPr>
      <w:tblGrid>
        <w:gridCol w:w="3126"/>
        <w:gridCol w:w="1174"/>
        <w:gridCol w:w="2077"/>
        <w:gridCol w:w="3323"/>
      </w:tblGrid>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98" w:right="0"/>
              <w:jc w:val="left"/>
              <w:rPr>
                <w:rFonts w:ascii="Times New Roman" w:hAnsi="Times New Roman" w:cs="Times New Roman" w:eastAsia="Times New Roman" w:hint="default"/>
                <w:sz w:val="18"/>
                <w:szCs w:val="18"/>
              </w:rPr>
            </w:pPr>
            <w:r>
              <w:rPr>
                <w:rFonts w:ascii="Times New Roman"/>
                <w:sz w:val="18"/>
              </w:rPr>
              <w:t>499,969,903.75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372,052,345.23</w:t>
            </w:r>
          </w:p>
        </w:tc>
      </w:tr>
      <w:tr>
        <w:trPr>
          <w:trHeight w:val="398"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98" w:right="0"/>
              <w:jc w:val="left"/>
              <w:rPr>
                <w:rFonts w:ascii="Times New Roman" w:hAnsi="Times New Roman" w:cs="Times New Roman" w:eastAsia="Times New Roman" w:hint="default"/>
                <w:sz w:val="18"/>
                <w:szCs w:val="18"/>
              </w:rPr>
            </w:pPr>
            <w:r>
              <w:rPr>
                <w:rFonts w:ascii="Times New Roman"/>
                <w:sz w:val="18"/>
              </w:rPr>
              <w:t>375,209,941.58</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280,658,933.18</w:t>
            </w:r>
          </w:p>
        </w:tc>
      </w:tr>
      <w:tr>
        <w:trPr>
          <w:trHeight w:val="398"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08" w:right="0"/>
              <w:jc w:val="left"/>
              <w:rPr>
                <w:rFonts w:ascii="Times New Roman" w:hAnsi="Times New Roman" w:cs="Times New Roman" w:eastAsia="Times New Roman" w:hint="default"/>
                <w:sz w:val="18"/>
                <w:szCs w:val="18"/>
              </w:rPr>
            </w:pPr>
            <w:r>
              <w:rPr>
                <w:rFonts w:ascii="Times New Roman"/>
                <w:spacing w:val="-2"/>
                <w:sz w:val="18"/>
              </w:rPr>
              <w:t>119,511,934.64</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91,492,878.91</w:t>
            </w:r>
          </w:p>
        </w:tc>
      </w:tr>
      <w:tr>
        <w:trPr>
          <w:trHeight w:val="404"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提取保险责任合同准备金净</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5,731,369.56</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5,100,433.07</w:t>
            </w:r>
          </w:p>
        </w:tc>
      </w:tr>
      <w:tr>
        <w:trPr>
          <w:trHeight w:val="404"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75,271,800.43</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56,862,164.97</w:t>
            </w: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68,497,009.64</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63,218,798.95</w:t>
            </w: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99,703,630.71</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70,369,152.84</w:t>
            </w:r>
          </w:p>
        </w:tc>
      </w:tr>
      <w:tr>
        <w:trPr>
          <w:trHeight w:val="398"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6,494,196.60</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-6,384,495.56</w:t>
            </w:r>
          </w:p>
        </w:tc>
      </w:tr>
      <w:tr>
        <w:trPr>
          <w:trHeight w:val="404"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9,952,342.24</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2,547,769.46</w:t>
            </w: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4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3,751,711.89</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9,134,700.67</w:t>
            </w: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49,558,822.87</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43,629,168.39</w:t>
            </w:r>
          </w:p>
        </w:tc>
      </w:tr>
      <w:tr>
        <w:trPr>
          <w:trHeight w:val="398"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7"/>
                <w:sz w:val="18"/>
                <w:szCs w:val="18"/>
              </w:rPr>
              <w:t>投资收益（损失以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1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106" w:right="0"/>
              <w:jc w:val="left"/>
              <w:rPr>
                <w:rFonts w:ascii="Times New Roman" w:hAnsi="Times New Roman" w:cs="Times New Roman" w:eastAsia="Times New Roman" w:hint="default"/>
                <w:sz w:val="18"/>
                <w:szCs w:val="18"/>
              </w:rPr>
            </w:pPr>
            <w:r>
              <w:rPr>
                <w:rFonts w:ascii="Times New Roman"/>
                <w:sz w:val="18"/>
              </w:rPr>
              <w:t>1,248,020.44</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-300,903.06</w:t>
            </w:r>
          </w:p>
        </w:tc>
      </w:tr>
      <w:tr>
        <w:trPr>
          <w:trHeight w:val="716"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2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1,248,475.13</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-300,903.06</w:t>
            </w:r>
          </w:p>
        </w:tc>
      </w:tr>
      <w:tr>
        <w:trPr>
          <w:trHeight w:val="7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26"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w:t>
            </w:r>
            <w:r>
              <w:rPr>
                <w:rFonts w:ascii="宋体" w:hAnsi="宋体" w:cs="宋体" w:eastAsia="宋体" w:hint="default"/>
                <w:w w:val="101"/>
                <w:sz w:val="18"/>
                <w:szCs w:val="18"/>
              </w:rPr>
              <w:t> </w:t>
            </w:r>
            <w:r>
              <w:rPr>
                <w:rFonts w:ascii="宋体" w:hAnsi="宋体" w:cs="宋体" w:eastAsia="宋体" w:hint="default"/>
                <w:spacing w:val="-3"/>
                <w:sz w:val="18"/>
                <w:szCs w:val="18"/>
              </w:rPr>
              <w:t>产终止确认收益</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2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744" w:right="-27"/>
              <w:jc w:val="left"/>
              <w:rPr>
                <w:rFonts w:ascii="宋体" w:hAnsi="宋体" w:cs="宋体" w:eastAsia="宋体" w:hint="default"/>
                <w:sz w:val="18"/>
                <w:szCs w:val="18"/>
              </w:rPr>
            </w:pPr>
            <w:r>
              <w:rPr>
                <w:rFonts w:ascii="宋体" w:hAnsi="宋体" w:cs="宋体" w:eastAsia="宋体" w:hint="default"/>
                <w:spacing w:val="-2"/>
                <w:sz w:val="18"/>
                <w:szCs w:val="18"/>
              </w:rPr>
              <w:t>汇兑收益（损失以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251" w:type="dxa"/>
            <w:gridSpan w:val="2"/>
            <w:tcBorders>
              <w:top w:val="single" w:sz="4" w:space="0" w:color="000000"/>
              <w:left w:val="single" w:sz="13" w:space="0" w:color="FFFFFF"/>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51" w:type="dxa"/>
            <w:gridSpan w:val="2"/>
            <w:tcBorders>
              <w:top w:val="single" w:sz="4" w:space="0" w:color="000000"/>
              <w:left w:val="single" w:sz="4" w:space="0" w:color="000000"/>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5"/>
                <w:sz w:val="18"/>
                <w:szCs w:val="18"/>
              </w:rPr>
              <w:t>信用减值损失（损失以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-4,414,398.63</w:t>
            </w: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5"/>
                <w:sz w:val="18"/>
                <w:szCs w:val="18"/>
              </w:rPr>
              <w:t>资产减值损失（损失以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127" w:right="0"/>
              <w:jc w:val="left"/>
              <w:rPr>
                <w:rFonts w:ascii="Times New Roman" w:hAnsi="Times New Roman" w:cs="Times New Roman" w:eastAsia="Times New Roman" w:hint="default"/>
                <w:sz w:val="18"/>
                <w:szCs w:val="18"/>
              </w:rPr>
            </w:pPr>
            <w:r>
              <w:rPr>
                <w:rFonts w:ascii="Times New Roman"/>
                <w:sz w:val="18"/>
              </w:rPr>
              <w:t>-17,875,688.71</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-8,089,488.69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75pt;margin-top:167.929977pt;width:161.15pt;height:20.9pt;mso-position-horizontal-relative:page;mso-position-vertical-relative:page;z-index:-1160968" coordorigin="4235,3359" coordsize="3223,418">
            <v:group style="position:absolute;left:4247;top:3371;width:2;height:394" coordorigin="4247,3371" coordsize="2,394">
              <v:shape style="position:absolute;left:4247;top:3371;width:2;height:394" coordorigin="4247,3371" coordsize="0,394" path="m4247,3371l4247,3764e" filled="false" stroked="true" strokeweight="1.2pt" strokecolor="#ffffff">
                <v:path arrowok="t"/>
              </v:shape>
            </v:group>
            <v:group style="position:absolute;left:4259;top:3371;width:3199;height:394" coordorigin="4259,3371" coordsize="3199,394">
              <v:shape style="position:absolute;left:4259;top:3371;width:3199;height:394" coordorigin="4259,3371" coordsize="3199,394" path="m4259,3764l7457,3764,7457,3371,4259,3371,4259,3764xe" filled="true" fillcolor="#ffffff" stroked="false">
                <v:path arrowok="t"/>
                <v:fill type="solid"/>
              </v:shape>
            </v:group>
            <w10:wrap type="none"/>
          </v:group>
        </w:pict>
      </w:r>
    </w:p>
    <w:tbl>
      <w:tblPr>
        <w:tblW w:w="0" w:type="auto"/>
        <w:jc w:val="left"/>
        <w:tblInd w:w="131" w:type="dxa"/>
        <w:tblLayout w:type="fixed"/>
        <w:tblCellMar>
          <w:top w:w="0" w:type="dxa"/>
          <w:left w:w="0" w:type="dxa"/>
          <w:bottom w:w="0" w:type="dxa"/>
          <w:right w:w="0" w:type="dxa"/>
        </w:tblCellMar>
        <w:tblLook w:val="01E0"/>
      </w:tblPr>
      <w:tblGrid>
        <w:gridCol w:w="3102"/>
        <w:gridCol w:w="1097"/>
        <w:gridCol w:w="2166"/>
        <w:gridCol w:w="3323"/>
      </w:tblGrid>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pacing w:val="-5"/>
                <w:sz w:val="18"/>
                <w:szCs w:val="18"/>
              </w:rPr>
              <w:t>资产处置收益（损失以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98" w:right="0"/>
              <w:jc w:val="left"/>
              <w:rPr>
                <w:rFonts w:ascii="Times New Roman" w:hAnsi="Times New Roman" w:cs="Times New Roman" w:eastAsia="Times New Roman" w:hint="default"/>
                <w:sz w:val="18"/>
                <w:szCs w:val="18"/>
              </w:rPr>
            </w:pPr>
            <w:r>
              <w:rPr>
                <w:rFonts w:ascii="Times New Roman"/>
                <w:sz w:val="18"/>
              </w:rPr>
              <w:t>153,276,718.14</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126,632,188.69</w:t>
            </w: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2,822.37</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9,310.07</w:t>
            </w: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148,206.25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181,283.41</w:t>
            </w: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18" w:right="0"/>
              <w:jc w:val="left"/>
              <w:rPr>
                <w:rFonts w:ascii="Times New Roman" w:hAnsi="Times New Roman" w:cs="Times New Roman" w:eastAsia="Times New Roman" w:hint="default"/>
                <w:sz w:val="18"/>
                <w:szCs w:val="18"/>
              </w:rPr>
            </w:pPr>
            <w:r>
              <w:rPr>
                <w:rFonts w:ascii="Times New Roman"/>
                <w:spacing w:val="-1"/>
                <w:sz w:val="18"/>
              </w:rPr>
              <w:t>153,131,334.26</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126,460,215.35</w:t>
            </w:r>
          </w:p>
        </w:tc>
      </w:tr>
      <w:tr>
        <w:trPr>
          <w:trHeight w:val="398"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11,839,471.91</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4,291,648.24</w:t>
            </w:r>
          </w:p>
        </w:tc>
      </w:tr>
      <w:tr>
        <w:trPr>
          <w:trHeight w:val="404"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left="2098" w:right="0"/>
              <w:jc w:val="left"/>
              <w:rPr>
                <w:rFonts w:ascii="Times New Roman" w:hAnsi="Times New Roman" w:cs="Times New Roman" w:eastAsia="Times New Roman" w:hint="default"/>
                <w:sz w:val="18"/>
                <w:szCs w:val="18"/>
              </w:rPr>
            </w:pPr>
            <w:r>
              <w:rPr>
                <w:rFonts w:ascii="Times New Roman"/>
                <w:sz w:val="18"/>
              </w:rPr>
              <w:t>141,291,862.35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98" w:right="0"/>
              <w:jc w:val="left"/>
              <w:rPr>
                <w:rFonts w:ascii="Times New Roman" w:hAnsi="Times New Roman" w:cs="Times New Roman" w:eastAsia="Times New Roman" w:hint="default"/>
                <w:sz w:val="18"/>
                <w:szCs w:val="18"/>
              </w:rPr>
            </w:pPr>
            <w:r>
              <w:rPr>
                <w:rFonts w:ascii="Times New Roman"/>
                <w:sz w:val="18"/>
              </w:rPr>
              <w:t>141,291,862.35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711"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6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6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98" w:right="0"/>
              <w:jc w:val="left"/>
              <w:rPr>
                <w:rFonts w:ascii="Times New Roman" w:hAnsi="Times New Roman" w:cs="Times New Roman" w:eastAsia="Times New Roman" w:hint="default"/>
                <w:sz w:val="18"/>
                <w:szCs w:val="18"/>
              </w:rPr>
            </w:pPr>
            <w:r>
              <w:rPr>
                <w:rFonts w:ascii="Times New Roman"/>
                <w:sz w:val="18"/>
              </w:rPr>
              <w:t>141,291,862.35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404"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5"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2" w:right="15"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5"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tc>
        <w:tc>
          <w:tcPr>
            <w:tcW w:w="3263" w:type="dxa"/>
            <w:gridSpan w:val="2"/>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3102"/>
        <w:gridCol w:w="3263"/>
        <w:gridCol w:w="3323"/>
      </w:tblGrid>
      <w:tr>
        <w:trPr>
          <w:trHeight w:val="360"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2" w:right="58"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r>
              <w:rPr>
                <w:rFonts w:ascii="宋体" w:hAnsi="宋体" w:cs="宋体" w:eastAsia="宋体" w:hint="default"/>
                <w:sz w:val="18"/>
                <w:szCs w:val="18"/>
              </w:rPr>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2" w:right="58"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5"/>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5"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归属于少数股东的其他综合收益的税</w:t>
            </w:r>
            <w:r>
              <w:rPr>
                <w:rFonts w:ascii="宋体" w:hAnsi="宋体" w:cs="宋体" w:eastAsia="宋体" w:hint="default"/>
                <w:w w:val="101"/>
                <w:sz w:val="18"/>
                <w:szCs w:val="18"/>
              </w:rPr>
              <w:t> </w:t>
            </w:r>
            <w:r>
              <w:rPr>
                <w:rFonts w:ascii="宋体" w:hAnsi="宋体" w:cs="宋体" w:eastAsia="宋体" w:hint="default"/>
                <w:sz w:val="18"/>
                <w:szCs w:val="18"/>
              </w:rPr>
              <w:t>后净额</w:t>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141,291,862.35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715"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归属于母公司所有者的综合收益总</w:t>
            </w:r>
          </w:p>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141,291,862.35</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63" w:type="dxa"/>
            <w:tcBorders>
              <w:top w:val="single" w:sz="4" w:space="0" w:color="000000"/>
              <w:left w:val="single" w:sz="13" w:space="0" w:color="D2D2D2"/>
              <w:bottom w:val="single" w:sz="4" w:space="0" w:color="000000"/>
              <w:right w:val="single" w:sz="4" w:space="0" w:color="000000"/>
            </w:tcBorders>
          </w:tcPr>
          <w:p>
            <w:pPr/>
          </w:p>
        </w:tc>
        <w:tc>
          <w:tcPr>
            <w:tcW w:w="332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0.53</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0.44</w:t>
            </w:r>
          </w:p>
        </w:tc>
      </w:tr>
      <w:tr>
        <w:trPr>
          <w:trHeight w:val="403" w:hRule="exact"/>
        </w:trPr>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0.52</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0.44</w:t>
            </w:r>
          </w:p>
        </w:tc>
      </w:tr>
    </w:tbl>
    <w:p>
      <w:pPr>
        <w:spacing w:line="240" w:lineRule="auto" w:before="2"/>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right="0"/>
        <w:jc w:val="left"/>
      </w:pPr>
      <w:r>
        <w:rPr>
          <w:spacing w:val="-3"/>
        </w:rPr>
        <w:t>法定代表人：黄永军</w:t>
        <w:tab/>
        <w:t>主管会计工作负责人：徐少璞</w:t>
        <w:tab/>
        <w:t>会计机构负责人：王巧瑞</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160,478,986.57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106,497,983.40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10,801,578.77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11,059,923.90</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2,174,478.49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2,031,629.23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47,422,202.05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36,252,782.38</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37,254,407.77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29,901,384.16</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53,741,743.20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29,250,642.01</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7,079,617.17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-4,098,700.15</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9,952,342.24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2,528,960.01</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2,922,718.81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6,684,094.11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37,885,850.45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28,819,284.99</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51,248,475.13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19,699,096.94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05.990005pt;margin-top:133.729980pt;width:166.65pt;height:27.85pt;mso-position-horizontal-relative:page;mso-position-vertical-relative:page;z-index:-1160944" coordorigin="4120,2675" coordsize="3333,557">
            <v:group style="position:absolute;left:4129;top:2684;width:2;height:389" coordorigin="4129,2684" coordsize="2,389">
              <v:shape style="position:absolute;left:4129;top:2684;width:2;height:389" coordorigin="4129,2684" coordsize="0,389" path="m4129,2684l4129,3073e" filled="false" stroked="true" strokeweight=".95999pt" strokecolor="#ffffff">
                <v:path arrowok="t"/>
              </v:shape>
            </v:group>
            <v:group style="position:absolute;left:4120;top:3073;width:3333;height:159" coordorigin="4120,3073" coordsize="3333,159">
              <v:shape style="position:absolute;left:4120;top:3073;width:3333;height:159" coordorigin="4120,3073" coordsize="3333,159" path="m4120,3231l7452,3231,7452,3073,4120,3073,4120,3231xe" filled="true" fillcolor="#ffffff" stroked="false">
                <v:path arrowok="t"/>
                <v:fill type="solid"/>
              </v:shape>
            </v:group>
            <v:group style="position:absolute;left:4139;top:2684;width:3290;height:389" coordorigin="4139,2684" coordsize="3290,389">
              <v:shape style="position:absolute;left:4139;top:2684;width:3290;height:389" coordorigin="4139,2684" coordsize="3290,389" path="m4139,3073l7428,3073,7428,2684,4139,2684,4139,3073xe" filled="true" fillcolor="#ffffff" stroked="false">
                <v:path arrowok="t"/>
                <v:fill type="solid"/>
              </v:shape>
            </v:group>
            <w10:wrap type="none"/>
          </v:group>
        </w:pict>
      </w:r>
      <w:r>
        <w:rPr/>
        <w:pict>
          <v:group style="position:absolute;margin-left:206.949997pt;margin-top:400.919983pt;width:164.5pt;height:19.7pt;mso-position-horizontal-relative:page;mso-position-vertical-relative:page;z-index:-1160920" coordorigin="4139,8018" coordsize="3290,394">
            <v:shape style="position:absolute;left:4139;top:8018;width:3290;height:394" coordorigin="4139,8018" coordsize="3290,394" path="m4139,8412l7428,8412,7428,8018,4139,8018,4139,8412xe" filled="true" fillcolor="#ffffff" stroked="false">
              <v:path arrowok="t"/>
              <v:fill type="solid"/>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3006"/>
        <w:gridCol w:w="1174"/>
        <w:gridCol w:w="2173"/>
        <w:gridCol w:w="3347"/>
      </w:tblGrid>
      <w:tr>
        <w:trPr>
          <w:trHeight w:val="360"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5"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1,248,475.13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-300,903.06</w:t>
            </w: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4"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pacing w:val="-6"/>
                <w:sz w:val="18"/>
                <w:szCs w:val="18"/>
              </w:rPr>
              <w:t>资产终止确认收益（损失以</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9"/>
                <w:w w:val="101"/>
                <w:sz w:val="18"/>
                <w:szCs w:val="18"/>
              </w:rPr>
              <w:t>净敞口套期收益（损失以</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w:t>
            </w:r>
            <w:r>
              <w:rPr>
                <w:rFonts w:ascii="Times New Roman" w:hAnsi="Times New Roman" w:cs="Times New Roman" w:eastAsia="Times New Roman" w:hint="default"/>
                <w:spacing w:val="-9"/>
                <w:w w:val="101"/>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-1,046,879.53</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18" w:right="0"/>
              <w:jc w:val="left"/>
              <w:rPr>
                <w:rFonts w:ascii="Times New Roman" w:hAnsi="Times New Roman" w:cs="Times New Roman" w:eastAsia="Times New Roman" w:hint="default"/>
                <w:sz w:val="18"/>
                <w:szCs w:val="18"/>
              </w:rPr>
            </w:pPr>
            <w:r>
              <w:rPr>
                <w:rFonts w:ascii="Times New Roman"/>
                <w:sz w:val="18"/>
              </w:rPr>
              <w:t>-17,566,686.54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-882,914.39</w:t>
            </w: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72,525,718.63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49,735,789.41</w:t>
            </w:r>
          </w:p>
        </w:tc>
      </w:tr>
      <w:tr>
        <w:trPr>
          <w:trHeight w:val="404"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88,933.98</w:t>
            </w:r>
          </w:p>
        </w:tc>
      </w:tr>
      <w:tr>
        <w:trPr>
          <w:trHeight w:val="403" w:hRule="exact"/>
        </w:trPr>
        <w:tc>
          <w:tcPr>
            <w:tcW w:w="300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利</w:t>
            </w:r>
            <w:r>
              <w:rPr>
                <w:rFonts w:ascii="宋体" w:hAnsi="宋体" w:cs="宋体" w:eastAsia="宋体" w:hint="default"/>
                <w:w w:val="101"/>
                <w:sz w:val="18"/>
                <w:szCs w:val="18"/>
              </w:rPr>
              <w:t>润</w:t>
            </w:r>
            <w:r>
              <w:rPr>
                <w:rFonts w:ascii="宋体" w:hAnsi="宋体" w:cs="宋体" w:eastAsia="宋体" w:hint="default"/>
                <w:spacing w:val="-5"/>
                <w:w w:val="101"/>
                <w:sz w:val="18"/>
                <w:szCs w:val="18"/>
              </w:rPr>
              <w:t>总</w:t>
            </w:r>
            <w:r>
              <w:rPr>
                <w:rFonts w:ascii="宋体" w:hAnsi="宋体" w:cs="宋体" w:eastAsia="宋体" w:hint="default"/>
                <w:spacing w:val="-92"/>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亏损</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以</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号</w:t>
            </w:r>
            <w:r>
              <w:rPr>
                <w:rFonts w:ascii="宋体" w:hAnsi="宋体" w:cs="宋体" w:eastAsia="宋体" w:hint="default"/>
                <w:w w:val="101"/>
                <w:sz w:val="18"/>
                <w:szCs w:val="18"/>
              </w:rPr>
              <w:t>填列</w:t>
            </w:r>
            <w:r>
              <w:rPr>
                <w:rFonts w:ascii="宋体" w:hAnsi="宋体" w:cs="宋体" w:eastAsia="宋体" w:hint="default"/>
                <w:sz w:val="18"/>
                <w:szCs w:val="18"/>
              </w:rPr>
            </w:r>
          </w:p>
        </w:tc>
        <w:tc>
          <w:tcPr>
            <w:tcW w:w="1174"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106" w:right="0"/>
              <w:jc w:val="left"/>
              <w:rPr>
                <w:rFonts w:ascii="Times New Roman" w:hAnsi="Times New Roman" w:cs="Times New Roman" w:eastAsia="Times New Roman" w:hint="default"/>
                <w:sz w:val="18"/>
                <w:szCs w:val="18"/>
              </w:rPr>
            </w:pPr>
            <w:r>
              <w:rPr>
                <w:rFonts w:ascii="Times New Roman"/>
                <w:sz w:val="18"/>
              </w:rPr>
              <w:t>72,525,718.63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49,653,355.43</w:t>
            </w:r>
          </w:p>
        </w:tc>
      </w:tr>
      <w:tr>
        <w:trPr>
          <w:trHeight w:val="398"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-2,470,848.58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-1,960,940.30</w:t>
            </w: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74,996,567.21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51,614,295.73</w:t>
            </w:r>
          </w:p>
        </w:tc>
      </w:tr>
      <w:tr>
        <w:trPr>
          <w:trHeight w:val="716"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84"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74,996,567.21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51,614,295.73</w:t>
            </w: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4"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4"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27"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企业自身信用风险公允</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47" w:type="dxa"/>
            <w:gridSpan w:val="2"/>
            <w:tcBorders>
              <w:top w:val="single" w:sz="4" w:space="0" w:color="000000"/>
              <w:left w:val="single" w:sz="4" w:space="0" w:color="000000"/>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2" w:right="118"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118"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118"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74,996,567.21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51,614,295.73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192" w:right="0"/>
              <w:jc w:val="left"/>
              <w:rPr>
                <w:rFonts w:ascii="Times New Roman" w:hAnsi="Times New Roman" w:cs="Times New Roman" w:eastAsia="Times New Roman" w:hint="default"/>
                <w:sz w:val="18"/>
                <w:szCs w:val="18"/>
              </w:rPr>
            </w:pPr>
            <w:r>
              <w:rPr>
                <w:rFonts w:ascii="Times New Roman"/>
                <w:sz w:val="18"/>
              </w:rPr>
              <w:t>442,961,953.23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94" w:right="0"/>
              <w:jc w:val="left"/>
              <w:rPr>
                <w:rFonts w:ascii="Times New Roman" w:hAnsi="Times New Roman" w:cs="Times New Roman" w:eastAsia="Times New Roman" w:hint="default"/>
                <w:sz w:val="18"/>
                <w:szCs w:val="18"/>
              </w:rPr>
            </w:pPr>
            <w:r>
              <w:rPr>
                <w:rFonts w:ascii="Times New Roman"/>
                <w:sz w:val="18"/>
              </w:rPr>
              <w:t>415,052,311.23</w:t>
            </w: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27,757,547.68</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26,634,824.53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73,008,139.31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44,887,829.86</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543,727,640.22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486,574,965.62</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75"/>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127,618,666.05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121,838,903.48</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124,875,799.01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108,017,786.59</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71,739,503.85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49,825,685.55</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131,906,037.80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80,237,013.07</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456,140,006.71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359,919,388.69</w:t>
            </w: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87,587,633.51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126,655,576.93</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710"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18,239,240.34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82,560,759.05</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268,004,730.21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133,239,240.34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362,565,489.26</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-133,237,290.34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-362,558,989.26</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61,282,723.17</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75"/>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40,803,206.70</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112,085,929.87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1"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8,543,943.75</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5,499,900.50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86,043,844.25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151,004,584.16</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26,042,085.62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8,995,415.84</w:t>
            </w: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75"/>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-19,607,571.21</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-226,907,996.49</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75"/>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366,771,293.10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593,679,289.59</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347,163,721.89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366,771,293.10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153,604,004.33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117,148,850.31</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13,735,535.64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10,741,660.21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104,175,129.67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50,236,100.41</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271,514,669.64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178,126,610.93</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21,402,715.40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10,541,257.62</w:t>
            </w: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54,685,718.74</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55,500,038.92</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26,543,215.83</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17,710,067.33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984"/>
        <w:gridCol w:w="3357"/>
        <w:gridCol w:w="3347"/>
      </w:tblGrid>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104,320,457.85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96,179,034.72</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206,952,107.82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179,930,398.59</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64,562,561.82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-1,803,787.66</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w:t>
            </w: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6,697,776.09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252,826.00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282,000,000.00</w:t>
            </w:r>
          </w:p>
        </w:tc>
      </w:tr>
      <w:tr>
        <w:trPr>
          <w:trHeight w:val="716"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121,697,776.09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282,252,826.00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-121,697,776.09</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-282,246,326.00</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61,282,723.17</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40,740,206.70</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112,022,929.87</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72,000,000.00</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75"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8,543,943.75</w:t>
            </w: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5,414,500.50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85,958,444.25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398"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26,064,485.62</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9,995,415.84</w:t>
            </w:r>
          </w:p>
        </w:tc>
      </w:tr>
      <w:tr>
        <w:trPr>
          <w:trHeight w:val="715"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75"/>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57" w:type="dxa"/>
            <w:tcBorders>
              <w:top w:val="single" w:sz="4" w:space="0" w:color="000000"/>
              <w:left w:val="single" w:sz="10" w:space="0" w:color="D2D2D2"/>
              <w:bottom w:val="single" w:sz="4" w:space="0" w:color="000000"/>
              <w:right w:val="single" w:sz="4" w:space="0" w:color="000000"/>
            </w:tcBorders>
          </w:tcPr>
          <w:p>
            <w:pPr/>
          </w:p>
        </w:tc>
        <w:tc>
          <w:tcPr>
            <w:tcW w:w="334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-31,070,728.65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-274,054,697.82</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169,884,154.05</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443,938,851.87</w:t>
            </w:r>
          </w:p>
        </w:tc>
      </w:tr>
      <w:tr>
        <w:trPr>
          <w:trHeight w:val="40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5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138,813,425.40</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169,884,154.05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7"/>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140" w:right="0"/>
        <w:jc w:val="left"/>
      </w:pPr>
      <w:r>
        <w:rPr/>
        <w:t>本期金额</w:t>
      </w:r>
    </w:p>
    <w:p>
      <w:pPr>
        <w:pStyle w:val="BodyText"/>
        <w:spacing w:line="240" w:lineRule="auto" w:before="115"/>
        <w:ind w:left="0" w:right="148"/>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510"/>
        <w:gridCol w:w="1190"/>
        <w:gridCol w:w="384"/>
        <w:gridCol w:w="379"/>
        <w:gridCol w:w="384"/>
        <w:gridCol w:w="1316"/>
        <w:gridCol w:w="1181"/>
        <w:gridCol w:w="552"/>
        <w:gridCol w:w="547"/>
        <w:gridCol w:w="1095"/>
        <w:gridCol w:w="547"/>
        <w:gridCol w:w="1181"/>
        <w:gridCol w:w="552"/>
        <w:gridCol w:w="1320"/>
        <w:gridCol w:w="552"/>
        <w:gridCol w:w="1316"/>
      </w:tblGrid>
      <w:tr>
        <w:trPr>
          <w:trHeight w:val="401" w:hRule="exact"/>
        </w:trPr>
        <w:tc>
          <w:tcPr>
            <w:tcW w:w="1510" w:type="dxa"/>
            <w:vMerge w:val="restart"/>
            <w:tcBorders>
              <w:top w:val="single" w:sz="4" w:space="0" w:color="000000"/>
              <w:left w:val="single" w:sz="4" w:space="0" w:color="000000"/>
              <w:right w:val="single" w:sz="4" w:space="0" w:color="000000"/>
            </w:tcBorders>
            <w:shd w:val="clear" w:color="auto" w:fill="D2D2D2"/>
          </w:tcPr>
          <w:p>
            <w:pPr/>
          </w:p>
        </w:tc>
        <w:tc>
          <w:tcPr>
            <w:tcW w:w="1249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1510" w:type="dxa"/>
            <w:vMerge/>
            <w:tcBorders>
              <w:left w:val="single" w:sz="4" w:space="0" w:color="000000"/>
              <w:right w:val="single" w:sz="4" w:space="0" w:color="000000"/>
            </w:tcBorders>
            <w:shd w:val="clear" w:color="auto" w:fill="D2D2D2"/>
          </w:tcPr>
          <w:p>
            <w:pPr/>
          </w:p>
        </w:tc>
        <w:tc>
          <w:tcPr>
            <w:tcW w:w="1063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15" w:hRule="exact"/>
        </w:trPr>
        <w:tc>
          <w:tcPr>
            <w:tcW w:w="1510"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single" w:sz="4" w:space="0" w:color="000000"/>
              <w:left w:val="single" w:sz="4" w:space="0" w:color="000000"/>
              <w:right w:val="single" w:sz="4" w:space="0" w:color="000000"/>
            </w:tcBorders>
            <w:shd w:val="clear" w:color="auto" w:fill="D2D2D2"/>
          </w:tcPr>
          <w:p>
            <w:pPr/>
          </w:p>
        </w:tc>
        <w:tc>
          <w:tcPr>
            <w:tcW w:w="11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52" w:type="dxa"/>
            <w:vMerge w:val="restart"/>
            <w:tcBorders>
              <w:top w:val="single" w:sz="4" w:space="0" w:color="000000"/>
              <w:left w:val="single" w:sz="4" w:space="0" w:color="000000"/>
              <w:right w:val="single" w:sz="4" w:space="0" w:color="000000"/>
            </w:tcBorders>
            <w:shd w:val="clear" w:color="auto" w:fill="D2D2D2"/>
          </w:tcPr>
          <w:p>
            <w:pPr/>
          </w:p>
        </w:tc>
        <w:tc>
          <w:tcPr>
            <w:tcW w:w="547" w:type="dxa"/>
            <w:vMerge w:val="restart"/>
            <w:tcBorders>
              <w:top w:val="single" w:sz="4" w:space="0" w:color="000000"/>
              <w:left w:val="single" w:sz="4" w:space="0" w:color="000000"/>
              <w:right w:val="single" w:sz="4" w:space="0" w:color="000000"/>
            </w:tcBorders>
            <w:shd w:val="clear" w:color="auto" w:fill="D2D2D2"/>
          </w:tcPr>
          <w:p>
            <w:pPr/>
          </w:p>
        </w:tc>
        <w:tc>
          <w:tcPr>
            <w:tcW w:w="1095" w:type="dxa"/>
            <w:vMerge w:val="restart"/>
            <w:tcBorders>
              <w:top w:val="single" w:sz="4" w:space="0" w:color="000000"/>
              <w:left w:val="single" w:sz="4" w:space="0" w:color="000000"/>
              <w:right w:val="single" w:sz="4" w:space="0" w:color="FFFFFF"/>
            </w:tcBorders>
            <w:shd w:val="clear" w:color="auto" w:fill="D2D2D2"/>
          </w:tcPr>
          <w:p>
            <w:pPr/>
          </w:p>
        </w:tc>
        <w:tc>
          <w:tcPr>
            <w:tcW w:w="547" w:type="dxa"/>
            <w:vMerge w:val="restart"/>
            <w:tcBorders>
              <w:top w:val="single" w:sz="4" w:space="0" w:color="000000"/>
              <w:left w:val="single" w:sz="4" w:space="0" w:color="FFFFFF"/>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52" w:type="dxa"/>
            <w:vMerge w:val="restart"/>
            <w:tcBorders>
              <w:top w:val="single" w:sz="4" w:space="0" w:color="000000"/>
              <w:left w:val="single" w:sz="4" w:space="0" w:color="000000"/>
              <w:right w:val="single" w:sz="4" w:space="0" w:color="000000"/>
            </w:tcBorders>
            <w:shd w:val="clear" w:color="auto" w:fill="D2D2D2"/>
          </w:tcPr>
          <w:p>
            <w:pPr/>
          </w:p>
        </w:tc>
        <w:tc>
          <w:tcPr>
            <w:tcW w:w="1320" w:type="dxa"/>
            <w:vMerge w:val="restart"/>
            <w:tcBorders>
              <w:top w:val="single" w:sz="4" w:space="0" w:color="000000"/>
              <w:left w:val="single" w:sz="4" w:space="0" w:color="000000"/>
              <w:right w:val="single" w:sz="4" w:space="0" w:color="000000"/>
            </w:tcBorders>
            <w:shd w:val="clear" w:color="auto" w:fill="D2D2D2"/>
          </w:tcPr>
          <w:p>
            <w:pPr/>
          </w:p>
        </w:tc>
        <w:tc>
          <w:tcPr>
            <w:tcW w:w="5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8"/>
              <w:ind w:left="86" w:right="89"/>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1316" w:type="dxa"/>
            <w:vMerge/>
            <w:tcBorders>
              <w:left w:val="single" w:sz="4" w:space="0" w:color="000000"/>
              <w:right w:val="single" w:sz="4" w:space="0" w:color="000000"/>
            </w:tcBorders>
            <w:shd w:val="clear" w:color="auto" w:fill="D2D2D2"/>
          </w:tcPr>
          <w:p>
            <w:pPr/>
          </w:p>
        </w:tc>
      </w:tr>
      <w:tr>
        <w:trPr>
          <w:trHeight w:val="91" w:hRule="exact"/>
        </w:trPr>
        <w:tc>
          <w:tcPr>
            <w:tcW w:w="15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0" w:type="dxa"/>
            <w:vMerge/>
            <w:tcBorders>
              <w:left w:val="single" w:sz="4" w:space="0" w:color="000000"/>
              <w:right w:val="single" w:sz="4" w:space="0" w:color="000000"/>
            </w:tcBorders>
            <w:shd w:val="clear" w:color="auto" w:fill="D2D2D2"/>
          </w:tcPr>
          <w:p>
            <w:pPr/>
          </w:p>
        </w:tc>
        <w:tc>
          <w:tcPr>
            <w:tcW w:w="1148" w:type="dxa"/>
            <w:gridSpan w:val="3"/>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right w:val="single" w:sz="4" w:space="0" w:color="FFFFFF"/>
            </w:tcBorders>
            <w:shd w:val="clear" w:color="auto" w:fill="D2D2D2"/>
          </w:tcPr>
          <w:p>
            <w:pPr/>
          </w:p>
        </w:tc>
        <w:tc>
          <w:tcPr>
            <w:tcW w:w="547"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4" w:hRule="exact"/>
        </w:trPr>
        <w:tc>
          <w:tcPr>
            <w:tcW w:w="1510" w:type="dxa"/>
            <w:vMerge/>
            <w:tcBorders>
              <w:left w:val="single" w:sz="4" w:space="0" w:color="000000"/>
              <w:right w:val="single" w:sz="4" w:space="0" w:color="000000"/>
            </w:tcBorders>
            <w:shd w:val="clear" w:color="auto" w:fill="D2D2D2"/>
          </w:tcPr>
          <w:p>
            <w:pPr/>
          </w:p>
        </w:tc>
        <w:tc>
          <w:tcPr>
            <w:tcW w:w="1190" w:type="dxa"/>
            <w:vMerge/>
            <w:tcBorders>
              <w:left w:val="single" w:sz="4" w:space="0" w:color="000000"/>
              <w:right w:val="single" w:sz="4" w:space="0" w:color="000000"/>
            </w:tcBorders>
            <w:shd w:val="clear" w:color="auto" w:fill="D2D2D2"/>
          </w:tcPr>
          <w:p>
            <w:pPr/>
          </w:p>
        </w:tc>
        <w:tc>
          <w:tcPr>
            <w:tcW w:w="1148"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91" w:right="8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47" w:type="dxa"/>
            <w:vMerge/>
            <w:tcBorders>
              <w:left w:val="single" w:sz="4" w:space="0" w:color="000000"/>
              <w:bottom w:val="nil" w:sz="6" w:space="0" w:color="auto"/>
              <w:right w:val="single" w:sz="4" w:space="0" w:color="000000"/>
            </w:tcBorders>
            <w:shd w:val="clear" w:color="auto" w:fill="D2D2D2"/>
          </w:tcPr>
          <w:p>
            <w:pPr/>
          </w:p>
        </w:tc>
        <w:tc>
          <w:tcPr>
            <w:tcW w:w="1095" w:type="dxa"/>
            <w:vMerge/>
            <w:tcBorders>
              <w:left w:val="single" w:sz="4" w:space="0" w:color="000000"/>
              <w:right w:val="single" w:sz="4" w:space="0" w:color="FFFFFF"/>
            </w:tcBorders>
            <w:shd w:val="clear" w:color="auto" w:fill="D2D2D2"/>
          </w:tcPr>
          <w:p>
            <w:pPr/>
          </w:p>
        </w:tc>
        <w:tc>
          <w:tcPr>
            <w:tcW w:w="547"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3"/>
              <w:ind w:left="86" w:right="84"/>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181"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1510" w:type="dxa"/>
            <w:vMerge/>
            <w:tcBorders>
              <w:left w:val="single" w:sz="4" w:space="0" w:color="000000"/>
              <w:bottom w:val="single" w:sz="4" w:space="0" w:color="FFFFFF"/>
              <w:right w:val="single" w:sz="4" w:space="0" w:color="000000"/>
            </w:tcBorders>
            <w:shd w:val="clear" w:color="auto" w:fill="D2D2D2"/>
          </w:tcPr>
          <w:p>
            <w:pPr/>
          </w:p>
        </w:tc>
        <w:tc>
          <w:tcPr>
            <w:tcW w:w="1190" w:type="dxa"/>
            <w:vMerge/>
            <w:tcBorders>
              <w:left w:val="single" w:sz="4" w:space="0" w:color="000000"/>
              <w:bottom w:val="single" w:sz="4" w:space="0" w:color="FFFFFF"/>
              <w:right w:val="single" w:sz="4" w:space="0" w:color="000000"/>
            </w:tcBorders>
            <w:shd w:val="clear" w:color="auto" w:fill="D2D2D2"/>
          </w:tcPr>
          <w:p>
            <w:pPr/>
          </w:p>
        </w:tc>
        <w:tc>
          <w:tcPr>
            <w:tcW w:w="3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7"/>
              <w:ind w:left="96" w:right="95"/>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37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87"/>
              <w:ind w:left="91" w:right="95"/>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3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6" w:right="84"/>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1095" w:type="dxa"/>
            <w:vMerge/>
            <w:tcBorders>
              <w:left w:val="single" w:sz="4" w:space="0" w:color="000000"/>
              <w:bottom w:val="nil" w:sz="6" w:space="0" w:color="auto"/>
              <w:right w:val="single" w:sz="4" w:space="0" w:color="FFFFFF"/>
            </w:tcBorders>
            <w:shd w:val="clear" w:color="auto" w:fill="D2D2D2"/>
          </w:tcPr>
          <w:p>
            <w:pPr/>
          </w:p>
        </w:tc>
        <w:tc>
          <w:tcPr>
            <w:tcW w:w="547"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9"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193" w:hRule="exact"/>
        </w:trPr>
        <w:tc>
          <w:tcPr>
            <w:tcW w:w="1510" w:type="dxa"/>
            <w:vMerge w:val="restart"/>
            <w:tcBorders>
              <w:top w:val="single" w:sz="4" w:space="0" w:color="FFFFFF"/>
              <w:left w:val="single" w:sz="4" w:space="0" w:color="000000"/>
              <w:right w:val="single" w:sz="4" w:space="0" w:color="000000"/>
            </w:tcBorders>
            <w:shd w:val="clear" w:color="auto" w:fill="D2D2D2"/>
          </w:tcPr>
          <w:p>
            <w:pPr/>
          </w:p>
        </w:tc>
        <w:tc>
          <w:tcPr>
            <w:tcW w:w="11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84" w:type="dxa"/>
            <w:vMerge/>
            <w:tcBorders>
              <w:left w:val="single" w:sz="4" w:space="0" w:color="000000"/>
              <w:right w:val="single" w:sz="4" w:space="0" w:color="000000"/>
            </w:tcBorders>
            <w:shd w:val="clear" w:color="auto" w:fill="D2D2D2"/>
          </w:tcPr>
          <w:p>
            <w:pPr/>
          </w:p>
        </w:tc>
        <w:tc>
          <w:tcPr>
            <w:tcW w:w="379" w:type="dxa"/>
            <w:vMerge/>
            <w:tcBorders>
              <w:left w:val="single" w:sz="4" w:space="0" w:color="000000"/>
              <w:right w:val="single" w:sz="4" w:space="0" w:color="000000"/>
            </w:tcBorders>
            <w:shd w:val="clear" w:color="auto" w:fill="D2D2D2"/>
          </w:tcPr>
          <w:p>
            <w:pPr/>
          </w:p>
        </w:tc>
        <w:tc>
          <w:tcPr>
            <w:tcW w:w="3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3"/>
              <w:ind w:left="96" w:right="95"/>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28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2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52" w:type="dxa"/>
            <w:vMerge/>
            <w:tcBorders>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47"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552"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10" w:type="dxa"/>
            <w:vMerge/>
            <w:tcBorders>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379" w:type="dxa"/>
            <w:vMerge/>
            <w:tcBorders>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1095" w:type="dxa"/>
            <w:vMerge/>
            <w:tcBorders>
              <w:left w:val="single" w:sz="4" w:space="0" w:color="000000"/>
              <w:bottom w:val="nil" w:sz="6" w:space="0" w:color="auto"/>
              <w:right w:val="single" w:sz="4" w:space="0" w:color="FFFFFF"/>
            </w:tcBorders>
            <w:shd w:val="clear" w:color="auto" w:fill="D2D2D2"/>
          </w:tcPr>
          <w:p>
            <w:pPr/>
          </w:p>
        </w:tc>
        <w:tc>
          <w:tcPr>
            <w:tcW w:w="547"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32" w:hRule="exact"/>
        </w:trPr>
        <w:tc>
          <w:tcPr>
            <w:tcW w:w="1510" w:type="dxa"/>
            <w:vMerge/>
            <w:tcBorders>
              <w:left w:val="single" w:sz="4" w:space="0" w:color="000000"/>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379" w:type="dxa"/>
            <w:vMerge/>
            <w:tcBorders>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547" w:type="dxa"/>
            <w:vMerge/>
            <w:tcBorders>
              <w:left w:val="single" w:sz="4" w:space="0" w:color="000000"/>
              <w:bottom w:val="nil" w:sz="6" w:space="0" w:color="auto"/>
              <w:right w:val="single" w:sz="4" w:space="0" w:color="000000"/>
            </w:tcBorders>
            <w:shd w:val="clear" w:color="auto" w:fill="D2D2D2"/>
          </w:tcPr>
          <w:p>
            <w:pPr/>
          </w:p>
        </w:tc>
        <w:tc>
          <w:tcPr>
            <w:tcW w:w="1095" w:type="dxa"/>
            <w:vMerge w:val="restart"/>
            <w:tcBorders>
              <w:top w:val="nil" w:sz="6" w:space="0" w:color="auto"/>
              <w:left w:val="single" w:sz="4" w:space="0" w:color="000000"/>
              <w:right w:val="single" w:sz="4" w:space="0" w:color="FFFFFF"/>
            </w:tcBorders>
            <w:shd w:val="clear" w:color="auto" w:fill="D2D2D2"/>
          </w:tcPr>
          <w:p>
            <w:pPr/>
          </w:p>
        </w:tc>
        <w:tc>
          <w:tcPr>
            <w:tcW w:w="547"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52" w:type="dxa"/>
            <w:vMerge w:val="restart"/>
            <w:tcBorders>
              <w:top w:val="nil" w:sz="6" w:space="0" w:color="auto"/>
              <w:left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2" w:hRule="exact"/>
        </w:trPr>
        <w:tc>
          <w:tcPr>
            <w:tcW w:w="1510" w:type="dxa"/>
            <w:vMerge/>
            <w:tcBorders>
              <w:left w:val="single" w:sz="4" w:space="0" w:color="000000"/>
              <w:right w:val="single" w:sz="4" w:space="0" w:color="000000"/>
            </w:tcBorders>
            <w:shd w:val="clear" w:color="auto" w:fill="D2D2D2"/>
          </w:tcPr>
          <w:p>
            <w:pPr/>
          </w:p>
        </w:tc>
        <w:tc>
          <w:tcPr>
            <w:tcW w:w="1190" w:type="dxa"/>
            <w:vMerge/>
            <w:tcBorders>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379" w:type="dxa"/>
            <w:vMerge/>
            <w:tcBorders>
              <w:left w:val="single" w:sz="4" w:space="0" w:color="000000"/>
              <w:right w:val="single" w:sz="4" w:space="0" w:color="000000"/>
            </w:tcBorders>
            <w:shd w:val="clear" w:color="auto" w:fill="D2D2D2"/>
          </w:tcPr>
          <w:p>
            <w:pPr/>
          </w:p>
        </w:tc>
        <w:tc>
          <w:tcPr>
            <w:tcW w:w="384"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
        </w:tc>
        <w:tc>
          <w:tcPr>
            <w:tcW w:w="1095" w:type="dxa"/>
            <w:vMerge/>
            <w:tcBorders>
              <w:left w:val="single" w:sz="4" w:space="0" w:color="000000"/>
              <w:right w:val="single" w:sz="4" w:space="0" w:color="FFFFFF"/>
            </w:tcBorders>
            <w:shd w:val="clear" w:color="auto" w:fill="D2D2D2"/>
          </w:tcPr>
          <w:p>
            <w:pPr/>
          </w:p>
        </w:tc>
        <w:tc>
          <w:tcPr>
            <w:tcW w:w="547" w:type="dxa"/>
            <w:vMerge/>
            <w:tcBorders>
              <w:left w:val="single" w:sz="4" w:space="0" w:color="FFFFFF"/>
              <w:bottom w:val="nil" w:sz="6" w:space="0" w:color="auto"/>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552"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96" w:hRule="exact"/>
        </w:trPr>
        <w:tc>
          <w:tcPr>
            <w:tcW w:w="1510"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384" w:type="dxa"/>
            <w:vMerge/>
            <w:tcBorders>
              <w:left w:val="single" w:sz="4" w:space="0" w:color="000000"/>
              <w:bottom w:val="single" w:sz="4" w:space="0" w:color="000000"/>
              <w:right w:val="single" w:sz="4" w:space="0" w:color="000000"/>
            </w:tcBorders>
            <w:shd w:val="clear" w:color="auto" w:fill="D2D2D2"/>
          </w:tcPr>
          <w:p>
            <w:pPr/>
          </w:p>
        </w:tc>
        <w:tc>
          <w:tcPr>
            <w:tcW w:w="379" w:type="dxa"/>
            <w:vMerge/>
            <w:tcBorders>
              <w:left w:val="single" w:sz="4" w:space="0" w:color="000000"/>
              <w:bottom w:val="single" w:sz="4" w:space="0" w:color="000000"/>
              <w:right w:val="single" w:sz="4" w:space="0" w:color="000000"/>
            </w:tcBorders>
            <w:shd w:val="clear" w:color="auto" w:fill="D2D2D2"/>
          </w:tcPr>
          <w:p>
            <w:pPr/>
          </w:p>
        </w:tc>
        <w:tc>
          <w:tcPr>
            <w:tcW w:w="3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7"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FFFFFF"/>
            </w:tcBorders>
            <w:shd w:val="clear" w:color="auto" w:fill="D2D2D2"/>
          </w:tcPr>
          <w:p>
            <w:pPr/>
          </w:p>
        </w:tc>
        <w:tc>
          <w:tcPr>
            <w:tcW w:w="547"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277,031,708.00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1,184,086,255.80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150,004,584.16</w:t>
            </w: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84,877,947.23</w:t>
            </w: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1,422,317,277.47</w:t>
            </w: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1,422,317,277.47</w:t>
            </w:r>
          </w:p>
        </w:tc>
      </w:tr>
      <w:tr>
        <w:trPr>
          <w:trHeight w:val="716"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41" w:firstLine="360"/>
              <w:jc w:val="left"/>
              <w:rPr>
                <w:rFonts w:ascii="宋体" w:hAnsi="宋体" w:cs="宋体" w:eastAsia="宋体" w:hint="default"/>
                <w:sz w:val="18"/>
                <w:szCs w:val="18"/>
              </w:rPr>
            </w:pPr>
            <w:r>
              <w:rPr>
                <w:rFonts w:ascii="宋体" w:hAnsi="宋体" w:cs="宋体" w:eastAsia="宋体" w:hint="default"/>
                <w:spacing w:val="-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1" w:firstLine="719"/>
              <w:jc w:val="left"/>
              <w:rPr>
                <w:rFonts w:ascii="宋体" w:hAnsi="宋体" w:cs="宋体" w:eastAsia="宋体" w:hint="default"/>
                <w:sz w:val="18"/>
                <w:szCs w:val="18"/>
              </w:rPr>
            </w:pPr>
            <w:r>
              <w:rPr>
                <w:rFonts w:ascii="宋体" w:hAnsi="宋体" w:cs="宋体" w:eastAsia="宋体" w:hint="default"/>
                <w:sz w:val="18"/>
                <w:szCs w:val="18"/>
              </w:rPr>
              <w:t>同一控制</w:t>
            </w:r>
            <w:r>
              <w:rPr>
                <w:rFonts w:ascii="宋体" w:hAnsi="宋体" w:cs="宋体" w:eastAsia="宋体" w:hint="default"/>
                <w:w w:val="101"/>
                <w:sz w:val="18"/>
                <w:szCs w:val="18"/>
              </w:rPr>
              <w:t> </w:t>
            </w:r>
            <w:r>
              <w:rPr>
                <w:rFonts w:ascii="宋体" w:hAnsi="宋体" w:cs="宋体" w:eastAsia="宋体" w:hint="default"/>
                <w:sz w:val="18"/>
                <w:szCs w:val="18"/>
              </w:rPr>
              <w:t>下企业合并</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277,031,708.00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1,184,086,255.80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150,004,584.16</w:t>
            </w: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84,877,947.23</w:t>
            </w: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1,422,317,277.47</w:t>
            </w: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1,422,317,277.47</w:t>
            </w:r>
          </w:p>
        </w:tc>
      </w:tr>
      <w:tr>
        <w:trPr>
          <w:trHeight w:val="1028"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1" w:right="41"/>
              <w:jc w:val="both"/>
              <w:rPr>
                <w:rFonts w:ascii="宋体" w:hAnsi="宋体" w:cs="宋体" w:eastAsia="宋体" w:hint="default"/>
                <w:sz w:val="18"/>
                <w:szCs w:val="18"/>
              </w:rPr>
            </w:pPr>
            <w:r>
              <w:rPr>
                <w:rFonts w:ascii="宋体" w:hAnsi="宋体" w:cs="宋体" w:eastAsia="宋体" w:hint="default"/>
                <w:spacing w:val="-2"/>
                <w:sz w:val="18"/>
                <w:szCs w:val="18"/>
              </w:rPr>
              <w:t>三、本期增减变动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4,264,000.00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87,428,959.67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3,381,790.31</w:t>
            </w: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137,910,072.04</w:t>
            </w: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232,984,822.02</w:t>
            </w: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232,984,822.02</w:t>
            </w:r>
          </w:p>
        </w:tc>
      </w:tr>
      <w:tr>
        <w:trPr>
          <w:trHeight w:val="716"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1"/>
              <w:jc w:val="left"/>
              <w:rPr>
                <w:rFonts w:ascii="宋体" w:hAnsi="宋体" w:cs="宋体" w:eastAsia="宋体" w:hint="default"/>
                <w:sz w:val="18"/>
                <w:szCs w:val="18"/>
              </w:rPr>
            </w:pPr>
            <w:r>
              <w:rPr>
                <w:rFonts w:ascii="宋体" w:hAnsi="宋体" w:cs="宋体" w:eastAsia="宋体" w:hint="default"/>
                <w:spacing w:val="-2"/>
                <w:sz w:val="18"/>
                <w:szCs w:val="18"/>
              </w:rPr>
              <w:t>（一）综合收益总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141,291,862.35</w:t>
            </w: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141,291,862.35</w:t>
            </w: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141,291,862.35</w:t>
            </w:r>
          </w:p>
        </w:tc>
      </w:tr>
      <w:tr>
        <w:trPr>
          <w:trHeight w:val="715"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41"/>
              <w:jc w:val="left"/>
              <w:rPr>
                <w:rFonts w:ascii="宋体" w:hAnsi="宋体" w:cs="宋体" w:eastAsia="宋体" w:hint="default"/>
                <w:sz w:val="18"/>
                <w:szCs w:val="18"/>
              </w:rPr>
            </w:pPr>
            <w:r>
              <w:rPr>
                <w:rFonts w:ascii="宋体" w:hAnsi="宋体" w:cs="宋体" w:eastAsia="宋体" w:hint="default"/>
                <w:spacing w:val="-2"/>
                <w:sz w:val="18"/>
                <w:szCs w:val="18"/>
              </w:rPr>
              <w:t>（二）所有者投入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和减少资本</w:t>
            </w:r>
          </w:p>
        </w:tc>
        <w:tc>
          <w:tcPr>
            <w:tcW w:w="1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4,264,000.00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87,428,959.67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FFFFFF"/>
            </w:tcBorders>
          </w:tcPr>
          <w:p>
            <w:pPr/>
          </w:p>
        </w:tc>
        <w:tc>
          <w:tcPr>
            <w:tcW w:w="547"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91,692,959.67</w:t>
            </w: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91,692,959.67</w:t>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863" w:footer="974" w:top="1060" w:bottom="1160" w:left="1300" w:right="1280"/>
          <w:pgNumType w:start="123"/>
        </w:sectPr>
      </w:pPr>
    </w:p>
    <w:p>
      <w:pPr>
        <w:spacing w:line="240" w:lineRule="auto" w:before="7"/>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22"/>
        <w:gridCol w:w="1190"/>
        <w:gridCol w:w="384"/>
        <w:gridCol w:w="379"/>
        <w:gridCol w:w="384"/>
        <w:gridCol w:w="1316"/>
        <w:gridCol w:w="1181"/>
        <w:gridCol w:w="552"/>
        <w:gridCol w:w="547"/>
        <w:gridCol w:w="1095"/>
        <w:gridCol w:w="547"/>
        <w:gridCol w:w="1181"/>
        <w:gridCol w:w="552"/>
        <w:gridCol w:w="1320"/>
        <w:gridCol w:w="552"/>
        <w:gridCol w:w="1316"/>
      </w:tblGrid>
      <w:tr>
        <w:trPr>
          <w:trHeight w:val="730" w:hRule="exact"/>
        </w:trPr>
        <w:tc>
          <w:tcPr>
            <w:tcW w:w="152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．所有者投入的普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通股</w:t>
            </w:r>
          </w:p>
        </w:tc>
        <w:tc>
          <w:tcPr>
            <w:tcW w:w="1190" w:type="dxa"/>
            <w:tcBorders>
              <w:top w:val="single" w:sz="15" w:space="0" w:color="000000"/>
              <w:left w:val="single" w:sz="12" w:space="0" w:color="D2D2D2"/>
              <w:bottom w:val="single" w:sz="4" w:space="0" w:color="000000"/>
              <w:right w:val="single" w:sz="4" w:space="0" w:color="000000"/>
            </w:tcBorders>
          </w:tcPr>
          <w:p>
            <w:pPr/>
          </w:p>
        </w:tc>
        <w:tc>
          <w:tcPr>
            <w:tcW w:w="384" w:type="dxa"/>
            <w:tcBorders>
              <w:top w:val="single" w:sz="15" w:space="0" w:color="000000"/>
              <w:left w:val="single" w:sz="4" w:space="0" w:color="000000"/>
              <w:bottom w:val="single" w:sz="4" w:space="0" w:color="000000"/>
              <w:right w:val="single" w:sz="4" w:space="0" w:color="000000"/>
            </w:tcBorders>
          </w:tcPr>
          <w:p>
            <w:pPr/>
          </w:p>
        </w:tc>
        <w:tc>
          <w:tcPr>
            <w:tcW w:w="379" w:type="dxa"/>
            <w:tcBorders>
              <w:top w:val="single" w:sz="15" w:space="0" w:color="000000"/>
              <w:left w:val="single" w:sz="4" w:space="0" w:color="000000"/>
              <w:bottom w:val="single" w:sz="4" w:space="0" w:color="000000"/>
              <w:right w:val="single" w:sz="4" w:space="0" w:color="000000"/>
            </w:tcBorders>
          </w:tcPr>
          <w:p>
            <w:pPr/>
          </w:p>
        </w:tc>
        <w:tc>
          <w:tcPr>
            <w:tcW w:w="384"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．其他权益工具持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有者投入资本</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．股份支付计入所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有者权益的金额</w:t>
            </w:r>
          </w:p>
        </w:tc>
        <w:tc>
          <w:tcPr>
            <w:tcW w:w="1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4,264,000.00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87,428,959.67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91,692,959.67</w:t>
            </w: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91,692,959.67</w:t>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3,381,790.31</w:t>
            </w: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-3,381,790.31</w:t>
            </w: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3,381,790.31</w:t>
            </w: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-3,381,790.31</w:t>
            </w: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．提取一般风险准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．对所有者（或股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东）的分配</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pacing w:val="-2"/>
                <w:sz w:val="18"/>
                <w:szCs w:val="18"/>
              </w:rPr>
              <w:t>（四）所有者权益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内部结转</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本（或股本）</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本（或股本）</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．盈余公积弥补亏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损</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．设定受益计划变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动额结转留存收益</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 w:right="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．其他综合收益结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转留存收益</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0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22"/>
        <w:gridCol w:w="1190"/>
        <w:gridCol w:w="384"/>
        <w:gridCol w:w="379"/>
        <w:gridCol w:w="384"/>
        <w:gridCol w:w="1316"/>
        <w:gridCol w:w="1181"/>
        <w:gridCol w:w="552"/>
        <w:gridCol w:w="547"/>
        <w:gridCol w:w="1095"/>
        <w:gridCol w:w="547"/>
        <w:gridCol w:w="1181"/>
        <w:gridCol w:w="552"/>
        <w:gridCol w:w="1320"/>
        <w:gridCol w:w="552"/>
        <w:gridCol w:w="1316"/>
      </w:tblGrid>
      <w:tr>
        <w:trPr>
          <w:trHeight w:val="418" w:hRule="exact"/>
        </w:trPr>
        <w:tc>
          <w:tcPr>
            <w:tcW w:w="152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0" w:type="dxa"/>
            <w:tcBorders>
              <w:top w:val="single" w:sz="15" w:space="0" w:color="000000"/>
              <w:left w:val="single" w:sz="12" w:space="0" w:color="D2D2D2"/>
              <w:bottom w:val="single" w:sz="4" w:space="0" w:color="000000"/>
              <w:right w:val="single" w:sz="4" w:space="0" w:color="000000"/>
            </w:tcBorders>
          </w:tcPr>
          <w:p>
            <w:pPr/>
          </w:p>
        </w:tc>
        <w:tc>
          <w:tcPr>
            <w:tcW w:w="384" w:type="dxa"/>
            <w:tcBorders>
              <w:top w:val="single" w:sz="15" w:space="0" w:color="000000"/>
              <w:left w:val="single" w:sz="4" w:space="0" w:color="000000"/>
              <w:bottom w:val="single" w:sz="4" w:space="0" w:color="000000"/>
              <w:right w:val="single" w:sz="4" w:space="0" w:color="000000"/>
            </w:tcBorders>
          </w:tcPr>
          <w:p>
            <w:pPr/>
          </w:p>
        </w:tc>
        <w:tc>
          <w:tcPr>
            <w:tcW w:w="379" w:type="dxa"/>
            <w:tcBorders>
              <w:top w:val="single" w:sz="15" w:space="0" w:color="000000"/>
              <w:left w:val="single" w:sz="4" w:space="0" w:color="000000"/>
              <w:bottom w:val="single" w:sz="4" w:space="0" w:color="000000"/>
              <w:right w:val="single" w:sz="4" w:space="0" w:color="000000"/>
            </w:tcBorders>
          </w:tcPr>
          <w:p>
            <w:pPr/>
          </w:p>
        </w:tc>
        <w:tc>
          <w:tcPr>
            <w:tcW w:w="384"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0" w:type="dxa"/>
            <w:tcBorders>
              <w:top w:val="single" w:sz="4" w:space="0" w:color="000000"/>
              <w:left w:val="single" w:sz="12" w:space="0" w:color="D2D2D2"/>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281,295,708.00</w:t>
            </w: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1,271,515,215.47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150,004,584.16</w:t>
            </w:r>
          </w:p>
        </w:tc>
        <w:tc>
          <w:tcPr>
            <w:tcW w:w="552"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29,707,740.91</w:t>
            </w:r>
          </w:p>
        </w:tc>
        <w:tc>
          <w:tcPr>
            <w:tcW w:w="54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222,788,019.27</w:t>
            </w:r>
          </w:p>
        </w:tc>
        <w:tc>
          <w:tcPr>
            <w:tcW w:w="55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1,655,302,099.49</w:t>
            </w:r>
          </w:p>
        </w:tc>
        <w:tc>
          <w:tcPr>
            <w:tcW w:w="55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1,655,302,099.49</w:t>
            </w:r>
          </w:p>
        </w:tc>
      </w:tr>
    </w:tbl>
    <w:p>
      <w:pPr>
        <w:pStyle w:val="BodyText"/>
        <w:spacing w:line="240" w:lineRule="auto" w:before="53"/>
        <w:ind w:left="140" w:right="0"/>
        <w:jc w:val="left"/>
      </w:pPr>
      <w:r>
        <w:rPr/>
        <w:t>上期金额</w:t>
      </w:r>
    </w:p>
    <w:p>
      <w:pPr>
        <w:pStyle w:val="BodyText"/>
        <w:spacing w:line="240" w:lineRule="auto" w:before="115"/>
        <w:ind w:left="0" w:right="148"/>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53"/>
        <w:gridCol w:w="1195"/>
        <w:gridCol w:w="360"/>
        <w:gridCol w:w="360"/>
        <w:gridCol w:w="422"/>
        <w:gridCol w:w="1316"/>
        <w:gridCol w:w="1181"/>
        <w:gridCol w:w="547"/>
        <w:gridCol w:w="547"/>
        <w:gridCol w:w="1090"/>
        <w:gridCol w:w="552"/>
        <w:gridCol w:w="1172"/>
        <w:gridCol w:w="533"/>
        <w:gridCol w:w="1316"/>
        <w:gridCol w:w="648"/>
        <w:gridCol w:w="1316"/>
      </w:tblGrid>
      <w:tr>
        <w:trPr>
          <w:trHeight w:val="404" w:hRule="exact"/>
        </w:trPr>
        <w:tc>
          <w:tcPr>
            <w:tcW w:w="1453" w:type="dxa"/>
            <w:vMerge w:val="restart"/>
            <w:tcBorders>
              <w:top w:val="single" w:sz="4" w:space="0" w:color="000000"/>
              <w:left w:val="single" w:sz="4" w:space="0" w:color="000000"/>
              <w:right w:val="single" w:sz="4" w:space="0" w:color="000000"/>
            </w:tcBorders>
            <w:shd w:val="clear" w:color="auto" w:fill="D2D2D2"/>
          </w:tcPr>
          <w:p>
            <w:pPr/>
          </w:p>
        </w:tc>
        <w:tc>
          <w:tcPr>
            <w:tcW w:w="125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398" w:hRule="exact"/>
        </w:trPr>
        <w:tc>
          <w:tcPr>
            <w:tcW w:w="1453" w:type="dxa"/>
            <w:vMerge/>
            <w:tcBorders>
              <w:left w:val="single" w:sz="4" w:space="0" w:color="000000"/>
              <w:right w:val="single" w:sz="4" w:space="0" w:color="000000"/>
            </w:tcBorders>
            <w:shd w:val="clear" w:color="auto" w:fill="D2D2D2"/>
          </w:tcPr>
          <w:p>
            <w:pPr/>
          </w:p>
        </w:tc>
        <w:tc>
          <w:tcPr>
            <w:tcW w:w="1059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8"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42" w:hRule="exact"/>
        </w:trPr>
        <w:tc>
          <w:tcPr>
            <w:tcW w:w="1453"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547"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51" w:hRule="exact"/>
        </w:trPr>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vMerge/>
            <w:tcBorders>
              <w:left w:val="single" w:sz="4" w:space="0" w:color="000000"/>
              <w:right w:val="single" w:sz="4" w:space="0" w:color="000000"/>
            </w:tcBorders>
            <w:shd w:val="clear" w:color="auto" w:fill="D2D2D2"/>
          </w:tcPr>
          <w:p>
            <w:pPr/>
          </w:p>
        </w:tc>
        <w:tc>
          <w:tcPr>
            <w:tcW w:w="1143"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0"/>
              <w:ind w:left="91" w:right="7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47"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55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0"/>
              <w:ind w:left="91" w:right="84"/>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17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3"/>
              <w:ind w:left="47" w:right="4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46" w:hRule="exact"/>
        </w:trPr>
        <w:tc>
          <w:tcPr>
            <w:tcW w:w="1453" w:type="dxa"/>
            <w:vMerge/>
            <w:tcBorders>
              <w:left w:val="single" w:sz="4" w:space="0" w:color="000000"/>
              <w:bottom w:val="single" w:sz="4" w:space="0" w:color="FFFFFF"/>
              <w:right w:val="single" w:sz="4" w:space="0" w:color="000000"/>
            </w:tcBorders>
            <w:shd w:val="clear" w:color="auto" w:fill="D2D2D2"/>
          </w:tcPr>
          <w:p>
            <w:pPr/>
          </w:p>
        </w:tc>
        <w:tc>
          <w:tcPr>
            <w:tcW w:w="1195" w:type="dxa"/>
            <w:vMerge/>
            <w:tcBorders>
              <w:left w:val="single" w:sz="4" w:space="0" w:color="000000"/>
              <w:bottom w:val="single" w:sz="4" w:space="0" w:color="FFFFFF"/>
              <w:right w:val="single" w:sz="4" w:space="0" w:color="000000"/>
            </w:tcBorders>
            <w:shd w:val="clear" w:color="auto" w:fill="D2D2D2"/>
          </w:tcPr>
          <w:p>
            <w:pPr/>
          </w:p>
        </w:tc>
        <w:tc>
          <w:tcPr>
            <w:tcW w:w="3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81" w:right="84"/>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3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81" w:right="84"/>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22"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1" w:right="79"/>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left="19"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198" w:hRule="exact"/>
        </w:trPr>
        <w:tc>
          <w:tcPr>
            <w:tcW w:w="1453" w:type="dxa"/>
            <w:vMerge w:val="restart"/>
            <w:tcBorders>
              <w:top w:val="single" w:sz="4" w:space="0" w:color="FFFFFF"/>
              <w:left w:val="single" w:sz="4" w:space="0" w:color="000000"/>
              <w:right w:val="single" w:sz="4" w:space="0" w:color="000000"/>
            </w:tcBorders>
            <w:shd w:val="clear" w:color="auto" w:fill="D2D2D2"/>
          </w:tcPr>
          <w:p>
            <w:pPr/>
          </w:p>
        </w:tc>
        <w:tc>
          <w:tcPr>
            <w:tcW w:w="119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28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47" w:type="dxa"/>
            <w:vMerge/>
            <w:tcBorders>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52" w:type="dxa"/>
            <w:vMerge/>
            <w:tcBorders>
              <w:left w:val="single" w:sz="4" w:space="0" w:color="000000"/>
              <w:right w:val="single" w:sz="4" w:space="0" w:color="000000"/>
            </w:tcBorders>
            <w:shd w:val="clear" w:color="auto" w:fill="D2D2D2"/>
          </w:tcPr>
          <w:p>
            <w:pPr/>
          </w:p>
        </w:tc>
        <w:tc>
          <w:tcPr>
            <w:tcW w:w="11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648"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45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453"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547"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172" w:type="dxa"/>
            <w:vMerge w:val="restart"/>
            <w:tcBorders>
              <w:top w:val="nil" w:sz="6" w:space="0" w:color="auto"/>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34" w:hRule="exact"/>
        </w:trPr>
        <w:tc>
          <w:tcPr>
            <w:tcW w:w="145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360"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547" w:type="dxa"/>
            <w:vMerge/>
            <w:tcBorders>
              <w:left w:val="single" w:sz="4" w:space="0" w:color="000000"/>
              <w:bottom w:val="nil" w:sz="6" w:space="0" w:color="auto"/>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453"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360" w:type="dxa"/>
            <w:vMerge/>
            <w:tcBorders>
              <w:left w:val="single" w:sz="4" w:space="0" w:color="000000"/>
              <w:bottom w:val="single" w:sz="4" w:space="0" w:color="000000"/>
              <w:right w:val="single" w:sz="4" w:space="0" w:color="000000"/>
            </w:tcBorders>
            <w:shd w:val="clear" w:color="auto" w:fill="D2D2D2"/>
          </w:tcPr>
          <w:p>
            <w:pPr/>
          </w:p>
        </w:tc>
        <w:tc>
          <w:tcPr>
            <w:tcW w:w="360"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547"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一、上年期末余额</w:t>
            </w:r>
          </w:p>
        </w:tc>
        <w:tc>
          <w:tcPr>
            <w:tcW w:w="119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277,031,708.00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1,181,374,804.82</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26,325,950.60</w:t>
            </w: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-37,290,619.88</w:t>
            </w: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1,447,441,843.54</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1,447,441,843.54</w:t>
            </w:r>
          </w:p>
        </w:tc>
      </w:tr>
      <w:tr>
        <w:trPr>
          <w:trHeight w:val="710" w:hRule="exact"/>
        </w:trPr>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 w:firstLine="360"/>
              <w:jc w:val="left"/>
              <w:rPr>
                <w:rFonts w:ascii="宋体" w:hAnsi="宋体" w:cs="宋体" w:eastAsia="宋体" w:hint="default"/>
                <w:sz w:val="18"/>
                <w:szCs w:val="18"/>
              </w:rPr>
            </w:pPr>
            <w:r>
              <w:rPr>
                <w:rFonts w:ascii="宋体" w:hAnsi="宋体" w:cs="宋体" w:eastAsia="宋体" w:hint="default"/>
                <w:spacing w:val="-5"/>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6" w:firstLine="719"/>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二、本年期初余额</w:t>
            </w:r>
          </w:p>
        </w:tc>
        <w:tc>
          <w:tcPr>
            <w:tcW w:w="119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277,031,708.00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1,181,374,804.82</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26,325,950.60</w:t>
            </w: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-37,290,619.88</w:t>
            </w: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1,447,441,843.54</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1,447,441,843.54</w:t>
            </w:r>
          </w:p>
        </w:tc>
      </w:tr>
      <w:tr>
        <w:trPr>
          <w:trHeight w:val="677" w:hRule="exact"/>
        </w:trPr>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三、本期增减变动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2,711,450.98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150,004,584.16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2"/>
                <w:sz w:val="18"/>
              </w:rPr>
              <w:t>122,168,567.11</w:t>
            </w: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-25,124,566.07</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-25,124,566.07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0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65"/>
        <w:gridCol w:w="1195"/>
        <w:gridCol w:w="360"/>
        <w:gridCol w:w="360"/>
        <w:gridCol w:w="422"/>
        <w:gridCol w:w="1316"/>
        <w:gridCol w:w="1181"/>
        <w:gridCol w:w="547"/>
        <w:gridCol w:w="547"/>
        <w:gridCol w:w="1090"/>
        <w:gridCol w:w="552"/>
        <w:gridCol w:w="1172"/>
        <w:gridCol w:w="533"/>
        <w:gridCol w:w="1316"/>
        <w:gridCol w:w="648"/>
        <w:gridCol w:w="1316"/>
      </w:tblGrid>
      <w:tr>
        <w:trPr>
          <w:trHeight w:val="379" w:hRule="exact"/>
        </w:trPr>
        <w:tc>
          <w:tcPr>
            <w:tcW w:w="14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195" w:type="dxa"/>
            <w:tcBorders>
              <w:top w:val="single" w:sz="15" w:space="0" w:color="000000"/>
              <w:left w:val="single" w:sz="8" w:space="0" w:color="D2D2D2"/>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1172" w:type="dxa"/>
            <w:tcBorders>
              <w:top w:val="single" w:sz="15" w:space="0" w:color="000000"/>
              <w:left w:val="single" w:sz="4" w:space="0" w:color="000000"/>
              <w:bottom w:val="single" w:sz="4" w:space="0" w:color="000000"/>
              <w:right w:val="single" w:sz="4" w:space="0" w:color="000000"/>
            </w:tcBorders>
          </w:tcPr>
          <w:p>
            <w:pPr/>
          </w:p>
        </w:tc>
        <w:tc>
          <w:tcPr>
            <w:tcW w:w="533"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648"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711"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3"/>
              <w:jc w:val="left"/>
              <w:rPr>
                <w:rFonts w:ascii="宋体" w:hAnsi="宋体" w:cs="宋体" w:eastAsia="宋体" w:hint="default"/>
                <w:sz w:val="18"/>
                <w:szCs w:val="18"/>
              </w:rPr>
            </w:pPr>
            <w:r>
              <w:rPr>
                <w:rFonts w:ascii="宋体" w:hAnsi="宋体" w:cs="宋体" w:eastAsia="宋体" w:hint="default"/>
                <w:spacing w:val="-5"/>
                <w:sz w:val="18"/>
                <w:szCs w:val="18"/>
              </w:rPr>
              <w:t>（一）综合收益总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122,168,567.11</w:t>
            </w: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122,168,567.11</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 w:right="3"/>
              <w:jc w:val="left"/>
              <w:rPr>
                <w:rFonts w:ascii="宋体" w:hAnsi="宋体" w:cs="宋体" w:eastAsia="宋体" w:hint="default"/>
                <w:sz w:val="18"/>
                <w:szCs w:val="18"/>
              </w:rPr>
            </w:pPr>
            <w:r>
              <w:rPr>
                <w:rFonts w:ascii="宋体" w:hAnsi="宋体" w:cs="宋体" w:eastAsia="宋体" w:hint="default"/>
                <w:spacing w:val="-5"/>
                <w:sz w:val="18"/>
                <w:szCs w:val="18"/>
              </w:rPr>
              <w:t>（二）所有者投入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和减少资本</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2,711,450.98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150,004,584.16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-147,293,133.18</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-147,293,133.18</w:t>
            </w:r>
          </w:p>
        </w:tc>
      </w:tr>
      <w:tr>
        <w:trPr>
          <w:trHeight w:val="716"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普通股</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2,711,450.98</w:t>
            </w: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2,711,450.98</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2,711,450.98</w:t>
            </w:r>
          </w:p>
        </w:tc>
      </w:tr>
      <w:tr>
        <w:trPr>
          <w:trHeight w:val="40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150,004,584.16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-150,004,584.16</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3"/>
              <w:jc w:val="left"/>
              <w:rPr>
                <w:rFonts w:ascii="宋体" w:hAnsi="宋体" w:cs="宋体" w:eastAsia="宋体" w:hint="default"/>
                <w:sz w:val="18"/>
                <w:szCs w:val="18"/>
              </w:rPr>
            </w:pPr>
            <w:r>
              <w:rPr>
                <w:rFonts w:ascii="宋体" w:hAnsi="宋体" w:cs="宋体" w:eastAsia="宋体" w:hint="default"/>
                <w:spacing w:val="-5"/>
                <w:sz w:val="18"/>
                <w:szCs w:val="18"/>
              </w:rPr>
              <w:t>（四）所有者权益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内部结转</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0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65"/>
        <w:gridCol w:w="1195"/>
        <w:gridCol w:w="360"/>
        <w:gridCol w:w="360"/>
        <w:gridCol w:w="422"/>
        <w:gridCol w:w="1316"/>
        <w:gridCol w:w="1181"/>
        <w:gridCol w:w="547"/>
        <w:gridCol w:w="547"/>
        <w:gridCol w:w="1090"/>
        <w:gridCol w:w="552"/>
        <w:gridCol w:w="1172"/>
        <w:gridCol w:w="533"/>
        <w:gridCol w:w="1316"/>
        <w:gridCol w:w="648"/>
        <w:gridCol w:w="1316"/>
      </w:tblGrid>
      <w:tr>
        <w:trPr>
          <w:trHeight w:val="730" w:hRule="exact"/>
        </w:trPr>
        <w:tc>
          <w:tcPr>
            <w:tcW w:w="14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1195" w:type="dxa"/>
            <w:tcBorders>
              <w:top w:val="single" w:sz="15" w:space="0" w:color="000000"/>
              <w:left w:val="single" w:sz="8" w:space="0" w:color="D2D2D2"/>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360"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552" w:type="dxa"/>
            <w:tcBorders>
              <w:top w:val="single" w:sz="15" w:space="0" w:color="000000"/>
              <w:left w:val="single" w:sz="4" w:space="0" w:color="000000"/>
              <w:bottom w:val="single" w:sz="4" w:space="0" w:color="000000"/>
              <w:right w:val="single" w:sz="4" w:space="0" w:color="000000"/>
            </w:tcBorders>
          </w:tcPr>
          <w:p>
            <w:pPr/>
          </w:p>
        </w:tc>
        <w:tc>
          <w:tcPr>
            <w:tcW w:w="1172" w:type="dxa"/>
            <w:tcBorders>
              <w:top w:val="single" w:sz="15" w:space="0" w:color="000000"/>
              <w:left w:val="single" w:sz="4" w:space="0" w:color="000000"/>
              <w:bottom w:val="single" w:sz="4" w:space="0" w:color="000000"/>
              <w:right w:val="single" w:sz="4" w:space="0" w:color="000000"/>
            </w:tcBorders>
          </w:tcPr>
          <w:p>
            <w:pPr/>
          </w:p>
        </w:tc>
        <w:tc>
          <w:tcPr>
            <w:tcW w:w="533"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648"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1028"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变动额结转留存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3" w:right="7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结转留存收益</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5" w:type="dxa"/>
            <w:tcBorders>
              <w:top w:val="single" w:sz="4" w:space="0" w:color="000000"/>
              <w:left w:val="single" w:sz="8" w:space="0" w:color="D2D2D2"/>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5"/>
                <w:sz w:val="18"/>
                <w:szCs w:val="18"/>
              </w:rPr>
              <w:t>四、本期期末余额</w:t>
            </w:r>
          </w:p>
        </w:tc>
        <w:tc>
          <w:tcPr>
            <w:tcW w:w="119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277,031,708.00</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1,184,086,255.80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150,004,584.16</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26,325,950.60</w:t>
            </w:r>
          </w:p>
        </w:tc>
        <w:tc>
          <w:tcPr>
            <w:tcW w:w="552"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84,877,947.23</w:t>
            </w:r>
          </w:p>
        </w:tc>
        <w:tc>
          <w:tcPr>
            <w:tcW w:w="53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1,422,317,277.47</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1,422,317,277.47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40"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140" w:right="0"/>
        <w:jc w:val="left"/>
      </w:pPr>
      <w:r>
        <w:rPr/>
        <w:t>本期金额</w:t>
      </w:r>
    </w:p>
    <w:p>
      <w:pPr>
        <w:pStyle w:val="BodyText"/>
        <w:spacing w:line="240" w:lineRule="auto" w:before="119"/>
        <w:ind w:left="0" w:right="148"/>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753"/>
        <w:gridCol w:w="1193"/>
        <w:gridCol w:w="749"/>
        <w:gridCol w:w="749"/>
        <w:gridCol w:w="749"/>
        <w:gridCol w:w="1316"/>
        <w:gridCol w:w="1181"/>
        <w:gridCol w:w="927"/>
        <w:gridCol w:w="927"/>
        <w:gridCol w:w="1094"/>
        <w:gridCol w:w="1148"/>
        <w:gridCol w:w="907"/>
        <w:gridCol w:w="1316"/>
      </w:tblGrid>
      <w:tr>
        <w:trPr>
          <w:trHeight w:val="398" w:hRule="exact"/>
        </w:trPr>
        <w:tc>
          <w:tcPr>
            <w:tcW w:w="17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5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12" w:hRule="exact"/>
        </w:trPr>
        <w:tc>
          <w:tcPr>
            <w:tcW w:w="17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4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2"/>
              <w:ind w:left="278" w:right="94" w:hanging="183"/>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53"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47"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27"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197" w:hRule="exact"/>
        </w:trPr>
        <w:tc>
          <w:tcPr>
            <w:tcW w:w="1753"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53"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277,031,708.00</w:t>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1,184,086,255.80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150,004,584.16</w:t>
            </w:r>
          </w:p>
        </w:tc>
        <w:tc>
          <w:tcPr>
            <w:tcW w:w="927" w:type="dxa"/>
            <w:tcBorders>
              <w:top w:val="single" w:sz="17" w:space="0" w:color="D2D2D2"/>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26,325,950.60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-41,178,664.14</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1,296,260,666.10</w:t>
            </w:r>
          </w:p>
        </w:tc>
      </w:tr>
      <w:tr>
        <w:trPr>
          <w:trHeight w:val="404" w:hRule="exact"/>
        </w:trPr>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政</w:t>
            </w:r>
            <w:r>
              <w:rPr>
                <w:rFonts w:ascii="宋体" w:hAnsi="宋体" w:cs="宋体" w:eastAsia="宋体" w:hint="default"/>
                <w:w w:val="101"/>
                <w:sz w:val="18"/>
                <w:szCs w:val="18"/>
              </w:rPr>
              <w:t>策</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z w:val="18"/>
                <w:szCs w:val="18"/>
              </w:rPr>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正</w:t>
            </w:r>
            <w:r>
              <w:rPr>
                <w:rFonts w:ascii="宋体" w:hAnsi="宋体" w:cs="宋体" w:eastAsia="宋体" w:hint="default"/>
                <w:sz w:val="18"/>
                <w:szCs w:val="18"/>
              </w:rPr>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00" w:right="1280"/>
        </w:sectPr>
      </w:pPr>
    </w:p>
    <w:p>
      <w:pPr>
        <w:spacing w:line="240" w:lineRule="auto" w:before="7"/>
        <w:rPr>
          <w:rFonts w:ascii="Times New Roman" w:hAnsi="Times New Roman" w:cs="Times New Roman" w:eastAsia="Times New Roman" w:hint="default"/>
          <w:sz w:val="3"/>
          <w:szCs w:val="3"/>
        </w:rPr>
      </w:pPr>
      <w:r>
        <w:rPr/>
        <w:pict>
          <v:group style="position:absolute;margin-left:159.649994pt;margin-top:124.850014pt;width:58.6pt;height:7.7pt;mso-position-horizontal-relative:page;mso-position-vertical-relative:page;z-index:-1160872" coordorigin="3193,2497" coordsize="1172,154">
            <v:shape style="position:absolute;left:3193;top:2497;width:1172;height:154" coordorigin="3193,2497" coordsize="1172,154" path="m3193,2651l4365,2651,4365,2497,3193,2497,3193,2651xe" filled="true" fillcolor="#ffffff" stroked="false">
              <v:path arrowok="t"/>
              <v:fill type="solid"/>
            </v:shape>
            <w10:wrap type="none"/>
          </v:group>
        </w:pict>
      </w:r>
      <w:r>
        <w:rPr/>
        <w:pict>
          <v:group style="position:absolute;margin-left:159.649994pt;margin-top:356.540009pt;width:58.6pt;height:28pt;mso-position-horizontal-relative:page;mso-position-vertical-relative:page;z-index:-1160848" coordorigin="3193,7131" coordsize="1172,560">
            <v:group style="position:absolute;left:3193;top:7131;width:1172;height:154" coordorigin="3193,7131" coordsize="1172,154">
              <v:shape style="position:absolute;left:3193;top:7131;width:1172;height:154" coordorigin="3193,7131" coordsize="1172,154" path="m3193,7284l4365,7284,4365,7131,3193,7131,3193,7284xe" filled="true" fillcolor="#ffffff" stroked="false">
                <v:path arrowok="t"/>
                <v:fill type="solid"/>
              </v:shape>
            </v:group>
            <v:group style="position:absolute;left:3205;top:7284;width:2;height:394" coordorigin="3205,7284" coordsize="2,394">
              <v:shape style="position:absolute;left:3205;top:7284;width:2;height:394" coordorigin="3205,7284" coordsize="0,394" path="m3205,7284l3205,7678e" filled="false" stroked="true" strokeweight="1.2pt" strokecolor="#ffffff">
                <v:path arrowok="t"/>
              </v:shape>
            </v:group>
            <v:group style="position:absolute;left:3217;top:7284;width:1124;height:394" coordorigin="3217,7284" coordsize="1124,394">
              <v:shape style="position:absolute;left:3217;top:7284;width:1124;height:394" coordorigin="3217,7284" coordsize="1124,394" path="m3217,7678l4341,7678,4341,7284,3217,7284,3217,7678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765"/>
        <w:gridCol w:w="1193"/>
        <w:gridCol w:w="749"/>
        <w:gridCol w:w="749"/>
        <w:gridCol w:w="749"/>
        <w:gridCol w:w="1316"/>
        <w:gridCol w:w="1181"/>
        <w:gridCol w:w="927"/>
        <w:gridCol w:w="927"/>
        <w:gridCol w:w="1094"/>
        <w:gridCol w:w="1148"/>
        <w:gridCol w:w="907"/>
        <w:gridCol w:w="1316"/>
      </w:tblGrid>
      <w:tr>
        <w:trPr>
          <w:trHeight w:val="418" w:hRule="exact"/>
        </w:trPr>
        <w:tc>
          <w:tcPr>
            <w:tcW w:w="17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7"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15" w:space="0" w:color="000000"/>
              <w:left w:val="single" w:sz="10" w:space="0" w:color="D2D2D2"/>
              <w:bottom w:val="single" w:sz="4" w:space="0" w:color="000000"/>
              <w:right w:val="single" w:sz="4" w:space="0" w:color="000000"/>
            </w:tcBorders>
          </w:tcPr>
          <w:p>
            <w:pPr/>
          </w:p>
        </w:tc>
        <w:tc>
          <w:tcPr>
            <w:tcW w:w="749" w:type="dxa"/>
            <w:tcBorders>
              <w:top w:val="single" w:sz="15" w:space="0" w:color="000000"/>
              <w:left w:val="single" w:sz="4" w:space="0" w:color="000000"/>
              <w:bottom w:val="single" w:sz="4" w:space="0" w:color="000000"/>
              <w:right w:val="single" w:sz="4" w:space="0" w:color="000000"/>
            </w:tcBorders>
          </w:tcPr>
          <w:p>
            <w:pPr/>
          </w:p>
        </w:tc>
        <w:tc>
          <w:tcPr>
            <w:tcW w:w="749" w:type="dxa"/>
            <w:tcBorders>
              <w:top w:val="single" w:sz="15" w:space="0" w:color="000000"/>
              <w:left w:val="single" w:sz="4" w:space="0" w:color="000000"/>
              <w:bottom w:val="single" w:sz="4" w:space="0" w:color="000000"/>
              <w:right w:val="single" w:sz="4" w:space="0" w:color="000000"/>
            </w:tcBorders>
          </w:tcPr>
          <w:p>
            <w:pPr/>
          </w:p>
        </w:tc>
        <w:tc>
          <w:tcPr>
            <w:tcW w:w="749"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27" w:type="dxa"/>
            <w:tcBorders>
              <w:top w:val="single" w:sz="15" w:space="0" w:color="000000"/>
              <w:left w:val="single" w:sz="4" w:space="0" w:color="000000"/>
              <w:bottom w:val="single" w:sz="4" w:space="0" w:color="000000"/>
              <w:right w:val="single" w:sz="4" w:space="0" w:color="000000"/>
            </w:tcBorders>
          </w:tcPr>
          <w:p>
            <w:pPr/>
          </w:p>
        </w:tc>
        <w:tc>
          <w:tcPr>
            <w:tcW w:w="927"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148"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277,031,708.00</w:t>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1,184,086,255.80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150,004,584.16</w:t>
            </w: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26,325,950.60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-41,178,664.14</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1,296,260,666.10</w:t>
            </w:r>
          </w:p>
        </w:tc>
      </w:tr>
      <w:tr>
        <w:trPr>
          <w:trHeight w:val="710" w:hRule="exact"/>
        </w:trPr>
        <w:tc>
          <w:tcPr>
            <w:tcW w:w="176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3" w:right="-5"/>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期</w:t>
            </w:r>
            <w:r>
              <w:rPr>
                <w:rFonts w:ascii="宋体" w:hAnsi="宋体" w:cs="宋体" w:eastAsia="宋体" w:hint="default"/>
                <w:spacing w:val="-5"/>
                <w:w w:val="101"/>
                <w:sz w:val="18"/>
                <w:szCs w:val="18"/>
              </w:rPr>
              <w:t>增</w:t>
            </w:r>
            <w:r>
              <w:rPr>
                <w:rFonts w:ascii="宋体" w:hAnsi="宋体" w:cs="宋体" w:eastAsia="宋体" w:hint="default"/>
                <w:w w:val="101"/>
                <w:sz w:val="18"/>
                <w:szCs w:val="18"/>
              </w:rPr>
              <w:t>减</w:t>
            </w:r>
            <w:r>
              <w:rPr>
                <w:rFonts w:ascii="宋体" w:hAnsi="宋体" w:cs="宋体" w:eastAsia="宋体" w:hint="default"/>
                <w:spacing w:val="-5"/>
                <w:w w:val="101"/>
                <w:sz w:val="18"/>
                <w:szCs w:val="18"/>
              </w:rPr>
              <w:t>变</w:t>
            </w:r>
            <w:r>
              <w:rPr>
                <w:rFonts w:ascii="宋体" w:hAnsi="宋体" w:cs="宋体" w:eastAsia="宋体" w:hint="default"/>
                <w:w w:val="101"/>
                <w:sz w:val="18"/>
                <w:szCs w:val="18"/>
              </w:rPr>
              <w:t>动</w:t>
            </w:r>
            <w:r>
              <w:rPr>
                <w:rFonts w:ascii="宋体" w:hAnsi="宋体" w:cs="宋体" w:eastAsia="宋体" w:hint="default"/>
                <w:spacing w:val="-5"/>
                <w:w w:val="101"/>
                <w:sz w:val="18"/>
                <w:szCs w:val="18"/>
              </w:rPr>
              <w:t>金</w:t>
            </w:r>
            <w:r>
              <w:rPr>
                <w:rFonts w:ascii="宋体" w:hAnsi="宋体" w:cs="宋体" w:eastAsia="宋体" w:hint="default"/>
                <w:w w:val="101"/>
                <w:sz w:val="18"/>
                <w:szCs w:val="18"/>
              </w:rPr>
              <w:t>额</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9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162" w:lineRule="exact"/>
              <w:ind w:left="189" w:right="0"/>
              <w:jc w:val="left"/>
              <w:rPr>
                <w:rFonts w:ascii="Times New Roman" w:hAnsi="Times New Roman" w:cs="Times New Roman" w:eastAsia="Times New Roman" w:hint="default"/>
                <w:sz w:val="18"/>
                <w:szCs w:val="18"/>
              </w:rPr>
            </w:pPr>
            <w:r>
              <w:rPr>
                <w:rFonts w:ascii="Times New Roman"/>
                <w:sz w:val="18"/>
              </w:rPr>
              <w:t>4,264,000.00</w:t>
            </w:r>
          </w:p>
          <w:p>
            <w:pPr>
              <w:pStyle w:val="TableParagraph"/>
              <w:spacing w:line="190" w:lineRule="exact"/>
              <w:ind w:left="-167"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87,428,959.67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3,381,790.31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71,614,776.90</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166,689,526.88</w:t>
            </w: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 w:right="0"/>
              <w:jc w:val="center"/>
              <w:rPr>
                <w:rFonts w:ascii="Times New Roman" w:hAnsi="Times New Roman" w:cs="Times New Roman" w:eastAsia="Times New Roman" w:hint="default"/>
                <w:sz w:val="18"/>
                <w:szCs w:val="18"/>
              </w:rPr>
            </w:pPr>
            <w:r>
              <w:rPr>
                <w:rFonts w:ascii="Times New Roman"/>
                <w:sz w:val="18"/>
              </w:rPr>
              <w:t>74,996,567.21</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74,996,567.21</w:t>
            </w:r>
          </w:p>
        </w:tc>
      </w:tr>
      <w:tr>
        <w:trPr>
          <w:trHeight w:val="71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 w:right="5"/>
              <w:jc w:val="left"/>
              <w:rPr>
                <w:rFonts w:ascii="宋体" w:hAnsi="宋体" w:cs="宋体" w:eastAsia="宋体" w:hint="default"/>
                <w:sz w:val="18"/>
                <w:szCs w:val="18"/>
              </w:rPr>
            </w:pPr>
            <w:r>
              <w:rPr>
                <w:rFonts w:ascii="宋体" w:hAnsi="宋体" w:cs="宋体" w:eastAsia="宋体" w:hint="default"/>
                <w:spacing w:val="-11"/>
                <w:w w:val="101"/>
                <w:sz w:val="18"/>
                <w:szCs w:val="18"/>
              </w:rPr>
              <w:t>（二）所有者投入和减</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少资本</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4,264,000.00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87,428,959.67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91,692,959.67</w:t>
            </w:r>
          </w:p>
        </w:tc>
      </w:tr>
      <w:tr>
        <w:trPr>
          <w:trHeight w:val="71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者投入资本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者权益的金额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4,264,000.00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87,428,959.67</w:t>
            </w: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91,692,959.67</w:t>
            </w: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3,381,790.31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-3,381,790.31</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3,381,790.31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-3,381,790.31</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9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．对所有者（或股东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的分配</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5"/>
              <w:jc w:val="left"/>
              <w:rPr>
                <w:rFonts w:ascii="宋体" w:hAnsi="宋体" w:cs="宋体" w:eastAsia="宋体" w:hint="default"/>
                <w:sz w:val="18"/>
                <w:szCs w:val="18"/>
              </w:rPr>
            </w:pPr>
            <w:r>
              <w:rPr>
                <w:rFonts w:ascii="宋体" w:hAnsi="宋体" w:cs="宋体" w:eastAsia="宋体" w:hint="default"/>
                <w:spacing w:val="-11"/>
                <w:w w:val="101"/>
                <w:sz w:val="18"/>
                <w:szCs w:val="18"/>
              </w:rPr>
              <w:t>（四）所有者权益内部</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结转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0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765"/>
        <w:gridCol w:w="1193"/>
        <w:gridCol w:w="749"/>
        <w:gridCol w:w="749"/>
        <w:gridCol w:w="749"/>
        <w:gridCol w:w="1316"/>
        <w:gridCol w:w="1181"/>
        <w:gridCol w:w="927"/>
        <w:gridCol w:w="927"/>
        <w:gridCol w:w="1094"/>
        <w:gridCol w:w="1148"/>
        <w:gridCol w:w="907"/>
        <w:gridCol w:w="1316"/>
      </w:tblGrid>
      <w:tr>
        <w:trPr>
          <w:trHeight w:val="418" w:hRule="exact"/>
        </w:trPr>
        <w:tc>
          <w:tcPr>
            <w:tcW w:w="17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．盈余公积弥补亏损</w:t>
            </w:r>
          </w:p>
        </w:tc>
        <w:tc>
          <w:tcPr>
            <w:tcW w:w="1193" w:type="dxa"/>
            <w:tcBorders>
              <w:top w:val="single" w:sz="15" w:space="0" w:color="000000"/>
              <w:left w:val="single" w:sz="10" w:space="0" w:color="D2D2D2"/>
              <w:bottom w:val="single" w:sz="4" w:space="0" w:color="000000"/>
              <w:right w:val="single" w:sz="4" w:space="0" w:color="000000"/>
            </w:tcBorders>
          </w:tcPr>
          <w:p>
            <w:pPr/>
          </w:p>
        </w:tc>
        <w:tc>
          <w:tcPr>
            <w:tcW w:w="749" w:type="dxa"/>
            <w:tcBorders>
              <w:top w:val="single" w:sz="15" w:space="0" w:color="000000"/>
              <w:left w:val="single" w:sz="4" w:space="0" w:color="000000"/>
              <w:bottom w:val="single" w:sz="4" w:space="0" w:color="000000"/>
              <w:right w:val="single" w:sz="4" w:space="0" w:color="000000"/>
            </w:tcBorders>
          </w:tcPr>
          <w:p>
            <w:pPr/>
          </w:p>
        </w:tc>
        <w:tc>
          <w:tcPr>
            <w:tcW w:w="749" w:type="dxa"/>
            <w:tcBorders>
              <w:top w:val="single" w:sz="15" w:space="0" w:color="000000"/>
              <w:left w:val="single" w:sz="4" w:space="0" w:color="000000"/>
              <w:bottom w:val="single" w:sz="4" w:space="0" w:color="000000"/>
              <w:right w:val="single" w:sz="4" w:space="0" w:color="000000"/>
            </w:tcBorders>
          </w:tcPr>
          <w:p>
            <w:pPr/>
          </w:p>
        </w:tc>
        <w:tc>
          <w:tcPr>
            <w:tcW w:w="749"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927" w:type="dxa"/>
            <w:tcBorders>
              <w:top w:val="single" w:sz="15" w:space="0" w:color="000000"/>
              <w:left w:val="single" w:sz="4" w:space="0" w:color="000000"/>
              <w:bottom w:val="single" w:sz="4" w:space="0" w:color="000000"/>
              <w:right w:val="single" w:sz="4" w:space="0" w:color="000000"/>
            </w:tcBorders>
          </w:tcPr>
          <w:p>
            <w:pPr/>
          </w:p>
        </w:tc>
        <w:tc>
          <w:tcPr>
            <w:tcW w:w="927"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148"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额结转留存收益</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1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．其他综合收益结转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留存收益</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281,295,708.00</w:t>
            </w: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1,271,515,215.47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150,004,584.16</w:t>
            </w:r>
          </w:p>
        </w:tc>
        <w:tc>
          <w:tcPr>
            <w:tcW w:w="92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29,707,740.91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30,436,112.76</w:t>
            </w:r>
          </w:p>
        </w:tc>
        <w:tc>
          <w:tcPr>
            <w:tcW w:w="9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1,462,950,192.98</w:t>
            </w:r>
          </w:p>
        </w:tc>
      </w:tr>
    </w:tbl>
    <w:p>
      <w:pPr>
        <w:pStyle w:val="BodyText"/>
        <w:spacing w:line="240" w:lineRule="auto" w:before="53"/>
        <w:ind w:left="140" w:right="0"/>
        <w:jc w:val="left"/>
      </w:pPr>
      <w:r>
        <w:rPr/>
        <w:t>上期金额</w:t>
      </w:r>
    </w:p>
    <w:p>
      <w:pPr>
        <w:pStyle w:val="BodyText"/>
        <w:spacing w:line="240" w:lineRule="auto" w:before="120"/>
        <w:ind w:left="0" w:right="148"/>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666"/>
        <w:gridCol w:w="1193"/>
        <w:gridCol w:w="725"/>
        <w:gridCol w:w="730"/>
        <w:gridCol w:w="730"/>
        <w:gridCol w:w="1316"/>
        <w:gridCol w:w="1181"/>
        <w:gridCol w:w="893"/>
        <w:gridCol w:w="1037"/>
        <w:gridCol w:w="1090"/>
        <w:gridCol w:w="1152"/>
        <w:gridCol w:w="974"/>
        <w:gridCol w:w="1316"/>
      </w:tblGrid>
      <w:tr>
        <w:trPr>
          <w:trHeight w:val="398" w:hRule="exact"/>
        </w:trPr>
        <w:tc>
          <w:tcPr>
            <w:tcW w:w="1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3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11" w:hRule="exact"/>
        </w:trPr>
        <w:tc>
          <w:tcPr>
            <w:tcW w:w="1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4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01"/>
              <w:ind w:left="264" w:right="75" w:hanging="183"/>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0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66"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85" w:type="dxa"/>
            <w:gridSpan w:val="3"/>
            <w:vMerge/>
            <w:tcBorders>
              <w:left w:val="single" w:sz="4" w:space="0" w:color="000000"/>
              <w:bottom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93" w:type="dxa"/>
            <w:vMerge/>
            <w:tcBorders>
              <w:left w:val="single" w:sz="4" w:space="0" w:color="000000"/>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197" w:hRule="exact"/>
        </w:trPr>
        <w:tc>
          <w:tcPr>
            <w:tcW w:w="1666"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c>
          <w:tcPr>
            <w:tcW w:w="1037"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66"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277,031,708.00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1,181,374,804.82</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21" w:space="0" w:color="D2D2D2"/>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26,325,950.60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-92,792,959.87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1,391,939,503.55</w:t>
            </w:r>
          </w:p>
        </w:tc>
      </w:tr>
      <w:tr>
        <w:trPr>
          <w:trHeight w:val="716"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pacing w:val="-3"/>
                <w:sz w:val="18"/>
                <w:szCs w:val="18"/>
              </w:rPr>
              <w:t>加：会计政策变</w:t>
            </w:r>
          </w:p>
          <w:p>
            <w:pPr>
              <w:pStyle w:val="TableParagraph"/>
              <w:spacing w:line="240" w:lineRule="auto" w:before="77"/>
              <w:ind w:left="7" w:right="0"/>
              <w:jc w:val="left"/>
              <w:rPr>
                <w:rFonts w:ascii="宋体" w:hAnsi="宋体" w:cs="宋体" w:eastAsia="宋体" w:hint="default"/>
                <w:sz w:val="18"/>
                <w:szCs w:val="18"/>
              </w:rPr>
            </w:pPr>
            <w:r>
              <w:rPr>
                <w:rFonts w:ascii="宋体" w:hAnsi="宋体" w:cs="宋体" w:eastAsia="宋体" w:hint="default"/>
                <w:w w:val="101"/>
                <w:sz w:val="18"/>
                <w:szCs w:val="18"/>
              </w:rPr>
              <w:t>更</w:t>
            </w:r>
            <w:r>
              <w:rPr>
                <w:rFonts w:ascii="宋体" w:hAnsi="宋体" w:cs="宋体" w:eastAsia="宋体" w:hint="default"/>
                <w:sz w:val="18"/>
                <w:szCs w:val="18"/>
              </w:rPr>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7"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w w:val="101"/>
                <w:sz w:val="18"/>
                <w:szCs w:val="18"/>
              </w:rPr>
              <w:t>正</w:t>
            </w:r>
            <w:r>
              <w:rPr>
                <w:rFonts w:ascii="宋体" w:hAnsi="宋体" w:cs="宋体" w:eastAsia="宋体" w:hint="default"/>
                <w:sz w:val="18"/>
                <w:szCs w:val="18"/>
              </w:rPr>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277,031,708.00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1,181,374,804.82</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26,325,950.60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-92,792,959.87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1,391,939,503.55</w:t>
            </w:r>
          </w:p>
        </w:tc>
      </w:tr>
      <w:tr>
        <w:trPr>
          <w:trHeight w:val="677"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7" w:right="24"/>
              <w:jc w:val="left"/>
              <w:rPr>
                <w:rFonts w:ascii="宋体" w:hAnsi="宋体" w:cs="宋体" w:eastAsia="宋体" w:hint="default"/>
                <w:sz w:val="18"/>
                <w:szCs w:val="18"/>
              </w:rPr>
            </w:pPr>
            <w:r>
              <w:rPr>
                <w:rFonts w:ascii="宋体" w:hAnsi="宋体" w:cs="宋体" w:eastAsia="宋体" w:hint="default"/>
                <w:spacing w:val="-3"/>
                <w:sz w:val="18"/>
                <w:szCs w:val="18"/>
              </w:rPr>
              <w:t>三、本期增减变动金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z w:val="18"/>
                <w:szCs w:val="18"/>
              </w:rPr>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2,711,450.98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150,004,584.16</w:t>
            </w: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51,614,295.73</w:t>
            </w: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-95,678,837.45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00" w:right="1280"/>
        </w:sectPr>
      </w:pPr>
    </w:p>
    <w:p>
      <w:pPr>
        <w:spacing w:line="240" w:lineRule="auto" w:before="7"/>
        <w:rPr>
          <w:rFonts w:ascii="Times New Roman" w:hAnsi="Times New Roman" w:cs="Times New Roman" w:eastAsia="Times New Roman" w:hint="default"/>
          <w:sz w:val="3"/>
          <w:szCs w:val="3"/>
        </w:rPr>
      </w:pPr>
      <w:r>
        <w:rPr/>
        <w:pict>
          <v:group style="position:absolute;margin-left:155.570007pt;margin-top:298.680023pt;width:58.6pt;height:27.85pt;mso-position-horizontal-relative:page;mso-position-vertical-relative:page;z-index:-1160824" coordorigin="3111,5974" coordsize="1172,557">
            <v:group style="position:absolute;left:3111;top:5974;width:1172;height:154" coordorigin="3111,5974" coordsize="1172,154">
              <v:shape style="position:absolute;left:3111;top:5974;width:1172;height:154" coordorigin="3111,5974" coordsize="1172,154" path="m3111,6127l4283,6127,4283,5974,3111,5974,3111,6127xe" filled="true" fillcolor="#ffffff" stroked="false">
                <v:path arrowok="t"/>
                <v:fill type="solid"/>
              </v:shape>
            </v:group>
            <v:group style="position:absolute;left:3121;top:6127;width:2;height:394" coordorigin="3121,6127" coordsize="2,394">
              <v:shape style="position:absolute;left:3121;top:6127;width:2;height:394" coordorigin="3121,6127" coordsize="0,394" path="m3121,6127l3121,6521e" filled="false" stroked="true" strokeweight=".95999pt" strokecolor="#ffffff">
                <v:path arrowok="t"/>
              </v:shape>
            </v:group>
            <v:group style="position:absolute;left:3131;top:6127;width:1129;height:394" coordorigin="3131,6127" coordsize="1129,394">
              <v:shape style="position:absolute;left:3131;top:6127;width:1129;height:394" coordorigin="3131,6127" coordsize="1129,394" path="m3131,6521l4259,6521,4259,6127,3131,6127,3131,6521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683"/>
        <w:gridCol w:w="1193"/>
        <w:gridCol w:w="725"/>
        <w:gridCol w:w="730"/>
        <w:gridCol w:w="730"/>
        <w:gridCol w:w="1316"/>
        <w:gridCol w:w="1181"/>
        <w:gridCol w:w="893"/>
        <w:gridCol w:w="1037"/>
        <w:gridCol w:w="1090"/>
        <w:gridCol w:w="1152"/>
        <w:gridCol w:w="974"/>
        <w:gridCol w:w="1316"/>
      </w:tblGrid>
      <w:tr>
        <w:trPr>
          <w:trHeight w:val="379" w:hRule="exact"/>
        </w:trPr>
        <w:tc>
          <w:tcPr>
            <w:tcW w:w="168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725"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93" w:type="dxa"/>
            <w:tcBorders>
              <w:top w:val="single" w:sz="15" w:space="0" w:color="000000"/>
              <w:left w:val="single" w:sz="4" w:space="0" w:color="000000"/>
              <w:bottom w:val="single" w:sz="4" w:space="0" w:color="000000"/>
              <w:right w:val="single" w:sz="4" w:space="0" w:color="000000"/>
            </w:tcBorders>
          </w:tcPr>
          <w:p>
            <w:pPr/>
          </w:p>
        </w:tc>
        <w:tc>
          <w:tcPr>
            <w:tcW w:w="103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974"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399"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51,614,295.73</w:t>
            </w: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51,614,295.73</w:t>
            </w: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 w:right="24"/>
              <w:jc w:val="left"/>
              <w:rPr>
                <w:rFonts w:ascii="宋体" w:hAnsi="宋体" w:cs="宋体" w:eastAsia="宋体" w:hint="default"/>
                <w:sz w:val="18"/>
                <w:szCs w:val="18"/>
              </w:rPr>
            </w:pPr>
            <w:r>
              <w:rPr>
                <w:rFonts w:ascii="宋体" w:hAnsi="宋体" w:cs="宋体" w:eastAsia="宋体" w:hint="default"/>
                <w:spacing w:val="-3"/>
                <w:sz w:val="18"/>
                <w:szCs w:val="18"/>
              </w:rPr>
              <w:t>（二）所有者投入和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减少资本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2,711,450.98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150,004,584.16</w:t>
            </w: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-147,293,133.18</w:t>
            </w:r>
          </w:p>
        </w:tc>
      </w:tr>
      <w:tr>
        <w:trPr>
          <w:trHeight w:val="716"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．所有者投入的普通</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．其他权益工具持有</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者投入资本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0"/>
                <w:w w:val="101"/>
                <w:sz w:val="18"/>
                <w:szCs w:val="18"/>
              </w:rPr>
              <w:t>3</w:t>
            </w:r>
            <w:r>
              <w:rPr>
                <w:rFonts w:ascii="宋体" w:hAnsi="宋体" w:cs="宋体" w:eastAsia="宋体" w:hint="default"/>
                <w:spacing w:val="-10"/>
                <w:w w:val="101"/>
                <w:sz w:val="18"/>
                <w:szCs w:val="18"/>
              </w:rPr>
              <w:t>．股份支付计入所有</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者权益的金额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2,711,450.98</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2,711,450.98</w:t>
            </w: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150,004,584.16</w:t>
            </w: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96"/>
              <w:jc w:val="left"/>
              <w:rPr>
                <w:rFonts w:ascii="宋体" w:hAnsi="宋体" w:cs="宋体" w:eastAsia="宋体" w:hint="default"/>
                <w:sz w:val="18"/>
                <w:szCs w:val="18"/>
              </w:rPr>
            </w:pPr>
            <w:r>
              <w:rPr>
                <w:rFonts w:ascii="Times New Roman" w:hAnsi="Times New Roman" w:cs="Times New Roman" w:eastAsia="Times New Roman" w:hint="default"/>
                <w:spacing w:val="-19"/>
                <w:w w:val="101"/>
                <w:sz w:val="18"/>
                <w:szCs w:val="18"/>
              </w:rPr>
              <w:t>2</w:t>
            </w:r>
            <w:r>
              <w:rPr>
                <w:rFonts w:ascii="宋体" w:hAnsi="宋体" w:cs="宋体" w:eastAsia="宋体" w:hint="default"/>
                <w:spacing w:val="-19"/>
                <w:w w:val="101"/>
                <w:sz w:val="18"/>
                <w:szCs w:val="18"/>
              </w:rPr>
              <w:t>．对所有者（或股东</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的分配</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 w:right="24"/>
              <w:jc w:val="left"/>
              <w:rPr>
                <w:rFonts w:ascii="宋体" w:hAnsi="宋体" w:cs="宋体" w:eastAsia="宋体" w:hint="default"/>
                <w:sz w:val="18"/>
                <w:szCs w:val="18"/>
              </w:rPr>
            </w:pPr>
            <w:r>
              <w:rPr>
                <w:rFonts w:ascii="宋体" w:hAnsi="宋体" w:cs="宋体" w:eastAsia="宋体" w:hint="default"/>
                <w:spacing w:val="-3"/>
                <w:sz w:val="18"/>
                <w:szCs w:val="18"/>
              </w:rPr>
              <w:t>（四）所有者权益内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宋体" w:hAnsi="宋体" w:cs="宋体" w:eastAsia="宋体" w:hint="default"/>
                <w:spacing w:val="-77"/>
                <w:w w:val="101"/>
                <w:sz w:val="18"/>
                <w:szCs w:val="18"/>
              </w:rPr>
              <w:t>．</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积</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资本</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w:t>
            </w:r>
            <w:r>
              <w:rPr>
                <w:rFonts w:ascii="宋体" w:hAnsi="宋体" w:cs="宋体" w:eastAsia="宋体" w:hint="default"/>
                <w:spacing w:val="-77"/>
                <w:w w:val="101"/>
                <w:sz w:val="18"/>
                <w:szCs w:val="18"/>
              </w:rPr>
              <w:t>．</w:t>
            </w:r>
            <w:r>
              <w:rPr>
                <w:rFonts w:ascii="宋体" w:hAnsi="宋体" w:cs="宋体" w:eastAsia="宋体" w:hint="default"/>
                <w:w w:val="101"/>
                <w:sz w:val="18"/>
                <w:szCs w:val="18"/>
              </w:rPr>
              <w:t>盈</w:t>
            </w:r>
            <w:r>
              <w:rPr>
                <w:rFonts w:ascii="宋体" w:hAnsi="宋体" w:cs="宋体" w:eastAsia="宋体" w:hint="default"/>
                <w:spacing w:val="-5"/>
                <w:w w:val="101"/>
                <w:sz w:val="18"/>
                <w:szCs w:val="18"/>
              </w:rPr>
              <w:t>余</w:t>
            </w:r>
            <w:r>
              <w:rPr>
                <w:rFonts w:ascii="宋体" w:hAnsi="宋体" w:cs="宋体" w:eastAsia="宋体" w:hint="default"/>
                <w:w w:val="101"/>
                <w:sz w:val="18"/>
                <w:szCs w:val="18"/>
              </w:rPr>
              <w:t>公</w:t>
            </w:r>
            <w:r>
              <w:rPr>
                <w:rFonts w:ascii="宋体" w:hAnsi="宋体" w:cs="宋体" w:eastAsia="宋体" w:hint="default"/>
                <w:spacing w:val="-5"/>
                <w:w w:val="101"/>
                <w:sz w:val="18"/>
                <w:szCs w:val="18"/>
              </w:rPr>
              <w:t>积</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资本</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w:t>
            </w:r>
            <w:r>
              <w:rPr>
                <w:rFonts w:ascii="宋体" w:hAnsi="宋体" w:cs="宋体" w:eastAsia="宋体" w:hint="default"/>
                <w:spacing w:val="-77"/>
                <w:w w:val="101"/>
                <w:sz w:val="18"/>
                <w:szCs w:val="18"/>
              </w:rPr>
              <w:t>．</w:t>
            </w:r>
            <w:r>
              <w:rPr>
                <w:rFonts w:ascii="宋体" w:hAnsi="宋体" w:cs="宋体" w:eastAsia="宋体" w:hint="default"/>
                <w:w w:val="101"/>
                <w:sz w:val="18"/>
                <w:szCs w:val="18"/>
              </w:rPr>
              <w:t>盈</w:t>
            </w:r>
            <w:r>
              <w:rPr>
                <w:rFonts w:ascii="宋体" w:hAnsi="宋体" w:cs="宋体" w:eastAsia="宋体" w:hint="default"/>
                <w:spacing w:val="-5"/>
                <w:w w:val="101"/>
                <w:sz w:val="18"/>
                <w:szCs w:val="18"/>
              </w:rPr>
              <w:t>余</w:t>
            </w:r>
            <w:r>
              <w:rPr>
                <w:rFonts w:ascii="宋体" w:hAnsi="宋体" w:cs="宋体" w:eastAsia="宋体" w:hint="default"/>
                <w:w w:val="101"/>
                <w:sz w:val="18"/>
                <w:szCs w:val="18"/>
              </w:rPr>
              <w:t>公</w:t>
            </w:r>
            <w:r>
              <w:rPr>
                <w:rFonts w:ascii="宋体" w:hAnsi="宋体" w:cs="宋体" w:eastAsia="宋体" w:hint="default"/>
                <w:spacing w:val="-5"/>
                <w:w w:val="101"/>
                <w:sz w:val="18"/>
                <w:szCs w:val="18"/>
              </w:rPr>
              <w:t>积</w:t>
            </w:r>
            <w:r>
              <w:rPr>
                <w:rFonts w:ascii="宋体" w:hAnsi="宋体" w:cs="宋体" w:eastAsia="宋体" w:hint="default"/>
                <w:w w:val="101"/>
                <w:sz w:val="18"/>
                <w:szCs w:val="18"/>
              </w:rPr>
              <w:t>弥</w:t>
            </w:r>
            <w:r>
              <w:rPr>
                <w:rFonts w:ascii="宋体" w:hAnsi="宋体" w:cs="宋体" w:eastAsia="宋体" w:hint="default"/>
                <w:spacing w:val="-5"/>
                <w:w w:val="101"/>
                <w:sz w:val="18"/>
                <w:szCs w:val="18"/>
              </w:rPr>
              <w:t>补</w:t>
            </w:r>
            <w:r>
              <w:rPr>
                <w:rFonts w:ascii="宋体" w:hAnsi="宋体" w:cs="宋体" w:eastAsia="宋体" w:hint="default"/>
                <w:w w:val="101"/>
                <w:sz w:val="18"/>
                <w:szCs w:val="18"/>
              </w:rPr>
              <w:t>亏损</w:t>
            </w:r>
            <w:r>
              <w:rPr>
                <w:rFonts w:ascii="宋体" w:hAnsi="宋体" w:cs="宋体" w:eastAsia="宋体" w:hint="default"/>
                <w:sz w:val="18"/>
                <w:szCs w:val="18"/>
              </w:rPr>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0"/>
                <w:w w:val="101"/>
                <w:sz w:val="18"/>
                <w:szCs w:val="18"/>
              </w:rPr>
              <w:t>4</w:t>
            </w:r>
            <w:r>
              <w:rPr>
                <w:rFonts w:ascii="宋体" w:hAnsi="宋体" w:cs="宋体" w:eastAsia="宋体" w:hint="default"/>
                <w:spacing w:val="-10"/>
                <w:w w:val="101"/>
                <w:sz w:val="18"/>
                <w:szCs w:val="18"/>
              </w:rPr>
              <w:t>．设定受益计划变动</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额结转留存收益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0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83"/>
        <w:gridCol w:w="1193"/>
        <w:gridCol w:w="725"/>
        <w:gridCol w:w="730"/>
        <w:gridCol w:w="730"/>
        <w:gridCol w:w="1316"/>
        <w:gridCol w:w="1181"/>
        <w:gridCol w:w="893"/>
        <w:gridCol w:w="1037"/>
        <w:gridCol w:w="1090"/>
        <w:gridCol w:w="1152"/>
        <w:gridCol w:w="974"/>
        <w:gridCol w:w="1316"/>
      </w:tblGrid>
      <w:tr>
        <w:trPr>
          <w:trHeight w:val="730" w:hRule="exact"/>
        </w:trPr>
        <w:tc>
          <w:tcPr>
            <w:tcW w:w="168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0"/>
                <w:w w:val="101"/>
                <w:sz w:val="18"/>
                <w:szCs w:val="18"/>
              </w:rPr>
              <w:t>5</w:t>
            </w:r>
            <w:r>
              <w:rPr>
                <w:rFonts w:ascii="宋体" w:hAnsi="宋体" w:cs="宋体" w:eastAsia="宋体" w:hint="default"/>
                <w:spacing w:val="-10"/>
                <w:w w:val="101"/>
                <w:sz w:val="18"/>
                <w:szCs w:val="18"/>
              </w:rPr>
              <w:t>．其他综合收益结转</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留存收益</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725"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893" w:type="dxa"/>
            <w:tcBorders>
              <w:top w:val="single" w:sz="15" w:space="0" w:color="000000"/>
              <w:left w:val="single" w:sz="4" w:space="0" w:color="000000"/>
              <w:bottom w:val="single" w:sz="4" w:space="0" w:color="000000"/>
              <w:right w:val="single" w:sz="4" w:space="0" w:color="000000"/>
            </w:tcBorders>
          </w:tcPr>
          <w:p>
            <w:pPr/>
          </w:p>
        </w:tc>
        <w:tc>
          <w:tcPr>
            <w:tcW w:w="1037"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974"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277,031,708.00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1,184,086,255.80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150,004,584.16</w:t>
            </w:r>
          </w:p>
        </w:tc>
        <w:tc>
          <w:tcPr>
            <w:tcW w:w="89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26,325,950.60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-41,178,664.14</w:t>
            </w:r>
          </w:p>
        </w:tc>
        <w:tc>
          <w:tcPr>
            <w:tcW w:w="97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1,296,260,666.10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3" w:footer="974" w:top="1060" w:bottom="1160" w:left="1300" w:right="1280"/>
        </w:sectPr>
      </w:pPr>
    </w:p>
    <w:p>
      <w:pPr>
        <w:spacing w:line="240" w:lineRule="auto" w:before="9"/>
        <w:rPr>
          <w:rFonts w:ascii="Times New Roman" w:hAnsi="Times New Roman" w:cs="Times New Roman" w:eastAsia="Times New Roman" w:hint="default"/>
          <w:sz w:val="21"/>
          <w:szCs w:val="21"/>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r>
        <w:rPr/>
        <w:t>（一）公司注册地、组织形式和总部地址</w:t>
      </w:r>
      <w:r>
        <w:rPr>
          <w:b w:val="0"/>
          <w:bCs w:val="0"/>
        </w:rPr>
      </w:r>
    </w:p>
    <w:p>
      <w:pPr>
        <w:pStyle w:val="Heading5"/>
        <w:spacing w:line="256" w:lineRule="auto" w:before="37"/>
        <w:ind w:right="1123" w:firstLine="427"/>
        <w:jc w:val="both"/>
      </w:pPr>
      <w:r>
        <w:rPr>
          <w:spacing w:val="-3"/>
        </w:rPr>
        <w:t>北京东方通科技股份有限公司（以下简称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w:t>
      </w:r>
      <w:r>
        <w:rPr>
          <w:spacing w:val="-11"/>
        </w:rPr>
        <w:t> </w:t>
      </w:r>
      <w:r>
        <w:rPr/>
        <w:t>前身为北京东方通科技发展有限责任公</w:t>
      </w:r>
      <w:r>
        <w:rPr>
          <w:w w:val="100"/>
        </w:rPr>
        <w:t> </w:t>
      </w:r>
      <w:r>
        <w:rPr/>
        <w:t>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日由原股东共同发起设立的股份有限公司。公司于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日在深圳证券交易所</w:t>
      </w:r>
      <w:r>
        <w:rPr>
          <w:spacing w:val="-29"/>
        </w:rPr>
        <w:t> </w:t>
      </w:r>
      <w:r>
        <w:rPr>
          <w:spacing w:val="-29"/>
        </w:rPr>
      </w:r>
      <w:r>
        <w:rPr/>
        <w:t>上市，现持有统一社会信用代码为</w:t>
      </w:r>
      <w:r>
        <w:rPr>
          <w:rFonts w:ascii="Times New Roman" w:hAnsi="Times New Roman" w:cs="Times New Roman" w:eastAsia="Times New Roman" w:hint="default"/>
        </w:rPr>
        <w:t>91110000633636471E</w:t>
      </w:r>
      <w:r>
        <w:rPr/>
        <w:t>的营业执照。</w:t>
      </w:r>
    </w:p>
    <w:p>
      <w:pPr>
        <w:pStyle w:val="Heading5"/>
        <w:spacing w:line="256" w:lineRule="auto" w:before="5"/>
        <w:ind w:right="0" w:firstLine="427"/>
        <w:jc w:val="left"/>
      </w:pPr>
      <w:r>
        <w:rPr/>
        <w:t>经过历年的转增股本及增发新股及股票期权行权，截止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日，本公司累计发行股份总数</w:t>
      </w:r>
      <w:r>
        <w:rPr>
          <w:w w:val="100"/>
        </w:rPr>
        <w:t> </w:t>
      </w:r>
      <w:r>
        <w:rPr>
          <w:rFonts w:ascii="Times New Roman" w:hAnsi="Times New Roman" w:cs="Times New Roman" w:eastAsia="Times New Roman" w:hint="default"/>
          <w:spacing w:val="-2"/>
        </w:rPr>
        <w:t>28,129.5708</w:t>
      </w:r>
      <w:r>
        <w:rPr>
          <w:spacing w:val="-2"/>
        </w:rPr>
        <w:t>万股，注册资本为</w:t>
      </w:r>
      <w:r>
        <w:rPr>
          <w:rFonts w:ascii="Times New Roman" w:hAnsi="Times New Roman" w:cs="Times New Roman" w:eastAsia="Times New Roman" w:hint="default"/>
          <w:spacing w:val="-2"/>
        </w:rPr>
        <w:t>27,703.1708</w:t>
      </w:r>
      <w:r>
        <w:rPr>
          <w:spacing w:val="-2"/>
        </w:rPr>
        <w:t>万元，注册地址：北京市丰台区丰台路口</w:t>
      </w:r>
      <w:r>
        <w:rPr>
          <w:rFonts w:ascii="Times New Roman" w:hAnsi="Times New Roman" w:cs="Times New Roman" w:eastAsia="Times New Roman" w:hint="default"/>
          <w:spacing w:val="-2"/>
        </w:rPr>
        <w:t>139</w:t>
      </w:r>
      <w:r>
        <w:rPr>
          <w:spacing w:val="-2"/>
        </w:rPr>
        <w:t>号主楼</w:t>
      </w:r>
      <w:r>
        <w:rPr>
          <w:rFonts w:ascii="Times New Roman" w:hAnsi="Times New Roman" w:cs="Times New Roman" w:eastAsia="Times New Roman" w:hint="default"/>
          <w:spacing w:val="-2"/>
        </w:rPr>
        <w:t>311</w:t>
      </w:r>
      <w:r>
        <w:rPr>
          <w:spacing w:val="-2"/>
        </w:rPr>
        <w:t>室</w:t>
      </w:r>
      <w:r>
        <w:rPr>
          <w:rFonts w:ascii="Times New Roman" w:hAnsi="Times New Roman" w:cs="Times New Roman" w:eastAsia="Times New Roman" w:hint="default"/>
          <w:spacing w:val="-2"/>
        </w:rPr>
        <w:t>(</w:t>
      </w:r>
      <w:r>
        <w:rPr>
          <w:spacing w:val="-2"/>
        </w:rPr>
        <w:t>园区</w:t>
      </w:r>
      <w:r>
        <w:rPr>
          <w:rFonts w:ascii="Times New Roman" w:hAnsi="Times New Roman" w:cs="Times New Roman" w:eastAsia="Times New Roman" w:hint="default"/>
          <w:spacing w:val="-2"/>
        </w:rPr>
        <w:t>)</w:t>
      </w:r>
      <w:r>
        <w:rPr>
          <w:spacing w:val="-2"/>
        </w:rPr>
        <w:t>，</w:t>
      </w:r>
      <w:r>
        <w:rPr>
          <w:spacing w:val="-40"/>
        </w:rPr>
        <w:t> </w:t>
      </w:r>
      <w:r>
        <w:rPr/>
        <w:t>经营地址：北京市海淀区彩和坊路</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大厦，实际控制人为黄永军。</w:t>
      </w:r>
    </w:p>
    <w:p>
      <w:pPr>
        <w:spacing w:line="273" w:lineRule="auto" w:before="125"/>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（二）公司业务性质和主要经营活动</w:t>
      </w:r>
      <w:r>
        <w:rPr>
          <w:rFonts w:ascii="宋体" w:hAnsi="宋体" w:cs="宋体" w:eastAsia="宋体" w:hint="default"/>
          <w:b/>
          <w:bCs/>
          <w:spacing w:val="-100"/>
          <w:sz w:val="21"/>
          <w:szCs w:val="21"/>
        </w:rPr>
        <w:t> </w:t>
      </w:r>
      <w:r>
        <w:rPr>
          <w:rFonts w:ascii="宋体" w:hAnsi="宋体" w:cs="宋体" w:eastAsia="宋体" w:hint="default"/>
          <w:sz w:val="21"/>
          <w:szCs w:val="21"/>
        </w:rPr>
        <w:t>公司创始业务是为企业级用户提供基础软件中的中间件产品及相关技术服务，于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月在深圳证</w:t>
      </w:r>
    </w:p>
    <w:p>
      <w:pPr>
        <w:pStyle w:val="Heading5"/>
        <w:spacing w:line="268" w:lineRule="auto" w:before="0"/>
        <w:ind w:right="1106"/>
        <w:jc w:val="both"/>
      </w:pPr>
      <w:r>
        <w:rPr>
          <w:spacing w:val="-2"/>
        </w:rPr>
        <w:t>券交易所创业板上市。公司上市以来，一方面继续在传统中间件产品领域深挖市场需求，改善产品性能，</w:t>
      </w:r>
      <w:r>
        <w:rPr>
          <w:spacing w:val="-13"/>
        </w:rPr>
        <w:t> </w:t>
      </w:r>
      <w:r>
        <w:rPr>
          <w:spacing w:val="-13"/>
        </w:rPr>
      </w:r>
      <w:r>
        <w:rPr>
          <w:spacing w:val="-2"/>
        </w:rPr>
        <w:t>提升用户体验，巩固国产中间件行业领先地位；另一方面，通过新设投资、收购等资本市场手段，拓展新</w:t>
      </w:r>
      <w:r>
        <w:rPr>
          <w:spacing w:val="-38"/>
        </w:rPr>
        <w:t> </w:t>
      </w:r>
      <w:r>
        <w:rPr>
          <w:spacing w:val="-38"/>
        </w:rPr>
      </w:r>
      <w:r>
        <w:rPr/>
        <w:t>业务，完善在网络信息安全、大数据、人工智能、</w:t>
      </w:r>
      <w:r>
        <w:rPr>
          <w:rFonts w:ascii="Times New Roman" w:hAnsi="Times New Roman" w:cs="Times New Roman" w:eastAsia="Times New Roman" w:hint="default"/>
        </w:rPr>
        <w:t>5G</w:t>
      </w:r>
      <w:r>
        <w:rPr/>
        <w:t>通信等新技术、新业态、新模式的布局，坚持</w:t>
      </w:r>
      <w:r>
        <w:rPr>
          <w:rFonts w:ascii="Times New Roman" w:hAnsi="Times New Roman" w:cs="Times New Roman" w:eastAsia="Times New Roman" w:hint="default"/>
        </w:rPr>
        <w:t>“</w:t>
      </w:r>
      <w:r>
        <w:rPr/>
        <w:t>自主</w:t>
      </w:r>
      <w:r>
        <w:rPr>
          <w:spacing w:val="-51"/>
        </w:rPr>
        <w:t> </w:t>
      </w:r>
      <w:r>
        <w:rPr/>
        <w:t>可控，安全创新</w:t>
      </w:r>
      <w:r>
        <w:rPr>
          <w:rFonts w:ascii="Times New Roman" w:hAnsi="Times New Roman" w:cs="Times New Roman" w:eastAsia="Times New Roman" w:hint="default"/>
        </w:rPr>
        <w:t>”</w:t>
      </w:r>
      <w:r>
        <w:rPr/>
        <w:t>的核心发展理念，依托基础软件的技术积累，拓展政务、金融等特定行业解决方案，为</w:t>
      </w:r>
      <w:r>
        <w:rPr>
          <w:spacing w:val="-21"/>
        </w:rPr>
        <w:t> </w:t>
      </w:r>
      <w:r>
        <w:rPr>
          <w:spacing w:val="-21"/>
        </w:rPr>
      </w:r>
      <w:r>
        <w:rPr>
          <w:spacing w:val="-2"/>
        </w:rPr>
        <w:t>用户提供基础安全产品及解决方案，同时继续为电信运营商等传统用户提供领先的信息安全、网络安全、</w:t>
      </w:r>
      <w:r>
        <w:rPr>
          <w:spacing w:val="-13"/>
        </w:rPr>
        <w:t> </w:t>
      </w:r>
      <w:r>
        <w:rPr>
          <w:spacing w:val="-13"/>
        </w:rPr>
      </w:r>
      <w:r>
        <w:rPr>
          <w:spacing w:val="-2"/>
        </w:rPr>
        <w:t>数据安全、应急安全等产品及解决方案。至本报告期末，公司主要业务已覆盖基础软件安全、通信网络安</w:t>
      </w:r>
      <w:r>
        <w:rPr>
          <w:spacing w:val="-33"/>
        </w:rPr>
        <w:t> </w:t>
      </w:r>
      <w:r>
        <w:rPr>
          <w:spacing w:val="-33"/>
        </w:rPr>
      </w:r>
      <w:r>
        <w:rPr/>
        <w:t>全、信息安全、数据安全、应急安全、军工信息化等领域。</w:t>
      </w:r>
    </w:p>
    <w:p>
      <w:pPr>
        <w:spacing w:line="273" w:lineRule="auto" w:before="132"/>
        <w:ind w:left="575" w:right="4275" w:hanging="423"/>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spacing w:val="-102"/>
          <w:sz w:val="21"/>
          <w:szCs w:val="21"/>
        </w:rPr>
        <w:t> </w:t>
      </w:r>
      <w:r>
        <w:rPr>
          <w:rFonts w:ascii="宋体" w:hAnsi="宋体" w:cs="宋体" w:eastAsia="宋体" w:hint="default"/>
          <w:sz w:val="21"/>
          <w:szCs w:val="21"/>
        </w:rPr>
        <w:t>本财务报表业经公司董事会于</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日批准报出。</w:t>
      </w:r>
    </w:p>
    <w:p>
      <w:pPr>
        <w:spacing w:line="240" w:lineRule="auto" w:before="13"/>
        <w:rPr>
          <w:rFonts w:ascii="宋体" w:hAnsi="宋体" w:cs="宋体" w:eastAsia="宋体" w:hint="default"/>
          <w:sz w:val="22"/>
          <w:szCs w:val="22"/>
        </w:rPr>
      </w:pPr>
    </w:p>
    <w:p>
      <w:pPr>
        <w:pStyle w:val="Heading5"/>
        <w:spacing w:line="240" w:lineRule="auto" w:before="0"/>
        <w:ind w:left="575" w:right="0"/>
        <w:jc w:val="left"/>
      </w:pPr>
      <w:r>
        <w:rPr/>
        <w:t>本期纳入合并财务报表范围的子公司共八户，具体包括：</w:t>
      </w: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3976"/>
        <w:gridCol w:w="1431"/>
        <w:gridCol w:w="821"/>
        <w:gridCol w:w="1714"/>
        <w:gridCol w:w="1719"/>
      </w:tblGrid>
      <w:tr>
        <w:trPr>
          <w:trHeight w:val="341" w:hRule="exact"/>
        </w:trPr>
        <w:tc>
          <w:tcPr>
            <w:tcW w:w="3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63"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持股比例（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7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成都东方通科技有限责任公司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上海东方通泰软件科技有限公司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北京东方通宇技术有限公司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北京惠捷朗科技有限公司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北京数字天堂信息科技有限责任公司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北京微智信业科技有限公司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 w:right="0"/>
              <w:jc w:val="center"/>
              <w:rPr>
                <w:rFonts w:ascii="Times New Roman" w:hAnsi="Times New Roman" w:cs="Times New Roman" w:eastAsia="Times New Roman" w:hint="default"/>
                <w:sz w:val="18"/>
                <w:szCs w:val="18"/>
              </w:rPr>
            </w:pPr>
            <w:r>
              <w:rPr>
                <w:rFonts w:ascii="Times New Roman"/>
                <w:sz w:val="18"/>
              </w:rPr>
              <w:t>100</w:t>
            </w:r>
          </w:p>
        </w:tc>
      </w:tr>
      <w:tr>
        <w:trPr>
          <w:trHeight w:val="341" w:hRule="exact"/>
        </w:trPr>
        <w:tc>
          <w:tcPr>
            <w:tcW w:w="3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东方通科技无锡有限公司</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Heading5"/>
        <w:spacing w:line="256" w:lineRule="auto" w:before="0"/>
        <w:ind w:right="1117" w:firstLine="422"/>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w:t>
      </w:r>
      <w:r>
        <w:rPr>
          <w:w w:val="100"/>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w:t>
      </w:r>
      <w:r>
        <w:rPr>
          <w:spacing w:val="-9"/>
        </w:rPr>
        <w:t> </w:t>
      </w:r>
      <w:r>
        <w:rPr>
          <w:spacing w:val="-9"/>
        </w:rPr>
      </w:r>
      <w:r>
        <w:rPr>
          <w:spacing w:val="-6"/>
        </w:rPr>
        <w:t>认和计量，在此基础上，结合中国证券监督管理委员会《公开发行证券的公司信息披露编报规则第</w:t>
      </w:r>
      <w:r>
        <w:rPr>
          <w:rFonts w:ascii="Times New Roman" w:hAnsi="Times New Roman" w:cs="Times New Roman" w:eastAsia="Times New Roman" w:hint="default"/>
          <w:spacing w:val="-6"/>
        </w:rPr>
        <w:t>15</w:t>
      </w:r>
      <w:r>
        <w:rPr>
          <w:spacing w:val="-6"/>
        </w:rPr>
        <w:t>号</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8"/>
        </w:rPr>
        <w:t> </w:t>
      </w:r>
      <w:r>
        <w:rPr/>
        <w:t>财务报告的一般规定》（</w:t>
      </w:r>
      <w:r>
        <w:rPr>
          <w:rFonts w:ascii="Times New Roman" w:hAnsi="Times New Roman" w:cs="Times New Roman" w:eastAsia="Times New Roman" w:hint="default"/>
        </w:rPr>
        <w:t>2014</w:t>
      </w:r>
      <w:r>
        <w:rPr/>
        <w:t>年修订）的规定，编制财务报表。</w:t>
      </w:r>
    </w:p>
    <w:p>
      <w:pPr>
        <w:spacing w:after="0" w:line="256" w:lineRule="auto"/>
        <w:jc w:val="both"/>
        <w:sectPr>
          <w:headerReference w:type="default" r:id="rId43"/>
          <w:footerReference w:type="default" r:id="rId44"/>
          <w:pgSz w:w="11910" w:h="16840"/>
          <w:pgMar w:header="871" w:footer="979" w:top="1100" w:bottom="1160" w:left="980" w:right="0"/>
          <w:pgNumType w:start="132"/>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4"/>
          <w:szCs w:val="24"/>
        </w:rPr>
      </w:pPr>
    </w:p>
    <w:p>
      <w:pPr>
        <w:pStyle w:val="Heading5"/>
        <w:spacing w:line="259" w:lineRule="auto" w:before="0"/>
        <w:ind w:right="0" w:firstLine="422"/>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w:t>
      </w:r>
      <w:r>
        <w:rPr>
          <w:w w:val="100"/>
        </w:rPr>
        <w:t> </w:t>
      </w:r>
      <w:r>
        <w:rPr/>
        <w:t>或情况。因此，本财务报表系在持续经营假设的基础上编制。</w:t>
      </w:r>
    </w:p>
    <w:p>
      <w:pPr>
        <w:spacing w:line="240" w:lineRule="auto" w:before="5"/>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具体会计政策和会计估计提示：</w:t>
      </w:r>
    </w:p>
    <w:p>
      <w:pPr>
        <w:pStyle w:val="Heading5"/>
        <w:spacing w:line="273" w:lineRule="auto" w:before="84"/>
        <w:ind w:right="1120" w:firstLine="422"/>
        <w:jc w:val="both"/>
      </w:pPr>
      <w:r>
        <w:rPr>
          <w:spacing w:val="-2"/>
        </w:rPr>
        <w:t>本公司公司根据实际生产经营特点，依据相关企业会计准则的规定，对收入确认、研究开发支出等交</w:t>
      </w:r>
      <w:r>
        <w:rPr>
          <w:w w:val="100"/>
        </w:rPr>
        <w:t> </w:t>
      </w:r>
      <w:r>
        <w:rPr>
          <w:spacing w:val="-2"/>
        </w:rPr>
        <w:t>易和事项制定了若干项具体会计政策和会计估计，详见本附注各项具体会计政策和会计估计描述。关于管</w:t>
      </w:r>
      <w:r>
        <w:rPr>
          <w:spacing w:val="-33"/>
        </w:rPr>
        <w:t> </w:t>
      </w:r>
      <w:r>
        <w:rPr>
          <w:spacing w:val="-33"/>
        </w:rPr>
      </w:r>
      <w:r>
        <w:rPr/>
        <w:t>理层所作出的重大会计判断和估计的说明，请参阅</w:t>
      </w:r>
      <w:r>
        <w:rPr>
          <w:rFonts w:ascii="Times New Roman" w:hAnsi="Times New Roman" w:cs="Times New Roman" w:eastAsia="Times New Roman" w:hint="default"/>
        </w:rPr>
        <w:t>“</w:t>
      </w:r>
      <w:r>
        <w:rPr/>
        <w:t>重要会计政策和会计估计变更</w:t>
      </w:r>
      <w:r>
        <w:rPr>
          <w:rFonts w:ascii="Times New Roman" w:hAnsi="Times New Roman" w:cs="Times New Roman" w:eastAsia="Times New Roman" w:hint="default"/>
        </w:rPr>
        <w:t>”</w:t>
      </w:r>
      <w:r>
        <w:rPr/>
        <w:t>。</w:t>
      </w:r>
    </w:p>
    <w:p>
      <w:pPr>
        <w:spacing w:line="616" w:lineRule="exact" w:before="43"/>
        <w:ind w:left="575" w:right="0" w:hanging="423"/>
        <w:jc w:val="left"/>
        <w:rPr>
          <w:rFonts w:ascii="宋体" w:hAnsi="宋体" w:cs="宋体" w:eastAsia="宋体" w:hint="default"/>
          <w:sz w:val="21"/>
          <w:szCs w:val="21"/>
        </w:rPr>
      </w:pPr>
      <w:bookmarkStart w:name="1、遵循企业会计准则的声明" w:id="168"/>
      <w:bookmarkEnd w:id="1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本公司所编制的财务报表符合企业会计准则的要求，真实、完整地反映了报告期公司的财务状况、经</w:t>
      </w:r>
    </w:p>
    <w:p>
      <w:pPr>
        <w:pStyle w:val="Heading5"/>
        <w:spacing w:line="218" w:lineRule="exact" w:before="0"/>
        <w:ind w:right="0"/>
        <w:jc w:val="left"/>
      </w:pPr>
      <w:r>
        <w:rPr/>
        <w:t>营成果、现金流量等有关信息。</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4"/>
          <w:szCs w:val="24"/>
        </w:rPr>
      </w:pPr>
    </w:p>
    <w:p>
      <w:pPr>
        <w:pStyle w:val="Heading5"/>
        <w:spacing w:line="240" w:lineRule="auto" w:before="0"/>
        <w:ind w:left="575"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4"/>
          <w:szCs w:val="24"/>
        </w:rPr>
      </w:pPr>
    </w:p>
    <w:p>
      <w:pPr>
        <w:pStyle w:val="Heading5"/>
        <w:spacing w:line="240" w:lineRule="auto" w:before="0"/>
        <w:ind w:left="575" w:right="0"/>
        <w:jc w:val="left"/>
      </w:pPr>
      <w:r>
        <w:rPr/>
        <w:t>本公司营业周期为</w:t>
      </w:r>
      <w:r>
        <w:rPr>
          <w:rFonts w:ascii="Times New Roman" w:hAnsi="Times New Roman" w:cs="Times New Roman" w:eastAsia="Times New Roman" w:hint="default"/>
        </w:rPr>
        <w:t>12</w:t>
      </w:r>
      <w:r>
        <w:rPr/>
        <w:t>个月。</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4"/>
          <w:szCs w:val="24"/>
        </w:rPr>
      </w:pPr>
    </w:p>
    <w:p>
      <w:pPr>
        <w:pStyle w:val="Heading5"/>
        <w:spacing w:line="240" w:lineRule="auto" w:before="0"/>
        <w:ind w:left="575" w:right="0"/>
        <w:jc w:val="left"/>
      </w:pPr>
      <w:r>
        <w:rPr/>
        <w:t>采用人民币为记账本位币。</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5、 同一控制下和非同一控制下企业合并的会计处理方法" w:id="172"/>
      <w:bookmarkEnd w:id="172"/>
      <w:r>
        <w:rPr>
          <w:b w:val="0"/>
          <w:bCs w:val="0"/>
        </w:rPr>
      </w:r>
      <w:r>
        <w:rPr>
          <w:rFonts w:ascii="Times New Roman" w:hAnsi="Times New Roman" w:cs="Times New Roman" w:eastAsia="Times New Roman" w:hint="default"/>
        </w:rPr>
        <w:t>5</w:t>
      </w:r>
      <w:r>
        <w:rPr/>
        <w:t>、</w:t>
      </w:r>
      <w:r>
        <w:rPr>
          <w:spacing w:val="-59"/>
        </w:rPr>
        <w:t> </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73" w:lineRule="auto"/>
        <w:ind w:right="0"/>
        <w:jc w:val="left"/>
        <w:rPr>
          <w:b w:val="0"/>
          <w:bCs w:val="0"/>
        </w:rPr>
      </w:pPr>
      <w:r>
        <w:rPr/>
        <w:t>（</w:t>
      </w:r>
      <w:r>
        <w:rPr>
          <w:rFonts w:ascii="宋体" w:hAnsi="宋体" w:cs="宋体" w:eastAsia="宋体" w:hint="default"/>
        </w:rPr>
        <w:t>1</w:t>
      </w:r>
      <w:r>
        <w:rPr/>
        <w:t>）分步实现企业合并过程中的各项交易的条款、条件以及经济影响符合以下一种或多种情况，将多次</w:t>
      </w:r>
      <w:r>
        <w:rPr>
          <w:spacing w:val="-66"/>
        </w:rPr>
        <w:t> </w:t>
      </w:r>
      <w:r>
        <w:rPr>
          <w:spacing w:val="-66"/>
        </w:rPr>
      </w:r>
      <w:r>
        <w:rPr/>
        <w:t>交易事项作为一揽子交易进行会计处理</w:t>
      </w:r>
      <w:r>
        <w:rPr>
          <w:b w:val="0"/>
          <w:bCs w:val="0"/>
        </w:rPr>
      </w:r>
    </w:p>
    <w:p>
      <w:pPr>
        <w:pStyle w:val="Heading5"/>
        <w:tabs>
          <w:tab w:pos="993" w:val="left" w:leader="none"/>
        </w:tabs>
        <w:spacing w:line="240" w:lineRule="auto"/>
        <w:ind w:left="580" w:right="0"/>
        <w:jc w:val="left"/>
      </w:pPr>
      <w:r>
        <w:rPr>
          <w:rFonts w:ascii="Wingdings" w:hAnsi="Wingdings" w:cs="Wingdings" w:eastAsia="Wingdings" w:hint="default"/>
        </w:rPr>
        <w:t></w:t>
      </w:r>
      <w:r>
        <w:rPr>
          <w:rFonts w:ascii="Times New Roman" w:hAnsi="Times New Roman" w:cs="Times New Roman" w:eastAsia="Times New Roman" w:hint="default"/>
        </w:rPr>
        <w:tab/>
      </w:r>
      <w:r>
        <w:rPr/>
        <w:t>这些交易是同时或者在考虑了彼此影响的情况下订立的；</w:t>
      </w:r>
    </w:p>
    <w:p>
      <w:pPr>
        <w:pStyle w:val="Heading5"/>
        <w:tabs>
          <w:tab w:pos="993" w:val="left" w:leader="none"/>
        </w:tabs>
        <w:spacing w:line="240" w:lineRule="auto" w:before="22"/>
        <w:ind w:left="580" w:right="0"/>
        <w:jc w:val="left"/>
      </w:pPr>
      <w:r>
        <w:rPr>
          <w:rFonts w:ascii="Wingdings" w:hAnsi="Wingdings" w:cs="Wingdings" w:eastAsia="Wingdings" w:hint="default"/>
        </w:rPr>
        <w:t></w:t>
      </w:r>
      <w:r>
        <w:rPr>
          <w:rFonts w:ascii="Times New Roman" w:hAnsi="Times New Roman" w:cs="Times New Roman" w:eastAsia="Times New Roman" w:hint="default"/>
        </w:rPr>
        <w:tab/>
      </w:r>
      <w:r>
        <w:rPr/>
        <w:t>这些交易整体才能达成一项完整的商业结果；</w:t>
      </w:r>
    </w:p>
    <w:p>
      <w:pPr>
        <w:pStyle w:val="Heading5"/>
        <w:tabs>
          <w:tab w:pos="993" w:val="left" w:leader="none"/>
        </w:tabs>
        <w:spacing w:line="240" w:lineRule="auto" w:before="22"/>
        <w:ind w:left="580" w:right="0"/>
        <w:jc w:val="left"/>
      </w:pPr>
      <w:r>
        <w:rPr>
          <w:rFonts w:ascii="Wingdings" w:hAnsi="Wingdings" w:cs="Wingdings" w:eastAsia="Wingdings" w:hint="default"/>
        </w:rPr>
        <w:t></w:t>
      </w:r>
      <w:r>
        <w:rPr>
          <w:rFonts w:ascii="Times New Roman" w:hAnsi="Times New Roman" w:cs="Times New Roman" w:eastAsia="Times New Roman" w:hint="default"/>
        </w:rPr>
        <w:tab/>
      </w:r>
      <w:r>
        <w:rPr/>
        <w:t>一项交易的发生取决于其他至少一项交易的发生；</w:t>
      </w:r>
    </w:p>
    <w:p>
      <w:pPr>
        <w:pStyle w:val="Heading5"/>
        <w:tabs>
          <w:tab w:pos="993" w:val="left" w:leader="none"/>
        </w:tabs>
        <w:spacing w:line="240" w:lineRule="auto" w:before="23"/>
        <w:ind w:left="580" w:right="0"/>
        <w:jc w:val="left"/>
      </w:pPr>
      <w:r>
        <w:rPr>
          <w:rFonts w:ascii="Wingdings" w:hAnsi="Wingdings" w:cs="Wingdings" w:eastAsia="Wingdings" w:hint="default"/>
        </w:rPr>
        <w:t></w:t>
      </w:r>
      <w:r>
        <w:rPr>
          <w:rFonts w:ascii="Times New Roman" w:hAnsi="Times New Roman" w:cs="Times New Roman" w:eastAsia="Times New Roman" w:hint="default"/>
        </w:rPr>
        <w:tab/>
      </w:r>
      <w:r>
        <w:rPr/>
        <w:t>一项交易单独看是不经济的，但是和其他交易一并考虑时是经济的。</w:t>
      </w:r>
    </w:p>
    <w:p>
      <w:pPr>
        <w:spacing w:line="273" w:lineRule="auto" w:before="22"/>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本公司在企业合并中取得的资产和负债，按照合并日在被合并方资产、负债（包括最终控制方收购被</w:t>
      </w:r>
    </w:p>
    <w:p>
      <w:pPr>
        <w:pStyle w:val="Heading5"/>
        <w:spacing w:line="273" w:lineRule="auto"/>
        <w:ind w:right="1125"/>
        <w:jc w:val="both"/>
      </w:pPr>
      <w:r>
        <w:rPr>
          <w:spacing w:val="-2"/>
        </w:rPr>
        <w:t>合并方而形成的商誉）在最终控制方合并财务报表中的账面价值计量。在合并中取得的净资产账面价值与</w:t>
      </w:r>
      <w:r>
        <w:rPr>
          <w:spacing w:val="-33"/>
        </w:rPr>
        <w:t> </w:t>
      </w:r>
      <w:r>
        <w:rPr>
          <w:spacing w:val="-33"/>
        </w:rPr>
      </w:r>
      <w:r>
        <w:rPr>
          <w:spacing w:val="-2"/>
        </w:rPr>
        <w:t>支付的合并对价账面价值（或发行股份面值总额）的差额，调整资本公积中的股本溢价，资本公积中的股</w:t>
      </w:r>
      <w:r>
        <w:rPr>
          <w:spacing w:val="-33"/>
        </w:rPr>
        <w:t> </w:t>
      </w:r>
      <w:r>
        <w:rPr>
          <w:spacing w:val="-33"/>
        </w:rPr>
      </w:r>
      <w:r>
        <w:rPr/>
        <w:t>本溢价不足冲减的，调整留存收益。</w:t>
      </w:r>
    </w:p>
    <w:p>
      <w:pPr>
        <w:pStyle w:val="Heading5"/>
        <w:spacing w:line="273" w:lineRule="auto"/>
        <w:ind w:right="0" w:firstLine="422"/>
        <w:jc w:val="left"/>
      </w:pPr>
      <w:r>
        <w:rPr>
          <w:spacing w:val="-2"/>
        </w:rPr>
        <w:t>如果存在或有对价并需要确认预计负债或资产，该预计负债或资产金额与后续或有对价结算金额的差</w:t>
      </w:r>
      <w:r>
        <w:rPr>
          <w:w w:val="100"/>
        </w:rPr>
        <w:t> </w:t>
      </w:r>
      <w:r>
        <w:rPr/>
        <w:t>额，调整资本公积（资本溢价或股本溢价），资本公积不足的，调整留存收益。</w:t>
      </w:r>
    </w:p>
    <w:p>
      <w:pPr>
        <w:pStyle w:val="Heading5"/>
        <w:spacing w:line="240" w:lineRule="auto"/>
        <w:ind w:left="575" w:right="0"/>
        <w:jc w:val="left"/>
      </w:pPr>
      <w:r>
        <w:rPr/>
        <w:t>对于通过多次交易最终实现企业合并的，属于一揽子交易的，将各项交易作为一项取得控制权的交易</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right="1105"/>
        <w:jc w:val="both"/>
      </w:pPr>
      <w:r>
        <w:rPr>
          <w:spacing w:val="-2"/>
        </w:rPr>
        <w:t>进行会计处理；不属于一揽子交易的，在取得控制权日，长期股权投资初始投资成本，与达到合并前的长</w:t>
      </w:r>
      <w:r>
        <w:rPr>
          <w:spacing w:val="-33"/>
        </w:rPr>
        <w:t> </w:t>
      </w:r>
      <w:r>
        <w:rPr>
          <w:spacing w:val="-33"/>
        </w:rPr>
      </w:r>
      <w:r>
        <w:rPr>
          <w:spacing w:val="-2"/>
        </w:rPr>
        <w:t>期股权投资账面价值加上合并日进一步取得股份新支付对价的账面价值之和的差额，调整资本公积；资本</w:t>
      </w:r>
      <w:r>
        <w:rPr>
          <w:spacing w:val="-33"/>
        </w:rPr>
        <w:t> </w:t>
      </w:r>
      <w:r>
        <w:rPr>
          <w:spacing w:val="-33"/>
        </w:rPr>
      </w:r>
      <w:r>
        <w:rPr>
          <w:spacing w:val="-2"/>
        </w:rPr>
        <w:t>公积不足冲减的，调整留存收益。对于合并日之前持有的股权投资，因采用权益法核算或金融工具确认和</w:t>
      </w:r>
      <w:r>
        <w:rPr>
          <w:spacing w:val="-33"/>
        </w:rPr>
        <w:t> </w:t>
      </w:r>
      <w:r>
        <w:rPr>
          <w:spacing w:val="-33"/>
        </w:rPr>
      </w:r>
      <w:r>
        <w:rPr>
          <w:spacing w:val="-2"/>
        </w:rPr>
        <w:t>计量准则核算而确认的其他综合收益，暂不进行会计处理，直至处置该项投资时采用与被投资单位直接处</w:t>
      </w:r>
      <w:r>
        <w:rPr>
          <w:spacing w:val="-33"/>
        </w:rPr>
        <w:t> </w:t>
      </w:r>
      <w:r>
        <w:rPr>
          <w:spacing w:val="-33"/>
        </w:rPr>
      </w:r>
      <w:r>
        <w:rPr>
          <w:spacing w:val="-2"/>
        </w:rPr>
        <w:t>置相关资产或负债相同的基础进行会计处理；因采用权益法核算而确认的被投资单位净资产中除净损益、</w:t>
      </w:r>
      <w:r>
        <w:rPr>
          <w:spacing w:val="-12"/>
        </w:rPr>
        <w:t> </w:t>
      </w:r>
      <w:r>
        <w:rPr>
          <w:spacing w:val="-12"/>
        </w:rPr>
      </w:r>
      <w:r>
        <w:rPr>
          <w:spacing w:val="-2"/>
        </w:rPr>
        <w:t>其他综合收益和利润分配以外的所有者权益其他变动，暂不进行会计处理，直至处置该项投资时转入当期</w:t>
      </w:r>
      <w:r>
        <w:rPr>
          <w:spacing w:val="-33"/>
        </w:rPr>
        <w:t> </w:t>
      </w:r>
      <w:r>
        <w:rPr>
          <w:spacing w:val="-33"/>
        </w:rPr>
      </w:r>
      <w:r>
        <w:rPr/>
        <w:t>损益。</w:t>
      </w:r>
    </w:p>
    <w:p>
      <w:pPr>
        <w:spacing w:line="273" w:lineRule="auto" w:before="7"/>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spacing w:val="-102"/>
          <w:sz w:val="21"/>
          <w:szCs w:val="21"/>
        </w:rPr>
        <w:t> </w:t>
      </w:r>
      <w:r>
        <w:rPr>
          <w:rFonts w:ascii="宋体" w:hAnsi="宋体" w:cs="宋体" w:eastAsia="宋体" w:hint="default"/>
          <w:spacing w:val="-2"/>
          <w:sz w:val="21"/>
          <w:szCs w:val="21"/>
        </w:rPr>
        <w:t>购买日是指本公司实际取得对被购买方控制权的日期，即被购买方的净资产或生产经营决策的控制权</w:t>
      </w:r>
    </w:p>
    <w:p>
      <w:pPr>
        <w:pStyle w:val="Heading5"/>
        <w:spacing w:line="240" w:lineRule="auto" w:before="8"/>
        <w:ind w:right="0"/>
        <w:jc w:val="left"/>
      </w:pPr>
      <w:r>
        <w:rPr/>
        <w:t>转移给本公司的日期。同时满足下列条件时，本公司一般认为实现了控制权的转移：</w:t>
      </w:r>
    </w:p>
    <w:p>
      <w:pPr>
        <w:pStyle w:val="Heading5"/>
        <w:spacing w:line="240" w:lineRule="auto" w:before="37"/>
        <w:ind w:left="575" w:right="0"/>
        <w:jc w:val="left"/>
      </w:pPr>
      <w:r>
        <w:rPr/>
        <w:t>①企业合并合同或协议已获本公司内部权力机构通过。</w:t>
      </w:r>
    </w:p>
    <w:p>
      <w:pPr>
        <w:pStyle w:val="Heading5"/>
        <w:spacing w:line="240" w:lineRule="auto" w:before="37"/>
        <w:ind w:left="575" w:right="0"/>
        <w:jc w:val="left"/>
      </w:pPr>
      <w:r>
        <w:rPr/>
        <w:t>②企业合并事项需要经过国家有关主管部门审批的，已获得批准。</w:t>
      </w:r>
    </w:p>
    <w:p>
      <w:pPr>
        <w:pStyle w:val="Heading5"/>
        <w:spacing w:line="240" w:lineRule="auto" w:before="37"/>
        <w:ind w:left="575" w:right="0"/>
        <w:jc w:val="left"/>
      </w:pPr>
      <w:r>
        <w:rPr/>
        <w:t>③已办理了必要的财产权转移手续。</w:t>
      </w:r>
    </w:p>
    <w:p>
      <w:pPr>
        <w:pStyle w:val="Heading5"/>
        <w:spacing w:line="240" w:lineRule="auto" w:before="37"/>
        <w:ind w:left="575" w:right="0"/>
        <w:jc w:val="left"/>
      </w:pPr>
      <w:r>
        <w:rPr/>
        <w:t>④本公司已支付了合并价款的大部分，并且有能力、有计划支付剩余款项。</w:t>
      </w:r>
    </w:p>
    <w:p>
      <w:pPr>
        <w:pStyle w:val="Heading5"/>
        <w:spacing w:line="273" w:lineRule="auto" w:before="37"/>
        <w:ind w:left="575" w:right="0"/>
        <w:jc w:val="left"/>
      </w:pPr>
      <w:r>
        <w:rPr/>
        <w:t>⑤本公司实际上已经控制了被购买方的财务和经营政策，并享有相应的利益、承担相应的风险。</w:t>
      </w:r>
      <w:r>
        <w:rPr>
          <w:w w:val="100"/>
        </w:rPr>
        <w:t> </w:t>
      </w:r>
      <w:r>
        <w:rPr>
          <w:spacing w:val="-2"/>
        </w:rPr>
        <w:t>本公司在购买日对作为企业合并对价付出的资产、发生或承担的负债按照公允价值计量，公允价值与</w:t>
      </w:r>
    </w:p>
    <w:p>
      <w:pPr>
        <w:pStyle w:val="Heading5"/>
        <w:spacing w:line="273" w:lineRule="auto"/>
        <w:ind w:left="575" w:right="0" w:hanging="423"/>
        <w:jc w:val="left"/>
      </w:pPr>
      <w:r>
        <w:rPr/>
        <w:t>其账面价值的差额，计入当期损益。</w:t>
      </w:r>
      <w:r>
        <w:rPr>
          <w:spacing w:val="-101"/>
        </w:rPr>
        <w:t> </w:t>
      </w:r>
      <w:r>
        <w:rPr>
          <w:spacing w:val="-101"/>
        </w:rPr>
      </w:r>
      <w:r>
        <w:rPr>
          <w:spacing w:val="-2"/>
        </w:rPr>
        <w:t>本公司对合并成本大于合并中取得的被购买方可辨认净资产公允价值份额的差额，确认为商誉；合并</w:t>
      </w:r>
    </w:p>
    <w:p>
      <w:pPr>
        <w:pStyle w:val="Heading5"/>
        <w:spacing w:line="273" w:lineRule="auto"/>
        <w:ind w:left="575" w:right="0" w:hanging="423"/>
        <w:jc w:val="left"/>
      </w:pPr>
      <w:r>
        <w:rPr/>
        <w:t>成本小于合并中取得的被购买方可辨认净资产公允价值份额的差额，经复核后，计入当期损益。</w:t>
      </w:r>
      <w:r>
        <w:rPr>
          <w:w w:val="100"/>
        </w:rPr>
        <w:t> </w:t>
      </w:r>
      <w:r>
        <w:rPr>
          <w:spacing w:val="-2"/>
        </w:rPr>
        <w:t>通过多次交换交易分步实现的非同一控制下企业合并，属于一揽子交易的，将各项交易作为一项取得</w:t>
      </w:r>
    </w:p>
    <w:p>
      <w:pPr>
        <w:pStyle w:val="Heading5"/>
        <w:spacing w:line="273" w:lineRule="auto"/>
        <w:ind w:right="1123"/>
        <w:jc w:val="both"/>
      </w:pPr>
      <w:r>
        <w:rPr>
          <w:spacing w:val="-2"/>
        </w:rPr>
        <w:t>控制权的交易进行会计处理；不属于一揽子交易的，合并日之前持有的股权投资采用权益法核算的，以购</w:t>
      </w:r>
      <w:r>
        <w:rPr>
          <w:spacing w:val="-33"/>
        </w:rPr>
        <w:t> </w:t>
      </w:r>
      <w:r>
        <w:rPr>
          <w:spacing w:val="-33"/>
        </w:rPr>
      </w:r>
      <w:r>
        <w:rPr/>
        <w:t>买日之前所持被购买方的股权投资的账面价值与购买日新增投资成本之和，作为该项投资的初始投资成</w:t>
      </w:r>
      <w:r>
        <w:rPr>
          <w:spacing w:val="60"/>
        </w:rPr>
        <w:t> </w:t>
      </w:r>
      <w:r>
        <w:rPr>
          <w:spacing w:val="60"/>
        </w:rPr>
      </w:r>
      <w:r>
        <w:rPr>
          <w:spacing w:val="-2"/>
        </w:rPr>
        <w:t>本；购买日之前持有的股权投资因采用权益法核算而确认的其他综合收益，在处置该项投资时采用与被投</w:t>
      </w:r>
      <w:r>
        <w:rPr>
          <w:spacing w:val="-33"/>
        </w:rPr>
        <w:t> </w:t>
      </w:r>
      <w:r>
        <w:rPr>
          <w:spacing w:val="-33"/>
        </w:rPr>
      </w:r>
      <w:r>
        <w:rPr>
          <w:spacing w:val="-2"/>
        </w:rPr>
        <w:t>资单位直接处置相关资产或负债相同的基础进行会计处理。合并日之前持有的股权投资采用金融工具确认</w:t>
      </w:r>
      <w:r>
        <w:rPr>
          <w:spacing w:val="-33"/>
        </w:rPr>
        <w:t> </w:t>
      </w:r>
      <w:r>
        <w:rPr>
          <w:spacing w:val="-33"/>
        </w:rPr>
      </w:r>
      <w:r>
        <w:rPr>
          <w:spacing w:val="-2"/>
        </w:rPr>
        <w:t>和计量准则核算的，以该股权投资在合并日的公允价值加上新增投资成本之和，作为合并日的初始投资成</w:t>
      </w:r>
      <w:r>
        <w:rPr>
          <w:spacing w:val="-33"/>
        </w:rPr>
        <w:t> </w:t>
      </w:r>
      <w:r>
        <w:rPr>
          <w:spacing w:val="-33"/>
        </w:rPr>
      </w:r>
      <w:r>
        <w:rPr>
          <w:spacing w:val="-2"/>
        </w:rPr>
        <w:t>本。原持有股权的公允价值与账面价值之间的差额以及原计入其他综合收益的累计公允价值变动应全部转</w:t>
      </w:r>
      <w:r>
        <w:rPr>
          <w:spacing w:val="-31"/>
        </w:rPr>
        <w:t> </w:t>
      </w:r>
      <w:r>
        <w:rPr>
          <w:spacing w:val="-31"/>
        </w:rPr>
      </w:r>
      <w:r>
        <w:rPr/>
        <w:t>入合并日当期的投资收益。</w:t>
      </w:r>
    </w:p>
    <w:p>
      <w:pPr>
        <w:spacing w:line="273" w:lineRule="auto" w:before="7"/>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spacing w:val="-102"/>
          <w:sz w:val="21"/>
          <w:szCs w:val="21"/>
        </w:rPr>
        <w:t> </w:t>
      </w:r>
      <w:r>
        <w:rPr>
          <w:rFonts w:ascii="宋体" w:hAnsi="宋体" w:cs="宋体" w:eastAsia="宋体" w:hint="default"/>
          <w:spacing w:val="-2"/>
          <w:sz w:val="21"/>
          <w:szCs w:val="21"/>
        </w:rPr>
        <w:t>为企业合并发生的审计、法律服务、评估咨询等中介费用以及其他直接相关费用，于发生时计入当期</w:t>
      </w:r>
    </w:p>
    <w:p>
      <w:pPr>
        <w:pStyle w:val="Heading5"/>
        <w:spacing w:line="240" w:lineRule="auto"/>
        <w:ind w:right="0"/>
        <w:jc w:val="left"/>
      </w:pPr>
      <w:r>
        <w:rPr/>
        <w:t>损益；为企业合并而发行权益性证券的交易费用，可直接归属于权益性交易的从权益中扣减。</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6、 合并财务报表的编制方法" w:id="173"/>
      <w:bookmarkEnd w:id="173"/>
      <w:r>
        <w:rPr>
          <w:b w:val="0"/>
          <w:bCs w:val="0"/>
        </w:rPr>
      </w:r>
      <w:r>
        <w:rPr>
          <w:rFonts w:ascii="Times New Roman" w:hAnsi="Times New Roman" w:cs="Times New Roman" w:eastAsia="Times New Roman" w:hint="default"/>
        </w:rPr>
        <w:t>6</w:t>
      </w:r>
      <w:r>
        <w:rPr/>
        <w:t>、</w:t>
      </w:r>
      <w:r>
        <w:rPr>
          <w:spacing w:val="-58"/>
        </w:rPr>
        <w:t> </w:t>
      </w:r>
      <w:r>
        <w:rPr/>
        <w:t>合并财务报表的编制方法</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宋体" w:hAnsi="宋体" w:cs="宋体" w:eastAsia="宋体" w:hint="default"/>
        </w:rPr>
        <w:t>1</w:t>
      </w:r>
      <w:r>
        <w:rPr/>
        <w:t>）合并范围</w:t>
      </w:r>
      <w:r>
        <w:rPr>
          <w:b w:val="0"/>
          <w:bCs w:val="0"/>
        </w:rPr>
      </w:r>
    </w:p>
    <w:p>
      <w:pPr>
        <w:pStyle w:val="Heading5"/>
        <w:spacing w:line="273" w:lineRule="auto" w:before="37"/>
        <w:ind w:right="1120" w:firstLine="422"/>
        <w:jc w:val="both"/>
      </w:pPr>
      <w:r>
        <w:rPr>
          <w:spacing w:val="-2"/>
        </w:rPr>
        <w:t>本公司合并财务报表的合并范围以控制为基础确定，所有子公司（包括本公司所控制的单独主体）均</w:t>
      </w:r>
      <w:r>
        <w:rPr>
          <w:w w:val="100"/>
        </w:rPr>
        <w:t> </w:t>
      </w:r>
      <w:r>
        <w:rPr/>
        <w:t>纳入合并财务报表。</w:t>
      </w:r>
    </w:p>
    <w:p>
      <w:pPr>
        <w:pStyle w:val="Heading4"/>
        <w:spacing w:line="240" w:lineRule="auto" w:before="8"/>
        <w:ind w:right="0"/>
        <w:jc w:val="left"/>
        <w:rPr>
          <w:b w:val="0"/>
          <w:bCs w:val="0"/>
        </w:rPr>
      </w:pPr>
      <w:r>
        <w:rPr/>
        <w:t>（</w:t>
      </w:r>
      <w:r>
        <w:rPr>
          <w:rFonts w:ascii="宋体" w:hAnsi="宋体" w:cs="宋体" w:eastAsia="宋体" w:hint="default"/>
        </w:rPr>
        <w:t>2</w:t>
      </w:r>
      <w:r>
        <w:rPr/>
        <w:t>）合并程序</w:t>
      </w:r>
      <w:r>
        <w:rPr>
          <w:b w:val="0"/>
          <w:bCs w:val="0"/>
        </w:rPr>
      </w:r>
    </w:p>
    <w:p>
      <w:pPr>
        <w:pStyle w:val="Heading5"/>
        <w:spacing w:line="273" w:lineRule="auto" w:before="37"/>
        <w:ind w:right="1117" w:firstLine="422"/>
        <w:jc w:val="both"/>
      </w:pPr>
      <w:r>
        <w:rPr>
          <w:spacing w:val="-2"/>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33"/>
        </w:rPr>
        <w:t> </w:t>
      </w:r>
      <w:r>
        <w:rPr>
          <w:spacing w:val="-33"/>
        </w:rPr>
      </w:r>
      <w:r>
        <w:rPr/>
        <w:t>统一的会计政策，反映本企业集团整体财务状况、经营成果和现金流量。</w:t>
      </w:r>
    </w:p>
    <w:p>
      <w:pPr>
        <w:pStyle w:val="Heading5"/>
        <w:spacing w:line="273" w:lineRule="auto"/>
        <w:ind w:right="1125" w:firstLine="422"/>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33"/>
        </w:rPr>
        <w:t> </w:t>
      </w:r>
      <w:r>
        <w:rPr>
          <w:spacing w:val="-33"/>
        </w:rPr>
      </w:r>
      <w:r>
        <w:rPr/>
        <w:t>必要的调整。</w:t>
      </w:r>
    </w:p>
    <w:p>
      <w:pPr>
        <w:pStyle w:val="Heading5"/>
        <w:spacing w:line="240" w:lineRule="auto"/>
        <w:ind w:left="575" w:right="0"/>
        <w:jc w:val="left"/>
      </w:pPr>
      <w:r>
        <w:rPr/>
        <w:t>合并财务报表时抵销本公司与各子公司、各子公司相互之间发生的内部交易对合并资产负债表、合并</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right="1123"/>
        <w:jc w:val="both"/>
      </w:pPr>
      <w:r>
        <w:rPr>
          <w:spacing w:val="-2"/>
        </w:rPr>
        <w:t>利润表、合并现金流量表、合并股东权益变动表的影响。如果站在企业集团合并财务报表角度与以本公司</w:t>
      </w:r>
      <w:r>
        <w:rPr>
          <w:spacing w:val="-31"/>
        </w:rPr>
        <w:t> </w:t>
      </w:r>
      <w:r>
        <w:rPr>
          <w:spacing w:val="-31"/>
        </w:rPr>
      </w:r>
      <w:r>
        <w:rPr/>
        <w:t>或子公司为会计主体对同一交易的认定不同时，从企业集团的角度对该交易予以调整。</w:t>
      </w:r>
    </w:p>
    <w:p>
      <w:pPr>
        <w:pStyle w:val="Heading5"/>
        <w:spacing w:line="273" w:lineRule="auto"/>
        <w:ind w:right="1121" w:firstLine="422"/>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33"/>
        </w:rPr>
        <w:t> </w:t>
      </w:r>
      <w:r>
        <w:rPr>
          <w:spacing w:val="-33"/>
        </w:rPr>
      </w:r>
      <w:r>
        <w:rPr/>
        <w:t>亏损超过了少数股东在该子公司期初所有者权益中所享有份额而形成的余额，冲减少数股东权益。</w:t>
      </w:r>
    </w:p>
    <w:p>
      <w:pPr>
        <w:pStyle w:val="Heading5"/>
        <w:spacing w:line="273" w:lineRule="auto"/>
        <w:ind w:right="1125" w:firstLine="422"/>
        <w:jc w:val="both"/>
      </w:pPr>
      <w:r>
        <w:rPr>
          <w:spacing w:val="-2"/>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Heading5"/>
        <w:spacing w:line="273" w:lineRule="auto"/>
        <w:ind w:right="1121" w:firstLine="422"/>
        <w:jc w:val="both"/>
      </w:pPr>
      <w:r>
        <w:rPr>
          <w:spacing w:val="-2"/>
        </w:rPr>
        <w:t>对于非同一控制下企业合并取得的子公司，以购买日可辨认净资产公允价值为基础对其财务报表进行</w:t>
      </w:r>
      <w:r>
        <w:rPr>
          <w:w w:val="100"/>
        </w:rPr>
        <w:t> </w:t>
      </w:r>
      <w:r>
        <w:rPr/>
        <w:t>调整</w:t>
      </w:r>
    </w:p>
    <w:p>
      <w:pPr>
        <w:pStyle w:val="Heading5"/>
        <w:tabs>
          <w:tab w:pos="575" w:val="left" w:leader="none"/>
        </w:tabs>
        <w:spacing w:line="259" w:lineRule="auto" w:before="8"/>
        <w:ind w:left="575" w:right="1123" w:hanging="423"/>
        <w:jc w:val="left"/>
      </w:pPr>
      <w:r>
        <w:rPr>
          <w:rFonts w:ascii="Wingdings" w:hAnsi="Wingdings" w:cs="Wingdings" w:eastAsia="Wingdings" w:hint="default"/>
        </w:rPr>
        <w:t></w:t>
      </w:r>
      <w:r>
        <w:rPr>
          <w:rFonts w:ascii="Times New Roman" w:hAnsi="Times New Roman" w:cs="Times New Roman" w:eastAsia="Times New Roman" w:hint="default"/>
        </w:rPr>
        <w:tab/>
      </w:r>
      <w:r>
        <w:rPr/>
        <w:t>增加子公司或业务</w:t>
      </w:r>
      <w:r>
        <w:rPr>
          <w:spacing w:val="-101"/>
        </w:rPr>
        <w:t> </w:t>
      </w:r>
      <w:r>
        <w:rPr>
          <w:spacing w:val="-101"/>
        </w:rPr>
      </w:r>
      <w:r>
        <w:rPr>
          <w:spacing w:val="-2"/>
        </w:rPr>
        <w:t>在报告期内，若因同一控制下企业合并增加子公司或业务的，则调整合并资产负债表的期初数；将子</w:t>
      </w:r>
    </w:p>
    <w:p>
      <w:pPr>
        <w:pStyle w:val="Heading5"/>
        <w:spacing w:line="273" w:lineRule="auto" w:before="20"/>
        <w:ind w:right="1125"/>
        <w:jc w:val="both"/>
      </w:pPr>
      <w:r>
        <w:rPr>
          <w:spacing w:val="-2"/>
        </w:rPr>
        <w:t>公司或业务合并当期期初至报告期末的收入、费用、利润纳入合并利润表；将子公司或业务合并当期期初</w:t>
      </w:r>
      <w:r>
        <w:rPr>
          <w:spacing w:val="-33"/>
        </w:rPr>
        <w:t> </w:t>
      </w:r>
      <w:r>
        <w:rPr>
          <w:spacing w:val="-33"/>
        </w:rPr>
      </w:r>
      <w:r>
        <w:rPr>
          <w:spacing w:val="-2"/>
        </w:rPr>
        <w:t>至报告期末的现金流量纳入合并现金流量表，同时对比较报表的相关项目进行调整，视同合并后的报告主</w:t>
      </w:r>
      <w:r>
        <w:rPr>
          <w:spacing w:val="-33"/>
        </w:rPr>
        <w:t> </w:t>
      </w:r>
      <w:r>
        <w:rPr>
          <w:spacing w:val="-33"/>
        </w:rPr>
      </w:r>
      <w:r>
        <w:rPr/>
        <w:t>体自最终控制方开始控制时点起一直存在。</w:t>
      </w:r>
    </w:p>
    <w:p>
      <w:pPr>
        <w:pStyle w:val="Heading5"/>
        <w:spacing w:line="273" w:lineRule="auto" w:before="8"/>
        <w:ind w:right="1123" w:firstLine="422"/>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33"/>
        </w:rPr>
        <w:t> </w:t>
      </w:r>
      <w:r>
        <w:rPr>
          <w:spacing w:val="-33"/>
        </w:rPr>
      </w:r>
      <w:r>
        <w:rPr>
          <w:spacing w:val="-2"/>
        </w:rPr>
        <w:t>合并方和被合并方同处于同一控制之日孰晚日起至合并日之间已确认有关损益、其他综合收益以及其他净</w:t>
      </w:r>
      <w:r>
        <w:rPr>
          <w:spacing w:val="-33"/>
        </w:rPr>
        <w:t> </w:t>
      </w:r>
      <w:r>
        <w:rPr>
          <w:spacing w:val="-33"/>
        </w:rPr>
      </w:r>
      <w:r>
        <w:rPr/>
        <w:t>资产变动，分别冲减比较报表期间的期初留存收益或当期损益。</w:t>
      </w:r>
    </w:p>
    <w:p>
      <w:pPr>
        <w:pStyle w:val="Heading5"/>
        <w:spacing w:line="273" w:lineRule="auto"/>
        <w:ind w:right="1120" w:firstLine="422"/>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33"/>
        </w:rPr>
        <w:t> </w:t>
      </w:r>
      <w:r>
        <w:rPr>
          <w:spacing w:val="-33"/>
        </w:rPr>
      </w:r>
      <w:r>
        <w:rPr/>
        <w:t>告期末的现金流量纳入合并现金流量表。</w:t>
      </w:r>
    </w:p>
    <w:p>
      <w:pPr>
        <w:pStyle w:val="Heading5"/>
        <w:spacing w:line="273" w:lineRule="auto"/>
        <w:ind w:right="1125" w:firstLine="422"/>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33"/>
        </w:rPr>
        <w:t> </w:t>
      </w:r>
      <w:r>
        <w:rPr>
          <w:spacing w:val="-33"/>
        </w:rPr>
      </w:r>
      <w:r>
        <w:rPr>
          <w:spacing w:val="-2"/>
        </w:rPr>
        <w:t>益。购买日之前持有的被购买方的股权涉及权益法核算下的其他综合收益以及除净损益、其他综合收益和</w:t>
      </w:r>
      <w:r>
        <w:rPr>
          <w:spacing w:val="-33"/>
        </w:rPr>
        <w:t> </w:t>
      </w:r>
      <w:r>
        <w:rPr>
          <w:spacing w:val="-33"/>
        </w:rPr>
      </w:r>
      <w:r>
        <w:rPr>
          <w:spacing w:val="-2"/>
        </w:rPr>
        <w:t>利润分配之外的其他所有者权益变动的，与其相关的其他综合收益、其他所有者权益变动转为购买日所属</w:t>
      </w:r>
      <w:r>
        <w:rPr>
          <w:spacing w:val="-33"/>
        </w:rPr>
        <w:t> </w:t>
      </w:r>
      <w:r>
        <w:rPr>
          <w:spacing w:val="-33"/>
        </w:rPr>
      </w:r>
      <w:r>
        <w:rPr/>
        <w:t>当期投资收益，由于被投资方重新计量设定受益计划净负债或净资产变动而产生的其他综合收益除外。</w:t>
      </w:r>
    </w:p>
    <w:p>
      <w:pPr>
        <w:pStyle w:val="Heading5"/>
        <w:spacing w:line="240" w:lineRule="auto"/>
        <w:ind w:right="0"/>
        <w:jc w:val="both"/>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处置子公司或业务</w:t>
      </w:r>
    </w:p>
    <w:p>
      <w:pPr>
        <w:pStyle w:val="Heading5"/>
        <w:spacing w:line="256" w:lineRule="auto" w:before="22"/>
        <w:ind w:left="575" w:right="0"/>
        <w:jc w:val="left"/>
      </w:pPr>
      <w:r>
        <w:rPr>
          <w:rFonts w:ascii="Times New Roman" w:hAnsi="Times New Roman" w:cs="Times New Roman" w:eastAsia="Times New Roman" w:hint="default"/>
        </w:rPr>
        <w:t>1</w:t>
      </w:r>
      <w:r>
        <w:rPr/>
        <w:t>）一般处理方法</w:t>
      </w:r>
      <w:r>
        <w:rPr>
          <w:spacing w:val="-101"/>
        </w:rPr>
        <w:t> </w:t>
      </w:r>
      <w:r>
        <w:rPr>
          <w:spacing w:val="-101"/>
        </w:rPr>
      </w:r>
      <w:r>
        <w:rPr>
          <w:spacing w:val="-2"/>
        </w:rPr>
        <w:t>在报告期内，本公司处置子公司或业务，则该子公司或业务期初至处置日的收入、费用、利润纳入合</w:t>
      </w:r>
    </w:p>
    <w:p>
      <w:pPr>
        <w:pStyle w:val="Heading5"/>
        <w:spacing w:line="273" w:lineRule="auto" w:before="22"/>
        <w:ind w:left="575" w:right="0" w:hanging="423"/>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Heading5"/>
        <w:spacing w:line="273" w:lineRule="auto"/>
        <w:ind w:right="1124"/>
        <w:jc w:val="both"/>
      </w:pPr>
      <w:r>
        <w:rPr>
          <w:spacing w:val="-2"/>
        </w:rPr>
        <w:t>照其在丧失控制权日的公允价值进行重新计量。处置股权取得的对价与剩余股权公允价值之和，减去按原</w:t>
      </w:r>
      <w:r>
        <w:rPr>
          <w:spacing w:val="-33"/>
        </w:rPr>
        <w:t> </w:t>
      </w:r>
      <w:r>
        <w:rPr>
          <w:spacing w:val="-33"/>
        </w:rPr>
      </w:r>
      <w:r>
        <w:rPr>
          <w:spacing w:val="-2"/>
        </w:rPr>
        <w:t>持股比例计算应享有原有子公司自购买日或合并日开始持续计算的净资产的份额与商誉之和的差额，计入</w:t>
      </w:r>
      <w:r>
        <w:rPr>
          <w:spacing w:val="-33"/>
        </w:rPr>
        <w:t> </w:t>
      </w:r>
      <w:r>
        <w:rPr>
          <w:spacing w:val="-33"/>
        </w:rPr>
      </w:r>
      <w:r>
        <w:rPr>
          <w:spacing w:val="-2"/>
        </w:rPr>
        <w:t>丧失控制权当期的投资收益。与原有子公司股权投资相关的其他综合收益或除净损益、其他综合收益及利</w:t>
      </w:r>
      <w:r>
        <w:rPr>
          <w:spacing w:val="-33"/>
        </w:rPr>
        <w:t> </w:t>
      </w:r>
      <w:r>
        <w:rPr>
          <w:spacing w:val="-33"/>
        </w:rPr>
      </w:r>
      <w:r>
        <w:rPr>
          <w:spacing w:val="-2"/>
        </w:rPr>
        <w:t>润分配之外的其他所有者权益变动，在丧失控制权时转为当期投资收益，由于被投资方重新计量设定受益</w:t>
      </w:r>
      <w:r>
        <w:rPr>
          <w:spacing w:val="-32"/>
        </w:rPr>
        <w:t> </w:t>
      </w:r>
      <w:r>
        <w:rPr>
          <w:spacing w:val="-32"/>
        </w:rPr>
      </w:r>
      <w:r>
        <w:rPr/>
        <w:t>计划净负债或净资产变动而产生的其他综合收益除外。</w:t>
      </w:r>
    </w:p>
    <w:p>
      <w:pPr>
        <w:pStyle w:val="Heading5"/>
        <w:spacing w:line="256" w:lineRule="auto" w:before="8"/>
        <w:ind w:left="575" w:right="0"/>
        <w:jc w:val="left"/>
      </w:pPr>
      <w:r>
        <w:rPr>
          <w:rFonts w:ascii="Times New Roman" w:hAnsi="Times New Roman" w:cs="Times New Roman" w:eastAsia="Times New Roman" w:hint="default"/>
        </w:rPr>
        <w:t>2</w:t>
      </w:r>
      <w:r>
        <w:rPr/>
        <w:t>）分步处置子公司</w:t>
      </w:r>
      <w:r>
        <w:rPr>
          <w:spacing w:val="-100"/>
        </w:rPr>
        <w:t> </w:t>
      </w:r>
      <w:r>
        <w:rPr>
          <w:spacing w:val="-100"/>
        </w:rPr>
      </w:r>
      <w:r>
        <w:rPr>
          <w:spacing w:val="-2"/>
        </w:rPr>
        <w:t>通过多次交易分步处置对子公司股权投资直至丧失控制权的，处置对子公司股权投资的各项交易的条</w:t>
      </w:r>
    </w:p>
    <w:p>
      <w:pPr>
        <w:pStyle w:val="Heading5"/>
        <w:spacing w:line="273" w:lineRule="auto" w:before="22"/>
        <w:ind w:right="1125"/>
        <w:jc w:val="both"/>
      </w:pPr>
      <w:r>
        <w:rPr>
          <w:spacing w:val="-2"/>
        </w:rPr>
        <w:t>款、条件以及经济影响符合以下一种或多种情况，通常表明应将多次交易事项作为一揽子交易进行会计处</w:t>
      </w:r>
      <w:r>
        <w:rPr>
          <w:spacing w:val="-33"/>
        </w:rPr>
        <w:t> </w:t>
      </w:r>
      <w:r>
        <w:rPr>
          <w:spacing w:val="-33"/>
        </w:rPr>
      </w:r>
      <w:r>
        <w:rPr/>
        <w:t>理：</w:t>
      </w:r>
    </w:p>
    <w:p>
      <w:pPr>
        <w:pStyle w:val="Heading5"/>
        <w:spacing w:line="256" w:lineRule="auto"/>
        <w:ind w:left="575" w:right="2475"/>
        <w:jc w:val="left"/>
      </w:pPr>
      <w:r>
        <w:rPr>
          <w:rFonts w:ascii="Times New Roman" w:hAnsi="Times New Roman" w:cs="Times New Roman" w:eastAsia="Times New Roman" w:hint="default"/>
        </w:rPr>
        <w:t>A.</w:t>
      </w:r>
      <w:r>
        <w:rPr/>
        <w:t>这些交易是同时或者在考虑了彼此影响的情况下订立的；</w:t>
      </w:r>
      <w:r>
        <w:rPr>
          <w:spacing w:val="-103"/>
        </w:rPr>
        <w:t> </w:t>
      </w:r>
      <w:r>
        <w:rPr>
          <w:spacing w:val="-103"/>
        </w:rPr>
      </w:r>
      <w:r>
        <w:rPr>
          <w:rFonts w:ascii="Times New Roman" w:hAnsi="Times New Roman" w:cs="Times New Roman" w:eastAsia="Times New Roman" w:hint="default"/>
        </w:rPr>
        <w:t>B.</w:t>
      </w:r>
      <w:r>
        <w:rPr/>
        <w:t>这些交易整体才能达成一项完整的商业结果；</w:t>
      </w:r>
      <w:r>
        <w:rPr>
          <w:spacing w:val="-102"/>
        </w:rPr>
        <w:t> </w:t>
      </w:r>
      <w:r>
        <w:rPr>
          <w:spacing w:val="-102"/>
        </w:rPr>
      </w:r>
      <w:r>
        <w:rPr>
          <w:rFonts w:ascii="Times New Roman" w:hAnsi="Times New Roman" w:cs="Times New Roman" w:eastAsia="Times New Roman" w:hint="default"/>
        </w:rPr>
        <w:t>C.</w:t>
      </w:r>
      <w:r>
        <w:rPr/>
        <w:t>一项交易的发生取决于其他至少一项交易的发生；</w:t>
      </w:r>
      <w:r>
        <w:rPr>
          <w:w w:val="100"/>
        </w:rPr>
        <w:t> </w:t>
      </w:r>
      <w:r>
        <w:rPr>
          <w:rFonts w:ascii="Times New Roman" w:hAnsi="Times New Roman" w:cs="Times New Roman" w:eastAsia="Times New Roman" w:hint="default"/>
          <w:spacing w:val="-1"/>
        </w:rPr>
        <w:t>D.</w:t>
      </w:r>
      <w:r>
        <w:rPr>
          <w:spacing w:val="-1"/>
        </w:rPr>
        <w:t>一项交易单独看是不经济的，但是和其他交易一并考虑时是经济的。</w:t>
      </w:r>
    </w:p>
    <w:p>
      <w:pPr>
        <w:spacing w:after="0" w:line="256"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right="1125" w:firstLine="422"/>
        <w:jc w:val="both"/>
      </w:pPr>
      <w:r>
        <w:rPr>
          <w:spacing w:val="-2"/>
        </w:rPr>
        <w:t>处置对子公司股权投资直至丧失控制权的各项交易属于一揽子交易的，本公司将各项交易作为一项处</w:t>
      </w:r>
      <w:r>
        <w:rPr>
          <w:w w:val="100"/>
        </w:rPr>
        <w:t> </w:t>
      </w:r>
      <w:r>
        <w:rPr>
          <w:spacing w:val="-2"/>
        </w:rPr>
        <w:t>置子公司并丧失控制权的交易进行会计处理；但是，在丧失控制权之前每一次处置价款与处置投资对应的</w:t>
      </w:r>
      <w:r>
        <w:rPr>
          <w:spacing w:val="-33"/>
        </w:rPr>
        <w:t> </w:t>
      </w:r>
      <w:r>
        <w:rPr>
          <w:spacing w:val="-33"/>
        </w:rPr>
      </w:r>
      <w:r>
        <w:rPr>
          <w:spacing w:val="-2"/>
        </w:rPr>
        <w:t>享有该子公司净资产份额的差额，在合并财务报表中确认为其他综合收益，在丧失控制权时一并转入丧失</w:t>
      </w:r>
      <w:r>
        <w:rPr>
          <w:spacing w:val="-33"/>
        </w:rPr>
        <w:t> </w:t>
      </w:r>
      <w:r>
        <w:rPr>
          <w:spacing w:val="-33"/>
        </w:rPr>
      </w:r>
      <w:r>
        <w:rPr/>
        <w:t>控制权当期的损益。</w:t>
      </w:r>
    </w:p>
    <w:p>
      <w:pPr>
        <w:pStyle w:val="Heading5"/>
        <w:spacing w:line="273" w:lineRule="auto"/>
        <w:ind w:right="1125" w:firstLine="422"/>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33"/>
        </w:rPr>
        <w:t> </w:t>
      </w:r>
      <w:r>
        <w:rPr>
          <w:spacing w:val="-33"/>
        </w:rPr>
      </w:r>
      <w:r>
        <w:rPr/>
        <w:t>司一般处理方法进行会计处理。</w:t>
      </w:r>
    </w:p>
    <w:p>
      <w:pPr>
        <w:pStyle w:val="Heading5"/>
        <w:tabs>
          <w:tab w:pos="575" w:val="left" w:leader="none"/>
        </w:tabs>
        <w:spacing w:line="259" w:lineRule="auto"/>
        <w:ind w:left="575" w:right="1142" w:hanging="423"/>
        <w:jc w:val="left"/>
      </w:pPr>
      <w:r>
        <w:rPr>
          <w:rFonts w:ascii="Wingdings" w:hAnsi="Wingdings" w:cs="Wingdings" w:eastAsia="Wingdings" w:hint="default"/>
        </w:rPr>
        <w:t></w:t>
      </w:r>
      <w:r>
        <w:rPr>
          <w:rFonts w:ascii="Times New Roman" w:hAnsi="Times New Roman" w:cs="Times New Roman" w:eastAsia="Times New Roman" w:hint="default"/>
        </w:rPr>
        <w:tab/>
      </w:r>
      <w:r>
        <w:rPr/>
        <w:t>购买子公司少数股权</w:t>
      </w:r>
      <w:r>
        <w:rPr>
          <w:spacing w:val="-100"/>
        </w:rPr>
        <w:t> </w:t>
      </w:r>
      <w:r>
        <w:rPr>
          <w:spacing w:val="-100"/>
        </w:rPr>
      </w:r>
      <w:r>
        <w:rPr>
          <w:spacing w:val="-2"/>
        </w:rPr>
        <w:t>本公司因购买少数股权新取得的长期股权投资与按照新增持股比例计算应享有子公司自购买日（或合</w:t>
      </w:r>
    </w:p>
    <w:p>
      <w:pPr>
        <w:pStyle w:val="Heading5"/>
        <w:spacing w:line="273" w:lineRule="auto" w:before="20"/>
        <w:ind w:right="0"/>
        <w:jc w:val="left"/>
      </w:pPr>
      <w:r>
        <w:rPr>
          <w:spacing w:val="-2"/>
        </w:rPr>
        <w:t>并日）开始持续计算的净资产份额之间的差额，调整合并资产负债表中的资本公积中的股本溢价，资本公</w:t>
      </w:r>
      <w:r>
        <w:rPr>
          <w:spacing w:val="-33"/>
        </w:rPr>
        <w:t> </w:t>
      </w:r>
      <w:r>
        <w:rPr>
          <w:spacing w:val="-33"/>
        </w:rPr>
      </w:r>
      <w:r>
        <w:rPr/>
        <w:t>积中的股本溢价不足冲减的，调整留存收益。</w:t>
      </w:r>
    </w:p>
    <w:p>
      <w:pPr>
        <w:pStyle w:val="Heading5"/>
        <w:tabs>
          <w:tab w:pos="575" w:val="left" w:leader="none"/>
        </w:tabs>
        <w:spacing w:line="259" w:lineRule="auto"/>
        <w:ind w:left="575" w:right="1142" w:hanging="423"/>
        <w:jc w:val="left"/>
      </w:pPr>
      <w:r>
        <w:rPr>
          <w:rFonts w:ascii="Wingdings" w:hAnsi="Wingdings" w:cs="Wingdings" w:eastAsia="Wingdings" w:hint="default"/>
        </w:rPr>
        <w:t></w:t>
      </w:r>
      <w:r>
        <w:rPr>
          <w:rFonts w:ascii="Times New Roman" w:hAnsi="Times New Roman" w:cs="Times New Roman" w:eastAsia="Times New Roman" w:hint="default"/>
        </w:rPr>
        <w:tab/>
      </w:r>
      <w:r>
        <w:rPr/>
        <w:t>不丧失控制权的情况下部分处置对子公司的股权投资</w:t>
      </w:r>
      <w:r>
        <w:rPr>
          <w:spacing w:val="-103"/>
        </w:rPr>
        <w:t> </w:t>
      </w:r>
      <w:r>
        <w:rPr>
          <w:spacing w:val="-103"/>
        </w:rPr>
      </w:r>
      <w:r>
        <w:rPr>
          <w:spacing w:val="2"/>
        </w:rPr>
        <w:t>在不丧失控制权的情况下因部分处置对子公司的长期股权投资而取得的处置价款与处置长期股权投</w:t>
      </w:r>
    </w:p>
    <w:p>
      <w:pPr>
        <w:pStyle w:val="Heading5"/>
        <w:spacing w:line="273" w:lineRule="auto" w:before="20"/>
        <w:ind w:right="0"/>
        <w:jc w:val="left"/>
      </w:pPr>
      <w:r>
        <w:rPr>
          <w:spacing w:val="-2"/>
        </w:rPr>
        <w:t>资相对应享有子公司自购买日或合并日开始持续计算的净资产份额之间的差额，调整合并资产负债表中的</w:t>
      </w:r>
      <w:r>
        <w:rPr>
          <w:spacing w:val="-33"/>
        </w:rPr>
        <w:t> </w:t>
      </w:r>
      <w:r>
        <w:rPr>
          <w:spacing w:val="-33"/>
        </w:rPr>
      </w:r>
      <w:r>
        <w:rPr/>
        <w:t>资本公积中的股本溢价，资本公积中的股本溢价不足冲减的，调整留存收益。</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7、 合营安排分类及共同经营会计处理方法" w:id="174"/>
      <w:bookmarkEnd w:id="174"/>
      <w:r>
        <w:rPr>
          <w:b w:val="0"/>
          <w:bCs w:val="0"/>
        </w:rPr>
      </w:r>
      <w:r>
        <w:rPr>
          <w:rFonts w:ascii="Times New Roman" w:hAnsi="Times New Roman" w:cs="Times New Roman" w:eastAsia="Times New Roman" w:hint="default"/>
        </w:rPr>
        <w:t>7</w:t>
      </w:r>
      <w:r>
        <w:rPr/>
        <w:t>、</w:t>
      </w:r>
      <w:r>
        <w:rPr>
          <w:spacing w:val="-56"/>
        </w:rPr>
        <w:t> </w:t>
      </w:r>
      <w:r>
        <w:rPr/>
        <w:t>合营安排分类及共同经营会计处理方法</w:t>
      </w:r>
      <w:r>
        <w:rPr>
          <w:b w:val="0"/>
          <w:bCs w:val="0"/>
        </w:rPr>
      </w:r>
    </w:p>
    <w:p>
      <w:pPr>
        <w:spacing w:line="240" w:lineRule="auto" w:before="5"/>
        <w:rPr>
          <w:rFonts w:ascii="宋体" w:hAnsi="宋体" w:cs="宋体" w:eastAsia="宋体" w:hint="default"/>
          <w:b/>
          <w:bCs/>
          <w:sz w:val="24"/>
          <w:szCs w:val="24"/>
        </w:rPr>
      </w:pPr>
    </w:p>
    <w:p>
      <w:pPr>
        <w:pStyle w:val="Heading5"/>
        <w:spacing w:line="273" w:lineRule="auto" w:before="0"/>
        <w:ind w:left="575" w:right="0" w:hanging="42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）合营安排的分类</w:t>
      </w:r>
      <w:r>
        <w:rPr>
          <w:rFonts w:ascii="宋体" w:hAnsi="宋体" w:cs="宋体" w:eastAsia="宋体" w:hint="default"/>
          <w:b/>
          <w:bCs/>
          <w:spacing w:val="-103"/>
        </w:rPr>
        <w:t> </w:t>
      </w:r>
      <w:r>
        <w:rPr>
          <w:spacing w:val="-2"/>
        </w:rPr>
        <w:t>本公司根据合营安排的结构、法律形式以及合营安排中约定的条款、其他相关事实和情况等因素，将</w:t>
      </w:r>
    </w:p>
    <w:p>
      <w:pPr>
        <w:pStyle w:val="Heading5"/>
        <w:spacing w:line="273" w:lineRule="auto"/>
        <w:ind w:left="575" w:right="0" w:hanging="423"/>
        <w:jc w:val="left"/>
      </w:pPr>
      <w:r>
        <w:rPr/>
        <w:t>合营安排分为共同经营和合营企业。</w:t>
      </w:r>
      <w:r>
        <w:rPr>
          <w:spacing w:val="-101"/>
        </w:rPr>
        <w:t> </w:t>
      </w:r>
      <w:r>
        <w:rPr>
          <w:spacing w:val="-101"/>
        </w:rPr>
      </w:r>
      <w:r>
        <w:rPr>
          <w:spacing w:val="-2"/>
        </w:rPr>
        <w:t>未通过单独主体达成的合营安排，划分为共同经营；通过单独主体达成的合营安排，通常划分为合营</w:t>
      </w:r>
    </w:p>
    <w:p>
      <w:pPr>
        <w:pStyle w:val="Heading5"/>
        <w:spacing w:line="273" w:lineRule="auto"/>
        <w:ind w:left="575" w:right="0" w:hanging="423"/>
        <w:jc w:val="left"/>
      </w:pPr>
      <w:r>
        <w:rPr>
          <w:spacing w:val="-2"/>
        </w:rPr>
        <w:t>企业；但有确凿证据表明满足下列任一条件并且符合相关法律法规规定的合营安排划分为共同经营：</w:t>
      </w:r>
      <w:r>
        <w:rPr>
          <w:spacing w:val="-15"/>
        </w:rPr>
        <w:t> </w:t>
      </w:r>
      <w:r>
        <w:rPr>
          <w:spacing w:val="-15"/>
        </w:rPr>
      </w:r>
      <w:r>
        <w:rPr>
          <w:rFonts w:ascii="宋体" w:hAnsi="宋体" w:cs="宋体" w:eastAsia="宋体" w:hint="default"/>
        </w:rPr>
        <w:t>1</w:t>
      </w:r>
      <w:r>
        <w:rPr/>
        <w:t>）合营安排的法律形式表明，合营方对该安排中的相关资产和负债分别享有权利和承担义务。</w:t>
      </w:r>
    </w:p>
    <w:p>
      <w:pPr>
        <w:pStyle w:val="Heading5"/>
        <w:spacing w:line="240" w:lineRule="auto"/>
        <w:ind w:left="575" w:right="0"/>
        <w:jc w:val="left"/>
      </w:pPr>
      <w:r>
        <w:rPr>
          <w:rFonts w:ascii="宋体" w:hAnsi="宋体" w:cs="宋体" w:eastAsia="宋体" w:hint="default"/>
        </w:rPr>
        <w:t>2</w:t>
      </w:r>
      <w:r>
        <w:rPr/>
        <w:t>）合营安排的合同条款约定，合营方对该安排中的相关资产和负债分别享有权利和承担义务。</w:t>
      </w:r>
    </w:p>
    <w:p>
      <w:pPr>
        <w:pStyle w:val="Heading5"/>
        <w:spacing w:line="273" w:lineRule="auto" w:before="37"/>
        <w:ind w:right="1135" w:firstLine="422"/>
        <w:jc w:val="both"/>
      </w:pPr>
      <w:r>
        <w:rPr>
          <w:rFonts w:ascii="宋体" w:hAnsi="宋体" w:cs="宋体" w:eastAsia="宋体" w:hint="default"/>
        </w:rPr>
        <w:t>3</w:t>
      </w:r>
      <w:r>
        <w:rPr/>
        <w:t>）其他相关事实和情况表明，合营方对该安排中的相关资产和负债分别享有权利和承担义务，如合</w:t>
      </w:r>
      <w:r>
        <w:rPr>
          <w:w w:val="100"/>
        </w:rPr>
        <w:t> </w:t>
      </w:r>
      <w:r>
        <w:rPr/>
        <w:t>营方享有与合营安排相关的几乎所有产出，并且该安排中负债的清偿持续依赖于合营方的支持。</w:t>
      </w:r>
    </w:p>
    <w:p>
      <w:pPr>
        <w:spacing w:line="273" w:lineRule="auto" w:before="7"/>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共同经营会计处理方法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本公司确认共同经营中利益份额中与本公司相关的下列项目，并按照相关企业会计准则的规定进行会</w:t>
      </w:r>
    </w:p>
    <w:p>
      <w:pPr>
        <w:pStyle w:val="Heading5"/>
        <w:spacing w:line="240" w:lineRule="auto"/>
        <w:ind w:right="0"/>
        <w:jc w:val="left"/>
      </w:pPr>
      <w:r>
        <w:rPr/>
        <w:t>计处理：</w:t>
      </w:r>
    </w:p>
    <w:p>
      <w:pPr>
        <w:pStyle w:val="Heading5"/>
        <w:spacing w:line="240" w:lineRule="auto" w:before="37"/>
        <w:ind w:left="575" w:right="0"/>
        <w:jc w:val="left"/>
      </w:pPr>
      <w:r>
        <w:rPr>
          <w:rFonts w:ascii="宋体" w:hAnsi="宋体" w:cs="宋体" w:eastAsia="宋体" w:hint="default"/>
        </w:rPr>
        <w:t>1</w:t>
      </w:r>
      <w:r>
        <w:rPr/>
        <w:t>）确认单独所持有的资产，以及按其份额确认共同持有的资产；</w:t>
      </w:r>
    </w:p>
    <w:p>
      <w:pPr>
        <w:pStyle w:val="Heading5"/>
        <w:spacing w:line="240" w:lineRule="auto" w:before="37"/>
        <w:ind w:left="575" w:right="0"/>
        <w:jc w:val="left"/>
      </w:pPr>
      <w:r>
        <w:rPr>
          <w:rFonts w:ascii="宋体" w:hAnsi="宋体" w:cs="宋体" w:eastAsia="宋体" w:hint="default"/>
        </w:rPr>
        <w:t>2</w:t>
      </w:r>
      <w:r>
        <w:rPr/>
        <w:t>）确认单独所承担的负债，以及按其份额确认共同承担的负债；</w:t>
      </w:r>
    </w:p>
    <w:p>
      <w:pPr>
        <w:pStyle w:val="Heading5"/>
        <w:spacing w:line="240" w:lineRule="auto" w:before="37"/>
        <w:ind w:left="575" w:right="0"/>
        <w:jc w:val="left"/>
      </w:pPr>
      <w:r>
        <w:rPr>
          <w:rFonts w:ascii="宋体" w:hAnsi="宋体" w:cs="宋体" w:eastAsia="宋体" w:hint="default"/>
        </w:rPr>
        <w:t>3</w:t>
      </w:r>
      <w:r>
        <w:rPr/>
        <w:t>）确认出售其享有的共同经营产出份额所产生的收入；</w:t>
      </w:r>
    </w:p>
    <w:p>
      <w:pPr>
        <w:pStyle w:val="Heading5"/>
        <w:spacing w:line="240" w:lineRule="auto" w:before="37"/>
        <w:ind w:left="575" w:right="0"/>
        <w:jc w:val="left"/>
      </w:pPr>
      <w:r>
        <w:rPr>
          <w:rFonts w:ascii="宋体" w:hAnsi="宋体" w:cs="宋体" w:eastAsia="宋体" w:hint="default"/>
        </w:rPr>
        <w:t>4</w:t>
      </w:r>
      <w:r>
        <w:rPr/>
        <w:t>）按其份额确认共同经营因出售产出所产生的收入；</w:t>
      </w:r>
    </w:p>
    <w:p>
      <w:pPr>
        <w:pStyle w:val="Heading5"/>
        <w:spacing w:line="273" w:lineRule="auto" w:before="37"/>
        <w:ind w:left="575" w:right="0"/>
        <w:jc w:val="left"/>
      </w:pPr>
      <w:r>
        <w:rPr>
          <w:rFonts w:ascii="宋体" w:hAnsi="宋体" w:cs="宋体" w:eastAsia="宋体" w:hint="default"/>
        </w:rPr>
        <w:t>5</w:t>
      </w:r>
      <w:r>
        <w:rPr/>
        <w:t>）确认单独所发生的费用，以及按其份额确认共同经营发生的费用。</w:t>
      </w:r>
      <w:r>
        <w:rPr>
          <w:w w:val="100"/>
        </w:rPr>
        <w:t> </w:t>
      </w:r>
      <w:r>
        <w:rPr>
          <w:spacing w:val="-2"/>
        </w:rPr>
        <w:t>本公司向共同经营投出或出售资产等（该资产构成业务的除外），在该资产等由共同经营出售给第三</w:t>
      </w:r>
    </w:p>
    <w:p>
      <w:pPr>
        <w:pStyle w:val="Heading5"/>
        <w:spacing w:line="273" w:lineRule="auto" w:before="8"/>
        <w:ind w:right="0"/>
        <w:jc w:val="left"/>
      </w:pPr>
      <w:r>
        <w:rPr>
          <w:spacing w:val="-7"/>
        </w:rPr>
        <w:t>方之前，仅确认因该交易产生的损益中归属于共同经营其他参与方的部分。投出或出售的资产发生符合《企</w:t>
      </w:r>
      <w:r>
        <w:rPr>
          <w:spacing w:val="-6"/>
        </w:rPr>
        <w:t> </w:t>
      </w:r>
      <w:r>
        <w:rPr>
          <w:spacing w:val="-6"/>
        </w:rPr>
      </w:r>
      <w:r>
        <w:rPr/>
        <w:t>业会计准则第</w:t>
      </w:r>
      <w:r>
        <w:rPr>
          <w:rFonts w:ascii="宋体" w:hAnsi="宋体" w:cs="宋体" w:eastAsia="宋体" w:hint="default"/>
        </w:rPr>
        <w:t>8</w:t>
      </w:r>
      <w:r>
        <w:rPr/>
        <w:t>号——资产减值》等规定的资产减值损失的，本公司全额确认该损失。</w:t>
      </w:r>
    </w:p>
    <w:p>
      <w:pPr>
        <w:pStyle w:val="Heading5"/>
        <w:spacing w:line="273" w:lineRule="auto"/>
        <w:ind w:right="1122" w:firstLine="422"/>
        <w:jc w:val="both"/>
      </w:pPr>
      <w:r>
        <w:rPr>
          <w:spacing w:val="-2"/>
        </w:rPr>
        <w:t>本公司自共同经营购买资产等（该资产构成业务的除外），在将该资产等出售给第三方之前，仅确认</w:t>
      </w:r>
      <w:r>
        <w:rPr>
          <w:w w:val="100"/>
        </w:rPr>
        <w:t> </w:t>
      </w:r>
      <w:r>
        <w:rPr>
          <w:spacing w:val="-4"/>
        </w:rPr>
        <w:t>因该交易产生的损益中归属于共同经营其他参与方的部分。购入的资产发生符合《企业会计准则第</w:t>
      </w:r>
      <w:r>
        <w:rPr>
          <w:rFonts w:ascii="宋体" w:hAnsi="宋体" w:cs="宋体" w:eastAsia="宋体" w:hint="default"/>
          <w:spacing w:val="-4"/>
        </w:rPr>
        <w:t>8</w:t>
      </w:r>
      <w:r>
        <w:rPr>
          <w:spacing w:val="-4"/>
        </w:rPr>
        <w:t>号——</w:t>
      </w:r>
      <w:r>
        <w:rPr>
          <w:spacing w:val="-40"/>
        </w:rPr>
        <w:t> </w:t>
      </w:r>
      <w:r>
        <w:rPr/>
        <w:t>资产减值》等规定的资产减值损失的，本公司按承担的份额确认该部分损失。</w:t>
      </w:r>
    </w:p>
    <w:p>
      <w:pPr>
        <w:pStyle w:val="Heading5"/>
        <w:spacing w:line="273" w:lineRule="auto" w:before="8"/>
        <w:ind w:right="1121" w:firstLine="422"/>
        <w:jc w:val="both"/>
      </w:pPr>
      <w:r>
        <w:rPr>
          <w:spacing w:val="-2"/>
        </w:rPr>
        <w:t>本公司对共同经营不享有共同控制，如果本公司享有该共同经营相关资产且承担该共同经营相关负债</w:t>
      </w:r>
      <w:r>
        <w:rPr>
          <w:w w:val="100"/>
        </w:rPr>
        <w:t> </w:t>
      </w:r>
      <w:r>
        <w:rPr/>
        <w:t>的，仍按上述原则进行会计处理，否则，应当按照相关企业会计准则的规定进行会计处理。</w:t>
      </w:r>
    </w:p>
    <w:p>
      <w:pPr>
        <w:spacing w:after="0" w:line="273" w:lineRule="auto"/>
        <w:jc w:val="both"/>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4"/>
          <w:szCs w:val="24"/>
        </w:rPr>
      </w:pPr>
    </w:p>
    <w:p>
      <w:pPr>
        <w:pStyle w:val="Heading5"/>
        <w:spacing w:line="273" w:lineRule="auto" w:before="0"/>
        <w:ind w:right="1125" w:firstLine="422"/>
        <w:jc w:val="both"/>
      </w:pPr>
      <w:r>
        <w:rPr>
          <w:spacing w:val="-2"/>
        </w:rPr>
        <w:t>在编制现金流量表时，将本公司库存现金以及可以随时用于支付的存款确认为现金。将同时具备期限</w:t>
      </w:r>
      <w:r>
        <w:rPr>
          <w:w w:val="100"/>
        </w:rPr>
        <w:t> </w:t>
      </w:r>
      <w:r>
        <w:rPr>
          <w:spacing w:val="-2"/>
        </w:rPr>
        <w:t>短（一般从购买日起三个月内到期）、流动性强、易于转换为已知金额的现金、价值变动风险很小四个条</w:t>
      </w:r>
      <w:r>
        <w:rPr>
          <w:spacing w:val="-35"/>
        </w:rPr>
        <w:t> </w:t>
      </w:r>
      <w:r>
        <w:rPr>
          <w:spacing w:val="-35"/>
        </w:rPr>
      </w:r>
      <w:r>
        <w:rPr/>
        <w:t>件的投资，确定为现金等价物。</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4"/>
          <w:szCs w:val="24"/>
        </w:rPr>
      </w:pPr>
    </w:p>
    <w:p>
      <w:pPr>
        <w:pStyle w:val="Heading5"/>
        <w:spacing w:line="273" w:lineRule="auto" w:before="0"/>
        <w:ind w:left="575" w:right="0"/>
        <w:jc w:val="left"/>
      </w:pPr>
      <w:r>
        <w:rPr/>
        <w:t>外币业务交易在初始确认时，采用交易发生日的即期汇率作为折算汇率折合成人民币记账。</w:t>
      </w:r>
      <w:r>
        <w:rPr>
          <w:spacing w:val="-102"/>
        </w:rPr>
        <w:t> </w:t>
      </w:r>
      <w:r>
        <w:rPr>
          <w:spacing w:val="-102"/>
        </w:rPr>
      </w:r>
      <w:r>
        <w:rPr>
          <w:spacing w:val="-2"/>
        </w:rPr>
        <w:t>资产负债表日，外币货币性项目按资产负债表日即期汇率折算，由此产生的汇兑差额，除属于与购建</w:t>
      </w:r>
    </w:p>
    <w:p>
      <w:pPr>
        <w:pStyle w:val="Heading5"/>
        <w:spacing w:line="273" w:lineRule="auto"/>
        <w:ind w:right="1125"/>
        <w:jc w:val="both"/>
      </w:pPr>
      <w:r>
        <w:rPr>
          <w:spacing w:val="-2"/>
        </w:rPr>
        <w:t>符合资本化条件的资产相关的外币专门借款产生的汇兑差额按照借款费用资本化的原则处理外，均计入当</w:t>
      </w:r>
      <w:r>
        <w:rPr>
          <w:spacing w:val="-33"/>
        </w:rPr>
        <w:t> </w:t>
      </w:r>
      <w:r>
        <w:rPr>
          <w:spacing w:val="-33"/>
        </w:rPr>
      </w:r>
      <w:r>
        <w:rPr>
          <w:spacing w:val="-2"/>
        </w:rPr>
        <w:t>期损益。以历史成本计量的外币非货币性项目，仍采用交易发生日的即期汇率折算，不改变其记账本位币</w:t>
      </w:r>
      <w:r>
        <w:rPr>
          <w:spacing w:val="-33"/>
        </w:rPr>
        <w:t> </w:t>
      </w:r>
      <w:r>
        <w:rPr>
          <w:spacing w:val="-33"/>
        </w:rPr>
      </w:r>
      <w:r>
        <w:rPr/>
        <w:t>金额。</w:t>
      </w:r>
    </w:p>
    <w:p>
      <w:pPr>
        <w:pStyle w:val="Heading5"/>
        <w:spacing w:line="273" w:lineRule="auto"/>
        <w:ind w:right="1122" w:firstLine="422"/>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33"/>
        </w:rPr>
        <w:t> </w:t>
      </w:r>
      <w:r>
        <w:rPr>
          <w:spacing w:val="-33"/>
        </w:rPr>
      </w:r>
      <w:r>
        <w:rPr/>
        <w:t>收益。</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4"/>
          <w:szCs w:val="24"/>
        </w:rPr>
      </w:pPr>
    </w:p>
    <w:p>
      <w:pPr>
        <w:pStyle w:val="Heading5"/>
        <w:spacing w:line="273" w:lineRule="auto" w:before="0"/>
        <w:ind w:left="575" w:right="0"/>
        <w:jc w:val="left"/>
      </w:pPr>
      <w:r>
        <w:rPr/>
        <w:t>在本公司成为金融工具合同的一方时确认一项金融资产或金融负债。</w:t>
      </w:r>
      <w:r>
        <w:rPr>
          <w:w w:val="100"/>
        </w:rPr>
        <w:t> </w:t>
      </w:r>
      <w:r>
        <w:rPr>
          <w:spacing w:val="2"/>
        </w:rPr>
        <w:t>实际利率法是指计算金融资产或金融负债的摊余成本以及将利息收入或利息费用分摊计入各会计期</w:t>
      </w:r>
    </w:p>
    <w:p>
      <w:pPr>
        <w:pStyle w:val="Heading5"/>
        <w:spacing w:line="240" w:lineRule="auto"/>
        <w:ind w:right="0"/>
        <w:jc w:val="left"/>
      </w:pPr>
      <w:r>
        <w:rPr/>
        <w:t>间的方法。</w:t>
      </w:r>
    </w:p>
    <w:p>
      <w:pPr>
        <w:pStyle w:val="Heading5"/>
        <w:spacing w:line="273" w:lineRule="auto" w:before="37"/>
        <w:ind w:right="1122" w:firstLine="422"/>
        <w:jc w:val="both"/>
      </w:pPr>
      <w:r>
        <w:rPr>
          <w:spacing w:val="-2"/>
        </w:rPr>
        <w:t>实际利率，是指将金融资产或金融负债在预计存续期的估计未来现金流量，折现为该金融资产账面余</w:t>
      </w:r>
      <w:r>
        <w:rPr>
          <w:w w:val="100"/>
        </w:rPr>
        <w:t> </w:t>
      </w:r>
      <w:r>
        <w:rPr>
          <w:spacing w:val="-4"/>
        </w:rPr>
        <w:t>额或该金融负债摊余成本所使用的利率。在确定实际利率时，在考虑金融资产或金融负债所有合同条款</w:t>
      </w:r>
      <w:r>
        <w:rPr>
          <w:rFonts w:ascii="宋体" w:hAnsi="宋体" w:cs="宋体" w:eastAsia="宋体" w:hint="default"/>
          <w:spacing w:val="-4"/>
        </w:rPr>
        <w:t>(</w:t>
      </w:r>
      <w:r>
        <w:rPr>
          <w:spacing w:val="-4"/>
        </w:rPr>
        <w:t>如</w:t>
      </w:r>
      <w:r>
        <w:rPr>
          <w:spacing w:val="-40"/>
        </w:rPr>
        <w:t> </w:t>
      </w:r>
      <w:r>
        <w:rPr/>
        <w:t>提前还款、展期、看涨期权或其他类似期权等</w:t>
      </w:r>
      <w:r>
        <w:rPr>
          <w:rFonts w:ascii="宋体" w:hAnsi="宋体" w:cs="宋体" w:eastAsia="宋体" w:hint="default"/>
        </w:rPr>
        <w:t>)</w:t>
      </w:r>
      <w:r>
        <w:rPr/>
        <w:t>的基础上估计预期现金流量，但不考虑预期信用损失。</w:t>
      </w:r>
    </w:p>
    <w:p>
      <w:pPr>
        <w:pStyle w:val="Heading5"/>
        <w:spacing w:line="273" w:lineRule="auto" w:before="8"/>
        <w:ind w:right="1126" w:firstLine="422"/>
        <w:jc w:val="both"/>
      </w:pPr>
      <w:r>
        <w:rPr>
          <w:spacing w:val="-2"/>
        </w:rPr>
        <w:t>金融资产或金融负债的摊余成本是以该金融资产或金融负债的初始确认金额扣除已偿还的本金，加上</w:t>
      </w:r>
      <w:r>
        <w:rPr>
          <w:w w:val="100"/>
        </w:rPr>
        <w:t> </w:t>
      </w:r>
      <w:r>
        <w:rPr>
          <w:spacing w:val="-2"/>
        </w:rPr>
        <w:t>或减去采用实际利率法将该初始确认金额与到期日金额之间的差额进行摊销形成的累计摊销额，再扣除累</w:t>
      </w:r>
      <w:r>
        <w:rPr>
          <w:spacing w:val="-33"/>
        </w:rPr>
        <w:t> </w:t>
      </w:r>
      <w:r>
        <w:rPr>
          <w:spacing w:val="-33"/>
        </w:rPr>
      </w:r>
      <w:r>
        <w:rPr/>
        <w:t>计计提的损失准备</w:t>
      </w:r>
      <w:r>
        <w:rPr>
          <w:rFonts w:ascii="宋体" w:hAnsi="宋体" w:cs="宋体" w:eastAsia="宋体" w:hint="default"/>
        </w:rPr>
        <w:t>(</w:t>
      </w:r>
      <w:r>
        <w:rPr/>
        <w:t>仅适用于金融资产</w:t>
      </w:r>
      <w:r>
        <w:rPr>
          <w:rFonts w:ascii="宋体" w:hAnsi="宋体" w:cs="宋体" w:eastAsia="宋体" w:hint="default"/>
        </w:rPr>
        <w:t>)</w:t>
      </w:r>
      <w:r>
        <w:rPr/>
        <w:t>。</w:t>
      </w:r>
    </w:p>
    <w:p>
      <w:pPr>
        <w:pStyle w:val="Heading5"/>
        <w:tabs>
          <w:tab w:pos="575" w:val="left" w:leader="none"/>
        </w:tabs>
        <w:spacing w:line="259" w:lineRule="auto"/>
        <w:ind w:left="575" w:right="1142" w:hanging="423"/>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金融资产分类和计量</w:t>
      </w:r>
      <w:r>
        <w:rPr>
          <w:rFonts w:ascii="宋体" w:hAnsi="宋体" w:cs="宋体" w:eastAsia="宋体" w:hint="default"/>
          <w:b/>
          <w:bCs/>
          <w:spacing w:val="-103"/>
        </w:rPr>
        <w:t> </w:t>
      </w:r>
      <w:r>
        <w:rPr>
          <w:spacing w:val="2"/>
        </w:rPr>
        <w:t>本公司根据所管理金融资产的业务模式和金融资产的合同现金流量特征，将金融资产划分为以下三</w:t>
      </w:r>
    </w:p>
    <w:p>
      <w:pPr>
        <w:pStyle w:val="Heading5"/>
        <w:spacing w:line="240" w:lineRule="auto" w:before="21"/>
        <w:ind w:right="0"/>
        <w:jc w:val="left"/>
      </w:pPr>
      <w:r>
        <w:rPr/>
        <w:t>类：</w:t>
      </w:r>
    </w:p>
    <w:p>
      <w:pPr>
        <w:pStyle w:val="Heading5"/>
        <w:spacing w:line="240" w:lineRule="auto" w:before="37"/>
        <w:ind w:left="575" w:right="0"/>
        <w:jc w:val="left"/>
      </w:pPr>
      <w:r>
        <w:rPr/>
        <w:t>（</w:t>
      </w:r>
      <w:r>
        <w:rPr>
          <w:rFonts w:ascii="宋体" w:hAnsi="宋体" w:cs="宋体" w:eastAsia="宋体" w:hint="default"/>
        </w:rPr>
        <w:t>1</w:t>
      </w:r>
      <w:r>
        <w:rPr/>
        <w:t>）以摊余成本计量的金融资产。</w:t>
      </w:r>
    </w:p>
    <w:p>
      <w:pPr>
        <w:pStyle w:val="Heading5"/>
        <w:spacing w:line="240" w:lineRule="auto" w:before="37"/>
        <w:ind w:left="575" w:right="0"/>
        <w:jc w:val="left"/>
      </w:pPr>
      <w:r>
        <w:rPr/>
        <w:t>（</w:t>
      </w:r>
      <w:r>
        <w:rPr>
          <w:rFonts w:ascii="宋体" w:hAnsi="宋体" w:cs="宋体" w:eastAsia="宋体" w:hint="default"/>
        </w:rPr>
        <w:t>2</w:t>
      </w:r>
      <w:r>
        <w:rPr/>
        <w:t>）以公允价值计量且其变动计入其他综合收益的金融资产。</w:t>
      </w:r>
    </w:p>
    <w:p>
      <w:pPr>
        <w:pStyle w:val="Heading5"/>
        <w:spacing w:line="273" w:lineRule="auto" w:before="37"/>
        <w:ind w:left="575" w:right="0"/>
        <w:jc w:val="left"/>
      </w:pPr>
      <w:r>
        <w:rPr/>
        <w:t>（</w:t>
      </w:r>
      <w:r>
        <w:rPr>
          <w:rFonts w:ascii="宋体" w:hAnsi="宋体" w:cs="宋体" w:eastAsia="宋体"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金融资产在初始确认时以公允价值计量，但是因销售商品或提供服务等产生的应收账款或应收票据未</w:t>
      </w:r>
    </w:p>
    <w:p>
      <w:pPr>
        <w:pStyle w:val="Heading5"/>
        <w:spacing w:line="273" w:lineRule="auto"/>
        <w:ind w:left="575" w:right="0" w:hanging="423"/>
        <w:jc w:val="left"/>
      </w:pPr>
      <w:r>
        <w:rPr/>
        <w:t>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对于以公允价值计量且其变动计入当期损益的金融资产，相关交易费用直接计入当期损益，其他类别</w:t>
      </w:r>
    </w:p>
    <w:p>
      <w:pPr>
        <w:pStyle w:val="Heading5"/>
        <w:spacing w:line="273" w:lineRule="auto"/>
        <w:ind w:left="575" w:right="0" w:hanging="423"/>
        <w:jc w:val="left"/>
      </w:pPr>
      <w:r>
        <w:rPr/>
        <w:t>的金融资产相关交易费用计入其初始确认金额。</w:t>
      </w:r>
      <w:r>
        <w:rPr>
          <w:spacing w:val="-100"/>
        </w:rPr>
        <w:t> </w:t>
      </w:r>
      <w:r>
        <w:rPr>
          <w:spacing w:val="-100"/>
        </w:rPr>
      </w:r>
      <w:r>
        <w:rPr>
          <w:spacing w:val="-2"/>
        </w:rPr>
        <w:t>金融资产的后续计量取决于其分类，当且仅当本公司改变管理金融资产的业务模式时，才对所有受影</w:t>
      </w:r>
    </w:p>
    <w:p>
      <w:pPr>
        <w:pStyle w:val="Heading5"/>
        <w:spacing w:line="240" w:lineRule="auto"/>
        <w:ind w:right="0"/>
        <w:jc w:val="left"/>
      </w:pPr>
      <w:r>
        <w:rPr/>
        <w:t>响的相关金融资产进行重分类。</w:t>
      </w:r>
    </w:p>
    <w:p>
      <w:pPr>
        <w:pStyle w:val="Heading5"/>
        <w:spacing w:line="273" w:lineRule="auto" w:before="37"/>
        <w:ind w:left="575" w:right="0"/>
        <w:jc w:val="left"/>
      </w:pPr>
      <w:r>
        <w:rPr/>
        <w:t>（</w:t>
      </w:r>
      <w:r>
        <w:rPr>
          <w:rFonts w:ascii="宋体" w:hAnsi="宋体" w:cs="宋体" w:eastAsia="宋体" w:hint="default"/>
        </w:rPr>
        <w:t>1</w:t>
      </w:r>
      <w:r>
        <w:rPr/>
        <w:t>）分类为以摊余成本计量的金融资产</w:t>
      </w:r>
      <w:r>
        <w:rPr>
          <w:spacing w:val="-99"/>
        </w:rPr>
        <w:t> </w:t>
      </w:r>
      <w:r>
        <w:rPr>
          <w:spacing w:val="-99"/>
        </w:rPr>
      </w:r>
      <w:r>
        <w:rPr>
          <w:spacing w:val="2"/>
        </w:rPr>
        <w:t>金融资产的合同条款规定在特定日期产生的现金流量仅为对本金和以未偿付本金金额为基础的利息</w:t>
      </w:r>
    </w:p>
    <w:p>
      <w:pPr>
        <w:pStyle w:val="Heading5"/>
        <w:spacing w:line="273" w:lineRule="auto"/>
        <w:ind w:right="0"/>
        <w:jc w:val="left"/>
      </w:pPr>
      <w:r>
        <w:rPr>
          <w:spacing w:val="-2"/>
        </w:rPr>
        <w:t>的支付，且管理该金融资产的业务模式是以收取合同现金流量为目标，则本公司将该金融资产分类为以摊</w:t>
      </w:r>
      <w:r>
        <w:rPr>
          <w:spacing w:val="-33"/>
        </w:rPr>
        <w:t> </w:t>
      </w:r>
      <w:r>
        <w:rPr>
          <w:spacing w:val="-33"/>
        </w:rPr>
      </w:r>
      <w:r>
        <w:rPr>
          <w:spacing w:val="-2"/>
        </w:rPr>
        <w:t>余成本计量的金融资产。本公司分类为以摊余成本计量的金融资产包括货币资金、应收票据及应收账款、</w:t>
      </w:r>
    </w:p>
    <w:p>
      <w:pPr>
        <w:spacing w:after="0" w:line="273"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left="575" w:right="0" w:hanging="423"/>
        <w:jc w:val="left"/>
      </w:pPr>
      <w:r>
        <w:rPr/>
        <w:t>其他应收款、长期应收款、债权投资等。</w:t>
      </w:r>
      <w:r>
        <w:rPr>
          <w:w w:val="100"/>
        </w:rPr>
        <w:t> </w:t>
      </w:r>
      <w:r>
        <w:rPr>
          <w:spacing w:val="-2"/>
        </w:rPr>
        <w:t>本公司对此类金融资产采用实际利率法确认利息收入，按摊余成本进行后续计量，其发生减值时或终</w:t>
      </w:r>
    </w:p>
    <w:p>
      <w:pPr>
        <w:pStyle w:val="Heading5"/>
        <w:spacing w:line="273" w:lineRule="auto"/>
        <w:ind w:right="1126"/>
        <w:jc w:val="both"/>
      </w:pPr>
      <w:r>
        <w:rPr>
          <w:spacing w:val="-2"/>
        </w:rPr>
        <w:t>止确认、修改产生的利得或损失，计入当期损益。除下列情况外，本公司根据金融资产账面余额乘以实际</w:t>
      </w:r>
      <w:r>
        <w:rPr>
          <w:spacing w:val="-33"/>
        </w:rPr>
        <w:t> </w:t>
      </w:r>
      <w:r>
        <w:rPr>
          <w:spacing w:val="-33"/>
        </w:rPr>
      </w:r>
      <w:r>
        <w:rPr/>
        <w:t>利率计算确定利息收入：</w:t>
      </w:r>
    </w:p>
    <w:p>
      <w:pPr>
        <w:pStyle w:val="Heading5"/>
        <w:spacing w:line="273" w:lineRule="auto"/>
        <w:ind w:right="1133" w:firstLine="422"/>
        <w:jc w:val="both"/>
      </w:pPr>
      <w:r>
        <w:rPr>
          <w:rFonts w:ascii="宋体" w:hAnsi="宋体" w:cs="宋体" w:eastAsia="宋体" w:hint="default"/>
        </w:rPr>
        <w:t>1</w:t>
      </w:r>
      <w:r>
        <w:rPr/>
        <w:t>）对于购入或源生的已发生信用减值的金融资产，本公司自初始确认起，按照该金融资产的摊余成</w:t>
      </w:r>
      <w:r>
        <w:rPr>
          <w:w w:val="100"/>
        </w:rPr>
        <w:t> </w:t>
      </w:r>
      <w:r>
        <w:rPr/>
        <w:t>本和经信用调整的实际利率计算确定其利息收入。</w:t>
      </w:r>
    </w:p>
    <w:p>
      <w:pPr>
        <w:pStyle w:val="Heading5"/>
        <w:spacing w:line="273" w:lineRule="auto"/>
        <w:ind w:right="1106" w:firstLine="422"/>
        <w:jc w:val="both"/>
      </w:pPr>
      <w:r>
        <w:rPr>
          <w:rFonts w:ascii="宋体" w:hAnsi="宋体" w:cs="宋体" w:eastAsia="宋体" w:hint="default"/>
        </w:rPr>
        <w:t>2</w:t>
      </w:r>
      <w:r>
        <w:rPr/>
        <w:t>）对于购入或源生的未发生信用减值、但在后续期间成为已发生信用减值的金融资产，本公司在后</w:t>
      </w:r>
      <w:r>
        <w:rPr>
          <w:w w:val="100"/>
        </w:rPr>
        <w:t> </w:t>
      </w:r>
      <w:r>
        <w:rPr>
          <w:spacing w:val="-2"/>
        </w:rPr>
        <w:t>续期间，按照该金融资产的摊余成本和实际利率计算确定其利息收入。若该金融工具在后续期间因其信用</w:t>
      </w:r>
      <w:r>
        <w:rPr>
          <w:spacing w:val="-33"/>
        </w:rPr>
        <w:t> </w:t>
      </w:r>
      <w:r>
        <w:rPr>
          <w:spacing w:val="-33"/>
        </w:rPr>
      </w:r>
      <w:r>
        <w:rPr>
          <w:spacing w:val="-2"/>
        </w:rPr>
        <w:t>风险有所改善而不再存在信用减值，本公司转按实际利率乘以该金融资产账面余额来计算确定利息收入。</w:t>
      </w:r>
    </w:p>
    <w:p>
      <w:pPr>
        <w:pStyle w:val="Heading5"/>
        <w:spacing w:line="273" w:lineRule="auto" w:before="8"/>
        <w:ind w:left="575" w:right="0"/>
        <w:jc w:val="left"/>
      </w:pPr>
      <w:r>
        <w:rPr/>
        <w:t>（</w:t>
      </w:r>
      <w:r>
        <w:rPr>
          <w:rFonts w:ascii="宋体" w:hAnsi="宋体" w:cs="宋体" w:eastAsia="宋体"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金融资产的合同条款规定在特定日期产生的现金流量仅为对本金和以未偿付本金金额为基础的利息</w:t>
      </w:r>
    </w:p>
    <w:p>
      <w:pPr>
        <w:pStyle w:val="Heading5"/>
        <w:spacing w:line="273" w:lineRule="auto"/>
        <w:ind w:right="1125"/>
        <w:jc w:val="both"/>
      </w:pPr>
      <w:r>
        <w:rPr>
          <w:spacing w:val="-2"/>
        </w:rPr>
        <w:t>的支付，且管理该金融资产的业务模式既以收取合同现金流量为目标又以出售该金融资产为目标，则本公</w:t>
      </w:r>
      <w:r>
        <w:rPr>
          <w:spacing w:val="-33"/>
        </w:rPr>
        <w:t> </w:t>
      </w:r>
      <w:r>
        <w:rPr>
          <w:spacing w:val="-33"/>
        </w:rPr>
      </w:r>
      <w:r>
        <w:rPr/>
        <w:t>司将该金融资产分类为以公允价值计量且其变动计入其他综合收益的金融资产。</w:t>
      </w:r>
    </w:p>
    <w:p>
      <w:pPr>
        <w:pStyle w:val="Heading5"/>
        <w:spacing w:line="273" w:lineRule="auto"/>
        <w:ind w:right="1125" w:firstLine="422"/>
        <w:jc w:val="both"/>
      </w:pPr>
      <w:r>
        <w:rPr>
          <w:spacing w:val="-2"/>
        </w:rPr>
        <w:t>本公司对此类金融资产采用实际利率法确认利息收入。除利息收入、减值损失及汇兑差额确认为当期</w:t>
      </w:r>
      <w:r>
        <w:rPr>
          <w:w w:val="100"/>
        </w:rPr>
        <w:t> </w:t>
      </w:r>
      <w:r>
        <w:rPr>
          <w:spacing w:val="-2"/>
        </w:rPr>
        <w:t>损益外，其余公允价值变动计入其他综合收益。当该金融资产终止确认时，之前计入其他综合收益的累计</w:t>
      </w:r>
      <w:r>
        <w:rPr>
          <w:spacing w:val="-33"/>
        </w:rPr>
        <w:t> </w:t>
      </w:r>
      <w:r>
        <w:rPr>
          <w:spacing w:val="-33"/>
        </w:rPr>
      </w:r>
      <w:r>
        <w:rPr/>
        <w:t>利得或损失从其他综合收益中转出，计入当期损益。</w:t>
      </w:r>
    </w:p>
    <w:p>
      <w:pPr>
        <w:pStyle w:val="Heading5"/>
        <w:spacing w:line="273" w:lineRule="auto"/>
        <w:ind w:right="1124" w:firstLine="422"/>
        <w:jc w:val="both"/>
      </w:pPr>
      <w:r>
        <w:rPr>
          <w:spacing w:val="-2"/>
        </w:rPr>
        <w:t>以公允价值计量且变动计入其他综合收益的应收票据及应收账款列报为应收款项融资，其他此类金融</w:t>
      </w:r>
      <w:r>
        <w:rPr>
          <w:w w:val="100"/>
        </w:rPr>
        <w:t> </w:t>
      </w:r>
      <w:r>
        <w:rPr>
          <w:spacing w:val="-2"/>
        </w:rPr>
        <w:t>资产列报为其他债权投资，其中：自资产负债表日起一年内到期的其他债权投资列报为一年内到期的非流</w:t>
      </w:r>
      <w:r>
        <w:rPr>
          <w:spacing w:val="-32"/>
        </w:rPr>
        <w:t> </w:t>
      </w:r>
      <w:r>
        <w:rPr>
          <w:spacing w:val="-32"/>
        </w:rPr>
      </w:r>
      <w:r>
        <w:rPr/>
        <w:t>动资产，原到期日在一年以内的其他债权投资列报为其他流动资产。</w:t>
      </w:r>
    </w:p>
    <w:p>
      <w:pPr>
        <w:pStyle w:val="Heading5"/>
        <w:spacing w:line="273" w:lineRule="auto" w:before="8"/>
        <w:ind w:left="575" w:right="0"/>
        <w:jc w:val="left"/>
      </w:pPr>
      <w:r>
        <w:rPr/>
        <w:t>（</w:t>
      </w:r>
      <w:r>
        <w:rPr>
          <w:rFonts w:ascii="宋体" w:hAnsi="宋体" w:cs="宋体" w:eastAsia="宋体"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在初始确认时，本公司可以单项金融资产为基础不可撤销地将非交易性权益工具投资指定为以公允价</w:t>
      </w:r>
    </w:p>
    <w:p>
      <w:pPr>
        <w:pStyle w:val="Heading5"/>
        <w:spacing w:line="273" w:lineRule="auto"/>
        <w:ind w:left="575" w:right="0" w:hanging="423"/>
        <w:jc w:val="left"/>
      </w:pPr>
      <w:r>
        <w:rPr/>
        <w:t>值计量且其变动计入其他综合收益的金融资产。</w:t>
      </w:r>
      <w:r>
        <w:rPr>
          <w:spacing w:val="-100"/>
        </w:rPr>
        <w:t> </w:t>
      </w:r>
      <w:r>
        <w:rPr>
          <w:spacing w:val="-100"/>
        </w:rPr>
      </w:r>
      <w:r>
        <w:rPr>
          <w:spacing w:val="-2"/>
        </w:rPr>
        <w:t>此类金融资产的公允价值变动计入其他综合收益，不需计提减值准备。该金融资产终止确认时，之前</w:t>
      </w:r>
    </w:p>
    <w:p>
      <w:pPr>
        <w:pStyle w:val="Heading5"/>
        <w:spacing w:line="273" w:lineRule="auto"/>
        <w:ind w:right="1125"/>
        <w:jc w:val="both"/>
      </w:pPr>
      <w:r>
        <w:rPr>
          <w:spacing w:val="-2"/>
        </w:rPr>
        <w:t>计入其他综合收益的累计利得或损失从其他综合收益中转出，计入留存收益。本公司持有该权益工具投资</w:t>
      </w:r>
      <w:r>
        <w:rPr>
          <w:spacing w:val="-33"/>
        </w:rPr>
        <w:t> </w:t>
      </w:r>
      <w:r>
        <w:rPr>
          <w:spacing w:val="-33"/>
        </w:rPr>
      </w:r>
      <w:r>
        <w:rPr>
          <w:spacing w:val="-2"/>
        </w:rPr>
        <w:t>期间，在本公司收取股利的权利已经确立，与股利相关的经济利益很可能流入本公司，且股利的金额能够</w:t>
      </w:r>
      <w:r>
        <w:rPr>
          <w:spacing w:val="-33"/>
        </w:rPr>
        <w:t> </w:t>
      </w:r>
      <w:r>
        <w:rPr>
          <w:spacing w:val="-33"/>
        </w:rPr>
      </w:r>
      <w:r>
        <w:rPr/>
        <w:t>可靠计量时，确认股利收入并计入当期损益。本公司对此类金融资产在其他权益工具投资项目下列报。</w:t>
      </w:r>
    </w:p>
    <w:p>
      <w:pPr>
        <w:pStyle w:val="Heading5"/>
        <w:spacing w:line="273" w:lineRule="auto"/>
        <w:ind w:right="1125" w:firstLine="422"/>
        <w:jc w:val="both"/>
      </w:pPr>
      <w:r>
        <w:rPr>
          <w:spacing w:val="-2"/>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33"/>
        </w:rPr>
        <w:t> </w:t>
      </w:r>
      <w:r>
        <w:rPr>
          <w:spacing w:val="-33"/>
        </w:rPr>
      </w:r>
      <w:r>
        <w:rPr>
          <w:spacing w:val="-2"/>
        </w:rPr>
        <w:t>有客观证据表明近期实际存在短期获利模式；属于衍生工具（符合财务担保合同定义的以及被指定为有效</w:t>
      </w:r>
      <w:r>
        <w:rPr>
          <w:spacing w:val="-33"/>
        </w:rPr>
        <w:t> </w:t>
      </w:r>
      <w:r>
        <w:rPr>
          <w:spacing w:val="-33"/>
        </w:rPr>
      </w:r>
      <w:r>
        <w:rPr/>
        <w:t>套期工具的衍生工具除外）。</w:t>
      </w:r>
    </w:p>
    <w:p>
      <w:pPr>
        <w:pStyle w:val="Heading5"/>
        <w:spacing w:line="273" w:lineRule="auto" w:before="8"/>
        <w:ind w:left="575" w:right="0"/>
        <w:jc w:val="left"/>
      </w:pPr>
      <w:r>
        <w:rPr/>
        <w:t>（</w:t>
      </w:r>
      <w:r>
        <w:rPr>
          <w:rFonts w:ascii="宋体" w:hAnsi="宋体" w:cs="宋体" w:eastAsia="宋体" w:hint="default"/>
        </w:rPr>
        <w:t>4</w:t>
      </w:r>
      <w:r>
        <w:rPr/>
        <w:t>）分类为以公允价值计量且其变动计入当期损益的金融资产</w:t>
      </w:r>
      <w:r>
        <w:rPr>
          <w:spacing w:val="-101"/>
        </w:rPr>
        <w:t> </w:t>
      </w:r>
      <w:r>
        <w:rPr>
          <w:spacing w:val="-101"/>
        </w:rPr>
      </w:r>
      <w:r>
        <w:rPr>
          <w:spacing w:val="-2"/>
        </w:rPr>
        <w:t>不符合分类为以摊余成本计量或以公允价值计量且其变动计入其他综合收益的金融资产条件、亦不指</w:t>
      </w:r>
    </w:p>
    <w:p>
      <w:pPr>
        <w:pStyle w:val="Heading5"/>
        <w:spacing w:line="273" w:lineRule="auto"/>
        <w:ind w:right="1134"/>
        <w:jc w:val="both"/>
      </w:pPr>
      <w:r>
        <w:rPr/>
        <w:t>定为以公允价值计量且其变动计入其他综合收益的金融资产均分类为以公允价值计量且其变动计入当期</w:t>
      </w:r>
      <w:r>
        <w:rPr>
          <w:spacing w:val="60"/>
        </w:rPr>
        <w:t> </w:t>
      </w:r>
      <w:r>
        <w:rPr>
          <w:spacing w:val="60"/>
        </w:rPr>
      </w:r>
      <w:r>
        <w:rPr/>
        <w:t>损益的金融资产。</w:t>
      </w:r>
    </w:p>
    <w:p>
      <w:pPr>
        <w:pStyle w:val="Heading5"/>
        <w:spacing w:line="273" w:lineRule="auto"/>
        <w:ind w:right="1121" w:firstLine="422"/>
        <w:jc w:val="both"/>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Heading5"/>
        <w:spacing w:line="240" w:lineRule="auto" w:before="8"/>
        <w:ind w:left="575" w:right="0"/>
        <w:jc w:val="left"/>
      </w:pPr>
      <w:r>
        <w:rPr/>
        <w:t>本公司对此类金融资产根据其流动性在交易性金融资产、其他非流动金融资产项目列报。</w:t>
      </w:r>
    </w:p>
    <w:p>
      <w:pPr>
        <w:pStyle w:val="Heading5"/>
        <w:spacing w:line="273" w:lineRule="auto" w:before="37"/>
        <w:ind w:left="575" w:right="0"/>
        <w:jc w:val="left"/>
      </w:pPr>
      <w:r>
        <w:rPr/>
        <w:t>（</w:t>
      </w:r>
      <w:r>
        <w:rPr>
          <w:rFonts w:ascii="宋体" w:hAnsi="宋体" w:cs="宋体" w:eastAsia="宋体" w:hint="default"/>
        </w:rPr>
        <w:t>5</w:t>
      </w:r>
      <w:r>
        <w:rPr/>
        <w:t>）指定为以公允价值计量且其变动计入当期损益的金融资产</w:t>
      </w:r>
      <w:r>
        <w:rPr>
          <w:spacing w:val="-102"/>
        </w:rPr>
        <w:t> </w:t>
      </w:r>
      <w:r>
        <w:rPr>
          <w:spacing w:val="-102"/>
        </w:rPr>
      </w:r>
      <w:r>
        <w:rPr>
          <w:spacing w:val="-2"/>
        </w:rPr>
        <w:t>在初始确认时，本公司为了消除或显著减少会计错配，可以单项金融资产为基础不可撤销地将金融资</w:t>
      </w:r>
    </w:p>
    <w:p>
      <w:pPr>
        <w:pStyle w:val="Heading5"/>
        <w:spacing w:line="273" w:lineRule="auto"/>
        <w:ind w:left="575" w:right="0" w:hanging="423"/>
        <w:jc w:val="left"/>
      </w:pPr>
      <w:r>
        <w:rPr/>
        <w:t>产指定为以公允价值计量且其变动计入当期损益的金融资产。</w:t>
      </w:r>
      <w:r>
        <w:rPr>
          <w:spacing w:val="-103"/>
        </w:rPr>
        <w:t> </w:t>
      </w:r>
      <w:r>
        <w:rPr>
          <w:spacing w:val="-103"/>
        </w:rPr>
      </w:r>
      <w:r>
        <w:rPr>
          <w:spacing w:val="-2"/>
        </w:rPr>
        <w:t>混合合同包含一项或多项嵌入衍生工具，且其主合同不属于以上金融资产的，本公司可以将其整体指</w:t>
      </w:r>
    </w:p>
    <w:p>
      <w:pPr>
        <w:pStyle w:val="Heading5"/>
        <w:spacing w:line="240" w:lineRule="auto" w:before="8"/>
        <w:ind w:right="0"/>
        <w:jc w:val="left"/>
      </w:pPr>
      <w:r>
        <w:rPr/>
        <w:t>定为以公允价值计量且其变动计入当期损益的金融工具。但下列情况除外：</w:t>
      </w:r>
    </w:p>
    <w:p>
      <w:pPr>
        <w:pStyle w:val="Heading5"/>
        <w:spacing w:line="240" w:lineRule="auto" w:before="37"/>
        <w:ind w:right="0"/>
        <w:jc w:val="left"/>
      </w:pPr>
      <w:r>
        <w:rPr>
          <w:rFonts w:ascii="Times New Roman" w:hAnsi="Times New Roman" w:cs="Times New Roman" w:eastAsia="Times New Roman" w:hint="default"/>
        </w:rPr>
        <w:t>1</w:t>
      </w:r>
      <w:r>
        <w:rPr/>
        <w:t>）嵌入衍生工具不会对混合合同的现金流量产生重大改变。</w:t>
      </w:r>
    </w:p>
    <w:p>
      <w:pPr>
        <w:pStyle w:val="Heading5"/>
        <w:spacing w:line="240" w:lineRule="auto" w:before="21"/>
        <w:ind w:right="0"/>
        <w:jc w:val="left"/>
      </w:pPr>
      <w:r>
        <w:rPr>
          <w:rFonts w:ascii="Times New Roman" w:hAnsi="Times New Roman" w:cs="Times New Roman" w:eastAsia="Times New Roman" w:hint="default"/>
        </w:rPr>
        <w:t>2</w:t>
      </w:r>
      <w:r>
        <w:rPr/>
        <w:t>）在初次确定类似的混合合同是否需要分拆时，几乎不需分析就能明确其包含的嵌入衍生工具不应分拆。</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left="575" w:right="0" w:hanging="423"/>
        <w:jc w:val="left"/>
      </w:pPr>
      <w:r>
        <w:rPr>
          <w:spacing w:val="-2"/>
        </w:rPr>
        <w:t>如嵌入贷款的提前还款权，允许持有人以接近摊余成本的金额提前偿还贷款，该提前还款权不需要分拆。</w:t>
      </w:r>
      <w:r>
        <w:rPr>
          <w:spacing w:val="-10"/>
        </w:rPr>
        <w:t> </w:t>
      </w:r>
      <w:r>
        <w:rPr>
          <w:spacing w:val="-10"/>
        </w:rPr>
      </w:r>
      <w:r>
        <w:rPr>
          <w:spacing w:val="-2"/>
        </w:rPr>
        <w:t>本公司对此类金融资产采用公允价值进行后续计量，将公允价值变动形成的利得或损失以及与此类金</w:t>
      </w:r>
    </w:p>
    <w:p>
      <w:pPr>
        <w:pStyle w:val="Heading5"/>
        <w:spacing w:line="273" w:lineRule="auto"/>
        <w:ind w:left="575" w:right="0" w:hanging="423"/>
        <w:jc w:val="left"/>
      </w:pPr>
      <w:r>
        <w:rPr/>
        <w:t>融资产相关的股利和利息收入计入当期损益。</w:t>
      </w:r>
      <w:r>
        <w:rPr>
          <w:spacing w:val="-101"/>
        </w:rPr>
        <w:t> </w:t>
      </w:r>
      <w:r>
        <w:rPr>
          <w:spacing w:val="-101"/>
        </w:rPr>
      </w:r>
      <w:r>
        <w:rPr>
          <w:spacing w:val="-2"/>
        </w:rPr>
        <w:t>本公司对此类金融资产根据其流动性在交易性金融资产、其他非流动金融资产项目列报。</w:t>
      </w:r>
    </w:p>
    <w:p>
      <w:pPr>
        <w:pStyle w:val="Heading5"/>
        <w:tabs>
          <w:tab w:pos="575" w:val="left" w:leader="none"/>
        </w:tabs>
        <w:spacing w:line="259" w:lineRule="auto"/>
        <w:ind w:left="575" w:right="1142" w:hanging="423"/>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金融负债分类和计量</w:t>
      </w:r>
      <w:r>
        <w:rPr>
          <w:rFonts w:ascii="宋体" w:hAnsi="宋体" w:cs="宋体" w:eastAsia="宋体" w:hint="default"/>
          <w:b/>
          <w:bCs/>
          <w:spacing w:val="-103"/>
        </w:rPr>
        <w:t> </w:t>
      </w:r>
      <w:r>
        <w:rPr>
          <w:spacing w:val="-2"/>
        </w:rPr>
        <w:t>本公司根据所发行金融工具的合同条款及其所反映的经济实质而非仅以法律形式，结合金融负债和权</w:t>
      </w:r>
    </w:p>
    <w:p>
      <w:pPr>
        <w:pStyle w:val="Heading5"/>
        <w:spacing w:line="273" w:lineRule="auto" w:before="20"/>
        <w:ind w:right="1125"/>
        <w:jc w:val="both"/>
      </w:pPr>
      <w:r>
        <w:rPr>
          <w:spacing w:val="-2"/>
        </w:rPr>
        <w:t>益工具的定义，在初始确认时将该金融工具或其组成部分分类为金融负债或权益工具。金融负债在初始确</w:t>
      </w:r>
      <w:r>
        <w:rPr>
          <w:spacing w:val="-33"/>
        </w:rPr>
        <w:t> </w:t>
      </w:r>
      <w:r>
        <w:rPr>
          <w:spacing w:val="-33"/>
        </w:rPr>
      </w:r>
      <w:r>
        <w:rPr>
          <w:spacing w:val="-2"/>
        </w:rPr>
        <w:t>认时分类为：以公允价值计量且其变动计入当期损益的金融负债、其他金融负债、被指定为有效套期工具</w:t>
      </w:r>
      <w:r>
        <w:rPr>
          <w:spacing w:val="-33"/>
        </w:rPr>
        <w:t> </w:t>
      </w:r>
      <w:r>
        <w:rPr>
          <w:spacing w:val="-33"/>
        </w:rPr>
      </w:r>
      <w:r>
        <w:rPr/>
        <w:t>的衍生工具。</w:t>
      </w:r>
    </w:p>
    <w:p>
      <w:pPr>
        <w:pStyle w:val="Heading5"/>
        <w:spacing w:line="273" w:lineRule="auto" w:before="8"/>
        <w:ind w:right="1125" w:firstLine="422"/>
        <w:jc w:val="both"/>
      </w:pPr>
      <w:r>
        <w:rPr>
          <w:spacing w:val="-2"/>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Heading5"/>
        <w:spacing w:line="240" w:lineRule="auto"/>
        <w:ind w:left="575" w:right="0"/>
        <w:jc w:val="left"/>
      </w:pPr>
      <w:r>
        <w:rPr/>
        <w:t>金融负债的后续计量取决于其分类：</w:t>
      </w:r>
    </w:p>
    <w:p>
      <w:pPr>
        <w:pStyle w:val="Heading5"/>
        <w:spacing w:line="273" w:lineRule="auto" w:before="37"/>
        <w:ind w:left="575" w:right="0"/>
        <w:jc w:val="left"/>
      </w:pPr>
      <w:r>
        <w:rPr/>
        <w:t>（</w:t>
      </w:r>
      <w:r>
        <w:rPr>
          <w:rFonts w:ascii="宋体" w:hAnsi="宋体" w:cs="宋体" w:eastAsia="宋体"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此类金融负债包括交易性金融负债（含属于金融负债的衍生工具）和初始确认时指定为以公允价值计</w:t>
      </w:r>
    </w:p>
    <w:p>
      <w:pPr>
        <w:pStyle w:val="Heading5"/>
        <w:spacing w:line="273" w:lineRule="auto" w:before="8"/>
        <w:ind w:left="575" w:right="0" w:hanging="423"/>
        <w:jc w:val="left"/>
      </w:pPr>
      <w:r>
        <w:rPr/>
        <w:t>量且其变动计入当期损益的金融负债。</w:t>
      </w:r>
      <w:r>
        <w:rPr>
          <w:spacing w:val="-100"/>
        </w:rPr>
        <w:t> </w:t>
      </w:r>
      <w:r>
        <w:rPr>
          <w:spacing w:val="-100"/>
        </w:rPr>
      </w:r>
      <w:r>
        <w:rPr>
          <w:spacing w:val="-2"/>
        </w:rPr>
        <w:t>满足下列条件之一的，属于交易性金融负债：承担相关金融负债的目的主要是为了在近期内出售或回</w:t>
      </w:r>
    </w:p>
    <w:p>
      <w:pPr>
        <w:pStyle w:val="Heading5"/>
        <w:spacing w:line="273" w:lineRule="auto"/>
        <w:ind w:right="1105"/>
        <w:jc w:val="both"/>
      </w:pPr>
      <w:r>
        <w:rPr>
          <w:spacing w:val="-2"/>
        </w:rPr>
        <w:t>购；属于集中管理的可辨认金融工具组合的一部分，且有客观证据表明企业近期采用短期获利方式模式；</w:t>
      </w:r>
      <w:r>
        <w:rPr>
          <w:spacing w:val="-12"/>
        </w:rPr>
        <w:t> </w:t>
      </w:r>
      <w:r>
        <w:rPr>
          <w:spacing w:val="-12"/>
        </w:rPr>
      </w:r>
      <w:r>
        <w:rPr>
          <w:spacing w:val="-2"/>
        </w:rPr>
        <w:t>属于衍生工具，但是，被指定且为有效套期工具的衍生工具、符合财务担保合同的衍生工具除外。交易性</w:t>
      </w:r>
      <w:r>
        <w:rPr>
          <w:spacing w:val="-33"/>
        </w:rPr>
        <w:t> </w:t>
      </w:r>
      <w:r>
        <w:rPr>
          <w:spacing w:val="-33"/>
        </w:rPr>
      </w:r>
      <w:r>
        <w:rPr>
          <w:spacing w:val="-2"/>
        </w:rPr>
        <w:t>金融负债（含属于金融负债的衍生工具），按照公允价值进行后续计量，除与套期会计有关外，所有公允</w:t>
      </w:r>
      <w:r>
        <w:rPr>
          <w:spacing w:val="-38"/>
        </w:rPr>
        <w:t> </w:t>
      </w:r>
      <w:r>
        <w:rPr>
          <w:spacing w:val="-38"/>
        </w:rPr>
      </w:r>
      <w:r>
        <w:rPr/>
        <w:t>价值变动均计入当期损益。</w:t>
      </w:r>
    </w:p>
    <w:p>
      <w:pPr>
        <w:pStyle w:val="Heading5"/>
        <w:spacing w:line="273" w:lineRule="auto"/>
        <w:ind w:right="1121" w:firstLine="422"/>
        <w:jc w:val="both"/>
      </w:pPr>
      <w:r>
        <w:rPr>
          <w:spacing w:val="-2"/>
        </w:rPr>
        <w:t>在初始确认时，为了提供更相关的会计信息，本公司将满足下列条件之一的金融负债不可撤销地指定</w:t>
      </w:r>
      <w:r>
        <w:rPr>
          <w:w w:val="100"/>
        </w:rPr>
        <w:t> </w:t>
      </w:r>
      <w:r>
        <w:rPr/>
        <w:t>为以公允价值计量且其变动计入当期损益的金融负债：</w:t>
      </w:r>
    </w:p>
    <w:p>
      <w:pPr>
        <w:pStyle w:val="Heading5"/>
        <w:spacing w:line="240" w:lineRule="auto"/>
        <w:ind w:left="575" w:right="0"/>
        <w:jc w:val="left"/>
      </w:pPr>
      <w:r>
        <w:rPr>
          <w:rFonts w:ascii="宋体" w:hAnsi="宋体" w:cs="宋体" w:eastAsia="宋体" w:hint="default"/>
        </w:rPr>
        <w:t>1</w:t>
      </w:r>
      <w:r>
        <w:rPr/>
        <w:t>）能够消除或显著减少会计错配。</w:t>
      </w:r>
    </w:p>
    <w:p>
      <w:pPr>
        <w:pStyle w:val="Heading5"/>
        <w:spacing w:line="273" w:lineRule="auto" w:before="37"/>
        <w:ind w:right="1132" w:firstLine="422"/>
        <w:jc w:val="both"/>
      </w:pPr>
      <w:r>
        <w:rPr>
          <w:rFonts w:ascii="宋体" w:hAnsi="宋体" w:cs="宋体" w:eastAsia="宋体" w:hint="default"/>
        </w:rPr>
        <w:t>2</w:t>
      </w:r>
      <w:r>
        <w:rPr/>
        <w:t>）根据正式书面文件载明的企业风险管理或投资策略，以公允价值为基础对金融负债组合或金融资</w:t>
      </w:r>
      <w:r>
        <w:rPr>
          <w:w w:val="100"/>
        </w:rPr>
        <w:t> </w:t>
      </w:r>
      <w:r>
        <w:rPr/>
        <w:t>产和金融负债组合进行管理和业绩评价，并在企业内部以此为基础向关键管理人员报告。</w:t>
      </w:r>
    </w:p>
    <w:p>
      <w:pPr>
        <w:pStyle w:val="Heading5"/>
        <w:spacing w:line="273" w:lineRule="auto" w:before="8"/>
        <w:ind w:right="1121" w:firstLine="422"/>
        <w:jc w:val="both"/>
      </w:pPr>
      <w:r>
        <w:rPr>
          <w:spacing w:val="-2"/>
        </w:rPr>
        <w:t>本公司对此类金融负债采用公允价值进行后续计量，除由本公司自身信用风险变动引起的公允价值变</w:t>
      </w:r>
      <w:r>
        <w:rPr>
          <w:w w:val="100"/>
        </w:rPr>
        <w:t> </w:t>
      </w:r>
      <w:r>
        <w:rPr>
          <w:spacing w:val="-2"/>
        </w:rPr>
        <w:t>动计入其他综合收益之外，其他公允价值变动计入当期损益。除非由本公司自身信用风险变动引起的公允</w:t>
      </w:r>
      <w:r>
        <w:rPr>
          <w:spacing w:val="-33"/>
        </w:rPr>
        <w:t> </w:t>
      </w:r>
      <w:r>
        <w:rPr>
          <w:spacing w:val="-33"/>
        </w:rPr>
      </w:r>
      <w:r>
        <w:rPr>
          <w:spacing w:val="-2"/>
        </w:rPr>
        <w:t>价值变动计入其他综合收益会造成或扩大损益中的会计错配，本公司将所有公允价值变动（包括自身信用</w:t>
      </w:r>
      <w:r>
        <w:rPr>
          <w:spacing w:val="-33"/>
        </w:rPr>
        <w:t> </w:t>
      </w:r>
      <w:r>
        <w:rPr>
          <w:spacing w:val="-33"/>
        </w:rPr>
      </w:r>
      <w:r>
        <w:rPr/>
        <w:t>风险变动的影响金额）计入当期损益。</w:t>
      </w:r>
    </w:p>
    <w:p>
      <w:pPr>
        <w:pStyle w:val="Heading5"/>
        <w:spacing w:line="273" w:lineRule="auto"/>
        <w:ind w:left="575" w:right="0"/>
        <w:jc w:val="left"/>
      </w:pPr>
      <w:r>
        <w:rPr/>
        <w:t>（</w:t>
      </w:r>
      <w:r>
        <w:rPr>
          <w:rFonts w:ascii="宋体" w:hAnsi="宋体" w:cs="宋体" w:eastAsia="宋体" w:hint="default"/>
        </w:rPr>
        <w:t>2</w:t>
      </w:r>
      <w:r>
        <w:rPr/>
        <w:t>）其他金融负债</w:t>
      </w:r>
      <w:r>
        <w:rPr>
          <w:spacing w:val="-100"/>
        </w:rPr>
        <w:t> </w:t>
      </w:r>
      <w:r>
        <w:rPr>
          <w:spacing w:val="-100"/>
        </w:rPr>
      </w:r>
      <w:r>
        <w:rPr>
          <w:spacing w:val="-4"/>
        </w:rPr>
        <w:t>除下列各项外，公司将金融负债分类为以摊余成本计量的金融负债，对此类金融负债采用实际利率法，</w:t>
      </w:r>
    </w:p>
    <w:p>
      <w:pPr>
        <w:pStyle w:val="Heading5"/>
        <w:spacing w:line="273" w:lineRule="auto"/>
        <w:ind w:left="575" w:right="0" w:hanging="423"/>
        <w:jc w:val="left"/>
      </w:pPr>
      <w:r>
        <w:rPr>
          <w:spacing w:val="-2"/>
        </w:rPr>
        <w:t>按照摊余成本进行后续计量，终止确认或摊销产生的利得或损失计入当期损益：</w:t>
      </w:r>
      <w:r>
        <w:rPr>
          <w:spacing w:val="-33"/>
        </w:rPr>
        <w:t> </w:t>
      </w:r>
      <w:r>
        <w:rPr>
          <w:spacing w:val="-33"/>
        </w:rPr>
      </w:r>
      <w:r>
        <w:rPr>
          <w:rFonts w:ascii="宋体" w:hAnsi="宋体" w:cs="宋体" w:eastAsia="宋体" w:hint="default"/>
        </w:rPr>
        <w:t>1</w:t>
      </w:r>
      <w:r>
        <w:rPr/>
        <w:t>）以公允价值计量且其变动计入当期损益的金融负债。</w:t>
      </w:r>
    </w:p>
    <w:p>
      <w:pPr>
        <w:pStyle w:val="Heading5"/>
        <w:spacing w:line="240" w:lineRule="auto"/>
        <w:ind w:left="575" w:right="0"/>
        <w:jc w:val="left"/>
      </w:pPr>
      <w:r>
        <w:rPr>
          <w:rFonts w:ascii="宋体" w:hAnsi="宋体" w:cs="宋体" w:eastAsia="宋体" w:hint="default"/>
        </w:rPr>
        <w:t>2</w:t>
      </w:r>
      <w:r>
        <w:rPr/>
        <w:t>）金融资产转移不符合终止确认条件或继续涉入被转移金融资产所形成的金融负债。</w:t>
      </w:r>
    </w:p>
    <w:p>
      <w:pPr>
        <w:pStyle w:val="Heading5"/>
        <w:spacing w:line="273" w:lineRule="auto" w:before="37"/>
        <w:ind w:right="1123" w:firstLine="422"/>
        <w:jc w:val="both"/>
      </w:pPr>
      <w:r>
        <w:rPr>
          <w:rFonts w:ascii="宋体" w:hAnsi="宋体" w:cs="宋体" w:eastAsia="宋体" w:hint="default"/>
          <w:spacing w:val="-2"/>
        </w:rPr>
        <w:t>3</w:t>
      </w:r>
      <w:r>
        <w:rPr>
          <w:spacing w:val="-2"/>
        </w:rPr>
        <w:t>）不属于本条前两类情形的财务担保合同，以及不属于本条第</w:t>
      </w:r>
      <w:r>
        <w:rPr>
          <w:rFonts w:ascii="宋体" w:hAnsi="宋体" w:cs="宋体" w:eastAsia="宋体" w:hint="default"/>
          <w:spacing w:val="-2"/>
        </w:rPr>
        <w:t>1</w:t>
      </w:r>
      <w:r>
        <w:rPr>
          <w:spacing w:val="-2"/>
        </w:rPr>
        <w:t>）类情形的以低于市场利率贷款的贷</w:t>
      </w:r>
      <w:r>
        <w:rPr>
          <w:w w:val="100"/>
        </w:rPr>
        <w:t> </w:t>
      </w:r>
      <w:r>
        <w:rPr/>
        <w:t>款承诺。</w:t>
      </w:r>
    </w:p>
    <w:p>
      <w:pPr>
        <w:pStyle w:val="Heading5"/>
        <w:spacing w:line="273" w:lineRule="auto" w:before="8"/>
        <w:ind w:right="1125" w:firstLine="422"/>
        <w:jc w:val="both"/>
      </w:pPr>
      <w:r>
        <w:rPr>
          <w:spacing w:val="-2"/>
        </w:rPr>
        <w:t>财务担保合同是指当特定债务人到期不能按照最初或修改后的债务工具条款偿付债务时，要求发行方</w:t>
      </w:r>
      <w:r>
        <w:rPr>
          <w:w w:val="100"/>
        </w:rPr>
        <w:t> </w:t>
      </w:r>
      <w:r>
        <w:rPr>
          <w:spacing w:val="-2"/>
        </w:rPr>
        <w:t>向蒙受损失的合同持有人赔付特定金额的合同。不属于指定为以公允价值计量且其变动计入当期损益的金</w:t>
      </w:r>
      <w:r>
        <w:rPr>
          <w:spacing w:val="-33"/>
        </w:rPr>
        <w:t> </w:t>
      </w:r>
      <w:r>
        <w:rPr>
          <w:spacing w:val="-33"/>
        </w:rPr>
      </w:r>
      <w:r>
        <w:rPr>
          <w:spacing w:val="-2"/>
        </w:rPr>
        <w:t>融负债的财务担保合同，在初始确认后按照损失准备金额以及初始确认金额扣除担保期内的累计摊销额后</w:t>
      </w:r>
      <w:r>
        <w:rPr>
          <w:spacing w:val="-31"/>
        </w:rPr>
        <w:t> </w:t>
      </w:r>
      <w:r>
        <w:rPr>
          <w:spacing w:val="-31"/>
        </w:rPr>
      </w:r>
      <w:r>
        <w:rPr/>
        <w:t>的余额孰高进行计量。</w:t>
      </w:r>
    </w:p>
    <w:p>
      <w:pPr>
        <w:pStyle w:val="Heading4"/>
        <w:tabs>
          <w:tab w:pos="575" w:val="left" w:leader="none"/>
        </w:tabs>
        <w:spacing w:line="240" w:lineRule="auto" w:before="7"/>
        <w:ind w:right="0"/>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金融资产和金融负债的终止确认</w:t>
      </w:r>
      <w:r>
        <w:rPr>
          <w:b w:val="0"/>
          <w:bCs w:val="0"/>
        </w:rPr>
      </w:r>
    </w:p>
    <w:p>
      <w:pPr>
        <w:pStyle w:val="Heading5"/>
        <w:spacing w:line="273" w:lineRule="auto" w:before="23"/>
        <w:ind w:left="575" w:right="0"/>
        <w:jc w:val="left"/>
      </w:pPr>
      <w:r>
        <w:rPr>
          <w:spacing w:val="-2"/>
        </w:rPr>
        <w:t>（</w:t>
      </w:r>
      <w:r>
        <w:rPr>
          <w:rFonts w:ascii="宋体" w:hAnsi="宋体" w:cs="宋体" w:eastAsia="宋体" w:hint="default"/>
          <w:spacing w:val="-2"/>
        </w:rPr>
        <w:t>1</w:t>
      </w:r>
      <w:r>
        <w:rPr>
          <w:spacing w:val="-2"/>
        </w:rPr>
        <w:t>）金融资产满足下列条件之一的，终止确认金融资产，即从其账户和资产负债表内予以转销：</w:t>
      </w:r>
      <w:r>
        <w:rPr>
          <w:spacing w:val="-18"/>
        </w:rPr>
        <w:t> </w:t>
      </w:r>
      <w:r>
        <w:rPr>
          <w:spacing w:val="-18"/>
        </w:rPr>
      </w:r>
      <w:r>
        <w:rPr>
          <w:rFonts w:ascii="宋体" w:hAnsi="宋体" w:cs="宋体" w:eastAsia="宋体" w:hint="default"/>
        </w:rPr>
        <w:t>1</w:t>
      </w:r>
      <w:r>
        <w:rPr/>
        <w:t>）收取该金融资产现金流量的合同权利终止。</w:t>
      </w:r>
    </w:p>
    <w:p>
      <w:pPr>
        <w:pStyle w:val="Heading5"/>
        <w:spacing w:line="240" w:lineRule="auto"/>
        <w:ind w:left="575" w:right="0"/>
        <w:jc w:val="left"/>
      </w:pPr>
      <w:r>
        <w:rPr>
          <w:rFonts w:ascii="宋体" w:hAnsi="宋体" w:cs="宋体" w:eastAsia="宋体" w:hint="default"/>
        </w:rPr>
        <w:t>2</w:t>
      </w:r>
      <w:r>
        <w:rPr/>
        <w:t>）该金融资产已转移，且该转移满足金融资产终止确认的规定。</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left="575" w:right="0"/>
        <w:jc w:val="left"/>
      </w:pPr>
      <w:r>
        <w:rPr/>
        <w:t>（</w:t>
      </w:r>
      <w:r>
        <w:rPr>
          <w:rFonts w:ascii="宋体" w:hAnsi="宋体" w:cs="宋体" w:eastAsia="宋体" w:hint="default"/>
        </w:rPr>
        <w:t>2</w:t>
      </w:r>
      <w:r>
        <w:rPr/>
        <w:t>）金融负债终止确认条件</w:t>
      </w:r>
      <w:r>
        <w:rPr>
          <w:spacing w:val="-100"/>
        </w:rPr>
        <w:t> </w:t>
      </w:r>
      <w:r>
        <w:rPr>
          <w:spacing w:val="-100"/>
        </w:rPr>
      </w:r>
      <w:r>
        <w:rPr/>
        <w:t>金融负债（或其一部分）的现时义务已经解除的，则终止确认该金融负债（或该部分金融负债）。</w:t>
      </w:r>
      <w:r>
        <w:rPr>
          <w:w w:val="100"/>
        </w:rPr>
        <w:t> </w:t>
      </w:r>
      <w:r>
        <w:rPr>
          <w:spacing w:val="-2"/>
        </w:rPr>
        <w:t>本公司与借出方之间签订协议，以承担新金融负债方式替换原金融负债，且新金融负债与原金融负债</w:t>
      </w:r>
    </w:p>
    <w:p>
      <w:pPr>
        <w:pStyle w:val="Heading5"/>
        <w:spacing w:line="273" w:lineRule="auto" w:before="8"/>
        <w:ind w:right="1126"/>
        <w:jc w:val="both"/>
      </w:pPr>
      <w:r>
        <w:rPr>
          <w:spacing w:val="-2"/>
        </w:rPr>
        <w:t>的合同条款实质上不同的，或对原金融负债（或其一部分）的合同条款做出实质性修改的，则终止确认原</w:t>
      </w:r>
      <w:r>
        <w:rPr>
          <w:spacing w:val="-33"/>
        </w:rPr>
        <w:t> </w:t>
      </w:r>
      <w:r>
        <w:rPr>
          <w:spacing w:val="-33"/>
        </w:rPr>
      </w:r>
      <w:r>
        <w:rPr>
          <w:spacing w:val="-2"/>
        </w:rPr>
        <w:t>金融负债，同时确认一项新金融负债，账面价值与支付的对价（包括转出的非现金资产或承担的负债）之</w:t>
      </w:r>
      <w:r>
        <w:rPr>
          <w:spacing w:val="-33"/>
        </w:rPr>
        <w:t> </w:t>
      </w:r>
      <w:r>
        <w:rPr>
          <w:spacing w:val="-33"/>
        </w:rPr>
      </w:r>
      <w:r>
        <w:rPr/>
        <w:t>间的差额，计入当期损益。</w:t>
      </w:r>
    </w:p>
    <w:p>
      <w:pPr>
        <w:pStyle w:val="Heading5"/>
        <w:spacing w:line="273" w:lineRule="auto"/>
        <w:ind w:right="1121" w:firstLine="422"/>
        <w:jc w:val="both"/>
      </w:pPr>
      <w:r>
        <w:rPr>
          <w:spacing w:val="-2"/>
        </w:rPr>
        <w:t>本公司回购金融负债一部分的，按照继续确认部分和终止确认部分在回购日各自的公允价值占整体公</w:t>
      </w:r>
      <w:r>
        <w:rPr>
          <w:w w:val="100"/>
        </w:rPr>
        <w:t> </w:t>
      </w:r>
      <w:r>
        <w:rPr>
          <w:spacing w:val="-7"/>
        </w:rPr>
        <w:t>允价值的比例，对该金融负债整体的账面价值进行分配。分配给终止确认部分的账面价值与支付的对价（包</w:t>
      </w:r>
      <w:r>
        <w:rPr>
          <w:spacing w:val="-6"/>
        </w:rPr>
        <w:t> </w:t>
      </w:r>
      <w:r>
        <w:rPr>
          <w:spacing w:val="-6"/>
        </w:rPr>
      </w:r>
      <w:r>
        <w:rPr/>
        <w:t>括转出的非现金资产或承担的负债）之间的差额，应当计入当期损益。</w:t>
      </w:r>
    </w:p>
    <w:p>
      <w:pPr>
        <w:tabs>
          <w:tab w:pos="575" w:val="left" w:leader="none"/>
        </w:tabs>
        <w:spacing w:line="259" w:lineRule="auto" w:before="8"/>
        <w:ind w:left="575" w:right="1142" w:hanging="423"/>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金融资产转移的确认依据和计量方法</w:t>
      </w:r>
      <w:r>
        <w:rPr>
          <w:rFonts w:ascii="宋体" w:hAnsi="宋体" w:cs="宋体" w:eastAsia="宋体" w:hint="default"/>
          <w:b/>
          <w:bCs/>
          <w:spacing w:val="-100"/>
          <w:sz w:val="21"/>
          <w:szCs w:val="21"/>
        </w:rPr>
        <w:t> </w:t>
      </w:r>
      <w:r>
        <w:rPr>
          <w:rFonts w:ascii="宋体" w:hAnsi="宋体" w:cs="宋体" w:eastAsia="宋体" w:hint="default"/>
          <w:spacing w:val="-2"/>
          <w:sz w:val="21"/>
          <w:szCs w:val="21"/>
        </w:rPr>
        <w:t>本公司在发生金融资产转移时，评估其保留金融资产所有权上的风险和报酬的程度，并分别下列情形</w:t>
      </w:r>
    </w:p>
    <w:p>
      <w:pPr>
        <w:pStyle w:val="Heading5"/>
        <w:spacing w:line="240" w:lineRule="auto" w:before="20"/>
        <w:ind w:right="0"/>
        <w:jc w:val="left"/>
      </w:pPr>
      <w:r>
        <w:rPr/>
        <w:t>处理：</w:t>
      </w:r>
    </w:p>
    <w:p>
      <w:pPr>
        <w:pStyle w:val="Heading5"/>
        <w:spacing w:line="273" w:lineRule="auto" w:before="37"/>
        <w:ind w:right="1135" w:firstLine="422"/>
        <w:jc w:val="both"/>
      </w:pPr>
      <w:r>
        <w:rPr/>
        <w:t>（</w:t>
      </w:r>
      <w:r>
        <w:rPr>
          <w:rFonts w:ascii="宋体" w:hAnsi="宋体" w:cs="宋体" w:eastAsia="宋体" w:hint="default"/>
        </w:rPr>
        <w:t>1</w:t>
      </w:r>
      <w:r>
        <w:rPr/>
        <w:t>）转移了金融资产所有权上几乎所有风险和报酬的，则终止确认该金融资产，并将转移中产生或</w:t>
      </w:r>
      <w:r>
        <w:rPr>
          <w:w w:val="100"/>
        </w:rPr>
        <w:t> </w:t>
      </w:r>
      <w:r>
        <w:rPr/>
        <w:t>保留的权利和义务单独确认为资产或负债。</w:t>
      </w:r>
    </w:p>
    <w:p>
      <w:pPr>
        <w:pStyle w:val="Heading5"/>
        <w:spacing w:line="240" w:lineRule="auto" w:before="8"/>
        <w:ind w:left="575" w:right="0"/>
        <w:jc w:val="left"/>
      </w:pPr>
      <w:r>
        <w:rPr/>
        <w:t>（</w:t>
      </w:r>
      <w:r>
        <w:rPr>
          <w:rFonts w:ascii="宋体" w:hAnsi="宋体" w:cs="宋体" w:eastAsia="宋体" w:hint="default"/>
        </w:rPr>
        <w:t>2</w:t>
      </w:r>
      <w:r>
        <w:rPr/>
        <w:t>）保留了金融资产所有权上几乎所有风险和报酬的，则继续确认该金融资产。</w:t>
      </w:r>
    </w:p>
    <w:p>
      <w:pPr>
        <w:pStyle w:val="Heading5"/>
        <w:spacing w:line="273" w:lineRule="auto" w:before="37"/>
        <w:ind w:right="1131" w:firstLine="422"/>
        <w:jc w:val="both"/>
      </w:pPr>
      <w:r>
        <w:rPr/>
        <w:t>（</w:t>
      </w:r>
      <w:r>
        <w:rPr>
          <w:rFonts w:ascii="宋体" w:hAnsi="宋体" w:cs="宋体" w:eastAsia="宋体" w:hint="default"/>
        </w:rPr>
        <w:t>3</w:t>
      </w:r>
      <w:r>
        <w:rPr/>
        <w:t>）既没有转移也没有保留金融资产所有权上几乎所有风险和报酬的（即除本条（</w:t>
      </w:r>
      <w:r>
        <w:rPr>
          <w:rFonts w:ascii="宋体" w:hAnsi="宋体" w:cs="宋体" w:eastAsia="宋体" w:hint="default"/>
        </w:rPr>
        <w:t>1</w:t>
      </w:r>
      <w:r>
        <w:rPr/>
        <w:t>）、（</w:t>
      </w:r>
      <w:r>
        <w:rPr>
          <w:rFonts w:ascii="宋体" w:hAnsi="宋体" w:cs="宋体" w:eastAsia="宋体" w:hint="default"/>
        </w:rPr>
        <w:t>2</w:t>
      </w:r>
      <w:r>
        <w:rPr/>
        <w:t>）之外</w:t>
      </w:r>
      <w:r>
        <w:rPr>
          <w:w w:val="100"/>
        </w:rPr>
        <w:t> </w:t>
      </w:r>
      <w:r>
        <w:rPr/>
        <w:t>的其他情形），则根据其是否保留了对金融资产的控制，分别下列情形处理：</w:t>
      </w:r>
    </w:p>
    <w:p>
      <w:pPr>
        <w:pStyle w:val="Heading5"/>
        <w:spacing w:line="273" w:lineRule="auto"/>
        <w:ind w:right="1133" w:firstLine="422"/>
        <w:jc w:val="both"/>
      </w:pPr>
      <w:r>
        <w:rPr>
          <w:rFonts w:ascii="宋体" w:hAnsi="宋体" w:cs="宋体" w:eastAsia="宋体" w:hint="default"/>
        </w:rPr>
        <w:t>1</w:t>
      </w:r>
      <w:r>
        <w:rPr/>
        <w:t>）未保留对该金融资产控制的，则终止确认该金融资产，并将转移中产生或保留的权利和义务单独</w:t>
      </w:r>
      <w:r>
        <w:rPr>
          <w:w w:val="100"/>
        </w:rPr>
        <w:t> </w:t>
      </w:r>
      <w:r>
        <w:rPr/>
        <w:t>确认为资产或负债。</w:t>
      </w:r>
    </w:p>
    <w:p>
      <w:pPr>
        <w:pStyle w:val="Heading5"/>
        <w:spacing w:line="273" w:lineRule="auto" w:before="8"/>
        <w:ind w:right="1125" w:firstLine="422"/>
        <w:jc w:val="both"/>
      </w:pPr>
      <w:r>
        <w:rPr>
          <w:rFonts w:ascii="宋体" w:hAnsi="宋体" w:cs="宋体" w:eastAsia="宋体" w:hint="default"/>
        </w:rPr>
        <w:t>2</w:t>
      </w:r>
      <w:r>
        <w:rPr/>
        <w:t>）保留了对该金融资产控制的，则按照其继续涉入被转移金融资产的程度继续确认有关金融资产，</w:t>
      </w:r>
      <w:r>
        <w:rPr>
          <w:w w:val="100"/>
        </w:rPr>
        <w:t> </w:t>
      </w:r>
      <w:r>
        <w:rPr>
          <w:spacing w:val="-2"/>
        </w:rPr>
        <w:t>并相应确认相关负债。继续涉入被转移金融资产的程度，是指本公司承担的被转移金融资产价值变动风险</w:t>
      </w:r>
      <w:r>
        <w:rPr>
          <w:spacing w:val="-33"/>
        </w:rPr>
        <w:t> </w:t>
      </w:r>
      <w:r>
        <w:rPr>
          <w:spacing w:val="-33"/>
        </w:rPr>
      </w:r>
      <w:r>
        <w:rPr/>
        <w:t>或报酬的程度。</w:t>
      </w:r>
    </w:p>
    <w:p>
      <w:pPr>
        <w:pStyle w:val="Heading5"/>
        <w:spacing w:line="273" w:lineRule="auto"/>
        <w:ind w:right="1125" w:firstLine="422"/>
        <w:jc w:val="both"/>
      </w:pPr>
      <w:r>
        <w:rPr>
          <w:spacing w:val="-2"/>
        </w:rPr>
        <w:t>在判断金融资产转移是否满足上述金融资产终止确认条件时，采用实质重于形式的原则。公司将金融</w:t>
      </w:r>
      <w:r>
        <w:rPr>
          <w:w w:val="100"/>
        </w:rPr>
        <w:t> </w:t>
      </w:r>
      <w:r>
        <w:rPr/>
        <w:t>资产转移区分为金融资产整体转移和部分转移。</w:t>
      </w:r>
    </w:p>
    <w:p>
      <w:pPr>
        <w:pStyle w:val="Heading5"/>
        <w:spacing w:line="273" w:lineRule="auto"/>
        <w:ind w:left="575" w:right="0"/>
        <w:jc w:val="left"/>
      </w:pPr>
      <w:r>
        <w:rPr>
          <w:spacing w:val="-2"/>
        </w:rPr>
        <w:t>（</w:t>
      </w:r>
      <w:r>
        <w:rPr>
          <w:rFonts w:ascii="宋体" w:hAnsi="宋体" w:cs="宋体" w:eastAsia="宋体" w:hint="default"/>
          <w:spacing w:val="-2"/>
        </w:rPr>
        <w:t>1</w:t>
      </w:r>
      <w:r>
        <w:rPr>
          <w:spacing w:val="-2"/>
        </w:rPr>
        <w:t>）金融资产整体转移满足终止确认条件的，将下列两项金额的差额计入当期损益：</w:t>
      </w:r>
      <w:r>
        <w:rPr>
          <w:spacing w:val="-29"/>
        </w:rPr>
        <w:t> </w:t>
      </w:r>
      <w:r>
        <w:rPr>
          <w:spacing w:val="-29"/>
        </w:rPr>
      </w:r>
      <w:r>
        <w:rPr>
          <w:rFonts w:ascii="宋体" w:hAnsi="宋体" w:cs="宋体" w:eastAsia="宋体" w:hint="default"/>
        </w:rPr>
        <w:t>1</w:t>
      </w:r>
      <w:r>
        <w:rPr/>
        <w:t>）被转移金融资产在终止确认日的账面价值。</w:t>
      </w:r>
    </w:p>
    <w:p>
      <w:pPr>
        <w:pStyle w:val="Heading5"/>
        <w:spacing w:line="273" w:lineRule="auto"/>
        <w:ind w:right="1135" w:firstLine="422"/>
        <w:jc w:val="both"/>
      </w:pPr>
      <w:r>
        <w:rPr>
          <w:rFonts w:ascii="宋体" w:hAnsi="宋体" w:cs="宋体" w:eastAsia="宋体" w:hint="default"/>
        </w:rPr>
        <w:t>2</w:t>
      </w:r>
      <w:r>
        <w:rPr/>
        <w:t>）因转移金融资产而收到的对价，与原直接计入其他综合收益的公允价值变动累计额中对应终止确</w:t>
      </w:r>
      <w:r>
        <w:rPr>
          <w:w w:val="100"/>
        </w:rPr>
        <w:t> </w:t>
      </w:r>
      <w:r>
        <w:rPr/>
        <w:t>认部分的金额（涉及转移的金融资产为以公允价值计量且其变动计入其他综合收益的金融资产）之和。</w:t>
      </w:r>
    </w:p>
    <w:p>
      <w:pPr>
        <w:pStyle w:val="Heading5"/>
        <w:spacing w:line="273" w:lineRule="auto"/>
        <w:ind w:right="1125" w:firstLine="422"/>
        <w:jc w:val="both"/>
      </w:pPr>
      <w:r>
        <w:rPr/>
        <w:t>（</w:t>
      </w:r>
      <w:r>
        <w:rPr>
          <w:rFonts w:ascii="宋体" w:hAnsi="宋体" w:cs="宋体" w:eastAsia="宋体" w:hint="default"/>
        </w:rPr>
        <w:t>2</w:t>
      </w:r>
      <w:r>
        <w:rPr/>
        <w:t>）金融资产部分转移且该被转移部分整体满足终止确认条件的，将转移前金融资产整体的账面价</w:t>
      </w:r>
      <w:r>
        <w:rPr>
          <w:w w:val="100"/>
        </w:rPr>
        <w:t> </w:t>
      </w:r>
      <w:r>
        <w:rPr>
          <w:spacing w:val="-2"/>
        </w:rPr>
        <w:t>值，在终止确认部分和继续确认部分（在此种情形下，所保留的服务资产应当视同继续确认金融资产的一</w:t>
      </w:r>
      <w:r>
        <w:rPr>
          <w:spacing w:val="-33"/>
        </w:rPr>
        <w:t> </w:t>
      </w:r>
      <w:r>
        <w:rPr>
          <w:spacing w:val="-33"/>
        </w:rPr>
      </w:r>
      <w:r>
        <w:rPr/>
        <w:t>部分）之间，按照转移日各自的相对公允价值进行分摊，并将下列两项金额的差额计入当期损益：</w:t>
      </w:r>
    </w:p>
    <w:p>
      <w:pPr>
        <w:pStyle w:val="Heading5"/>
        <w:spacing w:line="240" w:lineRule="auto"/>
        <w:ind w:left="575" w:right="0"/>
        <w:jc w:val="left"/>
      </w:pPr>
      <w:r>
        <w:rPr>
          <w:rFonts w:ascii="宋体" w:hAnsi="宋体" w:cs="宋体" w:eastAsia="宋体" w:hint="default"/>
        </w:rPr>
        <w:t>1</w:t>
      </w:r>
      <w:r>
        <w:rPr/>
        <w:t>）终止确认部分在终止确认日的账面价值。</w:t>
      </w:r>
    </w:p>
    <w:p>
      <w:pPr>
        <w:pStyle w:val="Heading5"/>
        <w:spacing w:line="273" w:lineRule="auto" w:before="37"/>
        <w:ind w:right="1134" w:firstLine="422"/>
        <w:jc w:val="both"/>
      </w:pPr>
      <w:r>
        <w:rPr>
          <w:rFonts w:ascii="宋体" w:hAnsi="宋体" w:cs="宋体" w:eastAsia="宋体" w:hint="default"/>
        </w:rPr>
        <w:t>2</w:t>
      </w:r>
      <w:r>
        <w:rPr/>
        <w:t>）终止确认部分收到的对价，与原计入其他综合收益的公允价值变动累计额中对应终止确认部分的</w:t>
      </w:r>
      <w:r>
        <w:rPr>
          <w:w w:val="100"/>
        </w:rPr>
        <w:t> </w:t>
      </w:r>
      <w:r>
        <w:rPr/>
        <w:t>金额（涉及转移的金融资产为以公允价值计量且其变动计入其他综合收益的金融资产）之和。</w:t>
      </w:r>
    </w:p>
    <w:p>
      <w:pPr>
        <w:pStyle w:val="Heading5"/>
        <w:spacing w:line="240" w:lineRule="auto"/>
        <w:ind w:left="575" w:right="0"/>
        <w:jc w:val="left"/>
      </w:pPr>
      <w:r>
        <w:rPr/>
        <w:t>金融资产转移不满足终止确认条件的，继续确认该金融资产，所收到的对价确认为一项金融负债。</w:t>
      </w:r>
    </w:p>
    <w:p>
      <w:pPr>
        <w:tabs>
          <w:tab w:pos="575" w:val="left" w:leader="none"/>
        </w:tabs>
        <w:spacing w:line="259" w:lineRule="auto" w:before="37"/>
        <w:ind w:left="575" w:right="1142" w:hanging="423"/>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00"/>
          <w:sz w:val="21"/>
          <w:szCs w:val="21"/>
        </w:rPr>
        <w:t> </w:t>
      </w:r>
      <w:r>
        <w:rPr>
          <w:rFonts w:ascii="宋体" w:hAnsi="宋体" w:cs="宋体" w:eastAsia="宋体" w:hint="default"/>
          <w:spacing w:val="-2"/>
          <w:sz w:val="21"/>
          <w:szCs w:val="21"/>
        </w:rPr>
        <w:t>存在活跃市场的金融资产或金融负债，以活跃市场的报价确定其公允价值，除非该项金融资产存在针</w:t>
      </w:r>
    </w:p>
    <w:p>
      <w:pPr>
        <w:pStyle w:val="Heading5"/>
        <w:spacing w:line="273" w:lineRule="auto" w:before="20"/>
        <w:ind w:right="0"/>
        <w:jc w:val="left"/>
      </w:pPr>
      <w:r>
        <w:rPr>
          <w:spacing w:val="-2"/>
        </w:rPr>
        <w:t>对资产本身的限售期。对于针对资产本身的限售的金融资产，按照活跃市场的报价扣除市场参与者因承担</w:t>
      </w:r>
      <w:r>
        <w:rPr>
          <w:spacing w:val="-33"/>
        </w:rPr>
        <w:t> </w:t>
      </w:r>
      <w:r>
        <w:rPr>
          <w:spacing w:val="-33"/>
        </w:rPr>
      </w:r>
      <w:r>
        <w:rPr/>
        <w:t>指定期间内无法在公开市场上出售该金融资产的风险而要求获得的补偿金额后确定。活跃市场的报价包括</w:t>
      </w:r>
      <w:r>
        <w:rPr>
          <w:w w:val="100"/>
        </w:rPr>
        <w:t> </w:t>
      </w:r>
      <w:r>
        <w:rPr>
          <w:spacing w:val="-4"/>
        </w:rPr>
        <w:t>易于且可定期从交易所、交易商、经纪人、行业集团、定价机构或监管机构等获得相关资产或负债的报价，</w:t>
      </w:r>
      <w:r>
        <w:rPr>
          <w:spacing w:val="-47"/>
        </w:rPr>
        <w:t> </w:t>
      </w:r>
      <w:r>
        <w:rPr>
          <w:spacing w:val="-47"/>
        </w:rPr>
      </w:r>
      <w:r>
        <w:rPr/>
        <w:t>且能代表在公平交易基础上实际并经常发生的市场交易。</w:t>
      </w:r>
    </w:p>
    <w:p>
      <w:pPr>
        <w:pStyle w:val="Heading5"/>
        <w:spacing w:line="273" w:lineRule="auto" w:before="8"/>
        <w:ind w:left="575" w:right="0"/>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不存在活跃市场的金融资产或金融负债，采用估值技术确定其公允价值。在估值时，本公司采用在当</w:t>
      </w:r>
    </w:p>
    <w:p>
      <w:pPr>
        <w:pStyle w:val="Heading5"/>
        <w:spacing w:line="240" w:lineRule="auto"/>
        <w:ind w:right="0"/>
        <w:jc w:val="left"/>
      </w:pPr>
      <w:r>
        <w:rPr/>
        <w:t>前情况下适用并且有足够可利用数据和其他信息支持的估值技术，选择与市场参与者在相关资产或负债的</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right="1122"/>
        <w:jc w:val="both"/>
      </w:pPr>
      <w:r>
        <w:rPr>
          <w:spacing w:val="-2"/>
        </w:rPr>
        <w:t>交易中所考虑的资产或负债特征相一致的输入值，并尽可能优先使用相关可观察输入值。在相关可观察输</w:t>
      </w:r>
      <w:r>
        <w:rPr>
          <w:spacing w:val="-30"/>
        </w:rPr>
        <w:t> </w:t>
      </w:r>
      <w:r>
        <w:rPr>
          <w:spacing w:val="-30"/>
        </w:rPr>
      </w:r>
      <w:r>
        <w:rPr/>
        <w:t>入值无法取得或取得不切实可行的情况下，使用不可观察输入值。</w:t>
      </w:r>
    </w:p>
    <w:p>
      <w:pPr>
        <w:pStyle w:val="Heading5"/>
        <w:tabs>
          <w:tab w:pos="575" w:val="left" w:leader="none"/>
        </w:tabs>
        <w:spacing w:line="259" w:lineRule="auto"/>
        <w:ind w:left="575" w:right="1142" w:hanging="423"/>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6.</w:t>
      </w:r>
      <w:r>
        <w:rPr>
          <w:rFonts w:ascii="宋体" w:hAnsi="宋体" w:cs="宋体" w:eastAsia="宋体" w:hint="default"/>
          <w:b/>
          <w:bCs/>
        </w:rPr>
        <w:t>金融工具减值</w:t>
      </w:r>
      <w:r>
        <w:rPr>
          <w:rFonts w:ascii="宋体" w:hAnsi="宋体" w:cs="宋体" w:eastAsia="宋体" w:hint="default"/>
          <w:b/>
          <w:bCs/>
          <w:w w:val="100"/>
        </w:rPr>
        <w:t> </w:t>
      </w:r>
      <w:r>
        <w:rPr>
          <w:spacing w:val="-2"/>
        </w:rPr>
        <w:t>本公司以预期信用损失为基础，对分类为以摊余成本计量的金融资产、分类为以公允价值计量且其变</w:t>
      </w:r>
    </w:p>
    <w:p>
      <w:pPr>
        <w:pStyle w:val="Heading5"/>
        <w:spacing w:line="273" w:lineRule="auto" w:before="20"/>
        <w:ind w:left="575" w:right="0" w:hanging="423"/>
        <w:jc w:val="left"/>
      </w:pPr>
      <w:r>
        <w:rPr/>
        <w:t>动计入其他综合收益的金融资产以及财务担保合同，进行减值会计处理并确认损失准备。</w:t>
      </w:r>
      <w:r>
        <w:rPr>
          <w:w w:val="100"/>
        </w:rPr>
        <w:t> </w:t>
      </w:r>
      <w:r>
        <w:rPr>
          <w:spacing w:val="-2"/>
        </w:rPr>
        <w:t>预期信用损失，是指以发生违约的风险为权重的金融工具信用损失的加权平均值。信用损失，是指本</w:t>
      </w:r>
    </w:p>
    <w:p>
      <w:pPr>
        <w:pStyle w:val="Heading5"/>
        <w:spacing w:line="273" w:lineRule="auto"/>
        <w:ind w:right="1106"/>
        <w:jc w:val="both"/>
      </w:pPr>
      <w:r>
        <w:rPr>
          <w:spacing w:val="-2"/>
        </w:rPr>
        <w:t>公司按照原实际利率折现的、根据合同应收的所有合同现金流量与预期收取的所有现金流量之间的差额，</w:t>
      </w:r>
      <w:r>
        <w:rPr>
          <w:spacing w:val="-13"/>
        </w:rPr>
        <w:t> </w:t>
      </w:r>
      <w:r>
        <w:rPr>
          <w:spacing w:val="-13"/>
        </w:rPr>
      </w:r>
      <w:r>
        <w:rPr>
          <w:spacing w:val="-2"/>
        </w:rPr>
        <w:t>即全部现金短缺的现值。其中，对于本公司购买或源生的已发生信用减值的金融资产，应按照该金融资产</w:t>
      </w:r>
      <w:r>
        <w:rPr>
          <w:spacing w:val="-31"/>
        </w:rPr>
        <w:t> </w:t>
      </w:r>
      <w:r>
        <w:rPr>
          <w:spacing w:val="-31"/>
        </w:rPr>
      </w:r>
      <w:r>
        <w:rPr/>
        <w:t>经信用调整的实际利率折现。</w:t>
      </w:r>
    </w:p>
    <w:p>
      <w:pPr>
        <w:pStyle w:val="Heading5"/>
        <w:spacing w:line="273" w:lineRule="auto" w:before="8"/>
        <w:ind w:right="1125" w:firstLine="422"/>
        <w:jc w:val="both"/>
      </w:pPr>
      <w:r>
        <w:rPr>
          <w:spacing w:val="-2"/>
        </w:rPr>
        <w:t>对由收入准则规范的交易形成的应收款项，本公司运用简化计量方法，按照相当于整个存续期内预期</w:t>
      </w:r>
      <w:r>
        <w:rPr>
          <w:w w:val="100"/>
        </w:rPr>
        <w:t> </w:t>
      </w:r>
      <w:r>
        <w:rPr/>
        <w:t>信用损失的金额计量损失准备。</w:t>
      </w:r>
    </w:p>
    <w:p>
      <w:pPr>
        <w:pStyle w:val="Heading5"/>
        <w:spacing w:line="273" w:lineRule="auto"/>
        <w:ind w:right="1121" w:firstLine="422"/>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33"/>
        </w:rPr>
        <w:t> </w:t>
      </w:r>
      <w:r>
        <w:rPr>
          <w:spacing w:val="-33"/>
        </w:rPr>
      </w:r>
      <w:r>
        <w:rPr>
          <w:spacing w:val="-2"/>
        </w:rPr>
        <w:t>为减值损失或利得计入当期损益。即使该资产负债表日确定的整个存续期内预期信用损失小于初始确认时</w:t>
      </w:r>
      <w:r>
        <w:rPr>
          <w:spacing w:val="-33"/>
        </w:rPr>
        <w:t> </w:t>
      </w:r>
      <w:r>
        <w:rPr>
          <w:spacing w:val="-33"/>
        </w:rPr>
      </w:r>
      <w:r>
        <w:rPr/>
        <w:t>估计现金流量所反映的预期信用损失的金额，也将预期信用损失的有利变动确认为减值利得。</w:t>
      </w:r>
    </w:p>
    <w:p>
      <w:pPr>
        <w:pStyle w:val="Heading5"/>
        <w:spacing w:line="273" w:lineRule="auto"/>
        <w:ind w:right="1126" w:firstLine="422"/>
        <w:jc w:val="both"/>
      </w:pPr>
      <w:r>
        <w:rPr>
          <w:spacing w:val="-2"/>
        </w:rPr>
        <w:t>除上述采用简化计量方法和购买或源生的已发生信用减值以外的其他金融资产，本公司在每个资产负</w:t>
      </w:r>
      <w:r>
        <w:rPr>
          <w:w w:val="100"/>
        </w:rPr>
        <w:t> </w:t>
      </w:r>
      <w:r>
        <w:rPr/>
        <w:t>债表日评估相关金融工具的信用风险自初始确认后是否已显著增加，并按照下列情形分别计量其损失准</w:t>
      </w:r>
      <w:r>
        <w:rPr>
          <w:spacing w:val="60"/>
        </w:rPr>
        <w:t> </w:t>
      </w:r>
      <w:r>
        <w:rPr>
          <w:spacing w:val="60"/>
        </w:rPr>
      </w:r>
      <w:r>
        <w:rPr/>
        <w:t>备、确认预期信用损失及其变动：</w:t>
      </w:r>
    </w:p>
    <w:p>
      <w:pPr>
        <w:pStyle w:val="Heading5"/>
        <w:spacing w:line="273" w:lineRule="auto"/>
        <w:ind w:right="1135" w:firstLine="422"/>
        <w:jc w:val="both"/>
      </w:pPr>
      <w:r>
        <w:rPr/>
        <w:t>（</w:t>
      </w:r>
      <w:r>
        <w:rPr>
          <w:rFonts w:ascii="宋体" w:hAnsi="宋体" w:cs="宋体" w:eastAsia="宋体" w:hint="default"/>
        </w:rPr>
        <w:t>1</w:t>
      </w:r>
      <w:r>
        <w:rPr/>
        <w:t>）如果该金融工具的信用风险自初始确认后并未显著增加，处于第一阶段，则按照相当于该金融</w:t>
      </w:r>
      <w:r>
        <w:rPr>
          <w:w w:val="100"/>
        </w:rPr>
        <w:t> </w:t>
      </w:r>
      <w:r>
        <w:rPr/>
        <w:t>工具未来 </w:t>
      </w:r>
      <w:r>
        <w:rPr>
          <w:rFonts w:ascii="宋体" w:hAnsi="宋体" w:cs="宋体" w:eastAsia="宋体" w:hint="default"/>
        </w:rPr>
        <w:t>12</w:t>
      </w:r>
      <w:r>
        <w:rPr>
          <w:rFonts w:ascii="宋体" w:hAnsi="宋体" w:cs="宋体" w:eastAsia="宋体" w:hint="default"/>
          <w:spacing w:val="-2"/>
        </w:rPr>
        <w:t> </w:t>
      </w:r>
      <w:r>
        <w:rPr/>
        <w:t>个月内预期信用损失的金额计量其损失准备，并按照账面余额和实际利率计算利息收入。</w:t>
      </w:r>
    </w:p>
    <w:p>
      <w:pPr>
        <w:pStyle w:val="Heading5"/>
        <w:spacing w:line="273" w:lineRule="auto"/>
        <w:ind w:right="1125" w:firstLine="422"/>
        <w:jc w:val="both"/>
      </w:pPr>
      <w:r>
        <w:rPr/>
        <w:t>（</w:t>
      </w:r>
      <w:r>
        <w:rPr>
          <w:rFonts w:ascii="宋体" w:hAnsi="宋体" w:cs="宋体" w:eastAsia="宋体" w:hint="default"/>
        </w:rPr>
        <w:t>2</w:t>
      </w:r>
      <w:r>
        <w:rPr/>
        <w:t>）如果该金融工具的信用风险自初始确认后已显著增加但尚未发生信用减值的，处于第二阶段，</w:t>
      </w:r>
      <w:r>
        <w:rPr>
          <w:w w:val="100"/>
        </w:rPr>
        <w:t> </w:t>
      </w:r>
      <w:r>
        <w:rPr>
          <w:spacing w:val="-2"/>
        </w:rPr>
        <w:t>则按照相当于该金融工具整个存续期内预期信用损失的金额计量其损失准备，并按照账面余额和实际利率</w:t>
      </w:r>
      <w:r>
        <w:rPr>
          <w:spacing w:val="-33"/>
        </w:rPr>
        <w:t> </w:t>
      </w:r>
      <w:r>
        <w:rPr>
          <w:spacing w:val="-33"/>
        </w:rPr>
      </w:r>
      <w:r>
        <w:rPr/>
        <w:t>计算利息收入。</w:t>
      </w:r>
    </w:p>
    <w:p>
      <w:pPr>
        <w:pStyle w:val="Heading5"/>
        <w:spacing w:line="273" w:lineRule="auto"/>
        <w:ind w:right="1135" w:firstLine="422"/>
        <w:jc w:val="both"/>
      </w:pPr>
      <w:r>
        <w:rPr/>
        <w:t>（</w:t>
      </w:r>
      <w:r>
        <w:rPr>
          <w:rFonts w:ascii="宋体" w:hAnsi="宋体" w:cs="宋体" w:eastAsia="宋体" w:hint="default"/>
        </w:rPr>
        <w:t>3</w:t>
      </w:r>
      <w:r>
        <w:rPr/>
        <w:t>）如果该金融工具自初始确认后已经发生信用减值的，处于第三阶段，本公司按照相当于该金融</w:t>
      </w:r>
      <w:r>
        <w:rPr>
          <w:w w:val="100"/>
        </w:rPr>
        <w:t> </w:t>
      </w:r>
      <w:r>
        <w:rPr/>
        <w:t>工具整个存续期内预期信用损失的金额计量其损失准备，并按照摊余成本和实际利率计算利息收入。</w:t>
      </w:r>
    </w:p>
    <w:p>
      <w:pPr>
        <w:pStyle w:val="Heading5"/>
        <w:spacing w:line="273" w:lineRule="auto" w:before="8"/>
        <w:ind w:right="1123" w:firstLine="422"/>
        <w:jc w:val="both"/>
      </w:pPr>
      <w:r>
        <w:rPr>
          <w:spacing w:val="-2"/>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33"/>
        </w:rPr>
        <w:t> </w:t>
      </w:r>
      <w:r>
        <w:rPr>
          <w:spacing w:val="-33"/>
        </w:rPr>
      </w:r>
      <w:r>
        <w:rPr>
          <w:spacing w:val="-2"/>
        </w:rPr>
        <w:t>允价值计量且其变动计入其他综合收益的金融资产，本公司在其他综合收益中确认其信用损失准备，不减</w:t>
      </w:r>
      <w:r>
        <w:rPr>
          <w:spacing w:val="-31"/>
        </w:rPr>
        <w:t> </w:t>
      </w:r>
      <w:r>
        <w:rPr>
          <w:spacing w:val="-31"/>
        </w:rPr>
      </w:r>
      <w:r>
        <w:rPr/>
        <w:t>少该金融资产在资产负债表中列示的账面价值。</w:t>
      </w:r>
    </w:p>
    <w:p>
      <w:pPr>
        <w:pStyle w:val="Heading5"/>
        <w:spacing w:line="273" w:lineRule="auto"/>
        <w:ind w:right="1102" w:firstLine="422"/>
        <w:jc w:val="both"/>
      </w:pPr>
      <w:r>
        <w:rPr>
          <w:spacing w:val="-2"/>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33"/>
        </w:rPr>
        <w:t> </w:t>
      </w:r>
      <w:r>
        <w:rPr>
          <w:spacing w:val="-33"/>
        </w:rPr>
      </w:r>
      <w:r>
        <w:rPr>
          <w:spacing w:val="-2"/>
        </w:rPr>
        <w:t>资产负债表日按照相当于未来</w:t>
      </w:r>
      <w:r>
        <w:rPr>
          <w:rFonts w:ascii="宋体" w:hAnsi="宋体" w:cs="宋体" w:eastAsia="宋体" w:hint="default"/>
          <w:spacing w:val="-2"/>
        </w:rPr>
        <w:t>12</w:t>
      </w:r>
      <w:r>
        <w:rPr>
          <w:spacing w:val="-2"/>
        </w:rPr>
        <w:t>个月内预期信用损失的金额计量该金融工具的损失准备，由此形成的损失</w:t>
      </w:r>
      <w:r>
        <w:rPr>
          <w:spacing w:val="-30"/>
        </w:rPr>
        <w:t> </w:t>
      </w:r>
      <w:r>
        <w:rPr>
          <w:spacing w:val="-30"/>
        </w:rPr>
      </w:r>
      <w:r>
        <w:rPr/>
        <w:t>准备的转回金额作为减值利得计入当期损益。</w:t>
      </w:r>
    </w:p>
    <w:p>
      <w:pPr>
        <w:pStyle w:val="Heading5"/>
        <w:spacing w:line="273" w:lineRule="auto"/>
        <w:ind w:left="575" w:right="0"/>
        <w:jc w:val="left"/>
      </w:pPr>
      <w:r>
        <w:rPr/>
        <w:t>（</w:t>
      </w:r>
      <w:r>
        <w:rPr>
          <w:rFonts w:ascii="宋体" w:hAnsi="宋体" w:cs="宋体" w:eastAsia="宋体" w:hint="default"/>
        </w:rPr>
        <w:t>1</w:t>
      </w:r>
      <w:r>
        <w:rPr/>
        <w:t>）信用风险显著增加</w:t>
      </w:r>
      <w:r>
        <w:rPr>
          <w:spacing w:val="-103"/>
        </w:rPr>
        <w:t> </w:t>
      </w:r>
      <w:r>
        <w:rPr>
          <w:spacing w:val="-103"/>
        </w:rPr>
      </w:r>
      <w:r>
        <w:rPr>
          <w:spacing w:val="-2"/>
        </w:rPr>
        <w:t>本公司利用可获得的合理且有依据的前瞻性信息，通过比较金融工具在资产负债表日发生违约的风险</w:t>
      </w:r>
    </w:p>
    <w:p>
      <w:pPr>
        <w:pStyle w:val="Heading5"/>
        <w:spacing w:line="273" w:lineRule="auto"/>
        <w:ind w:right="1025"/>
        <w:jc w:val="both"/>
      </w:pPr>
      <w:r>
        <w:rPr>
          <w:spacing w:val="-2"/>
        </w:rPr>
        <w:t>与在初始确认日发生违约的风险，以确定金融工具的信用风险自初始确认后是否已显著增加。对于财务担</w:t>
      </w:r>
      <w:r>
        <w:rPr>
          <w:spacing w:val="-33"/>
        </w:rPr>
        <w:t> </w:t>
      </w:r>
      <w:r>
        <w:rPr>
          <w:spacing w:val="-33"/>
        </w:rPr>
      </w:r>
      <w:r>
        <w:rPr>
          <w:spacing w:val="-4"/>
        </w:rPr>
        <w:t>保合同，本公司在应用金融工具减值规定时，将本公司成为做出不可撤销承诺的一方之日作为初始确认日。</w:t>
      </w:r>
    </w:p>
    <w:p>
      <w:pPr>
        <w:pStyle w:val="Heading5"/>
        <w:spacing w:line="273" w:lineRule="auto"/>
        <w:ind w:left="575" w:right="2475"/>
        <w:jc w:val="left"/>
      </w:pPr>
      <w:r>
        <w:rPr>
          <w:spacing w:val="-2"/>
        </w:rPr>
        <w:t>本公司在评估信用风险是否显著增加时会考虑如下因素：</w:t>
      </w:r>
      <w:r>
        <w:rPr>
          <w:spacing w:val="-55"/>
        </w:rPr>
        <w:t> </w:t>
      </w:r>
      <w:r>
        <w:rPr>
          <w:spacing w:val="-55"/>
        </w:rPr>
      </w:r>
      <w:r>
        <w:rPr>
          <w:rFonts w:ascii="宋体" w:hAnsi="宋体" w:cs="宋体" w:eastAsia="宋体" w:hint="default"/>
        </w:rPr>
        <w:t>1</w:t>
      </w:r>
      <w:r>
        <w:rPr/>
        <w:t>）债务人经营成果实际或预期是否发生显著变化；</w:t>
      </w:r>
    </w:p>
    <w:p>
      <w:pPr>
        <w:pStyle w:val="Heading5"/>
        <w:spacing w:line="240" w:lineRule="auto"/>
        <w:ind w:left="575" w:right="0"/>
        <w:jc w:val="left"/>
      </w:pPr>
      <w:r>
        <w:rPr>
          <w:rFonts w:ascii="宋体" w:hAnsi="宋体" w:cs="宋体" w:eastAsia="宋体" w:hint="default"/>
        </w:rPr>
        <w:t>2</w:t>
      </w:r>
      <w:r>
        <w:rPr/>
        <w:t>）债务人所处的监管、经济或技术环境是否发生显著不利变化；</w:t>
      </w:r>
    </w:p>
    <w:p>
      <w:pPr>
        <w:pStyle w:val="Heading5"/>
        <w:spacing w:line="273" w:lineRule="auto" w:before="37"/>
        <w:ind w:right="1135" w:firstLine="422"/>
        <w:jc w:val="both"/>
      </w:pPr>
      <w:r>
        <w:rPr>
          <w:rFonts w:ascii="宋体" w:hAnsi="宋体" w:cs="宋体" w:eastAsia="宋体" w:hint="default"/>
        </w:rPr>
        <w:t>3</w:t>
      </w:r>
      <w:r>
        <w:rPr/>
        <w:t>）作为债务抵押的担保物价值或第三方提供的担保或信用增级质量是否发生显著变化，这些变化预</w:t>
      </w:r>
      <w:r>
        <w:rPr>
          <w:w w:val="100"/>
        </w:rPr>
        <w:t> </w:t>
      </w:r>
      <w:r>
        <w:rPr/>
        <w:t>期将降低债务人按合同规定期限还款的经济动机或者影响违约概率；</w:t>
      </w:r>
    </w:p>
    <w:p>
      <w:pPr>
        <w:pStyle w:val="Heading5"/>
        <w:spacing w:line="240" w:lineRule="auto"/>
        <w:ind w:left="575" w:right="0"/>
        <w:jc w:val="left"/>
      </w:pPr>
      <w:r>
        <w:rPr>
          <w:rFonts w:ascii="宋体" w:hAnsi="宋体" w:cs="宋体" w:eastAsia="宋体" w:hint="default"/>
        </w:rPr>
        <w:t>4</w:t>
      </w:r>
      <w:r>
        <w:rPr/>
        <w:t>）债务人预期表现和还款行为是否发生显著变化；</w:t>
      </w:r>
    </w:p>
    <w:p>
      <w:pPr>
        <w:pStyle w:val="Heading5"/>
        <w:spacing w:line="240" w:lineRule="auto" w:before="37"/>
        <w:ind w:left="575" w:right="0"/>
        <w:jc w:val="left"/>
      </w:pPr>
      <w:r>
        <w:rPr>
          <w:rFonts w:ascii="宋体" w:hAnsi="宋体" w:cs="宋体" w:eastAsia="宋体" w:hint="default"/>
        </w:rPr>
        <w:t>5</w:t>
      </w:r>
      <w:r>
        <w:rPr/>
        <w:t>）本公司对金融工具信用管理方法是否发生变化等。</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right="1125" w:firstLine="422"/>
        <w:jc w:val="both"/>
      </w:pPr>
      <w:r>
        <w:rPr>
          <w:spacing w:val="-2"/>
        </w:rPr>
        <w:t>于资产负债表日，若本公司判断金融工具只具有较低的信用风险，则本公司假定该金融工具的信用风</w:t>
      </w:r>
      <w:r>
        <w:rPr>
          <w:w w:val="100"/>
        </w:rPr>
        <w:t> </w:t>
      </w:r>
      <w:r>
        <w:rPr>
          <w:spacing w:val="-2"/>
        </w:rPr>
        <w:t>险自初始确认后并未显著增加。如果金融工具的违约风险较低，借款人在短期内履行其合同现金流量义务</w:t>
      </w:r>
      <w:r>
        <w:rPr>
          <w:spacing w:val="-33"/>
        </w:rPr>
        <w:t> </w:t>
      </w:r>
      <w:r>
        <w:rPr>
          <w:spacing w:val="-33"/>
        </w:rPr>
      </w:r>
      <w:r>
        <w:rPr>
          <w:spacing w:val="-2"/>
        </w:rPr>
        <w:t>的能力很强，并且即使较长时期内经济形势和经营环境存在不利变化，但未必一定降低借款人履行其合同</w:t>
      </w:r>
      <w:r>
        <w:rPr>
          <w:spacing w:val="-33"/>
        </w:rPr>
        <w:t> </w:t>
      </w:r>
      <w:r>
        <w:rPr>
          <w:spacing w:val="-33"/>
        </w:rPr>
      </w:r>
      <w:r>
        <w:rPr/>
        <w:t>现金流量义务的能力，则该金融工具被视为具有较低的信用风险。</w:t>
      </w:r>
    </w:p>
    <w:p>
      <w:pPr>
        <w:pStyle w:val="Heading5"/>
        <w:spacing w:line="273" w:lineRule="auto"/>
        <w:ind w:left="575" w:right="0"/>
        <w:jc w:val="left"/>
      </w:pPr>
      <w:r>
        <w:rPr/>
        <w:t>（</w:t>
      </w:r>
      <w:r>
        <w:rPr>
          <w:rFonts w:ascii="宋体" w:hAnsi="宋体" w:cs="宋体" w:eastAsia="宋体" w:hint="default"/>
        </w:rPr>
        <w:t>2</w:t>
      </w:r>
      <w:r>
        <w:rPr/>
        <w:t>）已发生信用减值的金融资产</w:t>
      </w:r>
      <w:r>
        <w:rPr>
          <w:spacing w:val="-103"/>
        </w:rPr>
        <w:t> </w:t>
      </w:r>
      <w:r>
        <w:rPr>
          <w:spacing w:val="-103"/>
        </w:rPr>
      </w:r>
      <w:r>
        <w:rPr>
          <w:spacing w:val="-2"/>
        </w:rPr>
        <w:t>当对金融资产预期未来现金流量具有不利影响的一项或多项事件发生时，该金融资产成为已发生信用</w:t>
      </w:r>
    </w:p>
    <w:p>
      <w:pPr>
        <w:pStyle w:val="Heading5"/>
        <w:spacing w:line="273" w:lineRule="auto"/>
        <w:ind w:left="575" w:right="2475" w:hanging="423"/>
        <w:jc w:val="left"/>
      </w:pPr>
      <w:r>
        <w:rPr>
          <w:spacing w:val="-2"/>
        </w:rPr>
        <w:t>减值的金融资产。金融资产已发生信用减值的证据包括下列可观察信息：</w:t>
      </w:r>
      <w:r>
        <w:rPr>
          <w:spacing w:val="-38"/>
        </w:rPr>
        <w:t> </w:t>
      </w:r>
      <w:r>
        <w:rPr>
          <w:spacing w:val="-38"/>
        </w:rPr>
      </w:r>
      <w:r>
        <w:rPr>
          <w:rFonts w:ascii="宋体" w:hAnsi="宋体" w:cs="宋体" w:eastAsia="宋体" w:hint="default"/>
        </w:rPr>
        <w:t>1</w:t>
      </w:r>
      <w:r>
        <w:rPr/>
        <w:t>）发行方或债务人发生重大财务困难；</w:t>
      </w:r>
    </w:p>
    <w:p>
      <w:pPr>
        <w:pStyle w:val="Heading5"/>
        <w:spacing w:line="240" w:lineRule="auto"/>
        <w:ind w:left="575" w:right="0"/>
        <w:jc w:val="left"/>
      </w:pPr>
      <w:r>
        <w:rPr>
          <w:rFonts w:ascii="宋体" w:hAnsi="宋体" w:cs="宋体" w:eastAsia="宋体" w:hint="default"/>
        </w:rPr>
        <w:t>2</w:t>
      </w:r>
      <w:r>
        <w:rPr/>
        <w:t>）债务人违反合同，如偿付利息或本金违约或逾期等；</w:t>
      </w:r>
    </w:p>
    <w:p>
      <w:pPr>
        <w:pStyle w:val="Heading5"/>
        <w:spacing w:line="273" w:lineRule="auto" w:before="37"/>
        <w:ind w:right="1135" w:firstLine="422"/>
        <w:jc w:val="both"/>
      </w:pPr>
      <w:r>
        <w:rPr>
          <w:rFonts w:ascii="宋体" w:hAnsi="宋体" w:cs="宋体" w:eastAsia="宋体" w:hint="default"/>
        </w:rPr>
        <w:t>3</w:t>
      </w:r>
      <w:r>
        <w:rPr/>
        <w:t>）债权人出于与债务人财务困难有关的经济或合同考虑，给予债务人在任何其他情况下都不会做出</w:t>
      </w:r>
      <w:r>
        <w:rPr>
          <w:w w:val="100"/>
        </w:rPr>
        <w:t> </w:t>
      </w:r>
      <w:r>
        <w:rPr/>
        <w:t>的让步；</w:t>
      </w:r>
    </w:p>
    <w:p>
      <w:pPr>
        <w:pStyle w:val="Heading5"/>
        <w:spacing w:line="240" w:lineRule="auto"/>
        <w:ind w:left="575" w:right="0"/>
        <w:jc w:val="left"/>
      </w:pPr>
      <w:r>
        <w:rPr>
          <w:rFonts w:ascii="宋体" w:hAnsi="宋体" w:cs="宋体" w:eastAsia="宋体" w:hint="default"/>
        </w:rPr>
        <w:t>4</w:t>
      </w:r>
      <w:r>
        <w:rPr/>
        <w:t>）债务人很可能破产或进行其他财务重组；</w:t>
      </w:r>
    </w:p>
    <w:p>
      <w:pPr>
        <w:pStyle w:val="Heading5"/>
        <w:spacing w:line="240" w:lineRule="auto" w:before="37"/>
        <w:ind w:left="575" w:right="0"/>
        <w:jc w:val="left"/>
      </w:pPr>
      <w:r>
        <w:rPr>
          <w:rFonts w:ascii="宋体" w:hAnsi="宋体" w:cs="宋体" w:eastAsia="宋体" w:hint="default"/>
        </w:rPr>
        <w:t>5</w:t>
      </w:r>
      <w:r>
        <w:rPr/>
        <w:t>）发行方或债务人财务困难导致该金融资产的活跃市场消失；</w:t>
      </w:r>
    </w:p>
    <w:p>
      <w:pPr>
        <w:pStyle w:val="Heading5"/>
        <w:spacing w:line="273" w:lineRule="auto" w:before="37"/>
        <w:ind w:left="575" w:right="0"/>
        <w:jc w:val="left"/>
      </w:pPr>
      <w:r>
        <w:rPr>
          <w:rFonts w:ascii="宋体" w:hAnsi="宋体" w:cs="宋体" w:eastAsia="宋体" w:hint="default"/>
        </w:rPr>
        <w:t>6</w:t>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Heading5"/>
        <w:spacing w:line="273" w:lineRule="auto"/>
        <w:ind w:left="575" w:right="0"/>
        <w:jc w:val="left"/>
      </w:pPr>
      <w:r>
        <w:rPr/>
        <w:t>（</w:t>
      </w:r>
      <w:r>
        <w:rPr>
          <w:rFonts w:ascii="宋体" w:hAnsi="宋体" w:cs="宋体" w:eastAsia="宋体" w:hint="default"/>
        </w:rPr>
        <w:t>3</w:t>
      </w:r>
      <w:r>
        <w:rPr/>
        <w:t>）预期信用损失的确定</w:t>
      </w:r>
      <w:r>
        <w:rPr>
          <w:spacing w:val="-102"/>
        </w:rPr>
        <w:t> </w:t>
      </w:r>
      <w:r>
        <w:rPr>
          <w:spacing w:val="-102"/>
        </w:rPr>
      </w:r>
      <w:r>
        <w:rPr>
          <w:spacing w:val="-2"/>
        </w:rPr>
        <w:t>本公司基于单项和组合评估金融工具的预期信用损失，在评估预期信用损失时，考虑有关过去事项、</w:t>
      </w:r>
    </w:p>
    <w:p>
      <w:pPr>
        <w:pStyle w:val="Heading5"/>
        <w:spacing w:line="273" w:lineRule="auto"/>
        <w:ind w:left="575" w:right="0" w:hanging="423"/>
        <w:jc w:val="left"/>
      </w:pPr>
      <w:r>
        <w:rPr/>
        <w:t>当前状况以及未来经济状况预测的合理且有依据的信息。</w:t>
      </w:r>
      <w:r>
        <w:rPr>
          <w:w w:val="100"/>
        </w:rPr>
        <w:t> </w:t>
      </w:r>
      <w:r>
        <w:rPr>
          <w:spacing w:val="-5"/>
        </w:rPr>
        <w:t>本公司以共同信用风险特征为依据，将金融工具分为不同组合。本公司采用的共同信用风险特征包括：</w:t>
      </w:r>
    </w:p>
    <w:p>
      <w:pPr>
        <w:pStyle w:val="Heading5"/>
        <w:spacing w:line="273" w:lineRule="auto" w:before="8"/>
        <w:ind w:right="0"/>
        <w:jc w:val="left"/>
      </w:pPr>
      <w:r>
        <w:rPr>
          <w:spacing w:val="-2"/>
        </w:rPr>
        <w:t>金融工具类型、信用风险评级、账龄组合、逾期账龄组合、合同结算周期、债务人所处行业等。相关金融</w:t>
      </w:r>
      <w:r>
        <w:rPr>
          <w:spacing w:val="-29"/>
        </w:rPr>
        <w:t> </w:t>
      </w:r>
      <w:r>
        <w:rPr>
          <w:spacing w:val="-29"/>
        </w:rPr>
      </w:r>
      <w:r>
        <w:rPr/>
        <w:t>工具的单项评估标准和组合信用风险特征详见相关金融工具的会计政策。</w:t>
      </w:r>
    </w:p>
    <w:p>
      <w:pPr>
        <w:pStyle w:val="Heading5"/>
        <w:spacing w:line="273" w:lineRule="auto"/>
        <w:ind w:left="575" w:right="0"/>
        <w:jc w:val="left"/>
      </w:pPr>
      <w:r>
        <w:rPr/>
        <w:t>本公司按照下列方法确定相关金融工具的预期信用损失：</w:t>
      </w:r>
      <w:r>
        <w:rPr>
          <w:w w:val="100"/>
        </w:rPr>
        <w:t> </w:t>
      </w:r>
      <w:r>
        <w:rPr>
          <w:rFonts w:ascii="宋体" w:hAnsi="宋体" w:cs="宋体" w:eastAsia="宋体" w:hint="default"/>
          <w:spacing w:val="-2"/>
        </w:rPr>
        <w:t>1</w:t>
      </w:r>
      <w:r>
        <w:rPr>
          <w:spacing w:val="-2"/>
        </w:rPr>
        <w:t>）对于金融资产，信用损失为本公司应收取的合同现金流量与预期收取的现金流量之间差额的现值。</w:t>
      </w:r>
    </w:p>
    <w:p>
      <w:pPr>
        <w:pStyle w:val="Heading5"/>
        <w:spacing w:line="273" w:lineRule="auto"/>
        <w:ind w:right="1120" w:firstLine="422"/>
        <w:jc w:val="both"/>
      </w:pPr>
      <w:r>
        <w:rPr>
          <w:rFonts w:ascii="宋体" w:hAnsi="宋体" w:cs="宋体" w:eastAsia="宋体" w:hint="default"/>
        </w:rPr>
        <w:t>2</w:t>
      </w:r>
      <w:r>
        <w:rPr/>
        <w:t>）</w:t>
      </w:r>
      <w:r>
        <w:rPr>
          <w:spacing w:val="-16"/>
        </w:rPr>
        <w:t> </w:t>
      </w:r>
      <w:r>
        <w:rPr/>
        <w:t>对于财务担保合同，信用损失为本公司就该合同持有人发生的信用损失向其做出赔付的预计付款</w:t>
      </w:r>
      <w:r>
        <w:rPr>
          <w:w w:val="100"/>
        </w:rPr>
        <w:t> </w:t>
      </w:r>
      <w:r>
        <w:rPr/>
        <w:t>额，减去本公司预期向该合同持有人、债务人或任何其他方收取的金额之间差额的现值。</w:t>
      </w:r>
    </w:p>
    <w:p>
      <w:pPr>
        <w:pStyle w:val="Heading5"/>
        <w:spacing w:line="273" w:lineRule="auto" w:before="8"/>
        <w:ind w:right="1135" w:firstLine="422"/>
        <w:jc w:val="both"/>
      </w:pPr>
      <w:r>
        <w:rPr>
          <w:rFonts w:ascii="宋体" w:hAnsi="宋体" w:cs="宋体" w:eastAsia="宋体" w:hint="default"/>
        </w:rPr>
        <w:t>3</w:t>
      </w:r>
      <w:r>
        <w:rPr/>
        <w:t>）对于资产负债表日已发生信用减值但并非购买或源生已发生信用减值的金融资产，信用损失为该</w:t>
      </w:r>
      <w:r>
        <w:rPr>
          <w:w w:val="100"/>
        </w:rPr>
        <w:t> </w:t>
      </w:r>
      <w:r>
        <w:rPr/>
        <w:t>金融资产账面余额与按原实际利率折现的估计未来现金流量的现值之间的差额。</w:t>
      </w:r>
    </w:p>
    <w:p>
      <w:pPr>
        <w:pStyle w:val="Heading5"/>
        <w:spacing w:line="273" w:lineRule="auto"/>
        <w:ind w:right="1124" w:firstLine="422"/>
        <w:jc w:val="both"/>
      </w:pPr>
      <w:r>
        <w:rPr>
          <w:spacing w:val="-2"/>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31"/>
        </w:rPr>
        <w:t> </w:t>
      </w:r>
      <w:r>
        <w:rPr>
          <w:spacing w:val="-31"/>
        </w:rPr>
      </w:r>
      <w:r>
        <w:rPr/>
        <w:t>去事项、当前状况以及未来经济状况预测的合理且有依据的信息。</w:t>
      </w:r>
    </w:p>
    <w:p>
      <w:pPr>
        <w:pStyle w:val="Heading5"/>
        <w:spacing w:line="273" w:lineRule="auto" w:before="8"/>
        <w:ind w:left="575" w:right="0"/>
        <w:jc w:val="left"/>
      </w:pPr>
      <w:r>
        <w:rPr/>
        <w:t>（</w:t>
      </w:r>
      <w:r>
        <w:rPr>
          <w:rFonts w:ascii="宋体" w:hAnsi="宋体" w:cs="宋体" w:eastAsia="宋体" w:hint="default"/>
        </w:rPr>
        <w:t>4</w:t>
      </w:r>
      <w:r>
        <w:rPr/>
        <w:t>）减记金融资产</w:t>
      </w:r>
      <w:r>
        <w:rPr>
          <w:spacing w:val="-100"/>
        </w:rPr>
        <w:t> </w:t>
      </w:r>
      <w:r>
        <w:rPr>
          <w:spacing w:val="-100"/>
        </w:rPr>
      </w:r>
      <w:r>
        <w:rPr>
          <w:spacing w:val="-2"/>
        </w:rPr>
        <w:t>当本公司不再合理预期金融资产合同现金流量能够全部或部分收回的，直接减记该金融资产的账面余</w:t>
      </w:r>
    </w:p>
    <w:p>
      <w:pPr>
        <w:pStyle w:val="Heading5"/>
        <w:spacing w:line="240" w:lineRule="auto"/>
        <w:ind w:right="0"/>
        <w:jc w:val="left"/>
      </w:pPr>
      <w:r>
        <w:rPr/>
        <w:t>额。这种减记构成相关金融资产的终止确认。</w:t>
      </w:r>
    </w:p>
    <w:p>
      <w:pPr>
        <w:tabs>
          <w:tab w:pos="575" w:val="left" w:leader="none"/>
        </w:tabs>
        <w:spacing w:line="259" w:lineRule="auto" w:before="37"/>
        <w:ind w:left="575" w:right="1142" w:hanging="423"/>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spacing w:val="-102"/>
          <w:sz w:val="21"/>
          <w:szCs w:val="21"/>
        </w:rPr>
        <w:t> </w:t>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Heading5"/>
        <w:spacing w:line="240" w:lineRule="auto" w:before="20"/>
        <w:ind w:right="0"/>
        <w:jc w:val="left"/>
      </w:pPr>
      <w:r>
        <w:rPr/>
        <w:t>抵销后的净额在资产负债表内列示：</w:t>
      </w:r>
    </w:p>
    <w:p>
      <w:pPr>
        <w:pStyle w:val="Heading5"/>
        <w:spacing w:line="240" w:lineRule="auto" w:before="37"/>
        <w:ind w:left="575" w:right="0"/>
        <w:jc w:val="left"/>
      </w:pPr>
      <w:r>
        <w:rPr/>
        <w:t>（</w:t>
      </w:r>
      <w:r>
        <w:rPr>
          <w:rFonts w:ascii="宋体" w:hAnsi="宋体" w:cs="宋体" w:eastAsia="宋体" w:hint="default"/>
        </w:rPr>
        <w:t>1</w:t>
      </w:r>
      <w:r>
        <w:rPr/>
        <w:t>）本公司具有抵销已确认金额的法定权利，且该种法定权利是当前可执行的；</w:t>
      </w:r>
    </w:p>
    <w:p>
      <w:pPr>
        <w:pStyle w:val="Heading5"/>
        <w:spacing w:line="240" w:lineRule="auto" w:before="37"/>
        <w:ind w:left="575" w:right="0"/>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11、应收票据" w:id="178"/>
      <w:bookmarkEnd w:id="178"/>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4"/>
          <w:szCs w:val="24"/>
        </w:rPr>
      </w:pPr>
    </w:p>
    <w:p>
      <w:pPr>
        <w:pStyle w:val="Heading5"/>
        <w:spacing w:line="273" w:lineRule="auto" w:before="0"/>
        <w:ind w:left="575" w:right="0"/>
        <w:jc w:val="left"/>
      </w:pPr>
      <w:r>
        <w:rPr/>
        <w:t>本公司对应收票据的预期信用损失的确定方法及会计处理方法详见金融工具减值。</w:t>
      </w:r>
      <w:r>
        <w:rPr>
          <w:spacing w:val="-102"/>
        </w:rPr>
        <w:t> </w:t>
      </w:r>
      <w:r>
        <w:rPr>
          <w:spacing w:val="-102"/>
        </w:rPr>
      </w:r>
      <w:r>
        <w:rPr>
          <w:spacing w:val="-2"/>
        </w:rPr>
        <w:t>当在单项工具层面无法以合理成本评估预期信用损失的充分证据时，本公司参考历史信用损失经验，</w:t>
      </w:r>
    </w:p>
    <w:p>
      <w:pPr>
        <w:pStyle w:val="Heading5"/>
        <w:tabs>
          <w:tab w:pos="6457" w:val="left" w:leader="none"/>
        </w:tabs>
        <w:spacing w:line="240" w:lineRule="auto"/>
        <w:ind w:right="0"/>
        <w:jc w:val="left"/>
      </w:pPr>
      <w:r>
        <w:rPr>
          <w:spacing w:val="-2"/>
        </w:rPr>
        <w:t>结合当前状况以及对未来经济状况的判断，依据信用风险特征将</w:t>
        <w:tab/>
      </w:r>
      <w:r>
        <w:rPr>
          <w:spacing w:val="-3"/>
        </w:rPr>
        <w:t>应收票据划分为若干组合，在组合基</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40" w:lineRule="auto" w:before="36"/>
        <w:ind w:right="0"/>
        <w:jc w:val="left"/>
      </w:pPr>
      <w:r>
        <w:rPr/>
        <w:t>础上计算预期信用损失。确定组合的依据如下：</w:t>
      </w:r>
    </w:p>
    <w:p>
      <w:pPr>
        <w:spacing w:line="240" w:lineRule="auto" w:before="9"/>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522"/>
        <w:gridCol w:w="5071"/>
        <w:gridCol w:w="3069"/>
      </w:tblGrid>
      <w:tr>
        <w:trPr>
          <w:trHeight w:val="331" w:hRule="exact"/>
        </w:trPr>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3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65"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2"/>
                <w:sz w:val="18"/>
                <w:szCs w:val="18"/>
              </w:rPr>
              <w:t>银行承兑票据组合</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15"/>
              <w:jc w:val="center"/>
              <w:rPr>
                <w:rFonts w:ascii="宋体" w:hAnsi="宋体" w:cs="宋体" w:eastAsia="宋体" w:hint="default"/>
                <w:sz w:val="18"/>
                <w:szCs w:val="18"/>
              </w:rPr>
            </w:pP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层</w:t>
            </w:r>
            <w:r>
              <w:rPr>
                <w:rFonts w:ascii="宋体" w:hAnsi="宋体" w:cs="宋体" w:eastAsia="宋体" w:hint="default"/>
                <w:spacing w:val="-5"/>
                <w:w w:val="101"/>
                <w:sz w:val="18"/>
                <w:szCs w:val="18"/>
              </w:rPr>
              <w:t>评</w:t>
            </w:r>
            <w:r>
              <w:rPr>
                <w:rFonts w:ascii="宋体" w:hAnsi="宋体" w:cs="宋体" w:eastAsia="宋体" w:hint="default"/>
                <w:w w:val="101"/>
                <w:sz w:val="18"/>
                <w:szCs w:val="18"/>
              </w:rPr>
              <w:t>价</w:t>
            </w:r>
            <w:r>
              <w:rPr>
                <w:rFonts w:ascii="宋体" w:hAnsi="宋体" w:cs="宋体" w:eastAsia="宋体" w:hint="default"/>
                <w:spacing w:val="-5"/>
                <w:w w:val="101"/>
                <w:sz w:val="18"/>
                <w:szCs w:val="18"/>
              </w:rPr>
              <w:t>该</w:t>
            </w:r>
            <w:r>
              <w:rPr>
                <w:rFonts w:ascii="宋体" w:hAnsi="宋体" w:cs="宋体" w:eastAsia="宋体" w:hint="default"/>
                <w:w w:val="101"/>
                <w:sz w:val="18"/>
                <w:szCs w:val="18"/>
              </w:rPr>
              <w:t>类</w:t>
            </w:r>
            <w:r>
              <w:rPr>
                <w:rFonts w:ascii="宋体" w:hAnsi="宋体" w:cs="宋体" w:eastAsia="宋体" w:hint="default"/>
                <w:spacing w:val="-5"/>
                <w:w w:val="101"/>
                <w:sz w:val="18"/>
                <w:szCs w:val="18"/>
              </w:rPr>
              <w:t>款</w:t>
            </w:r>
            <w:r>
              <w:rPr>
                <w:rFonts w:ascii="宋体" w:hAnsi="宋体" w:cs="宋体" w:eastAsia="宋体" w:hint="default"/>
                <w:w w:val="101"/>
                <w:sz w:val="18"/>
                <w:szCs w:val="18"/>
              </w:rPr>
              <w:t>项</w:t>
            </w:r>
            <w:r>
              <w:rPr>
                <w:rFonts w:ascii="宋体" w:hAnsi="宋体" w:cs="宋体" w:eastAsia="宋体" w:hint="default"/>
                <w:spacing w:val="-5"/>
                <w:w w:val="101"/>
                <w:sz w:val="18"/>
                <w:szCs w:val="18"/>
              </w:rPr>
              <w:t>具</w:t>
            </w:r>
            <w:r>
              <w:rPr>
                <w:rFonts w:ascii="宋体" w:hAnsi="宋体" w:cs="宋体" w:eastAsia="宋体" w:hint="default"/>
                <w:w w:val="101"/>
                <w:sz w:val="18"/>
                <w:szCs w:val="18"/>
              </w:rPr>
              <w:t>有</w:t>
            </w:r>
            <w:r>
              <w:rPr>
                <w:rFonts w:ascii="宋体" w:hAnsi="宋体" w:cs="宋体" w:eastAsia="宋体" w:hint="default"/>
                <w:spacing w:val="-5"/>
                <w:w w:val="101"/>
                <w:sz w:val="18"/>
                <w:szCs w:val="18"/>
              </w:rPr>
              <w:t>较</w:t>
            </w:r>
            <w:r>
              <w:rPr>
                <w:rFonts w:ascii="宋体" w:hAnsi="宋体" w:cs="宋体" w:eastAsia="宋体" w:hint="default"/>
                <w:w w:val="101"/>
                <w:sz w:val="18"/>
                <w:szCs w:val="18"/>
              </w:rPr>
              <w:t>低</w:t>
            </w:r>
            <w:r>
              <w:rPr>
                <w:rFonts w:ascii="宋体" w:hAnsi="宋体" w:cs="宋体" w:eastAsia="宋体" w:hint="default"/>
                <w:spacing w:val="-5"/>
                <w:w w:val="101"/>
                <w:sz w:val="18"/>
                <w:szCs w:val="18"/>
              </w:rPr>
              <w:t>的</w:t>
            </w: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风</w:t>
            </w:r>
            <w:r>
              <w:rPr>
                <w:rFonts w:ascii="宋体" w:hAnsi="宋体" w:cs="宋体" w:eastAsia="宋体" w:hint="default"/>
                <w:spacing w:val="-5"/>
                <w:w w:val="101"/>
                <w:sz w:val="18"/>
                <w:szCs w:val="18"/>
              </w:rPr>
              <w:t>险</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一</w:t>
            </w:r>
            <w:r>
              <w:rPr>
                <w:rFonts w:ascii="宋体" w:hAnsi="宋体" w:cs="宋体" w:eastAsia="宋体" w:hint="default"/>
                <w:w w:val="101"/>
                <w:sz w:val="18"/>
                <w:szCs w:val="18"/>
              </w:rPr>
              <w:t>般</w:t>
            </w:r>
            <w:r>
              <w:rPr>
                <w:rFonts w:ascii="宋体" w:hAnsi="宋体" w:cs="宋体" w:eastAsia="宋体" w:hint="default"/>
                <w:spacing w:val="-5"/>
                <w:w w:val="101"/>
                <w:sz w:val="18"/>
                <w:szCs w:val="18"/>
              </w:rPr>
              <w:t>不</w:t>
            </w:r>
            <w:r>
              <w:rPr>
                <w:rFonts w:ascii="宋体" w:hAnsi="宋体" w:cs="宋体" w:eastAsia="宋体" w:hint="default"/>
                <w:w w:val="101"/>
                <w:sz w:val="18"/>
                <w:szCs w:val="18"/>
              </w:rPr>
              <w:t>计</w:t>
            </w:r>
            <w:r>
              <w:rPr>
                <w:rFonts w:ascii="宋体" w:hAnsi="宋体" w:cs="宋体" w:eastAsia="宋体" w:hint="default"/>
                <w:spacing w:val="-5"/>
                <w:w w:val="101"/>
                <w:sz w:val="18"/>
                <w:szCs w:val="18"/>
              </w:rPr>
              <w:t>提</w:t>
            </w:r>
            <w:r>
              <w:rPr>
                <w:rFonts w:ascii="宋体" w:hAnsi="宋体" w:cs="宋体" w:eastAsia="宋体" w:hint="default"/>
                <w:w w:val="101"/>
                <w:sz w:val="18"/>
                <w:szCs w:val="18"/>
              </w:rPr>
              <w:t>减</w:t>
            </w:r>
            <w:r>
              <w:rPr>
                <w:rFonts w:ascii="宋体" w:hAnsi="宋体" w:cs="宋体" w:eastAsia="宋体" w:hint="default"/>
                <w:spacing w:val="-5"/>
                <w:w w:val="101"/>
                <w:sz w:val="18"/>
                <w:szCs w:val="18"/>
              </w:rPr>
              <w:t>值准</w:t>
            </w:r>
            <w:r>
              <w:rPr>
                <w:rFonts w:ascii="宋体" w:hAnsi="宋体" w:cs="宋体" w:eastAsia="宋体" w:hint="default"/>
                <w:w w:val="101"/>
                <w:sz w:val="18"/>
                <w:szCs w:val="18"/>
              </w:rPr>
              <w:t>备</w:t>
            </w:r>
            <w:r>
              <w:rPr>
                <w:rFonts w:ascii="宋体" w:hAnsi="宋体" w:cs="宋体" w:eastAsia="宋体" w:hint="default"/>
                <w:spacing w:val="-72"/>
                <w:w w:val="101"/>
                <w:sz w:val="18"/>
                <w:szCs w:val="18"/>
              </w:rPr>
              <w:t>。</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20"/>
              <w:ind w:left="4" w:right="-5"/>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通过违约风险敞口和整个存续期预计</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信用损失率，该组合预期信用损失率为</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Times New Roman" w:hAnsi="Times New Roman" w:cs="Times New Roman" w:eastAsia="Times New Roman" w:hint="default"/>
                <w:sz w:val="18"/>
                <w:szCs w:val="18"/>
              </w:rPr>
              <w:t>0%</w:t>
            </w:r>
          </w:p>
        </w:tc>
      </w:tr>
      <w:tr>
        <w:trPr>
          <w:trHeight w:val="970"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pacing w:val="-2"/>
                <w:sz w:val="18"/>
                <w:szCs w:val="18"/>
              </w:rPr>
              <w:t>商业承兑汇票组合</w:t>
            </w:r>
          </w:p>
        </w:tc>
        <w:tc>
          <w:tcPr>
            <w:tcW w:w="5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3"/>
              <w:jc w:val="both"/>
              <w:rPr>
                <w:rFonts w:ascii="宋体" w:hAnsi="宋体" w:cs="宋体" w:eastAsia="宋体" w:hint="default"/>
                <w:sz w:val="18"/>
                <w:szCs w:val="18"/>
              </w:rPr>
            </w:pPr>
            <w:r>
              <w:rPr>
                <w:rFonts w:ascii="宋体" w:hAnsi="宋体" w:cs="宋体" w:eastAsia="宋体" w:hint="default"/>
                <w:spacing w:val="-3"/>
                <w:sz w:val="18"/>
                <w:szCs w:val="18"/>
              </w:rPr>
              <w:t>管理层评价该类款项为高信用企业发出商业承兑汇票，在汇票到</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期日内一般不计提减值准备。对于逾期的汇票的参照应收收账款</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计提方法计提减值准备。</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pacing w:val="6"/>
                <w:sz w:val="18"/>
                <w:szCs w:val="18"/>
              </w:rPr>
              <w:t>通过违约风险敞口和整个存续期预计</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信用损失率，计算预期信用损失</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2、应收账款" w:id="179"/>
      <w:bookmarkEnd w:id="179"/>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5"/>
        <w:rPr>
          <w:rFonts w:ascii="宋体" w:hAnsi="宋体" w:cs="宋体" w:eastAsia="宋体" w:hint="default"/>
          <w:b/>
          <w:bCs/>
          <w:sz w:val="24"/>
          <w:szCs w:val="24"/>
        </w:rPr>
      </w:pPr>
    </w:p>
    <w:p>
      <w:pPr>
        <w:pStyle w:val="Heading5"/>
        <w:spacing w:line="273" w:lineRule="auto" w:before="0"/>
        <w:ind w:left="575" w:right="0"/>
        <w:jc w:val="left"/>
      </w:pPr>
      <w:r>
        <w:rPr/>
        <w:t>本公司对应收账款的预期信用损失的确定方法及会计处理方法详见金融工具减值。</w:t>
      </w:r>
      <w:r>
        <w:rPr>
          <w:spacing w:val="-102"/>
        </w:rPr>
        <w:t> </w:t>
      </w:r>
      <w:r>
        <w:rPr>
          <w:spacing w:val="-102"/>
        </w:rPr>
      </w:r>
      <w:r>
        <w:rPr>
          <w:spacing w:val="-2"/>
        </w:rPr>
        <w:t>当在单项工具层面无法以合理成本评估预期信用损失的充分证据时，本公司参考历史信用损失经验，</w:t>
      </w:r>
    </w:p>
    <w:p>
      <w:pPr>
        <w:pStyle w:val="Heading5"/>
        <w:spacing w:line="273" w:lineRule="auto"/>
        <w:ind w:right="0"/>
        <w:jc w:val="left"/>
      </w:pPr>
      <w:r>
        <w:rPr>
          <w:spacing w:val="-2"/>
        </w:rPr>
        <w:t>结合当前状况以及对未来经济状况的判断，依据信用风险特征将应收账款划分为若干组合，在组合基础上</w:t>
      </w:r>
      <w:r>
        <w:rPr>
          <w:spacing w:val="-30"/>
        </w:rPr>
        <w:t> </w:t>
      </w:r>
      <w:r>
        <w:rPr>
          <w:spacing w:val="-30"/>
        </w:rPr>
      </w:r>
      <w:r>
        <w:rPr/>
        <w:t>计算预期信用损失。确定组合的依据如下：</w:t>
      </w:r>
    </w:p>
    <w:p>
      <w:pPr>
        <w:spacing w:line="240" w:lineRule="auto" w:before="1"/>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522"/>
        <w:gridCol w:w="4081"/>
        <w:gridCol w:w="4058"/>
      </w:tblGrid>
      <w:tr>
        <w:trPr>
          <w:trHeight w:val="331" w:hRule="exact"/>
        </w:trPr>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39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0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3"/>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40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62"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4" w:right="1"/>
              <w:jc w:val="left"/>
              <w:rPr>
                <w:rFonts w:ascii="宋体" w:hAnsi="宋体" w:cs="宋体" w:eastAsia="宋体" w:hint="default"/>
                <w:sz w:val="18"/>
                <w:szCs w:val="18"/>
              </w:rPr>
            </w:pPr>
            <w:r>
              <w:rPr>
                <w:rFonts w:ascii="宋体" w:hAnsi="宋体" w:cs="宋体" w:eastAsia="宋体" w:hint="default"/>
                <w:sz w:val="18"/>
                <w:szCs w:val="18"/>
              </w:rPr>
              <w:t>通过违约风险敞口和整个存续期预计信用损失率，</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该组合预期信用损失率为</w:t>
            </w:r>
            <w:r>
              <w:rPr>
                <w:rFonts w:ascii="宋体" w:hAnsi="宋体" w:cs="宋体" w:eastAsia="宋体" w:hint="default"/>
                <w:sz w:val="18"/>
                <w:szCs w:val="18"/>
              </w:rPr>
              <w:t>0%</w:t>
            </w:r>
          </w:p>
        </w:tc>
      </w:tr>
      <w:tr>
        <w:trPr>
          <w:trHeight w:val="65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0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按账龄与整个存续期预期信用损失率对照表，计算</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预期信用损失</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13、其他应收款" w:id="180"/>
      <w:bookmarkEnd w:id="180"/>
      <w:r>
        <w:rPr>
          <w:b w:val="0"/>
          <w:bCs w:val="0"/>
        </w:rPr>
      </w:r>
      <w:r>
        <w:rPr>
          <w:rFonts w:ascii="Times New Roman" w:hAnsi="Times New Roman" w:cs="Times New Roman" w:eastAsia="Times New Roman" w:hint="default"/>
        </w:rPr>
        <w:t>13</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其他应收款的预期信用损失的确定方法及会计处理方法</w:t>
      </w:r>
    </w:p>
    <w:p>
      <w:pPr>
        <w:pStyle w:val="Heading5"/>
        <w:spacing w:line="273" w:lineRule="auto" w:before="89"/>
        <w:ind w:left="575" w:right="0"/>
        <w:jc w:val="left"/>
      </w:pPr>
      <w:r>
        <w:rPr/>
        <w:t>本公司对其他应收款的预期信用损失的确定方法及会计处理方法详见金融工具减值。</w:t>
      </w:r>
      <w:r>
        <w:rPr>
          <w:w w:val="100"/>
        </w:rPr>
        <w:t> </w:t>
      </w:r>
      <w:r>
        <w:rPr>
          <w:spacing w:val="-2"/>
        </w:rPr>
        <w:t>当在单项工具层面无法以合理成本评估预期信用损失的充分证据时，本公司参考历史信用损失经验，</w:t>
      </w:r>
    </w:p>
    <w:p>
      <w:pPr>
        <w:pStyle w:val="Heading5"/>
        <w:spacing w:line="273" w:lineRule="auto"/>
        <w:ind w:right="0"/>
        <w:jc w:val="left"/>
      </w:pPr>
      <w:r>
        <w:rPr>
          <w:spacing w:val="-2"/>
        </w:rPr>
        <w:t>结合当前状况以及对未来经济状况的判断，依据信用风险特征将其他应收款划分为若干组合，在组合基础</w:t>
      </w:r>
      <w:r>
        <w:rPr>
          <w:spacing w:val="-33"/>
        </w:rPr>
        <w:t> </w:t>
      </w:r>
      <w:r>
        <w:rPr>
          <w:spacing w:val="-33"/>
        </w:rPr>
      </w:r>
      <w:r>
        <w:rPr/>
        <w:t>上计算预期信用损失。确定组合的依据如下：</w:t>
      </w:r>
    </w:p>
    <w:p>
      <w:pPr>
        <w:spacing w:line="240" w:lineRule="auto" w:before="6"/>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522"/>
        <w:gridCol w:w="3256"/>
        <w:gridCol w:w="4884"/>
      </w:tblGrid>
      <w:tr>
        <w:trPr>
          <w:trHeight w:val="317" w:hRule="exact"/>
        </w:trPr>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93"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993"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4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67" w:hRule="exact"/>
        </w:trPr>
        <w:tc>
          <w:tcPr>
            <w:tcW w:w="15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32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4884" w:type="dxa"/>
            <w:tcBorders>
              <w:top w:val="single" w:sz="8" w:space="0" w:color="000000"/>
              <w:left w:val="single" w:sz="4" w:space="0" w:color="000000"/>
              <w:bottom w:val="single" w:sz="4" w:space="0" w:color="000000"/>
              <w:right w:val="single" w:sz="4" w:space="0" w:color="000000"/>
            </w:tcBorders>
          </w:tcPr>
          <w:p>
            <w:pPr>
              <w:pStyle w:val="TableParagraph"/>
              <w:spacing w:line="300" w:lineRule="auto" w:before="29"/>
              <w:ind w:left="4"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通过违约风险敞口和未来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个月内或整个存续期预计信用损失</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率，该组合预期信用损失率为</w:t>
            </w:r>
            <w:r>
              <w:rPr>
                <w:rFonts w:ascii="Times New Roman" w:hAnsi="Times New Roman" w:cs="Times New Roman" w:eastAsia="Times New Roman" w:hint="default"/>
                <w:spacing w:val="-3"/>
                <w:sz w:val="18"/>
                <w:szCs w:val="18"/>
              </w:rPr>
              <w:t>0%</w:t>
            </w:r>
            <w:r>
              <w:rPr>
                <w:rFonts w:ascii="Times New Roman" w:hAnsi="Times New Roman" w:cs="Times New Roman" w:eastAsia="Times New Roman" w:hint="default"/>
                <w:sz w:val="18"/>
                <w:szCs w:val="18"/>
              </w:rPr>
            </w:r>
          </w:p>
        </w:tc>
      </w:tr>
      <w:tr>
        <w:trPr>
          <w:trHeight w:val="653"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押金、备用金及职工暂借款、保证金</w:t>
            </w:r>
          </w:p>
        </w:tc>
        <w:tc>
          <w:tcPr>
            <w:tcW w:w="48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通过违约风险敞口和未来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个月内或整个存续期预计信用损失</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率，该组合预期信用损失率为</w:t>
            </w:r>
            <w:r>
              <w:rPr>
                <w:rFonts w:ascii="Times New Roman" w:hAnsi="Times New Roman" w:cs="Times New Roman" w:eastAsia="Times New Roman" w:hint="default"/>
                <w:spacing w:val="-3"/>
                <w:sz w:val="18"/>
                <w:szCs w:val="18"/>
              </w:rPr>
              <w:t>0%</w:t>
            </w:r>
            <w:r>
              <w:rPr>
                <w:rFonts w:ascii="Times New Roman" w:hAnsi="Times New Roman" w:cs="Times New Roman" w:eastAsia="Times New Roman" w:hint="default"/>
                <w:sz w:val="18"/>
                <w:szCs w:val="18"/>
              </w:rPr>
            </w:r>
          </w:p>
        </w:tc>
      </w:tr>
      <w:tr>
        <w:trPr>
          <w:trHeight w:val="658"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组合三</w:t>
            </w:r>
          </w:p>
        </w:tc>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除以上组合一、二外的其他各种应收及暂</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付款项</w:t>
            </w:r>
          </w:p>
        </w:tc>
        <w:tc>
          <w:tcPr>
            <w:tcW w:w="48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通过违约风险敞口和未来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个月内或整个存续期预计信用损失</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率，计算预期信用损失</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14、存货" w:id="181"/>
      <w:bookmarkEnd w:id="181"/>
      <w:r>
        <w:rPr>
          <w:b w:val="0"/>
          <w:bCs w:val="0"/>
        </w:rPr>
      </w:r>
      <w:r>
        <w:rPr>
          <w:rFonts w:ascii="Times New Roman" w:hAnsi="Times New Roman" w:cs="Times New Roman" w:eastAsia="Times New Roman" w:hint="default"/>
        </w:rPr>
        <w:t>14</w:t>
      </w:r>
      <w:r>
        <w:rPr/>
        <w:t>、存货</w:t>
      </w:r>
      <w:r>
        <w:rPr>
          <w:b w:val="0"/>
          <w:bCs w:val="0"/>
        </w:rPr>
      </w:r>
    </w:p>
    <w:p>
      <w:pPr>
        <w:spacing w:line="240" w:lineRule="auto" w:before="5"/>
        <w:rPr>
          <w:rFonts w:ascii="宋体" w:hAnsi="宋体" w:cs="宋体" w:eastAsia="宋体" w:hint="default"/>
          <w:b/>
          <w:bCs/>
          <w:sz w:val="24"/>
          <w:szCs w:val="24"/>
        </w:rPr>
      </w:pPr>
    </w:p>
    <w:p>
      <w:pPr>
        <w:pStyle w:val="Heading5"/>
        <w:tabs>
          <w:tab w:pos="575" w:val="left" w:leader="none"/>
        </w:tabs>
        <w:spacing w:line="259" w:lineRule="auto" w:before="0"/>
        <w:ind w:left="575" w:right="1142"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存货是指本公司在日常活动中持有以备出售的产成品或商品、处在生产过程中的在产品、在生产过程</w:t>
      </w:r>
    </w:p>
    <w:p>
      <w:pPr>
        <w:pStyle w:val="Heading5"/>
        <w:spacing w:line="240" w:lineRule="auto" w:before="20"/>
        <w:ind w:right="0"/>
        <w:jc w:val="left"/>
      </w:pPr>
      <w:r>
        <w:rPr/>
        <w:t>或提供劳务过程中耗用的材料和物料等。主要包括原材料、库存商品、低值易耗品、发出商品等。</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tabs>
          <w:tab w:pos="575" w:val="left" w:leader="none"/>
        </w:tabs>
        <w:spacing w:line="259" w:lineRule="auto" w:before="36"/>
        <w:ind w:left="575" w:right="1142"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存货的计价方法</w:t>
      </w:r>
      <w:r>
        <w:rPr>
          <w:rFonts w:ascii="宋体" w:hAnsi="宋体" w:cs="宋体" w:eastAsia="宋体" w:hint="default"/>
          <w:b/>
          <w:bCs/>
          <w:spacing w:val="-104"/>
        </w:rPr>
        <w:t> </w:t>
      </w:r>
      <w:r>
        <w:rPr>
          <w:spacing w:val="-2"/>
        </w:rPr>
        <w:t>存货在取得时，按成本进行初始计量，包括采购成本、加工成本和其他成本。存货发出时按个别计价</w:t>
      </w:r>
    </w:p>
    <w:p>
      <w:pPr>
        <w:pStyle w:val="Heading5"/>
        <w:spacing w:line="240" w:lineRule="auto" w:before="20"/>
        <w:ind w:right="0"/>
        <w:jc w:val="left"/>
      </w:pPr>
      <w:r>
        <w:rPr/>
        <w:t>法确定发出存货的实际成本。</w:t>
      </w:r>
    </w:p>
    <w:p>
      <w:pPr>
        <w:tabs>
          <w:tab w:pos="575" w:val="left" w:leader="none"/>
        </w:tabs>
        <w:spacing w:line="259" w:lineRule="auto" w:before="37"/>
        <w:ind w:left="575" w:right="1123"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期末对存货进行全面清查后，按存货的成本与可变现净值孰低提取或调整存货跌价准备。产成品、库</w:t>
      </w:r>
    </w:p>
    <w:p>
      <w:pPr>
        <w:pStyle w:val="Heading5"/>
        <w:spacing w:line="273" w:lineRule="auto" w:before="20"/>
        <w:ind w:right="1125"/>
        <w:jc w:val="both"/>
      </w:pPr>
      <w:r>
        <w:rPr>
          <w:spacing w:val="-2"/>
        </w:rPr>
        <w:t>存商品和用于出售的材料等直接用于出售的商品存货，在正常生产经营过程中，以该存货的估计售价减去</w:t>
      </w:r>
      <w:r>
        <w:rPr>
          <w:spacing w:val="-33"/>
        </w:rPr>
        <w:t> </w:t>
      </w:r>
      <w:r>
        <w:rPr>
          <w:spacing w:val="-33"/>
        </w:rPr>
      </w:r>
      <w:r>
        <w:rPr>
          <w:spacing w:val="-2"/>
        </w:rPr>
        <w:t>估计的销售费用和相关税费后的金额，确定其可变现净值；需要经过加工的材料存货，在正常生产经营过</w:t>
      </w:r>
      <w:r>
        <w:rPr>
          <w:spacing w:val="-33"/>
        </w:rPr>
        <w:t> </w:t>
      </w:r>
      <w:r>
        <w:rPr>
          <w:spacing w:val="-33"/>
        </w:rPr>
      </w:r>
      <w:r>
        <w:rPr>
          <w:spacing w:val="-2"/>
        </w:rPr>
        <w:t>程中，以所生产的产成品的估计售价减去至完工时估计将要发生的成本、估计的销售费用和相关税费后的</w:t>
      </w:r>
      <w:r>
        <w:rPr>
          <w:spacing w:val="-33"/>
        </w:rPr>
        <w:t> </w:t>
      </w:r>
      <w:r>
        <w:rPr>
          <w:spacing w:val="-33"/>
        </w:rPr>
      </w:r>
      <w:r>
        <w:rPr>
          <w:spacing w:val="-2"/>
        </w:rPr>
        <w:t>金额，确定其可变现净值；为执行销售合同或者劳务合同而持有的存货，其可变现净值以合同价格为基础</w:t>
      </w:r>
      <w:r>
        <w:rPr>
          <w:spacing w:val="-33"/>
        </w:rPr>
        <w:t> </w:t>
      </w:r>
      <w:r>
        <w:rPr>
          <w:spacing w:val="-33"/>
        </w:rPr>
      </w:r>
      <w:r>
        <w:rPr>
          <w:spacing w:val="-2"/>
        </w:rPr>
        <w:t>计算，若持有存货的数量多于销售合同订购数量的，超出部分的存货的可变现净值以一般销售价格为基础</w:t>
      </w:r>
      <w:r>
        <w:rPr>
          <w:spacing w:val="-33"/>
        </w:rPr>
        <w:t> </w:t>
      </w:r>
      <w:r>
        <w:rPr>
          <w:spacing w:val="-33"/>
        </w:rPr>
      </w:r>
      <w:r>
        <w:rPr/>
        <w:t>计算。</w:t>
      </w:r>
    </w:p>
    <w:p>
      <w:pPr>
        <w:pStyle w:val="Heading5"/>
        <w:spacing w:line="273" w:lineRule="auto"/>
        <w:ind w:right="1119" w:firstLine="422"/>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33"/>
        </w:rPr>
        <w:t> </w:t>
      </w:r>
      <w:r>
        <w:rPr>
          <w:spacing w:val="-33"/>
        </w:rPr>
      </w:r>
      <w:r>
        <w:rPr/>
        <w:t>项目分开计量的存货，则合并计提存货跌价准备。</w:t>
      </w:r>
    </w:p>
    <w:p>
      <w:pPr>
        <w:pStyle w:val="Heading5"/>
        <w:spacing w:line="273" w:lineRule="auto" w:before="8"/>
        <w:ind w:right="1125" w:firstLine="422"/>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tabs>
          <w:tab w:pos="575" w:val="left" w:leader="none"/>
        </w:tabs>
        <w:spacing w:line="259" w:lineRule="auto" w:before="7"/>
        <w:ind w:left="575" w:right="8661"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存货的盘存制度</w:t>
      </w:r>
      <w:r>
        <w:rPr>
          <w:rFonts w:ascii="宋体" w:hAnsi="宋体" w:cs="宋体" w:eastAsia="宋体" w:hint="default"/>
          <w:b/>
          <w:bCs/>
          <w:spacing w:val="-104"/>
          <w:sz w:val="21"/>
          <w:szCs w:val="21"/>
        </w:rPr>
        <w:t> </w:t>
      </w:r>
      <w:r>
        <w:rPr>
          <w:rFonts w:ascii="宋体" w:hAnsi="宋体" w:cs="宋体" w:eastAsia="宋体" w:hint="default"/>
          <w:sz w:val="21"/>
          <w:szCs w:val="21"/>
        </w:rPr>
        <w:t>采用永续盘存制。</w:t>
      </w:r>
    </w:p>
    <w:p>
      <w:pPr>
        <w:tabs>
          <w:tab w:pos="575" w:val="left" w:leader="none"/>
        </w:tabs>
        <w:spacing w:line="259" w:lineRule="auto" w:before="20"/>
        <w:ind w:left="575" w:right="7389"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低值易耗品和包装物的摊销方法</w:t>
      </w:r>
      <w:r>
        <w:rPr>
          <w:rFonts w:ascii="宋体" w:hAnsi="宋体" w:cs="宋体" w:eastAsia="宋体" w:hint="default"/>
          <w:b/>
          <w:bCs/>
          <w:spacing w:val="-101"/>
          <w:sz w:val="21"/>
          <w:szCs w:val="21"/>
        </w:rPr>
        <w:t> </w:t>
      </w:r>
      <w:r>
        <w:rPr>
          <w:rFonts w:ascii="宋体" w:hAnsi="宋体" w:cs="宋体" w:eastAsia="宋体" w:hint="default"/>
          <w:sz w:val="21"/>
          <w:szCs w:val="21"/>
        </w:rPr>
        <w:t>低值易耗品采用一次转销法。</w:t>
      </w:r>
    </w:p>
    <w:p>
      <w:pPr>
        <w:spacing w:line="590" w:lineRule="atLeast" w:before="23"/>
        <w:ind w:left="575" w:right="2475" w:hanging="423"/>
        <w:jc w:val="left"/>
        <w:rPr>
          <w:rFonts w:ascii="宋体" w:hAnsi="宋体" w:cs="宋体" w:eastAsia="宋体" w:hint="default"/>
          <w:sz w:val="21"/>
          <w:szCs w:val="21"/>
        </w:rPr>
      </w:pPr>
      <w:bookmarkStart w:name="15、持有待售资产" w:id="182"/>
      <w:bookmarkEnd w:id="182"/>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、持有待售资产</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本公司将同时满足下列条件的非流动资产或处置组划分为持有待售类别：</w:t>
      </w:r>
    </w:p>
    <w:p>
      <w:pPr>
        <w:pStyle w:val="Heading5"/>
        <w:spacing w:line="240" w:lineRule="auto" w:before="37"/>
        <w:ind w:left="575" w:right="0"/>
        <w:jc w:val="left"/>
      </w:pPr>
      <w:r>
        <w:rPr/>
        <w:t>（</w:t>
      </w:r>
      <w:r>
        <w:rPr>
          <w:rFonts w:ascii="宋体" w:hAnsi="宋体" w:cs="宋体" w:eastAsia="宋体" w:hint="default"/>
        </w:rPr>
        <w:t>1</w:t>
      </w:r>
      <w:r>
        <w:rPr/>
        <w:t>）根据类似交易中出售此类资产或处置组的惯例，在当前状况下即可立即出售；</w:t>
      </w:r>
    </w:p>
    <w:p>
      <w:pPr>
        <w:pStyle w:val="Heading5"/>
        <w:spacing w:line="273" w:lineRule="auto" w:before="37"/>
        <w:ind w:right="1135" w:firstLine="422"/>
        <w:jc w:val="both"/>
      </w:pPr>
      <w:r>
        <w:rPr/>
        <w:t>（</w:t>
      </w:r>
      <w:r>
        <w:rPr>
          <w:rFonts w:ascii="宋体" w:hAnsi="宋体" w:cs="宋体" w:eastAsia="宋体" w:hint="default"/>
        </w:rPr>
        <w:t>2</w:t>
      </w:r>
      <w:r>
        <w:rPr/>
        <w:t>）出售极可能发生，即本公司已经就一项出售计划作出决议且获得确定的购买承诺，预计出售将</w:t>
      </w:r>
      <w:r>
        <w:rPr>
          <w:w w:val="100"/>
        </w:rPr>
        <w:t> </w:t>
      </w:r>
      <w:r>
        <w:rPr/>
        <w:t>在一年内完成。有关规定要求本公司相关权力机构或者监管部门批准后方可出售的，已经获得批准。</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16、长期股权投资" w:id="183"/>
      <w:bookmarkEnd w:id="183"/>
      <w:r>
        <w:rPr>
          <w:b w:val="0"/>
          <w:bCs w:val="0"/>
        </w:rPr>
      </w:r>
      <w:r>
        <w:rPr>
          <w:rFonts w:ascii="Times New Roman" w:hAnsi="Times New Roman" w:cs="Times New Roman" w:eastAsia="Times New Roman" w:hint="default"/>
        </w:rPr>
        <w:t>16</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tabs>
          <w:tab w:pos="575" w:val="left" w:leader="none"/>
        </w:tabs>
        <w:spacing w:line="240" w:lineRule="auto"/>
        <w:ind w:left="158" w:right="0"/>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初始投资成本的确定</w:t>
      </w:r>
      <w:r>
        <w:rPr>
          <w:b w:val="0"/>
          <w:bCs w:val="0"/>
        </w:rPr>
      </w:r>
    </w:p>
    <w:p>
      <w:pPr>
        <w:pStyle w:val="Heading5"/>
        <w:spacing w:line="273" w:lineRule="auto" w:before="22"/>
        <w:ind w:right="1135" w:firstLine="422"/>
        <w:jc w:val="both"/>
      </w:pPr>
      <w:r>
        <w:rPr/>
        <w:t>（</w:t>
      </w:r>
      <w:r>
        <w:rPr>
          <w:rFonts w:ascii="宋体" w:hAnsi="宋体" w:cs="宋体" w:eastAsia="宋体" w:hint="default"/>
        </w:rPr>
        <w:t>1</w:t>
      </w:r>
      <w:r>
        <w:rPr/>
        <w:t>）企业合并形成的长期股权投资，具体会计政策详见同一控制下和非同一控制下企业合并的会计</w:t>
      </w:r>
      <w:r>
        <w:rPr>
          <w:w w:val="100"/>
        </w:rPr>
        <w:t> </w:t>
      </w:r>
      <w:r>
        <w:rPr/>
        <w:t>处理方法。</w:t>
      </w:r>
    </w:p>
    <w:p>
      <w:pPr>
        <w:pStyle w:val="Heading5"/>
        <w:spacing w:line="273" w:lineRule="auto"/>
        <w:ind w:left="575" w:right="0"/>
        <w:jc w:val="left"/>
      </w:pPr>
      <w:r>
        <w:rPr/>
        <w:t>（</w:t>
      </w:r>
      <w:r>
        <w:rPr>
          <w:rFonts w:ascii="宋体" w:hAnsi="宋体" w:cs="宋体" w:eastAsia="宋体" w:hint="default"/>
        </w:rPr>
        <w:t>2</w:t>
      </w:r>
      <w:r>
        <w:rPr/>
        <w:t>）其他方式取得的长期股权投资</w:t>
      </w:r>
      <w:r>
        <w:rPr>
          <w:spacing w:val="-102"/>
        </w:rPr>
        <w:t> </w:t>
      </w:r>
      <w:r>
        <w:rPr>
          <w:spacing w:val="-102"/>
        </w:rPr>
      </w:r>
      <w:r>
        <w:rPr>
          <w:spacing w:val="-2"/>
        </w:rPr>
        <w:t>以支付现金方式取得的长期股权投资，按照实际支付的购买价款作为初始投资成本。初始投资成本包</w:t>
      </w:r>
    </w:p>
    <w:p>
      <w:pPr>
        <w:pStyle w:val="Heading5"/>
        <w:spacing w:line="273" w:lineRule="auto"/>
        <w:ind w:left="575" w:right="0" w:hanging="423"/>
        <w:jc w:val="left"/>
      </w:pPr>
      <w:r>
        <w:rPr/>
        <w:t>括与取得长期股权投资直接相关的费用、税金及其他必要支出。</w:t>
      </w:r>
      <w:r>
        <w:rPr>
          <w:spacing w:val="-102"/>
        </w:rPr>
        <w:t> </w:t>
      </w:r>
      <w:r>
        <w:rPr>
          <w:spacing w:val="-102"/>
        </w:rPr>
      </w:r>
      <w:r>
        <w:rPr>
          <w:spacing w:val="-2"/>
        </w:rPr>
        <w:t>以发行权益性证券取得的长期股权投资，按照发行权益性证券的公允价值作为初始投资成本；发行或</w:t>
      </w:r>
    </w:p>
    <w:p>
      <w:pPr>
        <w:pStyle w:val="Heading5"/>
        <w:spacing w:line="273" w:lineRule="auto"/>
        <w:ind w:left="575" w:right="0" w:hanging="423"/>
        <w:jc w:val="left"/>
      </w:pPr>
      <w:r>
        <w:rPr/>
        <w:t>取得自身权益工具时发生的交易费用，可直接归属于权益性交易的从权益中扣减。</w:t>
      </w:r>
      <w:r>
        <w:rPr>
          <w:spacing w:val="-102"/>
        </w:rPr>
        <w:t> </w:t>
      </w:r>
      <w:r>
        <w:rPr>
          <w:spacing w:val="-102"/>
        </w:rPr>
      </w:r>
      <w:r>
        <w:rPr>
          <w:spacing w:val="-2"/>
        </w:rPr>
        <w:t>在非货币性资产交换具备商业实质和换入资产或换出资产的公允价值能够可靠计量的前提下，非货币</w:t>
      </w:r>
    </w:p>
    <w:p>
      <w:pPr>
        <w:pStyle w:val="Heading5"/>
        <w:spacing w:line="273" w:lineRule="auto"/>
        <w:ind w:right="1125"/>
        <w:jc w:val="both"/>
      </w:pPr>
      <w:r>
        <w:rPr>
          <w:spacing w:val="-2"/>
        </w:rPr>
        <w:t>性资产交换换入的长期股权投资以换出资产的公允价值为基础确定其初始投资成本，除非有确凿证据表明</w:t>
      </w:r>
      <w:r>
        <w:rPr>
          <w:spacing w:val="-33"/>
        </w:rPr>
        <w:t> </w:t>
      </w:r>
      <w:r>
        <w:rPr>
          <w:spacing w:val="-33"/>
        </w:rPr>
      </w:r>
      <w:r>
        <w:rPr>
          <w:spacing w:val="-2"/>
        </w:rPr>
        <w:t>换入资产的公允价值更加可靠；不满足上述前提的非货币性资产交换，以换出资产的账面价值和应支付的</w:t>
      </w:r>
      <w:r>
        <w:rPr>
          <w:spacing w:val="-33"/>
        </w:rPr>
        <w:t> </w:t>
      </w:r>
      <w:r>
        <w:rPr>
          <w:spacing w:val="-33"/>
        </w:rPr>
      </w:r>
      <w:r>
        <w:rPr/>
        <w:t>相关税费作为换入长期股权投资的初始投资成本。</w:t>
      </w:r>
    </w:p>
    <w:p>
      <w:pPr>
        <w:pStyle w:val="Heading5"/>
        <w:spacing w:line="240" w:lineRule="auto"/>
        <w:ind w:left="575" w:right="0"/>
        <w:jc w:val="left"/>
      </w:pPr>
      <w:r>
        <w:rPr/>
        <w:t>通过债务重组取得的长期股权投资，其初始投资成本按照公允价值为基础确定。</w:t>
      </w:r>
    </w:p>
    <w:p>
      <w:pPr>
        <w:pStyle w:val="Heading4"/>
        <w:tabs>
          <w:tab w:pos="575" w:val="left" w:leader="none"/>
        </w:tabs>
        <w:spacing w:line="240" w:lineRule="auto" w:before="37"/>
        <w:ind w:left="158" w:right="0"/>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后续计量及损益确认</w:t>
      </w:r>
      <w:r>
        <w:rPr>
          <w:b w:val="0"/>
          <w:bCs w:val="0"/>
        </w:rPr>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b/>
          <w:bCs/>
          <w:sz w:val="20"/>
          <w:szCs w:val="20"/>
        </w:rPr>
      </w:pPr>
    </w:p>
    <w:p>
      <w:pPr>
        <w:pStyle w:val="Heading5"/>
        <w:spacing w:line="273" w:lineRule="auto" w:before="36"/>
        <w:ind w:left="575" w:right="1123"/>
        <w:jc w:val="left"/>
      </w:pPr>
      <w:r>
        <w:rPr/>
        <w:t>（</w:t>
      </w:r>
      <w:r>
        <w:rPr>
          <w:rFonts w:ascii="宋体" w:hAnsi="宋体" w:cs="宋体" w:eastAsia="宋体" w:hint="default"/>
        </w:rPr>
        <w:t>1</w:t>
      </w:r>
      <w:r>
        <w:rPr/>
        <w:t>）成本法</w:t>
      </w:r>
      <w:r>
        <w:rPr>
          <w:spacing w:val="-99"/>
        </w:rPr>
        <w:t> </w:t>
      </w:r>
      <w:r>
        <w:rPr>
          <w:spacing w:val="-2"/>
        </w:rPr>
        <w:t>本公司能够对被投资单位实施控制的长期股权投资采用成本法核算，并按照初始投资成本计价，追加</w:t>
      </w:r>
    </w:p>
    <w:p>
      <w:pPr>
        <w:pStyle w:val="Heading5"/>
        <w:spacing w:line="273" w:lineRule="auto"/>
        <w:ind w:left="575" w:right="0" w:hanging="423"/>
        <w:jc w:val="left"/>
      </w:pPr>
      <w:r>
        <w:rPr/>
        <w:t>或收回投资调整长期股权投资的成本。</w:t>
      </w:r>
      <w:r>
        <w:rPr>
          <w:spacing w:val="-100"/>
        </w:rPr>
        <w:t> </w:t>
      </w:r>
      <w:r>
        <w:rPr>
          <w:spacing w:val="-100"/>
        </w:rPr>
      </w:r>
      <w:r>
        <w:rPr>
          <w:spacing w:val="-2"/>
        </w:rPr>
        <w:t>除取得投资时实际支付的价款或对价中包含的已宣告但尚未发放的现金股利或利润外，本公司按照享</w:t>
      </w:r>
    </w:p>
    <w:p>
      <w:pPr>
        <w:pStyle w:val="Heading5"/>
        <w:spacing w:line="240" w:lineRule="auto"/>
        <w:ind w:right="0"/>
        <w:jc w:val="both"/>
      </w:pPr>
      <w:r>
        <w:rPr/>
        <w:t>有被投资单位宣告分派的现金股利或利润确认为当期投资收益。</w:t>
      </w:r>
    </w:p>
    <w:p>
      <w:pPr>
        <w:pStyle w:val="Heading5"/>
        <w:spacing w:line="273" w:lineRule="auto" w:before="37"/>
        <w:ind w:left="575" w:right="1123"/>
        <w:jc w:val="left"/>
      </w:pPr>
      <w:r>
        <w:rPr/>
        <w:t>（</w:t>
      </w:r>
      <w:r>
        <w:rPr>
          <w:rFonts w:ascii="宋体" w:hAnsi="宋体" w:cs="宋体" w:eastAsia="宋体" w:hint="default"/>
        </w:rPr>
        <w:t>2</w:t>
      </w:r>
      <w:r>
        <w:rPr/>
        <w:t>）权益法</w:t>
      </w:r>
      <w:r>
        <w:rPr>
          <w:spacing w:val="-99"/>
        </w:rPr>
        <w:t> </w:t>
      </w:r>
      <w:r>
        <w:rPr>
          <w:spacing w:val="-2"/>
        </w:rPr>
        <w:t>本公司对联营企业和合营企业的长期股权投资采用权益法核算；对于其中一部分通过风险投资机构、</w:t>
      </w:r>
    </w:p>
    <w:p>
      <w:pPr>
        <w:pStyle w:val="Heading5"/>
        <w:spacing w:line="273" w:lineRule="auto"/>
        <w:ind w:right="1125"/>
        <w:jc w:val="both"/>
      </w:pPr>
      <w:r>
        <w:rPr>
          <w:spacing w:val="-2"/>
        </w:rPr>
        <w:t>共同基金、信托公司或包括投连险基金在内的类似主体间接持有的联营企业的权益性投资，采用公允价值</w:t>
      </w:r>
      <w:r>
        <w:rPr>
          <w:spacing w:val="-33"/>
        </w:rPr>
        <w:t> </w:t>
      </w:r>
      <w:r>
        <w:rPr>
          <w:spacing w:val="-33"/>
        </w:rPr>
      </w:r>
      <w:r>
        <w:rPr/>
        <w:t>计量且其变动计入损益。</w:t>
      </w:r>
    </w:p>
    <w:p>
      <w:pPr>
        <w:pStyle w:val="Heading5"/>
        <w:spacing w:line="273" w:lineRule="auto" w:before="8"/>
        <w:ind w:right="1126" w:firstLine="422"/>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33"/>
        </w:rPr>
        <w:t> </w:t>
      </w:r>
      <w:r>
        <w:rPr>
          <w:spacing w:val="-33"/>
        </w:rPr>
      </w:r>
      <w:r>
        <w:rPr/>
        <w:t>的差额，计入当期损益。</w:t>
      </w:r>
    </w:p>
    <w:p>
      <w:pPr>
        <w:pStyle w:val="Heading5"/>
        <w:spacing w:line="273" w:lineRule="auto"/>
        <w:ind w:right="1124" w:firstLine="422"/>
        <w:jc w:val="both"/>
      </w:pPr>
      <w:r>
        <w:rPr>
          <w:spacing w:val="2"/>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33"/>
        </w:rPr>
        <w:t> </w:t>
      </w:r>
      <w:r>
        <w:rPr>
          <w:spacing w:val="-33"/>
        </w:rPr>
      </w:r>
      <w:r>
        <w:rPr>
          <w:spacing w:val="-2"/>
        </w:rPr>
        <w:t>的利润或现金股利计算应享有的部分，相应减少长期股权投资的账面价值；对于被投资单位除净损益、其</w:t>
      </w:r>
      <w:r>
        <w:rPr>
          <w:spacing w:val="-32"/>
        </w:rPr>
        <w:t> </w:t>
      </w:r>
      <w:r>
        <w:rPr>
          <w:spacing w:val="-32"/>
        </w:rPr>
      </w:r>
      <w:r>
        <w:rPr/>
        <w:t>他综合收益和利润分配以外所有者权益的其他变动，调整长期股权投资的账面价值并计入所有者权益。</w:t>
      </w:r>
    </w:p>
    <w:p>
      <w:pPr>
        <w:pStyle w:val="Heading5"/>
        <w:spacing w:line="273" w:lineRule="auto"/>
        <w:ind w:right="1121" w:firstLine="422"/>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33"/>
        </w:rPr>
        <w:t> </w:t>
      </w:r>
      <w:r>
        <w:rPr>
          <w:spacing w:val="-33"/>
        </w:rPr>
      </w:r>
      <w:r>
        <w:rPr/>
        <w:t>部交易损益按照应享有的比例计算归属于本公司的部分予以抵销，在此基础上确认投资损益。</w:t>
      </w:r>
    </w:p>
    <w:p>
      <w:pPr>
        <w:pStyle w:val="Heading5"/>
        <w:spacing w:line="273" w:lineRule="auto" w:before="8"/>
        <w:ind w:right="1117" w:firstLine="422"/>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33"/>
        </w:rPr>
        <w:t> </w:t>
      </w:r>
      <w:r>
        <w:rPr>
          <w:spacing w:val="-33"/>
        </w:rPr>
      </w:r>
      <w:r>
        <w:rPr>
          <w:spacing w:val="-2"/>
        </w:rPr>
        <w:t>益账面价值为限继续确认投资损失，冲减长期应收项目等的账面价值。最后，经过上述处理，按照投资合</w:t>
      </w:r>
      <w:r>
        <w:rPr>
          <w:spacing w:val="-33"/>
        </w:rPr>
        <w:t> </w:t>
      </w:r>
      <w:r>
        <w:rPr>
          <w:spacing w:val="-33"/>
        </w:rPr>
      </w:r>
      <w:r>
        <w:rPr/>
        <w:t>同或协议约定企业仍承担额外义务的，按预计承担的义务确认预计负债，计入当期投资损失。</w:t>
      </w:r>
    </w:p>
    <w:p>
      <w:pPr>
        <w:pStyle w:val="Heading5"/>
        <w:spacing w:line="273" w:lineRule="auto"/>
        <w:ind w:right="1120" w:firstLine="422"/>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33"/>
        </w:rPr>
        <w:t> </w:t>
      </w:r>
      <w:r>
        <w:rPr>
          <w:spacing w:val="-33"/>
        </w:rPr>
      </w:r>
      <w:r>
        <w:rPr/>
        <w:t>面价值后，恢复确认投资收益。</w:t>
      </w:r>
    </w:p>
    <w:p>
      <w:pPr>
        <w:pStyle w:val="Heading4"/>
        <w:spacing w:line="240" w:lineRule="auto" w:before="7"/>
        <w:ind w:left="158" w:right="0"/>
        <w:jc w:val="both"/>
        <w:rPr>
          <w:b w:val="0"/>
          <w:bCs w:val="0"/>
        </w:rPr>
      </w:pPr>
      <w:r>
        <w:rPr>
          <w:rFonts w:ascii="Wingdings" w:hAnsi="Wingdings" w:cs="Wingdings" w:eastAsia="Wingdings" w:hint="default"/>
          <w:b w:val="0"/>
          <w:bCs w:val="0"/>
        </w:rPr>
        <w:t></w:t>
      </w:r>
      <w:r>
        <w:rPr>
          <w:rFonts w:ascii="Wingdings" w:hAnsi="Wingdings" w:cs="Wingdings" w:eastAsia="Wingdings" w:hint="default"/>
          <w:b w:val="0"/>
          <w:bCs w:val="0"/>
          <w:spacing w:val="24"/>
        </w:rPr>
        <w:t></w:t>
      </w:r>
      <w:r>
        <w:rPr>
          <w:rFonts w:ascii="Times New Roman" w:hAnsi="Times New Roman" w:cs="Times New Roman" w:eastAsia="Times New Roman" w:hint="default"/>
          <w:b w:val="0"/>
          <w:bCs w:val="0"/>
          <w:spacing w:val="24"/>
        </w:rPr>
      </w:r>
      <w:r>
        <w:rPr/>
        <w:t>长期股权投资核算方法的转换</w:t>
      </w:r>
      <w:r>
        <w:rPr>
          <w:b w:val="0"/>
          <w:bCs w:val="0"/>
        </w:rPr>
      </w:r>
    </w:p>
    <w:p>
      <w:pPr>
        <w:pStyle w:val="Heading5"/>
        <w:spacing w:line="273" w:lineRule="auto" w:before="22"/>
        <w:ind w:left="575" w:right="0"/>
        <w:jc w:val="left"/>
      </w:pPr>
      <w:r>
        <w:rPr/>
        <w:t>（</w:t>
      </w:r>
      <w:r>
        <w:rPr>
          <w:rFonts w:ascii="宋体" w:hAnsi="宋体" w:cs="宋体" w:eastAsia="宋体" w:hint="default"/>
        </w:rPr>
        <w:t>1</w:t>
      </w:r>
      <w:r>
        <w:rPr/>
        <w:t>）公允价值计量转权益法核算</w:t>
      </w:r>
      <w:r>
        <w:rPr>
          <w:spacing w:val="-103"/>
        </w:rPr>
        <w:t> </w:t>
      </w:r>
      <w:r>
        <w:rPr>
          <w:spacing w:val="-103"/>
        </w:rPr>
      </w:r>
      <w:r>
        <w:rPr>
          <w:spacing w:val="-2"/>
        </w:rPr>
        <w:t>本公司原持有的对被投资单位不具有控制、共同控制或重大影响的按金融工具确认和计量准则进行会</w:t>
      </w:r>
    </w:p>
    <w:p>
      <w:pPr>
        <w:pStyle w:val="Heading5"/>
        <w:spacing w:line="273" w:lineRule="auto"/>
        <w:ind w:right="1124"/>
        <w:jc w:val="both"/>
      </w:pPr>
      <w:r>
        <w:rPr/>
        <w:t>计处理的权益性投资，因追加投资等原因能够对被投资单位施加重大影响或实施共同控制但不构成控制</w:t>
      </w:r>
      <w:r>
        <w:rPr>
          <w:spacing w:val="60"/>
        </w:rPr>
        <w:t> </w:t>
      </w:r>
      <w:r>
        <w:rPr>
          <w:spacing w:val="60"/>
        </w:rPr>
      </w:r>
      <w:r>
        <w:rPr>
          <w:spacing w:val="-2"/>
        </w:rPr>
        <w:t>的，按照《企业会计准则第</w:t>
      </w:r>
      <w:r>
        <w:rPr>
          <w:rFonts w:ascii="宋体" w:hAnsi="宋体" w:cs="宋体" w:eastAsia="宋体" w:hint="default"/>
          <w:spacing w:val="-2"/>
        </w:rPr>
        <w:t>22</w:t>
      </w:r>
      <w:r>
        <w:rPr>
          <w:spacing w:val="-2"/>
        </w:rPr>
        <w:t>号——金融工具确认和计量》确定的原持有的股权投资的公允价值加上新增</w:t>
      </w:r>
      <w:r>
        <w:rPr>
          <w:spacing w:val="-31"/>
        </w:rPr>
        <w:t> </w:t>
      </w:r>
      <w:r>
        <w:rPr>
          <w:spacing w:val="-31"/>
        </w:rPr>
      </w:r>
      <w:r>
        <w:rPr/>
        <w:t>投资成本之和，作为改按权益法核算的初始投资成本。</w:t>
      </w:r>
    </w:p>
    <w:p>
      <w:pPr>
        <w:pStyle w:val="Heading5"/>
        <w:spacing w:line="273" w:lineRule="auto"/>
        <w:ind w:right="1125" w:firstLine="422"/>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Heading5"/>
        <w:spacing w:line="273" w:lineRule="auto"/>
        <w:ind w:right="1125" w:firstLine="422"/>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33"/>
        </w:rPr>
        <w:t> </w:t>
      </w:r>
      <w:r>
        <w:rPr>
          <w:spacing w:val="-33"/>
        </w:rPr>
      </w:r>
      <w:r>
        <w:rPr/>
        <w:t>入。</w:t>
      </w:r>
    </w:p>
    <w:p>
      <w:pPr>
        <w:pStyle w:val="Heading5"/>
        <w:spacing w:line="273" w:lineRule="auto"/>
        <w:ind w:left="575" w:right="0"/>
        <w:jc w:val="left"/>
      </w:pPr>
      <w:r>
        <w:rPr/>
        <w:t>（</w:t>
      </w:r>
      <w:r>
        <w:rPr>
          <w:rFonts w:ascii="宋体" w:hAnsi="宋体" w:cs="宋体" w:eastAsia="宋体" w:hint="default"/>
        </w:rPr>
        <w:t>2</w:t>
      </w:r>
      <w:r>
        <w:rPr/>
        <w:t>）公允价值计量或权益法核算转成本法核算</w:t>
      </w:r>
      <w:r>
        <w:rPr>
          <w:spacing w:val="-101"/>
        </w:rPr>
        <w:t> </w:t>
      </w:r>
      <w:r>
        <w:rPr>
          <w:spacing w:val="-101"/>
        </w:rPr>
      </w:r>
      <w:r>
        <w:rPr>
          <w:spacing w:val="-2"/>
        </w:rPr>
        <w:t>本公司原持有的对被投资单位不具有控制、共同控制或重大影响的按金融工具确认和计量准则进行会</w:t>
      </w:r>
    </w:p>
    <w:p>
      <w:pPr>
        <w:pStyle w:val="Heading5"/>
        <w:spacing w:line="273" w:lineRule="auto"/>
        <w:ind w:right="1125"/>
        <w:jc w:val="both"/>
      </w:pPr>
      <w:r>
        <w:rPr>
          <w:spacing w:val="-2"/>
        </w:rPr>
        <w:t>计处理的权益性投资，或原持有对联营企业、合营企业的长期股权投资，因追加投资等原因能够对非同一</w:t>
      </w:r>
      <w:r>
        <w:rPr>
          <w:spacing w:val="-33"/>
        </w:rPr>
        <w:t> </w:t>
      </w:r>
      <w:r>
        <w:rPr>
          <w:spacing w:val="-33"/>
        </w:rPr>
      </w:r>
      <w:r>
        <w:rPr>
          <w:spacing w:val="-2"/>
        </w:rPr>
        <w:t>控制下的被投资单位实施控制的，在编制个别财务报表时，按照原持有的股权投资账面价值加上新增投资</w:t>
      </w:r>
      <w:r>
        <w:rPr>
          <w:spacing w:val="-33"/>
        </w:rPr>
        <w:t> </w:t>
      </w:r>
      <w:r>
        <w:rPr>
          <w:spacing w:val="-33"/>
        </w:rPr>
      </w:r>
      <w:r>
        <w:rPr/>
        <w:t>成本之和，作为改按成本法核算的初始投资成本。</w:t>
      </w:r>
    </w:p>
    <w:p>
      <w:pPr>
        <w:pStyle w:val="Heading5"/>
        <w:spacing w:line="273" w:lineRule="auto"/>
        <w:ind w:right="1126" w:firstLine="422"/>
        <w:jc w:val="both"/>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spacing w:after="0" w:line="273" w:lineRule="auto"/>
        <w:jc w:val="both"/>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right="1123" w:firstLine="422"/>
        <w:jc w:val="both"/>
      </w:pPr>
      <w:r>
        <w:rPr>
          <w:spacing w:val="-2"/>
        </w:rPr>
        <w:t>购买日之前持有的股权投资按照《企业会计准则第</w:t>
      </w:r>
      <w:r>
        <w:rPr>
          <w:rFonts w:ascii="宋体" w:hAnsi="宋体" w:cs="宋体" w:eastAsia="宋体" w:hint="default"/>
          <w:spacing w:val="-2"/>
        </w:rPr>
        <w:t>22</w:t>
      </w:r>
      <w:r>
        <w:rPr>
          <w:spacing w:val="-2"/>
        </w:rPr>
        <w:t>号——金融工具确认和计量》的有关规定进行会</w:t>
      </w:r>
      <w:r>
        <w:rPr>
          <w:w w:val="100"/>
        </w:rPr>
        <w:t> </w:t>
      </w:r>
      <w:r>
        <w:rPr/>
        <w:t>计处理的，原计入其他综合收益的累计公允价值变动在改按成本法核算时转入当期损益。</w:t>
      </w:r>
    </w:p>
    <w:p>
      <w:pPr>
        <w:pStyle w:val="Heading5"/>
        <w:spacing w:line="273" w:lineRule="auto"/>
        <w:ind w:left="575" w:right="0"/>
        <w:jc w:val="left"/>
      </w:pPr>
      <w:r>
        <w:rPr/>
        <w:t>（</w:t>
      </w:r>
      <w:r>
        <w:rPr>
          <w:rFonts w:ascii="宋体" w:hAnsi="宋体" w:cs="宋体" w:eastAsia="宋体" w:hint="default"/>
        </w:rPr>
        <w:t>3</w:t>
      </w:r>
      <w:r>
        <w:rPr/>
        <w:t>）权益法核算转公允价值计量</w:t>
      </w:r>
      <w:r>
        <w:rPr>
          <w:spacing w:val="-103"/>
        </w:rPr>
        <w:t> </w:t>
      </w:r>
      <w:r>
        <w:rPr>
          <w:spacing w:val="-103"/>
        </w:rPr>
      </w:r>
      <w:r>
        <w:rPr>
          <w:spacing w:val="-2"/>
        </w:rPr>
        <w:t>本公司因处置部分股权投资等原因丧失了对被投资单位的共同控制或重大影响的，处置后的剩余股权</w:t>
      </w:r>
    </w:p>
    <w:p>
      <w:pPr>
        <w:pStyle w:val="Heading5"/>
        <w:spacing w:line="273" w:lineRule="auto"/>
        <w:ind w:right="0"/>
        <w:jc w:val="left"/>
      </w:pPr>
      <w:r>
        <w:rPr>
          <w:spacing w:val="-2"/>
        </w:rPr>
        <w:t>改按《企业会计准则第</w:t>
      </w:r>
      <w:r>
        <w:rPr>
          <w:rFonts w:ascii="宋体" w:hAnsi="宋体" w:cs="宋体" w:eastAsia="宋体" w:hint="default"/>
          <w:spacing w:val="-2"/>
        </w:rPr>
        <w:t>22</w:t>
      </w:r>
      <w:r>
        <w:rPr>
          <w:spacing w:val="-2"/>
        </w:rPr>
        <w:t>号——金融工具确认和计量》核算，其在丧失共同控制或重大影响之日的公允价</w:t>
      </w:r>
      <w:r>
        <w:rPr>
          <w:spacing w:val="-30"/>
        </w:rPr>
        <w:t> </w:t>
      </w:r>
      <w:r>
        <w:rPr>
          <w:spacing w:val="-30"/>
        </w:rPr>
      </w:r>
      <w:r>
        <w:rPr/>
        <w:t>值与账面价值之间的差额计入当期损益。</w:t>
      </w:r>
    </w:p>
    <w:p>
      <w:pPr>
        <w:pStyle w:val="Heading5"/>
        <w:spacing w:line="273" w:lineRule="auto"/>
        <w:ind w:right="1126" w:firstLine="422"/>
        <w:jc w:val="both"/>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Heading5"/>
        <w:spacing w:line="273" w:lineRule="auto"/>
        <w:ind w:left="575" w:right="0"/>
        <w:jc w:val="left"/>
      </w:pPr>
      <w:r>
        <w:rPr/>
        <w:t>（</w:t>
      </w:r>
      <w:r>
        <w:rPr>
          <w:rFonts w:ascii="宋体" w:hAnsi="宋体" w:cs="宋体" w:eastAsia="宋体" w:hint="default"/>
        </w:rPr>
        <w:t>4</w:t>
      </w:r>
      <w:r>
        <w:rPr/>
        <w:t>）成本法转权益法</w:t>
      </w:r>
      <w:r>
        <w:rPr>
          <w:spacing w:val="-99"/>
        </w:rPr>
        <w:t> </w:t>
      </w:r>
      <w:r>
        <w:rPr>
          <w:spacing w:val="-99"/>
        </w:rPr>
      </w:r>
      <w:r>
        <w:rPr>
          <w:spacing w:val="-2"/>
        </w:rPr>
        <w:t>本公司因处置部分权益性投资等原因丧失了对被投资单位的控制的，在编制个别财务报表时，处置后</w:t>
      </w:r>
    </w:p>
    <w:p>
      <w:pPr>
        <w:pStyle w:val="Heading5"/>
        <w:spacing w:line="273" w:lineRule="auto"/>
        <w:ind w:right="0"/>
        <w:jc w:val="left"/>
      </w:pPr>
      <w:r>
        <w:rPr>
          <w:spacing w:val="-2"/>
        </w:rPr>
        <w:t>的剩余股权能够对被投资单位实施共同控制或施加重大影响的，改按权益法核算，并对该剩余股权视同自</w:t>
      </w:r>
      <w:r>
        <w:rPr>
          <w:spacing w:val="-33"/>
        </w:rPr>
        <w:t> </w:t>
      </w:r>
      <w:r>
        <w:rPr>
          <w:spacing w:val="-33"/>
        </w:rPr>
      </w:r>
      <w:r>
        <w:rPr/>
        <w:t>取得时即采用权益法核算进行调整。</w:t>
      </w:r>
    </w:p>
    <w:p>
      <w:pPr>
        <w:pStyle w:val="Heading5"/>
        <w:spacing w:line="273" w:lineRule="auto"/>
        <w:ind w:left="575" w:right="0"/>
        <w:jc w:val="left"/>
      </w:pPr>
      <w:r>
        <w:rPr/>
        <w:t>（</w:t>
      </w:r>
      <w:r>
        <w:rPr>
          <w:rFonts w:ascii="宋体" w:hAnsi="宋体" w:cs="宋体" w:eastAsia="宋体" w:hint="default"/>
        </w:rPr>
        <w:t>5</w:t>
      </w:r>
      <w:r>
        <w:rPr/>
        <w:t>）成本法转公允价值计量</w:t>
      </w:r>
      <w:r>
        <w:rPr>
          <w:spacing w:val="-100"/>
        </w:rPr>
        <w:t> </w:t>
      </w:r>
      <w:r>
        <w:rPr>
          <w:spacing w:val="-100"/>
        </w:rPr>
      </w:r>
      <w:r>
        <w:rPr>
          <w:spacing w:val="-2"/>
        </w:rPr>
        <w:t>本公司因处置部分权益性投资等原因丧失了对被投资单位的控制的，在编制个别财务报表时，处置后</w:t>
      </w:r>
    </w:p>
    <w:p>
      <w:pPr>
        <w:pStyle w:val="Heading5"/>
        <w:spacing w:line="273" w:lineRule="auto" w:before="8"/>
        <w:ind w:right="0"/>
        <w:jc w:val="left"/>
      </w:pPr>
      <w:r>
        <w:rPr/>
        <w:t>的剩余股权不能对被投资单位实施共同控制或施加重大影响的，改按《企业会计准则第</w:t>
      </w:r>
      <w:r>
        <w:rPr>
          <w:rFonts w:ascii="宋体" w:hAnsi="宋体" w:cs="宋体" w:eastAsia="宋体" w:hint="default"/>
        </w:rPr>
        <w:t>22</w:t>
      </w:r>
      <w:r>
        <w:rPr/>
        <w:t>号——金融工具</w:t>
      </w:r>
      <w:r>
        <w:rPr>
          <w:w w:val="100"/>
        </w:rPr>
        <w:t> </w:t>
      </w:r>
      <w:r>
        <w:rPr>
          <w:spacing w:val="-4"/>
        </w:rPr>
        <w:t>确认和计量》的有关规定进行会计处理，其在丧失控制之日的公允价值与账面价值间的差额计入当期损益。</w:t>
      </w:r>
    </w:p>
    <w:p>
      <w:pPr>
        <w:pStyle w:val="Heading5"/>
        <w:tabs>
          <w:tab w:pos="575" w:val="left" w:leader="none"/>
        </w:tabs>
        <w:spacing w:line="259" w:lineRule="auto"/>
        <w:ind w:left="575" w:right="1123"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长期股权投资的处置</w:t>
      </w:r>
      <w:r>
        <w:rPr>
          <w:rFonts w:ascii="宋体" w:hAnsi="宋体" w:cs="宋体" w:eastAsia="宋体" w:hint="default"/>
          <w:b/>
          <w:bCs/>
          <w:spacing w:val="-103"/>
        </w:rPr>
        <w:t> </w:t>
      </w:r>
      <w:r>
        <w:rPr>
          <w:spacing w:val="-2"/>
        </w:rPr>
        <w:t>处置长期股权投资，其账面价值与实际取得价款之间的差额，应当计入当期损益。采用权益法核算的</w:t>
      </w:r>
    </w:p>
    <w:p>
      <w:pPr>
        <w:pStyle w:val="Heading5"/>
        <w:spacing w:line="273" w:lineRule="auto" w:before="20"/>
        <w:ind w:right="0"/>
        <w:jc w:val="left"/>
      </w:pPr>
      <w:r>
        <w:rPr>
          <w:spacing w:val="-2"/>
        </w:rPr>
        <w:t>长期股权投资，在处置该项投资时，采用与被投资单位直接处置相关资产或负债相同的基础，按相应比例</w:t>
      </w:r>
      <w:r>
        <w:rPr>
          <w:spacing w:val="-33"/>
        </w:rPr>
        <w:t> </w:t>
      </w:r>
      <w:r>
        <w:rPr>
          <w:spacing w:val="-33"/>
        </w:rPr>
      </w:r>
      <w:r>
        <w:rPr/>
        <w:t>对原计入其他综合收益的部分进行会计处理。</w:t>
      </w:r>
    </w:p>
    <w:p>
      <w:pPr>
        <w:pStyle w:val="Heading5"/>
        <w:spacing w:line="273" w:lineRule="auto"/>
        <w:ind w:right="1124" w:firstLine="422"/>
        <w:jc w:val="both"/>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Heading5"/>
        <w:spacing w:line="240" w:lineRule="auto"/>
        <w:ind w:left="575" w:right="0"/>
        <w:jc w:val="left"/>
      </w:pPr>
      <w:r>
        <w:rPr/>
        <w:t>（</w:t>
      </w:r>
      <w:r>
        <w:rPr>
          <w:rFonts w:ascii="宋体" w:hAnsi="宋体" w:cs="宋体" w:eastAsia="宋体" w:hint="default"/>
        </w:rPr>
        <w:t>1</w:t>
      </w:r>
      <w:r>
        <w:rPr/>
        <w:t>）这些交易是同时或者在考虑了彼此影响的情况下订立的；</w:t>
      </w:r>
    </w:p>
    <w:p>
      <w:pPr>
        <w:pStyle w:val="Heading5"/>
        <w:spacing w:line="273" w:lineRule="auto" w:before="37"/>
        <w:ind w:left="575" w:right="1123"/>
        <w:jc w:val="left"/>
      </w:pPr>
      <w:r>
        <w:rPr/>
        <w:t>（</w:t>
      </w:r>
      <w:r>
        <w:rPr>
          <w:rFonts w:ascii="宋体" w:hAnsi="宋体" w:cs="宋体" w:eastAsia="宋体" w:hint="default"/>
        </w:rPr>
        <w:t>2</w:t>
      </w:r>
      <w:r>
        <w:rPr/>
        <w:t>）这些交易整体才能达成一项完整的商业结果；</w:t>
      </w:r>
      <w:r>
        <w:rPr>
          <w:w w:val="100"/>
        </w:rPr>
        <w:t> </w:t>
      </w:r>
      <w:r>
        <w:rPr>
          <w:rFonts w:ascii="宋体" w:hAnsi="宋体" w:cs="宋体" w:eastAsia="宋体" w:hint="default"/>
        </w:rPr>
        <w:t>(3)</w:t>
      </w:r>
      <w:r>
        <w:rPr/>
        <w:t>一项交易的发生取决于其他至少一项交易的发生；</w:t>
      </w:r>
      <w:r>
        <w:rPr>
          <w:w w:val="100"/>
        </w:rPr>
        <w:t> </w:t>
      </w:r>
      <w:r>
        <w:rPr>
          <w:rFonts w:ascii="宋体" w:hAnsi="宋体" w:cs="宋体" w:eastAsia="宋体" w:hint="default"/>
        </w:rPr>
        <w:t>(4)</w:t>
      </w:r>
      <w:r>
        <w:rPr/>
        <w:t>一项交易单独看是不经济的，但是和其他交易一并考虑时是经济的。</w:t>
      </w:r>
      <w:r>
        <w:rPr>
          <w:spacing w:val="-103"/>
        </w:rPr>
        <w:t> </w:t>
      </w:r>
      <w:r>
        <w:rPr>
          <w:spacing w:val="-103"/>
        </w:rPr>
      </w:r>
      <w:r>
        <w:rPr>
          <w:spacing w:val="-2"/>
        </w:rPr>
        <w:t>因处置部分股权投资或其他原因丧失了对原有子公司控制权的，不属于一揽子交易的，区分个别财务</w:t>
      </w:r>
    </w:p>
    <w:p>
      <w:pPr>
        <w:pStyle w:val="Heading5"/>
        <w:spacing w:line="240" w:lineRule="auto"/>
        <w:ind w:right="0"/>
        <w:jc w:val="left"/>
      </w:pPr>
      <w:r>
        <w:rPr/>
        <w:t>报表和合并财务报表进行相关会计处理：</w:t>
      </w:r>
    </w:p>
    <w:p>
      <w:pPr>
        <w:pStyle w:val="Heading5"/>
        <w:spacing w:line="273" w:lineRule="auto" w:before="37"/>
        <w:ind w:right="1124" w:firstLine="422"/>
        <w:jc w:val="both"/>
      </w:pPr>
      <w:r>
        <w:rPr/>
        <w:t>（</w:t>
      </w:r>
      <w:r>
        <w:rPr>
          <w:rFonts w:ascii="宋体" w:hAnsi="宋体" w:cs="宋体" w:eastAsia="宋体"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33"/>
        </w:rPr>
        <w:t> </w:t>
      </w:r>
      <w:r>
        <w:rPr>
          <w:spacing w:val="-33"/>
        </w:rPr>
      </w:r>
      <w:r>
        <w:rPr>
          <w:spacing w:val="-2"/>
        </w:rPr>
        <w:t>视同自取得时即采用权益法核算进行调整；处置后的剩余股权不能对被投资单位实施共同控制或施加重大</w:t>
      </w:r>
      <w:r>
        <w:rPr>
          <w:spacing w:val="-33"/>
        </w:rPr>
        <w:t> </w:t>
      </w:r>
      <w:r>
        <w:rPr>
          <w:spacing w:val="-33"/>
        </w:rPr>
      </w:r>
      <w:r>
        <w:rPr>
          <w:spacing w:val="-2"/>
        </w:rPr>
        <w:t>影响的，改按《企业会计准则第</w:t>
      </w:r>
      <w:r>
        <w:rPr>
          <w:rFonts w:ascii="宋体" w:hAnsi="宋体" w:cs="宋体" w:eastAsia="宋体" w:hint="default"/>
          <w:spacing w:val="-2"/>
        </w:rPr>
        <w:t>22</w:t>
      </w:r>
      <w:r>
        <w:rPr>
          <w:spacing w:val="-2"/>
        </w:rPr>
        <w:t>号——金融工具确认和计量》的有关规定进行会计处理，其在丧失控制</w:t>
      </w:r>
      <w:r>
        <w:rPr>
          <w:spacing w:val="-30"/>
        </w:rPr>
        <w:t> </w:t>
      </w:r>
      <w:r>
        <w:rPr>
          <w:spacing w:val="-30"/>
        </w:rPr>
      </w:r>
      <w:r>
        <w:rPr/>
        <w:t>之日的公允价值与账面价值间的差额计入当期损益。</w:t>
      </w:r>
    </w:p>
    <w:p>
      <w:pPr>
        <w:pStyle w:val="Heading5"/>
        <w:spacing w:line="273" w:lineRule="auto"/>
        <w:ind w:right="1106" w:firstLine="422"/>
        <w:jc w:val="both"/>
      </w:pPr>
      <w:r>
        <w:rPr/>
        <w:t>（</w:t>
      </w:r>
      <w:r>
        <w:rPr>
          <w:rFonts w:ascii="宋体" w:hAnsi="宋体" w:cs="宋体" w:eastAsia="宋体" w:hint="default"/>
        </w:rPr>
        <w:t>2</w:t>
      </w:r>
      <w:r>
        <w:rPr/>
        <w:t>）在合并财务报表中，对于在丧失对子公司控制权以前的各项交易，处置价款与处置长期股权投</w:t>
      </w:r>
      <w:r>
        <w:rPr>
          <w:w w:val="100"/>
        </w:rPr>
        <w:t> </w:t>
      </w:r>
      <w:r>
        <w:rPr>
          <w:spacing w:val="2"/>
        </w:rPr>
        <w:t>资相应对享有子公司自购买日或合并日开始持续计算的净资产份额之间的差额，调整资本公积（股本溢</w:t>
      </w:r>
      <w:r>
        <w:rPr>
          <w:spacing w:val="-23"/>
        </w:rPr>
        <w:t> </w:t>
      </w:r>
      <w:r>
        <w:rPr>
          <w:spacing w:val="-23"/>
        </w:rPr>
      </w:r>
      <w:r>
        <w:rPr>
          <w:spacing w:val="-2"/>
        </w:rPr>
        <w:t>价），资本公积不足冲减的，调整留存收益；在丧失对子公司控制权时，对于剩余股权，按照其在丧失控</w:t>
      </w:r>
      <w:r>
        <w:rPr>
          <w:spacing w:val="-33"/>
        </w:rPr>
        <w:t> </w:t>
      </w:r>
      <w:r>
        <w:rPr>
          <w:spacing w:val="-33"/>
        </w:rPr>
      </w:r>
      <w:r>
        <w:rPr>
          <w:spacing w:val="-2"/>
        </w:rPr>
        <w:t>制权日的公允价值进行重新计量。处置股权取得的对价与剩余股权公允价值之和，减去按原持股比例计算</w:t>
      </w:r>
      <w:r>
        <w:rPr>
          <w:spacing w:val="-33"/>
        </w:rPr>
        <w:t> </w:t>
      </w:r>
      <w:r>
        <w:rPr>
          <w:spacing w:val="-33"/>
        </w:rPr>
      </w:r>
      <w:r>
        <w:rPr>
          <w:spacing w:val="-2"/>
        </w:rPr>
        <w:t>应享有原有子公司自购买日开始持续计算的净资产的份额之间的差额，计入丧失控制权当期的投资收益，</w:t>
      </w:r>
      <w:r>
        <w:rPr>
          <w:spacing w:val="-13"/>
        </w:rPr>
        <w:t> </w:t>
      </w:r>
      <w:r>
        <w:rPr>
          <w:spacing w:val="-13"/>
        </w:rPr>
      </w:r>
      <w:r>
        <w:rPr/>
        <w:t>同时冲减商誉。与原有子公司股权投资相关的其他综合收益等，在丧失控制权时转为当期投资收益。</w:t>
      </w:r>
    </w:p>
    <w:p>
      <w:pPr>
        <w:pStyle w:val="Heading5"/>
        <w:spacing w:line="273" w:lineRule="auto"/>
        <w:ind w:right="1126" w:firstLine="422"/>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Heading5"/>
        <w:spacing w:line="273" w:lineRule="auto" w:before="8"/>
        <w:ind w:right="1135" w:firstLine="422"/>
        <w:jc w:val="both"/>
      </w:pPr>
      <w:r>
        <w:rPr/>
        <w:t>（</w:t>
      </w:r>
      <w:r>
        <w:rPr>
          <w:rFonts w:ascii="宋体" w:hAnsi="宋体" w:cs="宋体" w:eastAsia="宋体" w:hint="default"/>
        </w:rPr>
        <w:t>1</w:t>
      </w:r>
      <w:r>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Heading5"/>
        <w:spacing w:line="240" w:lineRule="auto"/>
        <w:ind w:left="575" w:right="0"/>
        <w:jc w:val="left"/>
      </w:pPr>
      <w:r>
        <w:rPr/>
        <w:t>（</w:t>
      </w:r>
      <w:r>
        <w:rPr>
          <w:rFonts w:ascii="宋体" w:hAnsi="宋体" w:cs="宋体" w:eastAsia="宋体" w:hint="default"/>
        </w:rPr>
        <w:t>2</w:t>
      </w:r>
      <w:r>
        <w:rPr/>
        <w:t>）在合并财务报表中，在丧失控制权之前每一次处置价款与处置投资对应的享有该子公司净资产</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40" w:lineRule="auto" w:before="36"/>
        <w:ind w:right="0"/>
        <w:jc w:val="left"/>
      </w:pPr>
      <w:r>
        <w:rPr/>
        <w:t>份额的差额，确认为其他综合收益，在丧失控制权时一并转入丧失控制权当期的损益。</w:t>
      </w:r>
    </w:p>
    <w:p>
      <w:pPr>
        <w:tabs>
          <w:tab w:pos="575" w:val="left" w:leader="none"/>
        </w:tabs>
        <w:spacing w:line="259" w:lineRule="auto" w:before="37"/>
        <w:ind w:left="575" w:right="1142"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共同控制、重大影响的判断标准</w:t>
      </w:r>
      <w:r>
        <w:rPr>
          <w:rFonts w:ascii="宋体" w:hAnsi="宋体" w:cs="宋体" w:eastAsia="宋体" w:hint="default"/>
          <w:b/>
          <w:bCs/>
          <w:spacing w:val="-101"/>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Heading5"/>
        <w:spacing w:line="273" w:lineRule="auto" w:before="21"/>
        <w:ind w:right="0"/>
        <w:jc w:val="left"/>
      </w:pPr>
      <w:r>
        <w:rPr>
          <w:spacing w:val="-2"/>
        </w:rPr>
        <w:t>策，需要经过分享控制权的参与方一致同意时才存在，则视为本公司与其他参与方共同控制某项安排，该</w:t>
      </w:r>
      <w:r>
        <w:rPr>
          <w:spacing w:val="-33"/>
        </w:rPr>
        <w:t> </w:t>
      </w:r>
      <w:r>
        <w:rPr>
          <w:spacing w:val="-33"/>
        </w:rPr>
      </w:r>
      <w:r>
        <w:rPr/>
        <w:t>安排即属于合营安排。</w:t>
      </w:r>
    </w:p>
    <w:p>
      <w:pPr>
        <w:pStyle w:val="Heading5"/>
        <w:spacing w:line="273" w:lineRule="auto"/>
        <w:ind w:right="1125" w:firstLine="422"/>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33"/>
        </w:rPr>
        <w:t> </w:t>
      </w:r>
      <w:r>
        <w:rPr>
          <w:spacing w:val="-33"/>
        </w:rPr>
      </w:r>
      <w:r>
        <w:rPr>
          <w:spacing w:val="-2"/>
        </w:rPr>
        <w:t>时，该单独主体作为共同经营，本公司确认与共同经营利益份额相关的项目，并按照相关企业会计准则的</w:t>
      </w:r>
      <w:r>
        <w:rPr>
          <w:spacing w:val="-33"/>
        </w:rPr>
        <w:t> </w:t>
      </w:r>
      <w:r>
        <w:rPr>
          <w:spacing w:val="-33"/>
        </w:rPr>
      </w:r>
      <w:r>
        <w:rPr/>
        <w:t>规定进行会计处理。</w:t>
      </w:r>
    </w:p>
    <w:p>
      <w:pPr>
        <w:pStyle w:val="Heading5"/>
        <w:spacing w:line="273" w:lineRule="auto" w:before="8"/>
        <w:ind w:right="1124" w:firstLine="422"/>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32"/>
        </w:rPr>
        <w:t> </w:t>
      </w:r>
      <w:r>
        <w:rPr>
          <w:spacing w:val="-32"/>
        </w:rPr>
      </w:r>
      <w:r>
        <w:rPr>
          <w:spacing w:val="-2"/>
        </w:rPr>
        <w:t>断对被投资单位具有重大影响：（</w:t>
      </w:r>
      <w:r>
        <w:rPr>
          <w:rFonts w:ascii="宋体" w:hAnsi="宋体" w:cs="宋体" w:eastAsia="宋体" w:hint="default"/>
          <w:spacing w:val="-2"/>
        </w:rPr>
        <w:t>1</w:t>
      </w:r>
      <w:r>
        <w:rPr>
          <w:spacing w:val="-2"/>
        </w:rPr>
        <w:t>）在被投资单位的董事会或类似权力机构中派有代表；（</w:t>
      </w:r>
      <w:r>
        <w:rPr>
          <w:rFonts w:ascii="宋体" w:hAnsi="宋体" w:cs="宋体" w:eastAsia="宋体" w:hint="default"/>
          <w:spacing w:val="-2"/>
        </w:rPr>
        <w:t>2</w:t>
      </w:r>
      <w:r>
        <w:rPr>
          <w:spacing w:val="-2"/>
        </w:rPr>
        <w:t>）参与被投</w:t>
      </w:r>
      <w:r>
        <w:rPr>
          <w:spacing w:val="-33"/>
        </w:rPr>
        <w:t> </w:t>
      </w:r>
      <w:r>
        <w:rPr>
          <w:spacing w:val="-33"/>
        </w:rPr>
      </w:r>
      <w:r>
        <w:rPr>
          <w:spacing w:val="-2"/>
        </w:rPr>
        <w:t>资单位财务和经营政策制定过程；（</w:t>
      </w:r>
      <w:r>
        <w:rPr>
          <w:rFonts w:ascii="宋体" w:hAnsi="宋体" w:cs="宋体" w:eastAsia="宋体" w:hint="default"/>
          <w:spacing w:val="-2"/>
        </w:rPr>
        <w:t>3</w:t>
      </w:r>
      <w:r>
        <w:rPr>
          <w:spacing w:val="-2"/>
        </w:rPr>
        <w:t>）与被投资单位之间发生重要交易；（</w:t>
      </w:r>
      <w:r>
        <w:rPr>
          <w:rFonts w:ascii="宋体" w:hAnsi="宋体" w:cs="宋体" w:eastAsia="宋体" w:hint="default"/>
          <w:spacing w:val="-2"/>
        </w:rPr>
        <w:t>4</w:t>
      </w:r>
      <w:r>
        <w:rPr>
          <w:spacing w:val="-2"/>
        </w:rPr>
        <w:t>）向被投资单位派出管理人</w:t>
      </w:r>
      <w:r>
        <w:rPr>
          <w:spacing w:val="-35"/>
        </w:rPr>
        <w:t> </w:t>
      </w:r>
      <w:r>
        <w:rPr>
          <w:spacing w:val="-35"/>
        </w:rPr>
      </w:r>
      <w:r>
        <w:rPr/>
        <w:t>员；（</w:t>
      </w:r>
      <w:r>
        <w:rPr>
          <w:rFonts w:ascii="宋体" w:hAnsi="宋体" w:cs="宋体" w:eastAsia="宋体" w:hint="default"/>
        </w:rPr>
        <w:t>5</w:t>
      </w:r>
      <w:r>
        <w:rPr/>
        <w:t>）向被投资单位提供关键技术资料。</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17、投资性房地产" w:id="184"/>
      <w:bookmarkEnd w:id="184"/>
      <w:r>
        <w:rPr>
          <w:b w:val="0"/>
          <w:bCs w:val="0"/>
        </w:rPr>
      </w:r>
      <w:r>
        <w:rPr>
          <w:rFonts w:ascii="Times New Roman" w:hAnsi="Times New Roman" w:cs="Times New Roman" w:eastAsia="Times New Roman" w:hint="default"/>
        </w:rPr>
        <w:t>17</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8661"/>
        <w:jc w:val="left"/>
      </w:pPr>
      <w:r>
        <w:rPr>
          <w:spacing w:val="-2"/>
        </w:rPr>
        <w:t>投资性房地产计量模式</w:t>
      </w:r>
      <w:r>
        <w:rPr>
          <w:spacing w:val="-66"/>
        </w:rPr>
        <w:t> </w:t>
      </w:r>
      <w:r>
        <w:rPr>
          <w:spacing w:val="-66"/>
        </w:rPr>
      </w:r>
      <w:r>
        <w:rPr/>
        <w:t>不适用</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18、固定资产" w:id="185"/>
      <w:bookmarkEnd w:id="185"/>
      <w:r>
        <w:rPr>
          <w:b w:val="0"/>
          <w:bCs w:val="0"/>
        </w:rPr>
      </w:r>
      <w:r>
        <w:rPr>
          <w:rFonts w:ascii="Times New Roman" w:hAnsi="Times New Roman" w:cs="Times New Roman" w:eastAsia="Times New Roman" w:hint="default"/>
        </w:rPr>
        <w:t>18</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04" w:lineRule="auto"/>
        <w:ind w:right="0" w:firstLine="360"/>
        <w:jc w:val="left"/>
      </w:pPr>
      <w:r>
        <w:rPr>
          <w:rFonts w:ascii="Times New Roman" w:hAnsi="Times New Roman" w:cs="Times New Roman" w:eastAsia="Times New Roman" w:hint="default"/>
          <w:spacing w:val="-4"/>
        </w:rPr>
        <w:t>1)</w:t>
      </w:r>
      <w:r>
        <w:rPr>
          <w:spacing w:val="-4"/>
        </w:rPr>
        <w:t>固定资产确认条件固定资产指为生产商品、提供劳务、出租或经营管理而持有，并且使用寿命超过一个会计年度的有</w:t>
      </w:r>
      <w:r>
        <w:rPr>
          <w:w w:val="101"/>
        </w:rPr>
        <w:t> </w:t>
      </w:r>
      <w:r>
        <w:rPr>
          <w:spacing w:val="-3"/>
        </w:rPr>
        <w:t>形资产。固定资产在同时满足下列条件时予以确认：</w:t>
      </w:r>
    </w:p>
    <w:p>
      <w:pPr>
        <w:pStyle w:val="BodyText"/>
        <w:spacing w:line="240" w:lineRule="auto" w:before="66"/>
        <w:ind w:left="513"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17"/>
        </w:rPr>
        <w:t> </w:t>
      </w:r>
      <w:r>
        <w:rPr>
          <w:spacing w:val="-3"/>
        </w:rPr>
        <w:t>与该固定资产有关的经济利益很可能流入企业；</w:t>
      </w:r>
    </w:p>
    <w:p>
      <w:pPr>
        <w:pStyle w:val="BodyText"/>
        <w:spacing w:line="240" w:lineRule="auto" w:before="101"/>
        <w:ind w:left="513"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5"/>
        </w:rPr>
        <w:t> </w:t>
      </w:r>
      <w:r>
        <w:rPr>
          <w:spacing w:val="-3"/>
        </w:rPr>
        <w:t>该固定资产的成本能够可靠地计量。</w:t>
      </w:r>
    </w:p>
    <w:p>
      <w:pPr>
        <w:pStyle w:val="BodyText"/>
        <w:spacing w:line="240" w:lineRule="auto" w:before="106"/>
        <w:ind w:left="513" w:right="0"/>
        <w:jc w:val="left"/>
      </w:pPr>
      <w:r>
        <w:rPr>
          <w:rFonts w:ascii="Times New Roman" w:hAnsi="Times New Roman" w:cs="Times New Roman" w:eastAsia="Times New Roman" w:hint="default"/>
          <w:spacing w:val="-3"/>
        </w:rPr>
        <w:t>2)</w:t>
      </w:r>
      <w:r>
        <w:rPr>
          <w:spacing w:val="-3"/>
        </w:rPr>
        <w:t>固定资产初始计量本公司固定资产按成本进行初始计量。</w:t>
      </w:r>
    </w:p>
    <w:p>
      <w:pPr>
        <w:pStyle w:val="BodyText"/>
        <w:spacing w:line="304" w:lineRule="auto" w:before="96"/>
        <w:ind w:right="0" w:firstLine="36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0"/>
        </w:rPr>
        <w:t> </w:t>
      </w:r>
      <w:r>
        <w:rPr>
          <w:spacing w:val="-4"/>
        </w:rPr>
        <w:t>外购的固定资产的成本包括买价、进口关税等相关税费，以及为使固定资产达到预定可使用状态前所发生的可直接归</w:t>
      </w:r>
      <w:r>
        <w:rPr>
          <w:w w:val="101"/>
        </w:rPr>
        <w:t> </w:t>
      </w:r>
      <w:r>
        <w:rPr>
          <w:spacing w:val="-3"/>
        </w:rPr>
        <w:t>属于该资产的其他支出。</w:t>
      </w:r>
    </w:p>
    <w:p>
      <w:pPr>
        <w:pStyle w:val="BodyText"/>
        <w:spacing w:line="240" w:lineRule="auto" w:before="66"/>
        <w:ind w:left="513"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30"/>
        </w:rPr>
        <w:t> </w:t>
      </w:r>
      <w:r>
        <w:rPr>
          <w:spacing w:val="-3"/>
        </w:rPr>
        <w:t>自行建造固定资产的成本，由建造该项资产达到预定可使用状态前所发生的必要支出构成。</w:t>
      </w:r>
    </w:p>
    <w:p>
      <w:pPr>
        <w:pStyle w:val="BodyText"/>
        <w:spacing w:line="304" w:lineRule="auto" w:before="101"/>
        <w:ind w:right="1123" w:firstLine="36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2"/>
        </w:rPr>
        <w:t> </w:t>
      </w:r>
      <w:r>
        <w:rPr>
          <w:spacing w:val="-3"/>
        </w:rPr>
        <w:t>投资者投入的固定资产，按投资合同或协议约定的价值作为入账价值，但合同或协议约定价值不公允的按公允价值入</w:t>
      </w:r>
      <w:r>
        <w:rPr>
          <w:w w:val="101"/>
        </w:rPr>
        <w:t> </w:t>
      </w:r>
      <w:r>
        <w:rPr/>
        <w:t>账。</w:t>
      </w:r>
    </w:p>
    <w:p>
      <w:pPr>
        <w:pStyle w:val="BodyText"/>
        <w:spacing w:line="304" w:lineRule="auto" w:before="61"/>
        <w:ind w:right="0" w:firstLine="36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3"/>
        </w:rPr>
        <w:t> </w:t>
      </w:r>
      <w:r>
        <w:rPr>
          <w:spacing w:val="-4"/>
        </w:rPr>
        <w:t>购买固定资产的价款超过正常信用条件延期支付，实质上具有融资性质的，固定资产的成本以购买价款的现值为基础</w:t>
      </w:r>
      <w:r>
        <w:rPr>
          <w:w w:val="101"/>
        </w:rPr>
        <w:t> </w:t>
      </w:r>
      <w:r>
        <w:rPr>
          <w:spacing w:val="-3"/>
        </w:rPr>
        <w:t>确定。实际支付的价款与购买价款的现值之间的差额，除应予资本化的以外，在信用期间内计入当期损益。</w:t>
      </w:r>
    </w:p>
    <w:p>
      <w:pPr>
        <w:pStyle w:val="BodyText"/>
        <w:spacing w:line="240" w:lineRule="auto" w:before="66"/>
        <w:ind w:left="513" w:right="0"/>
        <w:jc w:val="left"/>
      </w:pPr>
      <w:r>
        <w:rPr>
          <w:rFonts w:ascii="Times New Roman" w:hAnsi="Times New Roman" w:cs="Times New Roman" w:eastAsia="Times New Roman" w:hint="default"/>
        </w:rPr>
        <w:t>3)</w:t>
      </w:r>
      <w:r>
        <w:rPr/>
        <w:t>固定资产后续计量及处置</w:t>
      </w:r>
    </w:p>
    <w:p>
      <w:pPr>
        <w:pStyle w:val="BodyText"/>
        <w:spacing w:line="314" w:lineRule="auto" w:before="101"/>
        <w:ind w:right="0" w:firstLine="36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2"/>
        </w:rPr>
        <w:t> </w:t>
      </w:r>
      <w:r>
        <w:rPr>
          <w:spacing w:val="-3"/>
        </w:rPr>
        <w:t>固定资产折旧固定资产折旧按其入账价值减去预计净残值后在预计使用寿命内计提。对计提了减值准备的固定资产，</w:t>
      </w:r>
      <w:r>
        <w:rPr>
          <w:w w:val="101"/>
        </w:rPr>
        <w:t> </w:t>
      </w:r>
      <w:r>
        <w:rPr>
          <w:spacing w:val="-3"/>
        </w:rPr>
        <w:t>则在未来期间按扣除减值准备后的账面价值及依据尚可使用年限确定折旧额；已提足折旧仍继续使用的固定资产不计提折</w:t>
      </w:r>
      <w:r>
        <w:rPr>
          <w:spacing w:val="66"/>
        </w:rPr>
        <w:t> </w:t>
      </w:r>
      <w:r>
        <w:rPr>
          <w:spacing w:val="66"/>
        </w:rPr>
      </w:r>
      <w:r>
        <w:rPr>
          <w:spacing w:val="-4"/>
        </w:rPr>
        <w:t>旧。本公司根据固定资产的性质和使用情况，确定固定资产的使用寿命和预计净残值。并在年度终了，对固定资产的使用寿</w:t>
      </w:r>
      <w:r>
        <w:rPr>
          <w:spacing w:val="41"/>
        </w:rPr>
        <w:t> </w:t>
      </w:r>
      <w:r>
        <w:rPr>
          <w:spacing w:val="41"/>
        </w:rPr>
      </w:r>
      <w:r>
        <w:rPr>
          <w:spacing w:val="-3"/>
        </w:rPr>
        <w:t>命、预计净残值和折旧方法进行复核，如与原先估计数存在差异的，进行相应的调整。</w:t>
      </w:r>
    </w:p>
    <w:p>
      <w:pPr>
        <w:pStyle w:val="BodyText"/>
        <w:spacing w:line="304" w:lineRule="auto" w:before="54"/>
        <w:ind w:right="0" w:firstLine="36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3"/>
        </w:rPr>
        <w:t> </w:t>
      </w:r>
      <w:r>
        <w:rPr>
          <w:spacing w:val="-4"/>
        </w:rPr>
        <w:t>固定资产的后续支出与固定资产有关的后续支出，符合固定资产确认条件的，计入固定资产成本；不符合固定资产确</w:t>
      </w:r>
      <w:r>
        <w:rPr>
          <w:w w:val="101"/>
        </w:rPr>
        <w:t> </w:t>
      </w:r>
      <w:r>
        <w:rPr>
          <w:spacing w:val="-3"/>
        </w:rPr>
        <w:t>认条件的，在发生时计入当期损益。</w:t>
      </w:r>
    </w:p>
    <w:p>
      <w:pPr>
        <w:spacing w:after="0" w:line="304"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4" w:lineRule="auto" w:before="46"/>
        <w:ind w:right="0" w:firstLine="36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2"/>
        </w:rPr>
        <w:t> </w:t>
      </w:r>
      <w:r>
        <w:rPr>
          <w:spacing w:val="-3"/>
        </w:rPr>
        <w:t>固定资产处置当固定资产被处置、或者预期通过使用或处置不能产生经济利益时，终止确认该固定资产。固定资产出</w:t>
      </w:r>
      <w:r>
        <w:rPr>
          <w:w w:val="101"/>
        </w:rPr>
        <w:t> </w:t>
      </w:r>
      <w:r>
        <w:rPr>
          <w:spacing w:val="-3"/>
        </w:rPr>
        <w:t>售、转让、报废或毁损的处置收入扣除其账面价值和相关税费后的金额计入当期损益。</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9.50%</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19、在建工程" w:id="188"/>
      <w:bookmarkEnd w:id="188"/>
      <w:r>
        <w:rPr>
          <w:b w:val="0"/>
          <w:bCs w:val="0"/>
        </w:rPr>
      </w:r>
      <w:r>
        <w:rPr>
          <w:rFonts w:ascii="Times New Roman" w:hAnsi="Times New Roman" w:cs="Times New Roman" w:eastAsia="Times New Roman" w:hint="default"/>
        </w:rPr>
        <w:t>19</w:t>
      </w:r>
      <w:r>
        <w:rPr/>
        <w:t>、在建工程</w:t>
      </w:r>
      <w:r>
        <w:rPr>
          <w:b w:val="0"/>
          <w:bCs w:val="0"/>
        </w:rPr>
      </w:r>
    </w:p>
    <w:p>
      <w:pPr>
        <w:spacing w:line="240" w:lineRule="auto" w:before="5"/>
        <w:rPr>
          <w:rFonts w:ascii="宋体" w:hAnsi="宋体" w:cs="宋体" w:eastAsia="宋体" w:hint="default"/>
          <w:b/>
          <w:bCs/>
          <w:sz w:val="24"/>
          <w:szCs w:val="24"/>
        </w:rPr>
      </w:pPr>
    </w:p>
    <w:p>
      <w:pPr>
        <w:pStyle w:val="Heading5"/>
        <w:tabs>
          <w:tab w:pos="575" w:val="left" w:leader="none"/>
        </w:tabs>
        <w:spacing w:line="259" w:lineRule="auto" w:before="0"/>
        <w:ind w:left="575" w:right="1123"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在建工程初始计量</w:t>
      </w:r>
      <w:r>
        <w:rPr>
          <w:rFonts w:ascii="宋体" w:hAnsi="宋体" w:cs="宋体" w:eastAsia="宋体" w:hint="default"/>
          <w:b/>
          <w:bCs/>
          <w:spacing w:val="-103"/>
        </w:rPr>
        <w:t> </w:t>
      </w:r>
      <w:r>
        <w:rPr>
          <w:spacing w:val="-2"/>
        </w:rPr>
        <w:t>本公司自行建造的在建工程按实际成本计价，实际成本由建造该项资产达到预定可使用状态前所发生</w:t>
      </w:r>
    </w:p>
    <w:p>
      <w:pPr>
        <w:pStyle w:val="Heading5"/>
        <w:spacing w:line="273" w:lineRule="auto" w:before="20"/>
        <w:ind w:right="0"/>
        <w:jc w:val="left"/>
      </w:pPr>
      <w:r>
        <w:rPr>
          <w:spacing w:val="-2"/>
        </w:rPr>
        <w:t>的必要支出构成，包括工程用物资成本、人工成本、交纳的相关税费、应予资本化的借款费用以及应分摊</w:t>
      </w:r>
      <w:r>
        <w:rPr>
          <w:spacing w:val="-33"/>
        </w:rPr>
        <w:t> </w:t>
      </w:r>
      <w:r>
        <w:rPr>
          <w:spacing w:val="-33"/>
        </w:rPr>
      </w:r>
      <w:r>
        <w:rPr/>
        <w:t>的间接费用等。</w:t>
      </w:r>
    </w:p>
    <w:p>
      <w:pPr>
        <w:tabs>
          <w:tab w:pos="575" w:val="left" w:leader="none"/>
        </w:tabs>
        <w:spacing w:line="259" w:lineRule="auto" w:before="7"/>
        <w:ind w:left="575" w:right="1123"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在建工程结转为固定资产的标准和时点</w:t>
      </w:r>
      <w:r>
        <w:rPr>
          <w:rFonts w:ascii="宋体" w:hAnsi="宋体" w:cs="宋体" w:eastAsia="宋体" w:hint="default"/>
          <w:b/>
          <w:bCs/>
          <w:spacing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Heading5"/>
        <w:spacing w:line="273" w:lineRule="auto" w:before="20"/>
        <w:ind w:right="1125"/>
        <w:jc w:val="both"/>
      </w:pPr>
      <w:r>
        <w:rPr>
          <w:spacing w:val="-2"/>
        </w:rPr>
        <w:t>所建造的在建工程已达到预定可使用状态，但尚未办理竣工决算的，自达到预定可使用状态之日起，根据</w:t>
      </w:r>
      <w:r>
        <w:rPr>
          <w:spacing w:val="-33"/>
        </w:rPr>
        <w:t> </w:t>
      </w:r>
      <w:r>
        <w:rPr>
          <w:spacing w:val="-33"/>
        </w:rPr>
      </w:r>
      <w:r>
        <w:rPr>
          <w:spacing w:val="-2"/>
        </w:rPr>
        <w:t>工程预算、造价或者工程实际成本等，按估计的价值转入固定资产，并按本公司固定资产折旧政策计提固</w:t>
      </w:r>
      <w:r>
        <w:rPr>
          <w:spacing w:val="-33"/>
        </w:rPr>
        <w:t> </w:t>
      </w:r>
      <w:r>
        <w:rPr>
          <w:spacing w:val="-33"/>
        </w:rPr>
      </w:r>
      <w:r>
        <w:rPr/>
        <w:t>定资产的折旧，待办理竣工决算后，再按实际成本调整原来的暂估价值，但不调整原已计提的折旧额。</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20、借款费用" w:id="189"/>
      <w:bookmarkEnd w:id="189"/>
      <w:r>
        <w:rPr>
          <w:b w:val="0"/>
          <w:bCs w:val="0"/>
        </w:rPr>
      </w:r>
      <w:r>
        <w:rPr>
          <w:rFonts w:ascii="Times New Roman" w:hAnsi="Times New Roman" w:cs="Times New Roman" w:eastAsia="Times New Roman" w:hint="default"/>
        </w:rPr>
        <w:t>20</w:t>
      </w:r>
      <w:r>
        <w:rPr/>
        <w:t>、借款费用</w:t>
      </w:r>
      <w:r>
        <w:rPr>
          <w:b w:val="0"/>
          <w:bCs w:val="0"/>
        </w:rPr>
      </w:r>
    </w:p>
    <w:p>
      <w:pPr>
        <w:spacing w:line="240" w:lineRule="auto" w:before="10"/>
        <w:rPr>
          <w:rFonts w:ascii="宋体" w:hAnsi="宋体" w:cs="宋体" w:eastAsia="宋体" w:hint="default"/>
          <w:b/>
          <w:bCs/>
          <w:sz w:val="24"/>
          <w:szCs w:val="24"/>
        </w:rPr>
      </w:pPr>
    </w:p>
    <w:p>
      <w:pPr>
        <w:tabs>
          <w:tab w:pos="575" w:val="left" w:leader="none"/>
        </w:tabs>
        <w:spacing w:line="259" w:lineRule="auto" w:before="0"/>
        <w:ind w:left="575" w:right="1123"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借款费用资本化的确认原则</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本公司发生的借款费用，可直接归属于符合资本化条件的资产的购建或者生产的，予以资本化，计入</w:t>
      </w:r>
    </w:p>
    <w:p>
      <w:pPr>
        <w:pStyle w:val="Heading5"/>
        <w:spacing w:line="273" w:lineRule="auto" w:before="20"/>
        <w:ind w:left="575" w:right="0" w:hanging="423"/>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Heading5"/>
        <w:spacing w:line="273" w:lineRule="auto" w:before="8"/>
        <w:ind w:left="575" w:right="2475" w:hanging="423"/>
        <w:jc w:val="left"/>
      </w:pPr>
      <w:r>
        <w:rPr>
          <w:spacing w:val="-2"/>
        </w:rPr>
        <w:t>售状态的固定资产、投资性房地产和存货等资产。</w:t>
      </w:r>
      <w:r>
        <w:rPr>
          <w:spacing w:val="-60"/>
        </w:rPr>
        <w:t> </w:t>
      </w:r>
      <w:r>
        <w:rPr>
          <w:spacing w:val="-60"/>
        </w:rPr>
      </w:r>
      <w:r>
        <w:rPr/>
        <w:t>借款费用同时满足下列条件时开始资本化：</w:t>
      </w:r>
    </w:p>
    <w:p>
      <w:pPr>
        <w:pStyle w:val="Heading5"/>
        <w:spacing w:line="273" w:lineRule="auto"/>
        <w:ind w:right="0" w:firstLine="422"/>
        <w:jc w:val="left"/>
      </w:pPr>
      <w:r>
        <w:rPr/>
        <w:t>（</w:t>
      </w:r>
      <w:r>
        <w:rPr>
          <w:rFonts w:ascii="宋体" w:hAnsi="宋体" w:cs="宋体" w:eastAsia="宋体"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Heading5"/>
        <w:spacing w:line="240" w:lineRule="auto"/>
        <w:ind w:left="575" w:right="0"/>
        <w:jc w:val="left"/>
      </w:pPr>
      <w:r>
        <w:rPr/>
        <w:t>（</w:t>
      </w:r>
      <w:r>
        <w:rPr>
          <w:rFonts w:ascii="宋体" w:hAnsi="宋体" w:cs="宋体" w:eastAsia="宋体" w:hint="default"/>
        </w:rPr>
        <w:t>2</w:t>
      </w:r>
      <w:r>
        <w:rPr/>
        <w:t>）借款费用已经发生；</w:t>
      </w:r>
    </w:p>
    <w:p>
      <w:pPr>
        <w:pStyle w:val="Heading5"/>
        <w:spacing w:line="240" w:lineRule="auto" w:before="37"/>
        <w:ind w:left="575" w:right="0"/>
        <w:jc w:val="left"/>
      </w:pPr>
      <w:r>
        <w:rPr/>
        <w:t>（</w:t>
      </w:r>
      <w:r>
        <w:rPr>
          <w:rFonts w:ascii="宋体" w:hAnsi="宋体" w:cs="宋体" w:eastAsia="宋体" w:hint="default"/>
        </w:rPr>
        <w:t>3</w:t>
      </w:r>
      <w:r>
        <w:rPr/>
        <w:t>）为使资产达到预定可使用或者可销售状态所必要的购建或者生产活动已经开始。</w:t>
      </w:r>
    </w:p>
    <w:p>
      <w:pPr>
        <w:pStyle w:val="Heading5"/>
        <w:tabs>
          <w:tab w:pos="575" w:val="left" w:leader="none"/>
        </w:tabs>
        <w:spacing w:line="259" w:lineRule="auto" w:before="37"/>
        <w:ind w:left="575" w:right="1142"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借款费用资本化期间</w:t>
      </w:r>
      <w:r>
        <w:rPr>
          <w:rFonts w:ascii="宋体" w:hAnsi="宋体" w:cs="宋体" w:eastAsia="宋体" w:hint="default"/>
          <w:b/>
          <w:bCs/>
          <w:spacing w:val="-103"/>
        </w:rPr>
        <w:t> </w:t>
      </w:r>
      <w:r>
        <w:rPr>
          <w:spacing w:val="-2"/>
        </w:rPr>
        <w:t>资本化期间，指从借款费用开始资本化时点到停止资本化时点的期间，借款费用暂停资本化的期间不</w:t>
      </w:r>
    </w:p>
    <w:p>
      <w:pPr>
        <w:pStyle w:val="Heading5"/>
        <w:spacing w:line="240" w:lineRule="auto" w:before="20"/>
        <w:ind w:right="0"/>
        <w:jc w:val="left"/>
      </w:pPr>
      <w:r>
        <w:rPr/>
        <w:t>包括在内。</w:t>
      </w:r>
    </w:p>
    <w:p>
      <w:pPr>
        <w:pStyle w:val="Heading5"/>
        <w:spacing w:line="273" w:lineRule="auto" w:before="37"/>
        <w:ind w:left="575"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Heading5"/>
        <w:spacing w:line="240" w:lineRule="auto" w:before="8"/>
        <w:ind w:right="0"/>
        <w:jc w:val="left"/>
      </w:pPr>
      <w:r>
        <w:rPr/>
        <w:t>止资本化。</w:t>
      </w:r>
    </w:p>
    <w:p>
      <w:pPr>
        <w:pStyle w:val="Heading5"/>
        <w:spacing w:line="273" w:lineRule="auto" w:before="37"/>
        <w:ind w:right="0" w:firstLine="422"/>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spacing w:after="0" w:line="273"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tabs>
          <w:tab w:pos="575" w:val="left" w:leader="none"/>
        </w:tabs>
        <w:spacing w:line="259" w:lineRule="auto" w:before="36"/>
        <w:ind w:left="575" w:right="1142"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暂停资本化期间</w:t>
      </w:r>
      <w:r>
        <w:rPr>
          <w:rFonts w:ascii="宋体" w:hAnsi="宋体" w:cs="宋体" w:eastAsia="宋体" w:hint="default"/>
          <w:b/>
          <w:bCs/>
          <w:spacing w:val="-104"/>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Heading5"/>
        <w:spacing w:line="273" w:lineRule="auto" w:before="20"/>
        <w:ind w:right="1122"/>
        <w:jc w:val="both"/>
      </w:pPr>
      <w:r>
        <w:rPr>
          <w:spacing w:val="-2"/>
        </w:rPr>
        <w:t>款费用暂停资本化；该项中断如是所购建或生产的符合资本化条件的资产达到预定可使用状态或者可销售</w:t>
      </w:r>
      <w:r>
        <w:rPr>
          <w:spacing w:val="-30"/>
        </w:rPr>
        <w:t> </w:t>
      </w:r>
      <w:r>
        <w:rPr>
          <w:spacing w:val="-30"/>
        </w:rPr>
      </w:r>
      <w:r>
        <w:rPr>
          <w:spacing w:val="-2"/>
        </w:rPr>
        <w:t>状态必要的程序，则借款费用继续资本化。在中断期间发生的借款费用确认为当期损益，直至资产的购建</w:t>
      </w:r>
      <w:r>
        <w:rPr>
          <w:spacing w:val="-33"/>
        </w:rPr>
        <w:t> </w:t>
      </w:r>
      <w:r>
        <w:rPr>
          <w:spacing w:val="-33"/>
        </w:rPr>
      </w:r>
      <w:r>
        <w:rPr/>
        <w:t>或者生产活动重新开始后借款费用继续资本化。</w:t>
      </w:r>
    </w:p>
    <w:p>
      <w:pPr>
        <w:tabs>
          <w:tab w:pos="575" w:val="left" w:leader="none"/>
        </w:tabs>
        <w:spacing w:line="259" w:lineRule="auto" w:before="7"/>
        <w:ind w:left="575" w:right="1123"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借款费用资本化金额的计算方法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Heading5"/>
        <w:spacing w:line="273" w:lineRule="auto" w:before="20"/>
        <w:ind w:right="1106"/>
        <w:jc w:val="both"/>
      </w:pPr>
      <w:r>
        <w:rPr>
          <w:spacing w:val="-2"/>
        </w:rPr>
        <w:t>投资收益）及其辅助费用在所购建或者生产的符合资本化条件的资产达到预定可使用或者可销售状态前，</w:t>
      </w:r>
      <w:r>
        <w:rPr>
          <w:spacing w:val="-13"/>
        </w:rPr>
        <w:t> </w:t>
      </w:r>
      <w:r>
        <w:rPr>
          <w:spacing w:val="-13"/>
        </w:rPr>
      </w:r>
      <w:r>
        <w:rPr/>
        <w:t>予以资本化。</w:t>
      </w:r>
    </w:p>
    <w:p>
      <w:pPr>
        <w:pStyle w:val="Heading5"/>
        <w:spacing w:line="273" w:lineRule="auto" w:before="8"/>
        <w:ind w:right="1126" w:firstLine="422"/>
        <w:jc w:val="both"/>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Heading5"/>
        <w:spacing w:line="273" w:lineRule="auto"/>
        <w:ind w:right="1125" w:firstLine="422"/>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600" w:lineRule="atLeast" w:before="9"/>
        <w:ind w:left="575" w:right="0" w:hanging="423"/>
        <w:jc w:val="left"/>
        <w:rPr>
          <w:rFonts w:ascii="宋体" w:hAnsi="宋体" w:cs="宋体" w:eastAsia="宋体" w:hint="default"/>
          <w:sz w:val="21"/>
          <w:szCs w:val="21"/>
        </w:rPr>
      </w:pPr>
      <w:bookmarkStart w:name="（1）计价方法、使用寿命、减值测试"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无形资产是指本公司拥有或者控制的没有实物形态的可辨认非货币性资产，包括土地使用权、外购软</w:t>
      </w:r>
    </w:p>
    <w:p>
      <w:pPr>
        <w:pStyle w:val="Heading5"/>
        <w:spacing w:line="240" w:lineRule="auto" w:before="37"/>
        <w:ind w:right="0"/>
        <w:jc w:val="left"/>
      </w:pPr>
      <w:r>
        <w:rPr/>
        <w:t>件和专利技术特许权。。</w:t>
      </w:r>
    </w:p>
    <w:p>
      <w:pPr>
        <w:spacing w:line="256" w:lineRule="auto" w:before="37"/>
        <w:ind w:left="575" w:right="0"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pStyle w:val="Heading5"/>
        <w:spacing w:line="273" w:lineRule="auto" w:before="22"/>
        <w:ind w:right="1125"/>
        <w:jc w:val="both"/>
      </w:pPr>
      <w:r>
        <w:rPr>
          <w:spacing w:val="-2"/>
        </w:rPr>
        <w:t>他支出。购买无形资产的价款超过正常信用条件延期支付，实质上具有融资性质的，无形资产的成本以购</w:t>
      </w:r>
      <w:r>
        <w:rPr>
          <w:spacing w:val="-33"/>
        </w:rPr>
        <w:t> </w:t>
      </w:r>
      <w:r>
        <w:rPr>
          <w:spacing w:val="-33"/>
        </w:rPr>
      </w:r>
      <w:r>
        <w:rPr/>
        <w:t>买价款的现值为基础确定。</w:t>
      </w:r>
    </w:p>
    <w:p>
      <w:pPr>
        <w:pStyle w:val="Heading5"/>
        <w:spacing w:line="273" w:lineRule="auto"/>
        <w:ind w:right="1125" w:firstLine="422"/>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Heading5"/>
        <w:spacing w:line="273" w:lineRule="auto"/>
        <w:ind w:right="1125" w:firstLine="422"/>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33"/>
        </w:rPr>
        <w:t> </w:t>
      </w:r>
      <w:r>
        <w:rPr>
          <w:spacing w:val="-33"/>
        </w:rPr>
      </w:r>
      <w:r>
        <w:rPr>
          <w:spacing w:val="-2"/>
        </w:rPr>
        <w:t>的公允价值更加可靠；不满足上述前提的非货币性资产交换，以换出资产的账面价值和应支付的相关税费</w:t>
      </w:r>
      <w:r>
        <w:rPr>
          <w:spacing w:val="-33"/>
        </w:rPr>
        <w:t> </w:t>
      </w:r>
      <w:r>
        <w:rPr>
          <w:spacing w:val="-33"/>
        </w:rPr>
      </w:r>
      <w:r>
        <w:rPr/>
        <w:t>作为换入无形资产的成本，不确认损益。</w:t>
      </w:r>
    </w:p>
    <w:p>
      <w:pPr>
        <w:pStyle w:val="Heading5"/>
        <w:spacing w:line="273" w:lineRule="auto" w:before="8"/>
        <w:ind w:right="1124" w:firstLine="422"/>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Heading5"/>
        <w:spacing w:line="273" w:lineRule="auto"/>
        <w:ind w:right="1125" w:firstLine="422"/>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33"/>
        </w:rPr>
        <w:t> </w:t>
      </w:r>
      <w:r>
        <w:rPr>
          <w:spacing w:val="-33"/>
        </w:rPr>
      </w:r>
      <w:r>
        <w:rPr/>
        <w:t>用途前所发生的其他直接费用。</w:t>
      </w:r>
    </w:p>
    <w:p>
      <w:pPr>
        <w:pStyle w:val="Heading5"/>
        <w:spacing w:line="266" w:lineRule="auto"/>
        <w:ind w:left="575" w:right="0" w:hanging="423"/>
        <w:jc w:val="left"/>
      </w:pPr>
      <w:r>
        <w:rPr>
          <w:rFonts w:ascii="Times New Roman" w:hAnsi="Times New Roman" w:cs="Times New Roman" w:eastAsia="Times New Roman" w:hint="default"/>
          <w:b/>
          <w:bCs/>
        </w:rPr>
        <w:t>2)</w:t>
      </w:r>
      <w:r>
        <w:rPr>
          <w:rFonts w:ascii="宋体" w:hAnsi="宋体" w:cs="宋体" w:eastAsia="宋体" w:hint="default"/>
          <w:b/>
          <w:bCs/>
        </w:rPr>
        <w:t>无形资产的后续计量</w:t>
      </w:r>
      <w:r>
        <w:rPr>
          <w:rFonts w:ascii="宋体" w:hAnsi="宋体" w:cs="宋体" w:eastAsia="宋体" w:hint="default"/>
          <w:b/>
          <w:bCs/>
          <w:w w:val="100"/>
        </w:rPr>
        <w:t> </w:t>
      </w:r>
      <w:r>
        <w:rPr>
          <w:spacing w:val="-2"/>
        </w:rPr>
        <w:t>本公司在取得无形资产时分析判断其使用寿命，划分为使用寿命有限和使用寿命不确定的无形资产。</w:t>
      </w:r>
      <w:r>
        <w:rPr>
          <w:w w:val="100"/>
        </w:rPr>
        <w:t> </w:t>
      </w:r>
      <w:r>
        <w:rPr>
          <w:spacing w:val="-2"/>
        </w:rPr>
        <w:t>对于使用寿命有限的无形资产，在为企业带来经济利益的期限内按直线法摊销。使用寿命有限的无形</w:t>
      </w:r>
    </w:p>
    <w:p>
      <w:pPr>
        <w:pStyle w:val="Heading5"/>
        <w:spacing w:line="240" w:lineRule="auto" w:before="14"/>
        <w:ind w:right="0"/>
        <w:jc w:val="left"/>
      </w:pPr>
      <w:r>
        <w:rPr/>
        <w:t>资产预计寿命及依据如下：</w:t>
      </w: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3217"/>
        <w:gridCol w:w="2151"/>
        <w:gridCol w:w="4293"/>
      </w:tblGrid>
      <w:tr>
        <w:trPr>
          <w:trHeight w:val="341" w:hRule="exact"/>
        </w:trPr>
        <w:tc>
          <w:tcPr>
            <w:tcW w:w="32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2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6"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Heading5"/>
        <w:spacing w:line="261" w:lineRule="exact" w:before="0"/>
        <w:ind w:left="575" w:right="0"/>
        <w:jc w:val="left"/>
      </w:pPr>
      <w:r>
        <w:rPr/>
        <w:t>每期末，对使用寿命有限的无形资产的使用寿命及摊销方法进行复核，如与原先估计数存在差异的，</w:t>
      </w:r>
    </w:p>
    <w:p>
      <w:pPr>
        <w:pStyle w:val="Heading5"/>
        <w:spacing w:line="273" w:lineRule="auto" w:before="37"/>
        <w:ind w:left="575" w:right="2475" w:hanging="423"/>
        <w:jc w:val="left"/>
      </w:pPr>
      <w:r>
        <w:rPr/>
        <w:t>进行相应的调整。</w:t>
      </w:r>
      <w:r>
        <w:rPr>
          <w:spacing w:val="-101"/>
        </w:rPr>
        <w:t> </w:t>
      </w:r>
      <w:r>
        <w:rPr>
          <w:spacing w:val="-101"/>
        </w:rPr>
      </w:r>
      <w:r>
        <w:rPr>
          <w:spacing w:val="-2"/>
        </w:rPr>
        <w:t>经复核，本期期末无形资产的使用寿命及摊销方法与以前估计未有不同。</w:t>
      </w:r>
    </w:p>
    <w:p>
      <w:pPr>
        <w:spacing w:after="0" w:line="273"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4"/>
          <w:szCs w:val="24"/>
        </w:rPr>
      </w:pPr>
    </w:p>
    <w:p>
      <w:pPr>
        <w:spacing w:line="266" w:lineRule="auto" w:before="0"/>
        <w:ind w:left="575" w:right="0"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开发阶段：在进行商业性生产或使用前，将研究成果或其他知识应用于某项计划或设计，以生产出新</w:t>
      </w:r>
    </w:p>
    <w:p>
      <w:pPr>
        <w:pStyle w:val="Heading5"/>
        <w:spacing w:line="273" w:lineRule="auto" w:before="14"/>
        <w:ind w:left="575" w:right="0" w:hanging="423"/>
        <w:jc w:val="left"/>
      </w:pPr>
      <w:r>
        <w:rPr/>
        <w:t>的或具有实质性改进的材料、装置、产品等活动的阶段。</w:t>
      </w:r>
      <w:r>
        <w:rPr>
          <w:w w:val="100"/>
        </w:rPr>
        <w:t> </w:t>
      </w:r>
      <w:r>
        <w:rPr>
          <w:spacing w:val="-2"/>
        </w:rPr>
        <w:t>内部研究开发项目研究阶段的支出，在发生时计入当期损益。</w:t>
      </w:r>
    </w:p>
    <w:p>
      <w:pPr>
        <w:pStyle w:val="Heading5"/>
        <w:spacing w:line="261" w:lineRule="auto"/>
        <w:ind w:left="575" w:right="1123" w:hanging="423"/>
        <w:jc w:val="left"/>
      </w:pPr>
      <w:r>
        <w:rPr>
          <w:rFonts w:ascii="Times New Roman" w:hAnsi="Times New Roman" w:cs="Times New Roman" w:eastAsia="Times New Roman" w:hint="default"/>
          <w:b/>
          <w:bCs/>
        </w:rPr>
        <w:t>2)</w:t>
      </w:r>
      <w:r>
        <w:rPr>
          <w:rFonts w:ascii="宋体" w:hAnsi="宋体" w:cs="宋体" w:eastAsia="宋体" w:hint="default"/>
          <w:b/>
          <w:bCs/>
        </w:rPr>
        <w:t>开发阶段支出符合资本化的具体标准</w:t>
      </w:r>
      <w:r>
        <w:rPr>
          <w:rFonts w:ascii="宋体" w:hAnsi="宋体" w:cs="宋体" w:eastAsia="宋体" w:hint="default"/>
          <w:b/>
          <w:bCs/>
          <w:spacing w:val="-103"/>
        </w:rPr>
        <w:t> </w:t>
      </w:r>
      <w:r>
        <w:rPr/>
        <w:t>内部研究开发项目开发阶段的支出，同时满足下列条件时确认为无形资产：</w:t>
      </w:r>
      <w:r>
        <w:rPr>
          <w:w w:val="100"/>
        </w:rPr>
        <w:t> </w:t>
      </w:r>
      <w:r>
        <w:rPr>
          <w:rFonts w:ascii="Times New Roman" w:hAnsi="Times New Roman" w:cs="Times New Roman" w:eastAsia="Times New Roman" w:hint="default"/>
        </w:rPr>
        <w:t>a</w:t>
      </w:r>
      <w:r>
        <w:rPr/>
        <w:t>完成该无形资产以使其能够使用或出售在技术上具有可行性；</w:t>
      </w:r>
      <w:r>
        <w:rPr>
          <w:w w:val="100"/>
        </w:rPr>
        <w:t> </w:t>
      </w:r>
      <w:r>
        <w:rPr>
          <w:rFonts w:ascii="Times New Roman" w:hAnsi="Times New Roman" w:cs="Times New Roman" w:eastAsia="Times New Roman" w:hint="default"/>
        </w:rPr>
        <w:t>b</w:t>
      </w:r>
      <w:r>
        <w:rPr/>
        <w:t>具有完成该无形资产并使用或出售的意图；</w:t>
      </w:r>
      <w:r>
        <w:rPr>
          <w:w w:val="100"/>
        </w:rPr>
        <w:t> </w:t>
      </w:r>
      <w:r>
        <w:rPr>
          <w:rFonts w:ascii="Times New Roman" w:hAnsi="Times New Roman" w:cs="Times New Roman" w:eastAsia="Times New Roman" w:hint="default"/>
        </w:rPr>
        <w:t>c</w:t>
      </w:r>
      <w:r>
        <w:rPr/>
        <w:t>无形资产产生经济利益的方式，包括能够证明运用该无形资产生产的产品存在市场或无形资产自身</w:t>
      </w:r>
    </w:p>
    <w:p>
      <w:pPr>
        <w:pStyle w:val="Heading5"/>
        <w:spacing w:line="240" w:lineRule="auto" w:before="0"/>
        <w:ind w:right="0"/>
        <w:jc w:val="left"/>
      </w:pPr>
      <w:r>
        <w:rPr/>
        <w:t>存在市场，无形资产将在内部使用的，能够证明其有用性；</w:t>
      </w:r>
    </w:p>
    <w:p>
      <w:pPr>
        <w:pStyle w:val="Heading5"/>
        <w:spacing w:line="259" w:lineRule="auto" w:before="37"/>
        <w:ind w:right="1134" w:firstLine="422"/>
        <w:jc w:val="both"/>
      </w:pPr>
      <w:r>
        <w:rPr>
          <w:rFonts w:ascii="Times New Roman" w:hAnsi="Times New Roman" w:cs="Times New Roman" w:eastAsia="Times New Roman" w:hint="default"/>
        </w:rPr>
        <w:t>d</w:t>
      </w:r>
      <w:r>
        <w:rPr/>
        <w:t>有足够的技术、财务资源和其他资源支持，以完成该无形资产的开发，并有能力使用或出售该无形</w:t>
      </w:r>
      <w:r>
        <w:rPr>
          <w:w w:val="100"/>
        </w:rPr>
        <w:t> </w:t>
      </w:r>
      <w:r>
        <w:rPr/>
        <w:t>资产；</w:t>
      </w:r>
    </w:p>
    <w:p>
      <w:pPr>
        <w:pStyle w:val="Heading5"/>
        <w:spacing w:line="266" w:lineRule="auto" w:before="20"/>
        <w:ind w:right="0" w:firstLine="422"/>
        <w:jc w:val="left"/>
      </w:pPr>
      <w:r>
        <w:rPr>
          <w:rFonts w:ascii="Times New Roman" w:hAnsi="Times New Roman" w:cs="Times New Roman" w:eastAsia="Times New Roman" w:hint="default"/>
        </w:rPr>
        <w:t>e</w:t>
      </w:r>
      <w:r>
        <w:rPr/>
        <w:t>归属于该无形资产开发阶段的支出能够可靠地计量。</w:t>
      </w:r>
      <w:r>
        <w:rPr>
          <w:w w:val="100"/>
        </w:rPr>
        <w:t> </w:t>
      </w:r>
      <w:r>
        <w:rPr>
          <w:spacing w:val="-2"/>
        </w:rPr>
        <w:t>不满足上述条件的开发阶段的支出，于发生时计入当期损益。以前期间已计入损益的开发支出不在以后期</w:t>
      </w:r>
      <w:r>
        <w:rPr>
          <w:spacing w:val="-33"/>
        </w:rPr>
        <w:t> </w:t>
      </w:r>
      <w:r>
        <w:rPr>
          <w:spacing w:val="-33"/>
        </w:rPr>
      </w:r>
      <w:r>
        <w:rPr>
          <w:spacing w:val="-2"/>
        </w:rPr>
        <w:t>间重新确认为资产。已资本化的开发阶段的支出在资产负债表上列示为开发支出，自该项目达到预定用途</w:t>
      </w:r>
      <w:r>
        <w:rPr>
          <w:spacing w:val="-33"/>
        </w:rPr>
        <w:t> </w:t>
      </w:r>
      <w:r>
        <w:rPr>
          <w:spacing w:val="-33"/>
        </w:rPr>
      </w:r>
      <w:r>
        <w:rPr/>
        <w:t>之日起转为无形资产。</w:t>
      </w:r>
    </w:p>
    <w:p>
      <w:pPr>
        <w:pStyle w:val="Heading5"/>
        <w:spacing w:line="590" w:lineRule="atLeast" w:before="17"/>
        <w:ind w:left="575" w:right="0" w:hanging="423"/>
        <w:jc w:val="left"/>
      </w:pPr>
      <w:bookmarkStart w:name="22、长期资产减值" w:id="193"/>
      <w:bookmarkEnd w:id="193"/>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spacing w:val="-102"/>
        </w:rPr>
        <w:t> </w:t>
      </w:r>
      <w:r>
        <w:rPr>
          <w:spacing w:val="-2"/>
        </w:rPr>
        <w:t>本公司在资产负债表日判断长期资产是否存在可能发生减值的迹象。如果长期资产存在减值迹象的，</w:t>
      </w:r>
    </w:p>
    <w:p>
      <w:pPr>
        <w:pStyle w:val="Heading5"/>
        <w:spacing w:line="273" w:lineRule="auto" w:before="37"/>
        <w:ind w:right="0"/>
        <w:jc w:val="left"/>
      </w:pPr>
      <w:r>
        <w:rPr>
          <w:spacing w:val="-2"/>
        </w:rPr>
        <w:t>以单项资产为基础估计其可收回金额；难以对单项资产的可收回金额进行估计的，以该资产所属的资产组</w:t>
      </w:r>
      <w:r>
        <w:rPr>
          <w:spacing w:val="-30"/>
        </w:rPr>
        <w:t> </w:t>
      </w:r>
      <w:r>
        <w:rPr>
          <w:spacing w:val="-30"/>
        </w:rPr>
      </w:r>
      <w:r>
        <w:rPr/>
        <w:t>为基础确定资产组的可收回金额。</w:t>
      </w:r>
    </w:p>
    <w:p>
      <w:pPr>
        <w:pStyle w:val="Heading5"/>
        <w:spacing w:line="273" w:lineRule="auto" w:before="8"/>
        <w:ind w:right="1121" w:firstLine="422"/>
        <w:jc w:val="both"/>
      </w:pPr>
      <w:r>
        <w:rPr>
          <w:spacing w:val="-2"/>
        </w:rPr>
        <w:t>资产可收回金额的估计，根据其公允价值减去处置费用后的净额与资产预计未来现金流量的现值两者</w:t>
      </w:r>
      <w:r>
        <w:rPr>
          <w:w w:val="100"/>
        </w:rPr>
        <w:t> </w:t>
      </w:r>
      <w:r>
        <w:rPr/>
        <w:t>之间较高者确定。</w:t>
      </w:r>
    </w:p>
    <w:p>
      <w:pPr>
        <w:pStyle w:val="Heading5"/>
        <w:spacing w:line="273" w:lineRule="auto"/>
        <w:ind w:right="1125" w:firstLine="422"/>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33"/>
        </w:rPr>
        <w:t> </w:t>
      </w:r>
      <w:r>
        <w:rPr>
          <w:spacing w:val="-33"/>
        </w:rPr>
      </w:r>
      <w:r>
        <w:rPr/>
        <w:t>值损失一经确认，在以后会计期间不得转回。</w:t>
      </w:r>
    </w:p>
    <w:p>
      <w:pPr>
        <w:pStyle w:val="Heading5"/>
        <w:spacing w:line="273" w:lineRule="auto" w:before="8"/>
        <w:ind w:right="1125" w:firstLine="422"/>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Heading5"/>
        <w:spacing w:line="273" w:lineRule="auto"/>
        <w:ind w:right="1125" w:firstLine="422"/>
        <w:jc w:val="both"/>
      </w:pPr>
      <w:r>
        <w:rPr>
          <w:spacing w:val="-2"/>
        </w:rPr>
        <w:t>因企业合并所形成的商誉和使用寿命不确定的无形资产，无论是否存在减值迹象，每年都进行减值测</w:t>
      </w:r>
      <w:r>
        <w:rPr>
          <w:w w:val="100"/>
        </w:rPr>
        <w:t> </w:t>
      </w:r>
      <w:r>
        <w:rPr/>
        <w:t>试。</w:t>
      </w:r>
    </w:p>
    <w:p>
      <w:pPr>
        <w:pStyle w:val="Heading5"/>
        <w:spacing w:line="273" w:lineRule="auto"/>
        <w:ind w:right="1121" w:firstLine="422"/>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33"/>
        </w:rPr>
        <w:t> </w:t>
      </w:r>
      <w:r>
        <w:rPr>
          <w:spacing w:val="-33"/>
        </w:rPr>
      </w:r>
      <w:r>
        <w:rPr>
          <w:spacing w:val="-2"/>
        </w:rPr>
        <w:t>组组合存在减值迹象的，先对不包含商誉的资产组或者资产组组合进行减值测试，计算可收回金额，并与</w:t>
      </w:r>
      <w:r>
        <w:rPr>
          <w:spacing w:val="-33"/>
        </w:rPr>
        <w:t> </w:t>
      </w:r>
      <w:r>
        <w:rPr>
          <w:spacing w:val="-33"/>
        </w:rPr>
      </w:r>
      <w:r>
        <w:rPr>
          <w:spacing w:val="-2"/>
        </w:rPr>
        <w:t>相关账面价值相比较，确认相应的减值损失。再对包含商誉的资产组或者资产组组合进行减值测试，比较</w:t>
      </w:r>
      <w:r>
        <w:rPr>
          <w:spacing w:val="-33"/>
        </w:rPr>
        <w:t> </w:t>
      </w:r>
      <w:r>
        <w:rPr>
          <w:spacing w:val="-33"/>
        </w:rPr>
      </w:r>
      <w:r>
        <w:rPr>
          <w:spacing w:val="-2"/>
        </w:rPr>
        <w:t>这些相关资产组或者资产组组合的账面价值（包括所分摊的商誉的账面价值部分）与其可收回金额，如相</w:t>
      </w:r>
      <w:r>
        <w:rPr>
          <w:spacing w:val="-31"/>
        </w:rPr>
        <w:t> </w:t>
      </w:r>
      <w:r>
        <w:rPr>
          <w:spacing w:val="-31"/>
        </w:rPr>
      </w:r>
      <w:r>
        <w:rPr/>
        <w:t>关资产组或者资产组组合的可收回金额低于其账面价值的，确认商誉的减值损失。</w:t>
      </w:r>
    </w:p>
    <w:p>
      <w:pPr>
        <w:spacing w:line="240" w:lineRule="auto" w:before="10"/>
        <w:rPr>
          <w:rFonts w:ascii="宋体" w:hAnsi="宋体" w:cs="宋体" w:eastAsia="宋体" w:hint="default"/>
          <w:sz w:val="23"/>
          <w:szCs w:val="23"/>
        </w:rPr>
      </w:pPr>
    </w:p>
    <w:p>
      <w:pPr>
        <w:pStyle w:val="Heading5"/>
        <w:spacing w:line="504" w:lineRule="auto" w:before="0"/>
        <w:ind w:left="575" w:right="0" w:hanging="423"/>
        <w:jc w:val="left"/>
      </w:pPr>
      <w:bookmarkStart w:name="23、长期待摊费用" w:id="194"/>
      <w:bookmarkEnd w:id="194"/>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spacing w:val="-102"/>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spacing w:after="0" w:line="504"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40" w:lineRule="auto" w:before="36"/>
        <w:ind w:right="0"/>
        <w:jc w:val="left"/>
      </w:pPr>
      <w:r>
        <w:rPr/>
        <w:t>长期待摊费用在受益期内按直线法分期摊销。</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600" w:lineRule="atLeast" w:before="10"/>
        <w:ind w:left="575" w:right="0" w:hanging="423"/>
        <w:jc w:val="left"/>
        <w:rPr>
          <w:rFonts w:ascii="宋体" w:hAnsi="宋体" w:cs="宋体" w:eastAsia="宋体" w:hint="default"/>
          <w:sz w:val="21"/>
          <w:szCs w:val="21"/>
        </w:rPr>
      </w:pPr>
      <w:bookmarkStart w:name="（1）短期薪酬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短期薪酬是指本公司在职工提供相关服务的年度报告期间结束后十二个月内需要全部予以支付的职</w:t>
      </w:r>
    </w:p>
    <w:p>
      <w:pPr>
        <w:pStyle w:val="Heading5"/>
        <w:spacing w:line="273" w:lineRule="auto" w:before="37"/>
        <w:ind w:right="0"/>
        <w:jc w:val="left"/>
      </w:pPr>
      <w:r>
        <w:rPr>
          <w:spacing w:val="-4"/>
        </w:rPr>
        <w:t>工薪酬，离职后福利和辞退福利除外。本公司在职工提供服务的会计期间，将应付的短期薪酬确认为负债，</w:t>
      </w:r>
      <w:r>
        <w:rPr>
          <w:spacing w:val="-47"/>
        </w:rPr>
        <w:t> </w:t>
      </w:r>
      <w:r>
        <w:rPr>
          <w:spacing w:val="-47"/>
        </w:rPr>
      </w:r>
      <w:r>
        <w:rPr/>
        <w:t>并根据职工提供服务的受益对象计入相关资产成本和费用。</w:t>
      </w:r>
    </w:p>
    <w:p>
      <w:pPr>
        <w:spacing w:line="590" w:lineRule="atLeast" w:before="11"/>
        <w:ind w:left="575" w:right="0" w:hanging="423"/>
        <w:jc w:val="left"/>
        <w:rPr>
          <w:rFonts w:ascii="宋体" w:hAnsi="宋体" w:cs="宋体" w:eastAsia="宋体" w:hint="default"/>
          <w:sz w:val="21"/>
          <w:szCs w:val="21"/>
        </w:rPr>
      </w:pPr>
      <w:bookmarkStart w:name="（2）离职后福利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离职后福利是指本公司为获得职工提供的服务而在职工退休或与企业解除劳动关系后，提供的各种形</w:t>
      </w:r>
    </w:p>
    <w:p>
      <w:pPr>
        <w:pStyle w:val="Heading5"/>
        <w:spacing w:line="273" w:lineRule="auto" w:before="37"/>
        <w:ind w:left="575" w:right="1123" w:hanging="423"/>
        <w:jc w:val="left"/>
      </w:pPr>
      <w:r>
        <w:rPr/>
        <w:t>式的报酬和福利，短期薪酬和辞退福利除外。</w:t>
      </w:r>
      <w:r>
        <w:rPr>
          <w:spacing w:val="-101"/>
        </w:rPr>
        <w:t> </w:t>
      </w:r>
      <w:r>
        <w:rPr>
          <w:spacing w:val="-101"/>
        </w:rPr>
      </w:r>
      <w:r>
        <w:rPr/>
        <w:t>本公司的离职后福利计划分类为设定提存计划和设定受益计划。</w:t>
      </w:r>
      <w:r>
        <w:rPr>
          <w:w w:val="100"/>
        </w:rPr>
        <w:t> </w:t>
      </w:r>
      <w:r>
        <w:rPr>
          <w:spacing w:val="-2"/>
        </w:rPr>
        <w:t>离职后福利设定提存计划主要为参加由各地劳动及社会保障机构组织实施的社会基本养老保险、失业</w:t>
      </w:r>
    </w:p>
    <w:p>
      <w:pPr>
        <w:pStyle w:val="Heading5"/>
        <w:spacing w:line="273" w:lineRule="auto"/>
        <w:ind w:right="0"/>
        <w:jc w:val="left"/>
      </w:pPr>
      <w:r>
        <w:rPr>
          <w:spacing w:val="-2"/>
        </w:rPr>
        <w:t>保险等；在职工为本公司提供服务的会计期间，将根据设定提存计划计算的应缴存金额确认为负债，并计</w:t>
      </w:r>
      <w:r>
        <w:rPr>
          <w:spacing w:val="-33"/>
        </w:rPr>
        <w:t> </w:t>
      </w:r>
      <w:r>
        <w:rPr>
          <w:spacing w:val="-33"/>
        </w:rPr>
      </w:r>
      <w:r>
        <w:rPr/>
        <w:t>入当期损益或相关资产成本。</w:t>
      </w:r>
    </w:p>
    <w:p>
      <w:pPr>
        <w:pStyle w:val="Heading5"/>
        <w:spacing w:line="273" w:lineRule="auto"/>
        <w:ind w:right="0" w:firstLine="422"/>
        <w:jc w:val="left"/>
      </w:pPr>
      <w:r>
        <w:rPr/>
        <w:t>本公司按照国家规定的标准和年金计划定期缴付上述款项后，不再有其他的支付义务。</w:t>
      </w:r>
      <w:r>
        <w:rPr>
          <w:w w:val="100"/>
        </w:rPr>
        <w:t> </w:t>
      </w:r>
      <w:r>
        <w:rPr>
          <w:spacing w:val="-2"/>
        </w:rPr>
        <w:t>离职后福利设定受益计划主要为离退休人员支付的明确标准的统筹外福利、为去世员工遗属支付的生活费</w:t>
      </w:r>
      <w:r>
        <w:rPr>
          <w:spacing w:val="-33"/>
        </w:rPr>
        <w:t> </w:t>
      </w:r>
      <w:r>
        <w:rPr>
          <w:spacing w:val="-33"/>
        </w:rPr>
      </w:r>
      <w:r>
        <w:rPr>
          <w:spacing w:val="-2"/>
        </w:rPr>
        <w:t>等。对于设定受益计划中承担的义务，在资产负债表日由独立精算师使用预期累计福利单位法进行精算，</w:t>
      </w:r>
      <w:r>
        <w:rPr>
          <w:spacing w:val="-13"/>
        </w:rPr>
        <w:t> </w:t>
      </w:r>
      <w:r>
        <w:rPr>
          <w:spacing w:val="-13"/>
        </w:rPr>
      </w:r>
      <w:r>
        <w:rPr>
          <w:spacing w:val="-2"/>
        </w:rPr>
        <w:t>将设定受益计划产生的福利义务归属于职工提供服务的期间，并计入当期损益或相关资产成本，其中：除</w:t>
      </w:r>
      <w:r>
        <w:rPr>
          <w:spacing w:val="-33"/>
        </w:rPr>
        <w:t> </w:t>
      </w:r>
      <w:r>
        <w:rPr>
          <w:spacing w:val="-33"/>
        </w:rPr>
      </w:r>
      <w:r>
        <w:rPr>
          <w:spacing w:val="-2"/>
        </w:rPr>
        <w:t>非其他会计准则要求或允许职工福利成本计入资产成本，设定受益计划服务成本和设定受益计划净负债或</w:t>
      </w:r>
      <w:r>
        <w:rPr>
          <w:spacing w:val="-33"/>
        </w:rPr>
        <w:t> </w:t>
      </w:r>
      <w:r>
        <w:rPr>
          <w:spacing w:val="-33"/>
        </w:rPr>
      </w:r>
      <w:r>
        <w:rPr>
          <w:spacing w:val="-2"/>
        </w:rPr>
        <w:t>净资产的利息净额在发生当期计入当期损益；重新计量设定受益计划净负债或净资产所产生的变动在发生</w:t>
      </w:r>
      <w:r>
        <w:rPr>
          <w:spacing w:val="-33"/>
        </w:rPr>
        <w:t> </w:t>
      </w:r>
      <w:r>
        <w:rPr>
          <w:spacing w:val="-33"/>
        </w:rPr>
      </w:r>
      <w:r>
        <w:rPr/>
        <w:t>当期计入其他综合收益，且在后续会计期间不允许转回至损益。</w:t>
      </w:r>
    </w:p>
    <w:p>
      <w:pPr>
        <w:spacing w:line="600" w:lineRule="atLeast" w:before="1"/>
        <w:ind w:left="575" w:right="0" w:hanging="423"/>
        <w:jc w:val="left"/>
        <w:rPr>
          <w:rFonts w:ascii="宋体" w:hAnsi="宋体" w:cs="宋体" w:eastAsia="宋体" w:hint="default"/>
          <w:sz w:val="21"/>
          <w:szCs w:val="21"/>
        </w:rPr>
      </w:pPr>
      <w:bookmarkStart w:name="（3）辞退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Heading5"/>
        <w:spacing w:line="273" w:lineRule="auto" w:before="37"/>
        <w:ind w:right="1125"/>
        <w:jc w:val="both"/>
      </w:pPr>
      <w:r>
        <w:rPr>
          <w:spacing w:val="-2"/>
        </w:rPr>
        <w:t>而给予职工的补偿，在本公司不能单方面撤回解除劳动关系计划或裁减建议时和确认与涉及支付辞退福利</w:t>
      </w:r>
      <w:r>
        <w:rPr>
          <w:spacing w:val="-33"/>
        </w:rPr>
        <w:t> </w:t>
      </w:r>
      <w:r>
        <w:rPr>
          <w:spacing w:val="-33"/>
        </w:rPr>
      </w:r>
      <w:r>
        <w:rPr>
          <w:spacing w:val="-2"/>
        </w:rPr>
        <w:t>的重组相关的成本费用时两者孰早日，确认因解除与职工的劳动关系给予补偿而产生的负债，同时计入当</w:t>
      </w:r>
      <w:r>
        <w:rPr>
          <w:spacing w:val="-33"/>
        </w:rPr>
        <w:t> </w:t>
      </w:r>
      <w:r>
        <w:rPr>
          <w:spacing w:val="-33"/>
        </w:rPr>
      </w:r>
      <w:r>
        <w:rPr/>
        <w:t>期损益。</w:t>
      </w:r>
    </w:p>
    <w:p>
      <w:pPr>
        <w:pStyle w:val="Heading5"/>
        <w:spacing w:line="273" w:lineRule="auto"/>
        <w:ind w:right="1120" w:firstLine="422"/>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30"/>
        </w:rPr>
        <w:t> </w:t>
      </w:r>
      <w:r>
        <w:rPr>
          <w:spacing w:val="-30"/>
        </w:rPr>
      </w:r>
      <w:r>
        <w:rPr>
          <w:spacing w:val="-2"/>
        </w:rPr>
        <w:t>排开始之日起至职工达到正常退休年龄止，向内退职工支付内部退养福利。对于内退福利，本公司比照辞</w:t>
      </w:r>
      <w:r>
        <w:rPr>
          <w:spacing w:val="-33"/>
        </w:rPr>
        <w:t> </w:t>
      </w:r>
      <w:r>
        <w:rPr>
          <w:spacing w:val="-33"/>
        </w:rPr>
      </w:r>
      <w:r>
        <w:rPr>
          <w:spacing w:val="-2"/>
        </w:rPr>
        <w:t>退福利进行会计处理，在符合辞退福利相关确认条件时，将自职工停止提供服务日至正常退休日期间拟支</w:t>
      </w:r>
      <w:r>
        <w:rPr>
          <w:spacing w:val="-33"/>
        </w:rPr>
        <w:t> </w:t>
      </w:r>
      <w:r>
        <w:rPr>
          <w:spacing w:val="-33"/>
        </w:rPr>
      </w:r>
      <w:r>
        <w:rPr>
          <w:spacing w:val="-2"/>
        </w:rPr>
        <w:t>付的内退职工工资和缴纳的社会保险费等，确认为负债，一次性计入当期损益。内退福利的精算假设变化</w:t>
      </w:r>
      <w:r>
        <w:rPr>
          <w:spacing w:val="-33"/>
        </w:rPr>
        <w:t> </w:t>
      </w:r>
      <w:r>
        <w:rPr>
          <w:spacing w:val="-33"/>
        </w:rPr>
      </w:r>
      <w:r>
        <w:rPr/>
        <w:t>及福利标准调整引起的差异于发生时计入当期损益。</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25、股份支付" w:id="199"/>
      <w:bookmarkEnd w:id="199"/>
      <w:r>
        <w:rPr>
          <w:b w:val="0"/>
          <w:bCs w:val="0"/>
        </w:rPr>
      </w:r>
      <w:r>
        <w:rPr>
          <w:rFonts w:ascii="Times New Roman" w:hAnsi="Times New Roman" w:cs="Times New Roman" w:eastAsia="Times New Roman" w:hint="default"/>
        </w:rPr>
        <w:t>25</w:t>
      </w:r>
      <w:r>
        <w:rPr/>
        <w:t>、股份支付</w:t>
      </w:r>
      <w:r>
        <w:rPr>
          <w:b w:val="0"/>
          <w:bCs w:val="0"/>
        </w:rPr>
      </w:r>
    </w:p>
    <w:p>
      <w:pPr>
        <w:spacing w:line="240" w:lineRule="auto" w:before="5"/>
        <w:rPr>
          <w:rFonts w:ascii="宋体" w:hAnsi="宋体" w:cs="宋体" w:eastAsia="宋体" w:hint="default"/>
          <w:b/>
          <w:bCs/>
          <w:sz w:val="24"/>
          <w:szCs w:val="24"/>
        </w:rPr>
      </w:pPr>
    </w:p>
    <w:p>
      <w:pPr>
        <w:pStyle w:val="Heading5"/>
        <w:tabs>
          <w:tab w:pos="575" w:val="left" w:leader="none"/>
        </w:tabs>
        <w:spacing w:line="259" w:lineRule="auto" w:before="0"/>
        <w:ind w:left="575" w:right="3621"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股份支付的种类</w:t>
      </w:r>
      <w:r>
        <w:rPr>
          <w:rFonts w:ascii="宋体" w:hAnsi="宋体" w:cs="宋体" w:eastAsia="宋体" w:hint="default"/>
          <w:b/>
          <w:bCs/>
          <w:spacing w:val="-104"/>
        </w:rPr>
        <w:t> </w:t>
      </w:r>
      <w:r>
        <w:rPr>
          <w:spacing w:val="-2"/>
        </w:rPr>
        <w:t>本公司的股份支付分为以权益结算的股份支付和以现金结算的股份支付。</w:t>
      </w:r>
    </w:p>
    <w:p>
      <w:pPr>
        <w:tabs>
          <w:tab w:pos="575" w:val="left" w:leader="none"/>
        </w:tabs>
        <w:spacing w:line="259" w:lineRule="auto" w:before="20"/>
        <w:ind w:left="575" w:right="1142"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权益工具公允价值的确定方法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对于授予的存在活跃市场的期权等权益工具，按照活跃市场中的报价确定其公允价值。对于授予的不</w:t>
      </w:r>
    </w:p>
    <w:p>
      <w:pPr>
        <w:spacing w:after="0" w:line="259" w:lineRule="auto"/>
        <w:jc w:val="left"/>
        <w:rPr>
          <w:rFonts w:ascii="宋体" w:hAnsi="宋体" w:cs="宋体" w:eastAsia="宋体" w:hint="default"/>
          <w:sz w:val="21"/>
          <w:szCs w:val="21"/>
        </w:rPr>
        <w:sectPr>
          <w:footerReference w:type="default" r:id="rId45"/>
          <w:pgSz w:w="11910" w:h="16840"/>
          <w:pgMar w:footer="979" w:header="871" w:top="1100" w:bottom="1160" w:left="980" w:right="0"/>
          <w:pgNumType w:start="151"/>
        </w:sectPr>
      </w:pPr>
    </w:p>
    <w:p>
      <w:pPr>
        <w:spacing w:line="240" w:lineRule="auto" w:before="9"/>
        <w:rPr>
          <w:rFonts w:ascii="宋体" w:hAnsi="宋体" w:cs="宋体" w:eastAsia="宋体" w:hint="default"/>
          <w:sz w:val="20"/>
          <w:szCs w:val="20"/>
        </w:rPr>
      </w:pPr>
    </w:p>
    <w:p>
      <w:pPr>
        <w:pStyle w:val="Heading5"/>
        <w:spacing w:line="273" w:lineRule="auto" w:before="36"/>
        <w:ind w:right="0"/>
        <w:jc w:val="left"/>
      </w:pPr>
      <w:r>
        <w:rPr/>
        <w:t>存在活跃市场的期权等权益工具，采用期权定价模型等确定其公允价值，选用的期权定价模型考虑以下因</w:t>
      </w:r>
      <w:r>
        <w:rPr>
          <w:w w:val="100"/>
        </w:rPr>
        <w:t> </w:t>
      </w:r>
      <w:r>
        <w:rPr>
          <w:spacing w:val="-6"/>
        </w:rPr>
        <w:t>素：（</w:t>
      </w:r>
      <w:r>
        <w:rPr>
          <w:rFonts w:ascii="宋体" w:hAnsi="宋体" w:cs="宋体" w:eastAsia="宋体" w:hint="default"/>
          <w:spacing w:val="-6"/>
        </w:rPr>
        <w:t>1</w:t>
      </w:r>
      <w:r>
        <w:rPr>
          <w:spacing w:val="-6"/>
        </w:rPr>
        <w:t>）期权的行权价格；（</w:t>
      </w:r>
      <w:r>
        <w:rPr>
          <w:rFonts w:ascii="宋体" w:hAnsi="宋体" w:cs="宋体" w:eastAsia="宋体" w:hint="default"/>
          <w:spacing w:val="-6"/>
        </w:rPr>
        <w:t>2</w:t>
      </w:r>
      <w:r>
        <w:rPr>
          <w:spacing w:val="-6"/>
        </w:rPr>
        <w:t>）期权的有效期；（</w:t>
      </w:r>
      <w:r>
        <w:rPr>
          <w:rFonts w:ascii="宋体" w:hAnsi="宋体" w:cs="宋体" w:eastAsia="宋体" w:hint="default"/>
          <w:spacing w:val="-6"/>
        </w:rPr>
        <w:t>3</w:t>
      </w:r>
      <w:r>
        <w:rPr>
          <w:spacing w:val="-6"/>
        </w:rPr>
        <w:t>）标的股份的现行价格；（</w:t>
      </w:r>
      <w:r>
        <w:rPr>
          <w:rFonts w:ascii="宋体" w:hAnsi="宋体" w:cs="宋体" w:eastAsia="宋体" w:hint="default"/>
          <w:spacing w:val="-6"/>
        </w:rPr>
        <w:t>4</w:t>
      </w:r>
      <w:r>
        <w:rPr>
          <w:spacing w:val="-6"/>
        </w:rPr>
        <w:t>）股价预计波动率；（</w:t>
      </w:r>
      <w:r>
        <w:rPr>
          <w:rFonts w:ascii="宋体" w:hAnsi="宋体" w:cs="宋体" w:eastAsia="宋体" w:hint="default"/>
          <w:spacing w:val="-6"/>
        </w:rPr>
        <w:t>5</w:t>
      </w:r>
      <w:r>
        <w:rPr>
          <w:spacing w:val="-6"/>
        </w:rPr>
        <w:t>）</w:t>
      </w:r>
      <w:r>
        <w:rPr>
          <w:spacing w:val="-41"/>
        </w:rPr>
        <w:t> </w:t>
      </w:r>
      <w:r>
        <w:rPr/>
        <w:t>股份的预计股利；（</w:t>
      </w:r>
      <w:r>
        <w:rPr>
          <w:rFonts w:ascii="宋体" w:hAnsi="宋体" w:cs="宋体" w:eastAsia="宋体" w:hint="default"/>
        </w:rPr>
        <w:t>6</w:t>
      </w:r>
      <w:r>
        <w:rPr/>
        <w:t>）期权有效期内的无风险利率。</w:t>
      </w:r>
    </w:p>
    <w:p>
      <w:pPr>
        <w:pStyle w:val="Heading5"/>
        <w:spacing w:line="273" w:lineRule="auto" w:before="8"/>
        <w:ind w:right="1121" w:firstLine="422"/>
        <w:jc w:val="both"/>
      </w:pPr>
      <w:r>
        <w:rPr>
          <w:spacing w:val="-2"/>
        </w:rPr>
        <w:t>在确定权益工具授予日的公允价值时，考虑股份支付协议规定的可行权条件中的市场条件和非可行权</w:t>
      </w:r>
      <w:r>
        <w:rPr>
          <w:w w:val="100"/>
        </w:rPr>
        <w:t> </w:t>
      </w:r>
      <w:r>
        <w:rPr>
          <w:spacing w:val="-7"/>
        </w:rPr>
        <w:t>条件的影响。股份支付存在非可行权条件的，只要职工或其他方满足了所有可行权条件中的非市场条件（如</w:t>
      </w:r>
      <w:r>
        <w:rPr>
          <w:spacing w:val="-6"/>
        </w:rPr>
        <w:t> </w:t>
      </w:r>
      <w:r>
        <w:rPr>
          <w:spacing w:val="-6"/>
        </w:rPr>
      </w:r>
      <w:r>
        <w:rPr/>
        <w:t>服务期限等），即确认已得到服务相对应的成本费用。</w:t>
      </w:r>
    </w:p>
    <w:p>
      <w:pPr>
        <w:tabs>
          <w:tab w:pos="575" w:val="left" w:leader="none"/>
        </w:tabs>
        <w:spacing w:line="259" w:lineRule="auto" w:before="7"/>
        <w:ind w:left="575" w:right="1142"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确定可行权权益工具最佳估计的依据</w:t>
      </w:r>
      <w:r>
        <w:rPr>
          <w:rFonts w:ascii="宋体" w:hAnsi="宋体" w:cs="宋体" w:eastAsia="宋体" w:hint="default"/>
          <w:b/>
          <w:bCs/>
          <w:spacing w:val="-100"/>
          <w:sz w:val="21"/>
          <w:szCs w:val="21"/>
        </w:rPr>
        <w:t> </w:t>
      </w:r>
      <w:r>
        <w:rPr>
          <w:rFonts w:ascii="宋体" w:hAnsi="宋体" w:cs="宋体" w:eastAsia="宋体" w:hint="default"/>
          <w:spacing w:val="-2"/>
          <w:sz w:val="21"/>
          <w:szCs w:val="21"/>
        </w:rPr>
        <w:t>等待期内每个资产负债表日，根据最新取得的可行权职工人数变动等后续信息作出最佳估计，修正预</w:t>
      </w:r>
    </w:p>
    <w:p>
      <w:pPr>
        <w:pStyle w:val="Heading5"/>
        <w:spacing w:line="240" w:lineRule="auto" w:before="20"/>
        <w:ind w:right="0"/>
        <w:jc w:val="left"/>
      </w:pPr>
      <w:r>
        <w:rPr/>
        <w:t>计可行权的权益工具数量。在可行权日，最终预计可行权权益工具的数量与实际可行权数量一致。</w:t>
      </w:r>
    </w:p>
    <w:p>
      <w:pPr>
        <w:pStyle w:val="Heading5"/>
        <w:tabs>
          <w:tab w:pos="575" w:val="left" w:leader="none"/>
        </w:tabs>
        <w:spacing w:line="259" w:lineRule="auto" w:before="37"/>
        <w:ind w:left="575" w:right="1123"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会计处理方法</w:t>
      </w:r>
      <w:r>
        <w:rPr>
          <w:rFonts w:ascii="宋体" w:hAnsi="宋体" w:cs="宋体" w:eastAsia="宋体" w:hint="default"/>
          <w:b/>
          <w:bCs/>
          <w:spacing w:val="-104"/>
        </w:rPr>
        <w:t> </w:t>
      </w:r>
      <w:r>
        <w:rPr>
          <w:spacing w:val="-2"/>
        </w:rPr>
        <w:t>以权益结算的股份支付，按授予职工权益工具的公允价值计量。授予后立即可行权的，在授予日按照</w:t>
      </w:r>
    </w:p>
    <w:p>
      <w:pPr>
        <w:pStyle w:val="Heading5"/>
        <w:spacing w:line="273" w:lineRule="auto" w:before="20"/>
        <w:ind w:right="1122"/>
        <w:jc w:val="both"/>
      </w:pPr>
      <w:r>
        <w:rPr>
          <w:spacing w:val="-2"/>
        </w:rPr>
        <w:t>权益工具的公允价值计入相关成本或费用，相应增加资本公积。在完成等待期内的服务或达到规定业绩条</w:t>
      </w:r>
      <w:r>
        <w:rPr>
          <w:spacing w:val="-33"/>
        </w:rPr>
        <w:t> </w:t>
      </w:r>
      <w:r>
        <w:rPr>
          <w:spacing w:val="-33"/>
        </w:rPr>
      </w:r>
      <w:r>
        <w:rPr>
          <w:spacing w:val="-2"/>
        </w:rPr>
        <w:t>件才可行权的，在等待期内的每个资产负债表日，以对可行权权益工具数量的最佳估计为基础，按照权益</w:t>
      </w:r>
      <w:r>
        <w:rPr>
          <w:spacing w:val="-30"/>
        </w:rPr>
        <w:t> </w:t>
      </w:r>
      <w:r>
        <w:rPr>
          <w:spacing w:val="-30"/>
        </w:rPr>
      </w:r>
      <w:r>
        <w:rPr>
          <w:spacing w:val="-2"/>
        </w:rPr>
        <w:t>工具授予日的公允价值，将当期取得的服务计入相关成本或费用和资本公积。在可行权日之后不再对已确</w:t>
      </w:r>
      <w:r>
        <w:rPr>
          <w:spacing w:val="-33"/>
        </w:rPr>
        <w:t> </w:t>
      </w:r>
      <w:r>
        <w:rPr>
          <w:spacing w:val="-33"/>
        </w:rPr>
      </w:r>
      <w:r>
        <w:rPr/>
        <w:t>认的相关成本或费用和所有者权益总额进行调整。</w:t>
      </w:r>
    </w:p>
    <w:p>
      <w:pPr>
        <w:pStyle w:val="Heading5"/>
        <w:spacing w:line="273" w:lineRule="auto"/>
        <w:ind w:right="0" w:firstLine="422"/>
        <w:jc w:val="left"/>
      </w:pPr>
      <w:r>
        <w:rPr/>
        <w:t>以现金结算的股份支付，按照本公司承担的以股份或其他权益工具为基础计算确定的负债的公允价值</w:t>
      </w:r>
      <w:r>
        <w:rPr>
          <w:w w:val="100"/>
        </w:rPr>
        <w:t> </w:t>
      </w:r>
      <w:r>
        <w:rPr>
          <w:spacing w:val="-4"/>
        </w:rPr>
        <w:t>计量。授予后立即可行权的，在授予日以本公司承担负债的公允价值计入相关成本或费用，相应增加负债。</w:t>
      </w:r>
      <w:r>
        <w:rPr>
          <w:spacing w:val="-48"/>
        </w:rPr>
        <w:t> </w:t>
      </w:r>
      <w:r>
        <w:rPr>
          <w:spacing w:val="-48"/>
        </w:rPr>
      </w:r>
      <w:r>
        <w:rPr>
          <w:spacing w:val="-2"/>
        </w:rPr>
        <w:t>在完成等待期内的服务或达到规定业绩条件以后才可行权的以现金结算的股份支付，在等待期内的每个资</w:t>
      </w:r>
      <w:r>
        <w:rPr>
          <w:spacing w:val="-33"/>
        </w:rPr>
        <w:t> </w:t>
      </w:r>
      <w:r>
        <w:rPr>
          <w:spacing w:val="-33"/>
        </w:rPr>
      </w:r>
      <w:r>
        <w:rPr>
          <w:spacing w:val="-2"/>
        </w:rPr>
        <w:t>产负债表日，以对可行权情况的最佳估计为基础，按照本公司承担负债的公允价值金额，将当期取得的服</w:t>
      </w:r>
      <w:r>
        <w:rPr>
          <w:spacing w:val="-33"/>
        </w:rPr>
        <w:t> </w:t>
      </w:r>
      <w:r>
        <w:rPr>
          <w:spacing w:val="-33"/>
        </w:rPr>
      </w:r>
      <w:r>
        <w:rPr>
          <w:spacing w:val="-2"/>
        </w:rPr>
        <w:t>务计入成本或费用和相应的负债。在相关负债结算前的每个资产负债表日以及结算日，对负债的公允价值</w:t>
      </w:r>
      <w:r>
        <w:rPr>
          <w:spacing w:val="-33"/>
        </w:rPr>
        <w:t> </w:t>
      </w:r>
      <w:r>
        <w:rPr>
          <w:spacing w:val="-33"/>
        </w:rPr>
      </w:r>
      <w:r>
        <w:rPr/>
        <w:t>重新计量，其变动计入当期损益。</w:t>
      </w:r>
    </w:p>
    <w:p>
      <w:pPr>
        <w:pStyle w:val="Heading5"/>
        <w:spacing w:line="273" w:lineRule="auto"/>
        <w:ind w:right="1125" w:firstLine="422"/>
        <w:jc w:val="both"/>
      </w:pPr>
      <w:r>
        <w:rPr>
          <w:spacing w:val="-2"/>
        </w:rPr>
        <w:t>若在等待期内取消了授予的权益工具，本公司对取消所授予的权益性工具作为加速行权处理，将剩余</w:t>
      </w:r>
      <w:r>
        <w:rPr>
          <w:w w:val="100"/>
        </w:rPr>
        <w:t> </w:t>
      </w:r>
      <w:r>
        <w:rPr>
          <w:spacing w:val="-2"/>
        </w:rPr>
        <w:t>等待期内应确认的金额立即计入当期损益，同时确认资本公积。职工或其他方能够选择满足非可行权条件</w:t>
      </w:r>
      <w:r>
        <w:rPr>
          <w:spacing w:val="-33"/>
        </w:rPr>
        <w:t> </w:t>
      </w:r>
      <w:r>
        <w:rPr>
          <w:spacing w:val="-33"/>
        </w:rPr>
      </w:r>
      <w:r>
        <w:rPr/>
        <w:t>但在等待期内未满足的，本公司将其作为授予权益工具的取消处理。</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bookmarkStart w:name="26、收入" w:id="200"/>
      <w:bookmarkEnd w:id="200"/>
      <w:r>
        <w:rPr>
          <w:b w:val="0"/>
          <w:bCs w:val="0"/>
        </w:rPr>
      </w:r>
      <w:r>
        <w:rPr>
          <w:rFonts w:ascii="Times New Roman" w:hAnsi="Times New Roman" w:cs="Times New Roman" w:eastAsia="Times New Roman" w:hint="default"/>
        </w:rPr>
        <w:t>26</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tabs>
          <w:tab w:pos="575" w:val="left" w:leader="none"/>
        </w:tabs>
        <w:spacing w:line="259" w:lineRule="auto" w:before="75"/>
        <w:ind w:left="575" w:right="1142"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Heading5"/>
        <w:spacing w:line="273" w:lineRule="auto" w:before="21"/>
        <w:ind w:right="0"/>
        <w:jc w:val="left"/>
      </w:pPr>
      <w:r>
        <w:rPr>
          <w:spacing w:val="-4"/>
        </w:rPr>
        <w:t>权，也没有对已售出的商品实施有效控制；收入的金额能够可靠地计量；相关的经济利益很可能流入企业；</w:t>
      </w:r>
      <w:r>
        <w:rPr>
          <w:spacing w:val="-48"/>
        </w:rPr>
        <w:t> </w:t>
      </w:r>
      <w:r>
        <w:rPr>
          <w:spacing w:val="-48"/>
        </w:rPr>
      </w:r>
      <w:r>
        <w:rPr/>
        <w:t>相关的已发生或将发生的成本能够可靠地计量时，确认商品销售收入实现。</w:t>
      </w:r>
    </w:p>
    <w:p>
      <w:pPr>
        <w:pStyle w:val="Heading5"/>
        <w:spacing w:line="273" w:lineRule="auto"/>
        <w:ind w:left="575" w:right="0"/>
        <w:jc w:val="left"/>
      </w:pPr>
      <w:r>
        <w:rPr/>
        <w:t>具体的，本公司产品销售收入确认时点，根据合同约定而分为两种：</w:t>
      </w:r>
      <w:r>
        <w:rPr>
          <w:w w:val="100"/>
        </w:rPr>
        <w:t> </w:t>
      </w:r>
      <w:r>
        <w:rPr>
          <w:rFonts w:ascii="宋体" w:hAnsi="宋体" w:cs="宋体" w:eastAsia="宋体" w:hint="default"/>
        </w:rPr>
        <w:t>(1)</w:t>
      </w:r>
      <w:r>
        <w:rPr/>
        <w:t>软件销售合同：指销售软件并附带提供相关培训、安装调试、技术支持和售后服务的合同，软件</w:t>
      </w:r>
    </w:p>
    <w:p>
      <w:pPr>
        <w:pStyle w:val="Heading5"/>
        <w:spacing w:line="273" w:lineRule="auto"/>
        <w:ind w:left="575" w:right="0" w:hanging="423"/>
        <w:jc w:val="left"/>
      </w:pPr>
      <w:r>
        <w:rPr/>
        <w:t>销售合同在产品发出并经客户验收合格时确认收入。</w:t>
      </w:r>
      <w:r>
        <w:rPr>
          <w:spacing w:val="-103"/>
        </w:rPr>
        <w:t> </w:t>
      </w:r>
      <w:r>
        <w:rPr>
          <w:spacing w:val="-103"/>
        </w:rPr>
      </w:r>
      <w:r>
        <w:rPr>
          <w:rFonts w:ascii="宋体" w:hAnsi="宋体" w:cs="宋体" w:eastAsia="宋体" w:hint="default"/>
        </w:rPr>
        <w:t>(2)</w:t>
      </w:r>
      <w:r>
        <w:rPr/>
        <w:t>硬件销售合同：指销售硬件并附带销售配套软件或者单独销售硬件的合同，硬件销售合同在硬件</w:t>
      </w:r>
    </w:p>
    <w:p>
      <w:pPr>
        <w:pStyle w:val="Heading5"/>
        <w:spacing w:line="240" w:lineRule="auto" w:before="8"/>
        <w:ind w:right="0"/>
        <w:jc w:val="left"/>
      </w:pPr>
      <w:r>
        <w:rPr/>
        <w:t>或者软硬件组成的系统经客户验收合格后确认收入。</w:t>
      </w:r>
    </w:p>
    <w:p>
      <w:pPr>
        <w:tabs>
          <w:tab w:pos="575" w:val="left" w:leader="none"/>
        </w:tabs>
        <w:spacing w:line="259" w:lineRule="auto" w:before="37"/>
        <w:ind w:left="575" w:right="1142"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提供劳务收入的确认依据和方法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Heading5"/>
        <w:spacing w:line="273" w:lineRule="auto" w:before="20"/>
        <w:ind w:left="575" w:right="2475" w:hanging="423"/>
        <w:jc w:val="left"/>
      </w:pPr>
      <w:r>
        <w:rPr/>
        <w:t>务交易的完工进度，依据已完工作的测量确定。</w:t>
      </w:r>
      <w:r>
        <w:rPr>
          <w:spacing w:val="-100"/>
        </w:rPr>
        <w:t> </w:t>
      </w:r>
      <w:r>
        <w:rPr>
          <w:spacing w:val="-100"/>
        </w:rPr>
      </w:r>
      <w:r>
        <w:rPr>
          <w:spacing w:val="-2"/>
        </w:rPr>
        <w:t>提供劳务交易的结果能够可靠估计，是指同时满足下列条件：</w:t>
      </w:r>
    </w:p>
    <w:p>
      <w:pPr>
        <w:pStyle w:val="Heading5"/>
        <w:spacing w:line="240" w:lineRule="auto" w:before="8"/>
        <w:ind w:left="575" w:right="0"/>
        <w:jc w:val="left"/>
      </w:pPr>
      <w:r>
        <w:rPr/>
        <w:t>（</w:t>
      </w:r>
      <w:r>
        <w:rPr>
          <w:rFonts w:ascii="宋体" w:hAnsi="宋体" w:cs="宋体" w:eastAsia="宋体" w:hint="default"/>
        </w:rPr>
        <w:t>1</w:t>
      </w:r>
      <w:r>
        <w:rPr/>
        <w:t>）收入的金额能够可靠地计量；</w:t>
      </w:r>
    </w:p>
    <w:p>
      <w:pPr>
        <w:pStyle w:val="Heading5"/>
        <w:spacing w:line="240" w:lineRule="auto" w:before="37"/>
        <w:ind w:left="575" w:right="0"/>
        <w:jc w:val="left"/>
      </w:pPr>
      <w:r>
        <w:rPr/>
        <w:t>（</w:t>
      </w:r>
      <w:r>
        <w:rPr>
          <w:rFonts w:ascii="宋体" w:hAnsi="宋体" w:cs="宋体" w:eastAsia="宋体" w:hint="default"/>
        </w:rPr>
        <w:t>2</w:t>
      </w:r>
      <w:r>
        <w:rPr/>
        <w:t>）相关的经济利益很可能流入企业；</w:t>
      </w:r>
    </w:p>
    <w:p>
      <w:pPr>
        <w:pStyle w:val="Heading5"/>
        <w:spacing w:line="240" w:lineRule="auto" w:before="37"/>
        <w:ind w:left="575" w:right="0"/>
        <w:jc w:val="left"/>
      </w:pPr>
      <w:r>
        <w:rPr/>
        <w:t>（</w:t>
      </w:r>
      <w:r>
        <w:rPr>
          <w:rFonts w:ascii="宋体" w:hAnsi="宋体" w:cs="宋体" w:eastAsia="宋体" w:hint="default"/>
        </w:rPr>
        <w:t>3</w:t>
      </w:r>
      <w:r>
        <w:rPr/>
        <w:t>）交易的完工进度能够可靠地确定；</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left="575" w:right="0"/>
        <w:jc w:val="left"/>
      </w:pPr>
      <w:r>
        <w:rPr/>
        <w:t>（</w:t>
      </w:r>
      <w:r>
        <w:rPr>
          <w:rFonts w:ascii="宋体" w:hAnsi="宋体" w:cs="宋体" w:eastAsia="宋体"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按照已收或应收的合同或协议价款确定提供劳务收入总额，但已收或应收的合同或协议价款不公允的</w:t>
      </w:r>
    </w:p>
    <w:p>
      <w:pPr>
        <w:pStyle w:val="Heading5"/>
        <w:spacing w:line="273" w:lineRule="auto"/>
        <w:ind w:right="1125"/>
        <w:jc w:val="both"/>
      </w:pPr>
      <w:r>
        <w:rPr>
          <w:spacing w:val="-2"/>
        </w:rPr>
        <w:t>除外。资产负债表日按照提供劳务收入总额乘以完工进度扣除以前会计期间累计已确认提供劳务收入后的</w:t>
      </w:r>
      <w:r>
        <w:rPr>
          <w:spacing w:val="-33"/>
        </w:rPr>
        <w:t> </w:t>
      </w:r>
      <w:r>
        <w:rPr>
          <w:spacing w:val="-33"/>
        </w:rPr>
      </w:r>
      <w:r>
        <w:rPr>
          <w:spacing w:val="-2"/>
        </w:rPr>
        <w:t>金额，确认当期提供劳务收入；同时，按照提供劳务估计总成本乘以完工进度扣除以前会计期间累计已确</w:t>
      </w:r>
      <w:r>
        <w:rPr>
          <w:spacing w:val="-33"/>
        </w:rPr>
        <w:t> </w:t>
      </w:r>
      <w:r>
        <w:rPr>
          <w:spacing w:val="-33"/>
        </w:rPr>
      </w:r>
      <w:r>
        <w:rPr/>
        <w:t>认劳务成本后的金额，结转当期劳务成本。</w:t>
      </w:r>
    </w:p>
    <w:p>
      <w:pPr>
        <w:pStyle w:val="Heading5"/>
        <w:spacing w:line="240" w:lineRule="auto"/>
        <w:ind w:left="575" w:right="0"/>
        <w:jc w:val="left"/>
      </w:pPr>
      <w:r>
        <w:rPr/>
        <w:t>在资产负债表日提供劳务交易结果不能够可靠估计的，分别下列情况处理：</w:t>
      </w:r>
    </w:p>
    <w:p>
      <w:pPr>
        <w:pStyle w:val="Heading5"/>
        <w:spacing w:line="273" w:lineRule="auto" w:before="37"/>
        <w:ind w:right="1135" w:firstLine="422"/>
        <w:jc w:val="both"/>
      </w:pPr>
      <w:r>
        <w:rPr/>
        <w:t>（</w:t>
      </w:r>
      <w:r>
        <w:rPr>
          <w:rFonts w:ascii="宋体" w:hAnsi="宋体" w:cs="宋体" w:eastAsia="宋体" w:hint="default"/>
        </w:rPr>
        <w:t>1</w:t>
      </w:r>
      <w:r>
        <w:rPr/>
        <w:t>）已经发生的劳务成本预计能够得到补偿的，按照已经发生的劳务成本金额确认提供劳务收入，</w:t>
      </w:r>
      <w:r>
        <w:rPr>
          <w:w w:val="100"/>
        </w:rPr>
        <w:t> </w:t>
      </w:r>
      <w:r>
        <w:rPr/>
        <w:t>并按相同金额结转劳务成本。</w:t>
      </w:r>
    </w:p>
    <w:p>
      <w:pPr>
        <w:pStyle w:val="Heading5"/>
        <w:spacing w:line="273" w:lineRule="auto"/>
        <w:ind w:right="1132" w:firstLine="422"/>
        <w:jc w:val="both"/>
      </w:pPr>
      <w:r>
        <w:rPr/>
        <w:t>（</w:t>
      </w:r>
      <w:r>
        <w:rPr>
          <w:rFonts w:ascii="宋体" w:hAnsi="宋体" w:cs="宋体" w:eastAsia="宋体" w:hint="default"/>
        </w:rPr>
        <w:t>2</w:t>
      </w:r>
      <w:r>
        <w:rPr/>
        <w:t>）已经发生的劳务成本预计不能够得到补偿的，将已经发生的劳务成本计入当期损益，不确认提</w:t>
      </w:r>
      <w:r>
        <w:rPr>
          <w:w w:val="100"/>
        </w:rPr>
        <w:t> </w:t>
      </w:r>
      <w:r>
        <w:rPr/>
        <w:t>供劳务收入。</w:t>
      </w:r>
    </w:p>
    <w:p>
      <w:pPr>
        <w:pStyle w:val="Heading5"/>
        <w:spacing w:line="240" w:lineRule="auto"/>
        <w:ind w:left="575" w:right="0"/>
        <w:jc w:val="left"/>
      </w:pPr>
      <w:r>
        <w:rPr/>
        <w:t>具体的：</w:t>
      </w:r>
    </w:p>
    <w:p>
      <w:pPr>
        <w:pStyle w:val="Heading5"/>
        <w:spacing w:line="273" w:lineRule="auto" w:before="37"/>
        <w:ind w:right="1126" w:firstLine="422"/>
        <w:jc w:val="both"/>
      </w:pPr>
      <w:r>
        <w:rPr/>
        <w:t>（</w:t>
      </w:r>
      <w:r>
        <w:rPr>
          <w:rFonts w:ascii="宋体" w:hAnsi="宋体" w:cs="宋体" w:eastAsia="宋体" w:hint="default"/>
        </w:rPr>
        <w:t>1</w:t>
      </w:r>
      <w:r>
        <w:rPr/>
        <w:t>）增值服务合同：指在公司销售软件的基础上，完成客户特定需求的定制开发合同。增值服务合</w:t>
      </w:r>
      <w:r>
        <w:rPr>
          <w:w w:val="100"/>
        </w:rPr>
        <w:t> </w:t>
      </w:r>
      <w:r>
        <w:rPr>
          <w:spacing w:val="-2"/>
        </w:rPr>
        <w:t>同按照合同约定的时间节点和里程碑，取得经客户确认的相关交付、初验、试运行、终验或者项目进度报</w:t>
      </w:r>
      <w:r>
        <w:rPr>
          <w:spacing w:val="-33"/>
        </w:rPr>
        <w:t> </w:t>
      </w:r>
      <w:r>
        <w:rPr>
          <w:spacing w:val="-33"/>
        </w:rPr>
      </w:r>
      <w:r>
        <w:rPr/>
        <w:t>告等文件时，结合客户付款方式分段确认收入。</w:t>
      </w:r>
    </w:p>
    <w:p>
      <w:pPr>
        <w:pStyle w:val="Heading5"/>
        <w:spacing w:line="273" w:lineRule="auto" w:before="8"/>
        <w:ind w:right="0" w:firstLine="422"/>
        <w:jc w:val="left"/>
      </w:pPr>
      <w:r>
        <w:rPr>
          <w:spacing w:val="-2"/>
        </w:rPr>
        <w:t>（</w:t>
      </w:r>
      <w:r>
        <w:rPr>
          <w:rFonts w:ascii="宋体" w:hAnsi="宋体" w:cs="宋体" w:eastAsia="宋体" w:hint="default"/>
          <w:spacing w:val="-2"/>
        </w:rPr>
        <w:t>2</w:t>
      </w:r>
      <w:r>
        <w:rPr>
          <w:spacing w:val="-2"/>
        </w:rPr>
        <w:t>）网络优化测试及维保和技术服务，合同约定了服务期限、合同总价，以及以“人日”、“人月”</w:t>
      </w:r>
      <w:r>
        <w:rPr>
          <w:w w:val="100"/>
        </w:rPr>
        <w:t> </w:t>
      </w:r>
      <w:r>
        <w:rPr/>
        <w:t>等作为计价结算方式的，按照合同约定的方式按期结算并确认收入；不以“人日”、“人月”等作为计价</w:t>
      </w:r>
      <w:r>
        <w:rPr>
          <w:w w:val="100"/>
        </w:rPr>
        <w:t> </w:t>
      </w:r>
      <w:r>
        <w:rPr/>
        <w:t>结算方式的，根据服务期限按直线法确认收入。如果合同约定按里程碑验收并结算的，则根据客户确认的</w:t>
      </w:r>
      <w:r>
        <w:rPr>
          <w:w w:val="100"/>
        </w:rPr>
        <w:t> </w:t>
      </w:r>
      <w:r>
        <w:rPr/>
        <w:t>里程碑分阶段确认收入。</w:t>
      </w:r>
    </w:p>
    <w:p>
      <w:pPr>
        <w:pStyle w:val="Heading5"/>
        <w:spacing w:line="273" w:lineRule="auto"/>
        <w:ind w:right="1125" w:firstLine="422"/>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33"/>
        </w:rPr>
        <w:t> </w:t>
      </w:r>
      <w:r>
        <w:rPr>
          <w:spacing w:val="-33"/>
        </w:rPr>
      </w:r>
      <w:r>
        <w:rPr>
          <w:spacing w:val="-2"/>
        </w:rPr>
        <w:t>售商品部分和提供劳务部分不能够区分，或虽能区分但不能够单独计量的，将销售商品部分和提供劳务部</w:t>
      </w:r>
      <w:r>
        <w:rPr>
          <w:spacing w:val="-33"/>
        </w:rPr>
        <w:t> </w:t>
      </w:r>
      <w:r>
        <w:rPr>
          <w:spacing w:val="-33"/>
        </w:rPr>
      </w:r>
      <w:r>
        <w:rPr/>
        <w:t>分全部作为销售商品处理。</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27、政府补助" w:id="201"/>
      <w:bookmarkEnd w:id="201"/>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5"/>
        <w:rPr>
          <w:rFonts w:ascii="宋体" w:hAnsi="宋体" w:cs="宋体" w:eastAsia="宋体" w:hint="default"/>
          <w:b/>
          <w:bCs/>
          <w:sz w:val="24"/>
          <w:szCs w:val="24"/>
        </w:rPr>
      </w:pPr>
    </w:p>
    <w:p>
      <w:pPr>
        <w:pStyle w:val="Heading5"/>
        <w:tabs>
          <w:tab w:pos="575" w:val="left" w:leader="none"/>
        </w:tabs>
        <w:spacing w:line="259" w:lineRule="auto" w:before="0"/>
        <w:ind w:left="575" w:right="1142"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政府补助，是本公司从政府无偿取得的货币性资产与非货币性资产。根据相关政府文件规定的补助对</w:t>
      </w:r>
    </w:p>
    <w:p>
      <w:pPr>
        <w:pStyle w:val="Heading5"/>
        <w:spacing w:line="273" w:lineRule="auto" w:before="20"/>
        <w:ind w:left="575" w:right="0" w:hanging="423"/>
        <w:jc w:val="left"/>
      </w:pPr>
      <w:r>
        <w:rPr/>
        <w:t>象，将政府补助划分为与资产相关的政府补助和与收益相关的政府补助。</w:t>
      </w:r>
      <w:r>
        <w:rPr>
          <w:spacing w:val="-100"/>
        </w:rPr>
        <w:t> </w:t>
      </w:r>
      <w:r>
        <w:rPr>
          <w:spacing w:val="-100"/>
        </w:rPr>
      </w:r>
      <w:r>
        <w:rPr>
          <w:spacing w:val="-2"/>
        </w:rPr>
        <w:t>与资产相关的政府补助，是指本公司取得的、用于购建或以其他方式形成长期资产的政府补助。与收</w:t>
      </w:r>
    </w:p>
    <w:p>
      <w:pPr>
        <w:pStyle w:val="Heading5"/>
        <w:spacing w:line="240" w:lineRule="auto"/>
        <w:ind w:right="0"/>
        <w:jc w:val="left"/>
      </w:pPr>
      <w:r>
        <w:rPr/>
        <w:t>益相关的政府补助，是指除与资产相关的政府补助之外的政府补助。</w:t>
      </w:r>
    </w:p>
    <w:p>
      <w:pPr>
        <w:pStyle w:val="Heading5"/>
        <w:tabs>
          <w:tab w:pos="575" w:val="left" w:leader="none"/>
        </w:tabs>
        <w:spacing w:line="259" w:lineRule="auto" w:before="37"/>
        <w:ind w:left="575" w:right="1142"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政府补助的确认</w:t>
      </w:r>
      <w:r>
        <w:rPr>
          <w:rFonts w:ascii="宋体" w:hAnsi="宋体" w:cs="宋体" w:eastAsia="宋体" w:hint="default"/>
          <w:b/>
          <w:bCs/>
          <w:spacing w:val="-104"/>
        </w:rPr>
        <w:t> </w:t>
      </w:r>
      <w:r>
        <w:rPr>
          <w:spacing w:val="-2"/>
        </w:rPr>
        <w:t>对期末有证据表明公司能够符合财政扶持政策规定的相关条件且预计能够收到财政扶持资金的，按应</w:t>
      </w:r>
    </w:p>
    <w:p>
      <w:pPr>
        <w:pStyle w:val="Heading5"/>
        <w:spacing w:line="273" w:lineRule="auto" w:before="20"/>
        <w:ind w:left="575" w:right="0" w:hanging="423"/>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p>
    <w:p>
      <w:pPr>
        <w:pStyle w:val="Heading5"/>
        <w:spacing w:line="273" w:lineRule="auto"/>
        <w:ind w:right="1131"/>
        <w:jc w:val="both"/>
      </w:pPr>
      <w:r>
        <w:rPr/>
        <w:t>计量；公允价值不能够可靠取得的，按照名义金额（人民币</w:t>
      </w:r>
      <w:r>
        <w:rPr>
          <w:rFonts w:ascii="宋体" w:hAnsi="宋体" w:cs="宋体" w:eastAsia="宋体" w:hint="default"/>
        </w:rPr>
        <w:t>1</w:t>
      </w:r>
      <w:r>
        <w:rPr/>
        <w:t>元）计量。按照名义金额计量的政府补助，</w:t>
      </w:r>
      <w:r>
        <w:rPr>
          <w:spacing w:val="-28"/>
        </w:rPr>
        <w:t> </w:t>
      </w:r>
      <w:r>
        <w:rPr>
          <w:spacing w:val="-28"/>
        </w:rPr>
      </w:r>
      <w:r>
        <w:rPr/>
        <w:t>直接计入当期损益。</w:t>
      </w:r>
    </w:p>
    <w:p>
      <w:pPr>
        <w:pStyle w:val="Heading5"/>
        <w:tabs>
          <w:tab w:pos="575" w:val="left" w:leader="none"/>
        </w:tabs>
        <w:spacing w:line="259" w:lineRule="auto" w:before="8"/>
        <w:ind w:left="575" w:right="1142" w:hanging="418"/>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会计处理方法</w:t>
      </w:r>
      <w:r>
        <w:rPr>
          <w:rFonts w:ascii="宋体" w:hAnsi="宋体" w:cs="宋体" w:eastAsia="宋体" w:hint="default"/>
          <w:b/>
          <w:bCs/>
          <w:spacing w:val="-104"/>
        </w:rPr>
        <w:t> </w:t>
      </w:r>
      <w:r>
        <w:rPr>
          <w:spacing w:val="-2"/>
        </w:rPr>
        <w:t>本公司根据经济业务的实质，确定某一类政府补助业务应当采用总额法还是净额法进行会计处理。通</w:t>
      </w:r>
    </w:p>
    <w:p>
      <w:pPr>
        <w:pStyle w:val="Heading5"/>
        <w:spacing w:line="240" w:lineRule="auto" w:before="20"/>
        <w:ind w:right="0"/>
        <w:jc w:val="left"/>
      </w:pPr>
      <w:r>
        <w:rPr/>
        <w:t>常情况下，本公司对于同类或类似政府补助业务只选用一种方法，且对该业务一贯地运用该方法。</w:t>
      </w:r>
    </w:p>
    <w:p>
      <w:pPr>
        <w:spacing w:line="240" w:lineRule="auto" w:before="9"/>
        <w:rPr>
          <w:rFonts w:ascii="宋体" w:hAnsi="宋体" w:cs="宋体" w:eastAsia="宋体" w:hint="default"/>
          <w:sz w:val="26"/>
          <w:szCs w:val="26"/>
        </w:rPr>
      </w:pPr>
    </w:p>
    <w:p>
      <w:pPr>
        <w:pStyle w:val="Heading5"/>
        <w:spacing w:line="273" w:lineRule="auto" w:before="0"/>
        <w:ind w:right="1125" w:firstLine="422"/>
        <w:jc w:val="both"/>
      </w:pPr>
      <w:r>
        <w:rPr>
          <w:spacing w:val="-2"/>
        </w:rPr>
        <w:t>与资产相关的政府补助，应当冲减相关资产的账面价值或确认为递延收益。与资产相关的政府补助确</w:t>
      </w:r>
      <w:r>
        <w:rPr>
          <w:w w:val="100"/>
        </w:rPr>
        <w:t> </w:t>
      </w:r>
      <w:r>
        <w:rPr/>
        <w:t>认为递延收益的，在所建造或购买资产使用寿命内按照合理、系统的方法分期计入损益。</w:t>
      </w:r>
    </w:p>
    <w:p>
      <w:pPr>
        <w:pStyle w:val="Heading5"/>
        <w:spacing w:line="273" w:lineRule="auto"/>
        <w:ind w:right="1120" w:firstLine="422"/>
        <w:jc w:val="both"/>
      </w:pPr>
      <w:r>
        <w:rPr>
          <w:spacing w:val="-2"/>
        </w:rPr>
        <w:t>与收益相关的政府补助，用于补偿企业以后期间的相关费用或损失的，确认为递延收益，在确认相关</w:t>
      </w:r>
      <w:r>
        <w:rPr>
          <w:w w:val="100"/>
        </w:rPr>
        <w:t> </w:t>
      </w:r>
      <w:r>
        <w:rPr>
          <w:spacing w:val="-2"/>
        </w:rPr>
        <w:t>费用或损失的期间计入当期损益或冲减相关成本；用于补偿企业已发生的相关费用或损失的，取得时直接</w:t>
      </w:r>
    </w:p>
    <w:p>
      <w:pPr>
        <w:spacing w:after="0" w:line="273" w:lineRule="auto"/>
        <w:jc w:val="both"/>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left="575" w:right="0" w:hanging="423"/>
        <w:jc w:val="left"/>
      </w:pPr>
      <w:r>
        <w:rPr/>
        <w:t>计入当期损益或冲减相关成本。</w:t>
      </w:r>
      <w:r>
        <w:rPr>
          <w:w w:val="100"/>
        </w:rPr>
        <w:t> </w:t>
      </w:r>
      <w:r>
        <w:rPr>
          <w:spacing w:val="-2"/>
        </w:rPr>
        <w:t>与企业日常活动相关的政府补助计入其他收益或冲减相关成本费用；与企业日常活动无关的政府补助</w:t>
      </w:r>
    </w:p>
    <w:p>
      <w:pPr>
        <w:pStyle w:val="Heading5"/>
        <w:spacing w:line="273" w:lineRule="auto"/>
        <w:ind w:left="575" w:right="0" w:hanging="423"/>
        <w:jc w:val="left"/>
      </w:pPr>
      <w:r>
        <w:rPr/>
        <w:t>计入营业外收支。</w:t>
      </w:r>
      <w:r>
        <w:rPr>
          <w:spacing w:val="-101"/>
        </w:rPr>
        <w:t> </w:t>
      </w:r>
      <w:r>
        <w:rPr>
          <w:spacing w:val="-101"/>
        </w:rPr>
      </w:r>
      <w:r>
        <w:rPr>
          <w:spacing w:val="-2"/>
        </w:rPr>
        <w:t>收到与政策性优惠贷款贴息相关的政府补助冲减相关借款费用；取得贷款银行提供的政策性优惠利率</w:t>
      </w:r>
    </w:p>
    <w:p>
      <w:pPr>
        <w:pStyle w:val="Heading5"/>
        <w:spacing w:line="273" w:lineRule="auto"/>
        <w:ind w:right="1123"/>
        <w:jc w:val="left"/>
      </w:pPr>
      <w:r>
        <w:rPr>
          <w:spacing w:val="-2"/>
        </w:rPr>
        <w:t>贷款的，以实际收到的借款金额作为借款的入账价值，按照借款本金和该政策性优惠利率计算相关借款费</w:t>
      </w:r>
      <w:r>
        <w:rPr>
          <w:spacing w:val="-33"/>
        </w:rPr>
        <w:t> </w:t>
      </w:r>
      <w:r>
        <w:rPr>
          <w:spacing w:val="-33"/>
        </w:rPr>
      </w:r>
      <w:r>
        <w:rPr/>
        <w:t>用</w:t>
      </w:r>
    </w:p>
    <w:p>
      <w:pPr>
        <w:pStyle w:val="Heading5"/>
        <w:spacing w:line="273" w:lineRule="auto"/>
        <w:ind w:right="1120" w:firstLine="422"/>
        <w:jc w:val="both"/>
      </w:pPr>
      <w:r>
        <w:rPr>
          <w:spacing w:val="-2"/>
        </w:rPr>
        <w:t>已确认的政府补助需要返还时，初始确认时冲减相关资产账面价值的，调整资产账面价值；存在相关</w:t>
      </w:r>
      <w:r>
        <w:rPr>
          <w:w w:val="100"/>
        </w:rPr>
        <w:t> </w:t>
      </w:r>
      <w:r>
        <w:rPr>
          <w:spacing w:val="-2"/>
        </w:rPr>
        <w:t>递延收益余额的，冲减相关递延收益账面余额，超出部分计入当期损益；不存在相关递延收益的，直接计</w:t>
      </w:r>
      <w:r>
        <w:rPr>
          <w:spacing w:val="-31"/>
        </w:rPr>
        <w:t> </w:t>
      </w:r>
      <w:r>
        <w:rPr>
          <w:spacing w:val="-31"/>
        </w:rPr>
      </w:r>
      <w:r>
        <w:rPr/>
        <w:t>入当期损益。</w:t>
      </w:r>
    </w:p>
    <w:p>
      <w:pPr>
        <w:spacing w:line="590" w:lineRule="atLeast" w:before="11"/>
        <w:ind w:left="575" w:right="0" w:hanging="423"/>
        <w:jc w:val="left"/>
        <w:rPr>
          <w:rFonts w:ascii="宋体" w:hAnsi="宋体" w:cs="宋体" w:eastAsia="宋体" w:hint="default"/>
          <w:sz w:val="21"/>
          <w:szCs w:val="21"/>
        </w:rPr>
      </w:pPr>
      <w:bookmarkStart w:name="28、递延所得税资产/递延所得税负债" w:id="202"/>
      <w:bookmarkEnd w:id="202"/>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暂时性差异</w:t>
      </w:r>
      <w:r>
        <w:rPr>
          <w:rFonts w:ascii="宋体" w:hAnsi="宋体" w:cs="宋体" w:eastAsia="宋体" w:hint="default"/>
          <w:spacing w:val="2"/>
          <w:sz w:val="21"/>
          <w:szCs w:val="21"/>
        </w:rPr>
        <w:t>)</w:t>
      </w:r>
      <w:r>
        <w:rPr>
          <w:rFonts w:ascii="宋体" w:hAnsi="宋体" w:cs="宋体" w:eastAsia="宋体" w:hint="default"/>
          <w:spacing w:val="2"/>
          <w:sz w:val="21"/>
          <w:szCs w:val="21"/>
        </w:rPr>
        <w:t>计</w:t>
      </w:r>
    </w:p>
    <w:p>
      <w:pPr>
        <w:pStyle w:val="Heading5"/>
        <w:spacing w:line="273" w:lineRule="auto" w:before="37"/>
        <w:ind w:right="1125"/>
        <w:jc w:val="both"/>
      </w:pPr>
      <w:r>
        <w:rPr>
          <w:spacing w:val="-2"/>
        </w:rPr>
        <w:t>算确认。于资产负债表日，递延所得税资产和递延所得税负债，按照预期收回该资产或清偿该负债期间的</w:t>
      </w:r>
      <w:r>
        <w:rPr>
          <w:spacing w:val="-33"/>
        </w:rPr>
        <w:t> </w:t>
      </w:r>
      <w:r>
        <w:rPr>
          <w:spacing w:val="-33"/>
        </w:rPr>
      </w:r>
      <w:r>
        <w:rPr/>
        <w:t>适用税率计量。</w:t>
      </w:r>
    </w:p>
    <w:p>
      <w:pPr>
        <w:tabs>
          <w:tab w:pos="575" w:val="left" w:leader="none"/>
        </w:tabs>
        <w:spacing w:line="259" w:lineRule="auto" w:before="7"/>
        <w:ind w:left="575" w:right="1123"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确认递延所得税资产的依据</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Heading5"/>
        <w:spacing w:line="273" w:lineRule="auto" w:before="20"/>
        <w:ind w:right="1122"/>
        <w:jc w:val="both"/>
      </w:pPr>
      <w:r>
        <w:rPr>
          <w:spacing w:val="-2"/>
        </w:rPr>
        <w:t>税所得额为限，确认由可抵扣暂时性差异产生的递延所得税资产。但是，同时具有下列特征的交易中因资</w:t>
      </w:r>
      <w:r>
        <w:rPr>
          <w:spacing w:val="-33"/>
        </w:rPr>
        <w:t> </w:t>
      </w:r>
      <w:r>
        <w:rPr>
          <w:spacing w:val="-33"/>
        </w:rPr>
      </w:r>
      <w:r>
        <w:rPr>
          <w:spacing w:val="-2"/>
        </w:rPr>
        <w:t>产或负债的初始确认所产生的递延所得税资产不予确认：（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r>
        <w:rPr>
          <w:spacing w:val="-2"/>
        </w:rPr>
        <w:t>）交易发生时既</w:t>
      </w:r>
      <w:r>
        <w:rPr>
          <w:spacing w:val="-28"/>
        </w:rPr>
        <w:t> </w:t>
      </w:r>
      <w:r>
        <w:rPr>
          <w:spacing w:val="-28"/>
        </w:rPr>
      </w:r>
      <w:r>
        <w:rPr/>
        <w:t>不影响会计利润也不影响应纳税所得额或可抵扣亏损。</w:t>
      </w:r>
    </w:p>
    <w:p>
      <w:pPr>
        <w:pStyle w:val="Heading5"/>
        <w:spacing w:line="273" w:lineRule="auto"/>
        <w:ind w:right="1102" w:firstLine="422"/>
        <w:jc w:val="both"/>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tabs>
          <w:tab w:pos="575" w:val="left" w:leader="none"/>
        </w:tabs>
        <w:spacing w:line="259" w:lineRule="auto" w:before="7"/>
        <w:ind w:left="575" w:right="2153" w:hanging="418"/>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b/>
          <w:bCs/>
          <w:sz w:val="21"/>
          <w:szCs w:val="21"/>
        </w:rPr>
        <w:t>确认递延所得税负债的依据</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Heading5"/>
        <w:spacing w:line="240" w:lineRule="auto" w:before="20"/>
        <w:ind w:left="575" w:right="0"/>
        <w:jc w:val="left"/>
      </w:pPr>
      <w:r>
        <w:rPr/>
        <w:t>（</w:t>
      </w:r>
      <w:r>
        <w:rPr>
          <w:rFonts w:ascii="宋体" w:hAnsi="宋体" w:cs="宋体" w:eastAsia="宋体" w:hint="default"/>
        </w:rPr>
        <w:t>1</w:t>
      </w:r>
      <w:r>
        <w:rPr/>
        <w:t>）商誉的初始确认所形成的暂时性差异；</w:t>
      </w:r>
    </w:p>
    <w:p>
      <w:pPr>
        <w:pStyle w:val="Heading5"/>
        <w:spacing w:line="273" w:lineRule="auto" w:before="37"/>
        <w:ind w:right="1133" w:firstLine="422"/>
        <w:jc w:val="both"/>
      </w:pPr>
      <w:r>
        <w:rPr/>
        <w:t>（</w:t>
      </w:r>
      <w:r>
        <w:rPr>
          <w:rFonts w:ascii="宋体" w:hAnsi="宋体" w:cs="宋体" w:eastAsia="宋体"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Heading5"/>
        <w:spacing w:line="273" w:lineRule="auto"/>
        <w:ind w:right="1135" w:firstLine="422"/>
        <w:jc w:val="both"/>
      </w:pPr>
      <w:r>
        <w:rPr/>
        <w:t>（</w:t>
      </w:r>
      <w:r>
        <w:rPr>
          <w:rFonts w:ascii="宋体" w:hAnsi="宋体" w:cs="宋体" w:eastAsia="宋体"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pStyle w:val="Heading4"/>
        <w:tabs>
          <w:tab w:pos="575" w:val="left" w:leader="none"/>
        </w:tabs>
        <w:spacing w:line="240" w:lineRule="auto" w:before="7"/>
        <w:ind w:left="158" w:right="0"/>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同时满足下列条件时，将递延所得税资产及递延所得税负债以抵销后的净额列示</w:t>
      </w:r>
      <w:r>
        <w:rPr>
          <w:b w:val="0"/>
          <w:bCs w:val="0"/>
        </w:rPr>
      </w:r>
    </w:p>
    <w:p>
      <w:pPr>
        <w:pStyle w:val="Heading5"/>
        <w:spacing w:line="240" w:lineRule="auto" w:before="23"/>
        <w:ind w:left="575" w:right="0"/>
        <w:jc w:val="left"/>
      </w:pPr>
      <w:r>
        <w:rPr/>
        <w:t>（</w:t>
      </w:r>
      <w:r>
        <w:rPr>
          <w:rFonts w:ascii="宋体" w:hAnsi="宋体" w:cs="宋体" w:eastAsia="宋体" w:hint="default"/>
        </w:rPr>
        <w:t>1</w:t>
      </w:r>
      <w:r>
        <w:rPr/>
        <w:t>）企业拥有以净额结算当期所得税资产及当期所得税负债的法定权利；</w:t>
      </w:r>
    </w:p>
    <w:p>
      <w:pPr>
        <w:pStyle w:val="Heading5"/>
        <w:spacing w:line="273" w:lineRule="auto" w:before="37"/>
        <w:ind w:right="1104" w:firstLine="422"/>
        <w:jc w:val="both"/>
      </w:pPr>
      <w:r>
        <w:rPr/>
        <w:t>（</w:t>
      </w:r>
      <w:r>
        <w:rPr>
          <w:rFonts w:ascii="宋体" w:hAnsi="宋体" w:cs="宋体" w:eastAsia="宋体"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11"/>
        </w:rPr>
        <w:t> </w:t>
      </w:r>
      <w:r>
        <w:rPr>
          <w:spacing w:val="-11"/>
        </w:rPr>
      </w:r>
      <w:r>
        <w:rPr/>
        <w:t>涉及的纳税主体体意图以净额结算当期所得税资产及当期所得税负债或是同时取得资产、清偿债务。</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29、租赁" w:id="203"/>
      <w:bookmarkEnd w:id="203"/>
      <w:r>
        <w:rPr>
          <w:b w:val="0"/>
          <w:bCs w:val="0"/>
        </w:rPr>
      </w:r>
      <w:r>
        <w:rPr>
          <w:rFonts w:ascii="Times New Roman" w:hAnsi="Times New Roman" w:cs="Times New Roman" w:eastAsia="Times New Roman" w:hint="default"/>
        </w:rPr>
        <w:t>29</w:t>
      </w:r>
      <w:r>
        <w:rPr/>
        <w:t>、租赁</w:t>
      </w:r>
      <w:r>
        <w:rPr>
          <w:b w:val="0"/>
          <w:bCs w:val="0"/>
        </w:rPr>
      </w:r>
    </w:p>
    <w:p>
      <w:pPr>
        <w:spacing w:line="590" w:lineRule="atLeast" w:before="25"/>
        <w:ind w:left="575" w:right="7906" w:hanging="423"/>
        <w:jc w:val="left"/>
        <w:rPr>
          <w:rFonts w:ascii="宋体" w:hAnsi="宋体" w:cs="宋体" w:eastAsia="宋体" w:hint="default"/>
          <w:sz w:val="21"/>
          <w:szCs w:val="21"/>
        </w:rPr>
      </w:pPr>
      <w:bookmarkStart w:name="（1）经营租赁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rFonts w:ascii="宋体" w:hAnsi="宋体" w:cs="宋体" w:eastAsia="宋体" w:hint="default"/>
          <w:sz w:val="21"/>
          <w:szCs w:val="21"/>
        </w:rPr>
        <w:t>1</w:t>
      </w:r>
      <w:r>
        <w:rPr>
          <w:rFonts w:ascii="宋体" w:hAnsi="宋体" w:cs="宋体" w:eastAsia="宋体" w:hint="default"/>
          <w:sz w:val="21"/>
          <w:szCs w:val="21"/>
        </w:rPr>
        <w:t>）经营租入资产</w:t>
      </w:r>
    </w:p>
    <w:p>
      <w:pPr>
        <w:pStyle w:val="Heading5"/>
        <w:spacing w:line="273" w:lineRule="auto" w:before="37"/>
        <w:ind w:right="0" w:firstLine="422"/>
        <w:jc w:val="left"/>
      </w:pPr>
      <w:r>
        <w:rPr>
          <w:spacing w:val="-4"/>
        </w:rPr>
        <w:t>公司租入资产所支付的租赁费，在不扣除免租期的整个租赁期内，按直线法进行分摊，计入当期费用。</w:t>
      </w:r>
      <w:r>
        <w:rPr>
          <w:w w:val="100"/>
        </w:rPr>
        <w:t> </w:t>
      </w:r>
      <w:r>
        <w:rPr/>
        <w:t>公司支付的与租赁交易相关的初始直接费用，计入当期费用。</w:t>
      </w:r>
    </w:p>
    <w:p>
      <w:pPr>
        <w:pStyle w:val="Heading5"/>
        <w:spacing w:line="273" w:lineRule="auto"/>
        <w:ind w:right="1125" w:firstLine="422"/>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spacing w:after="0" w:line="273" w:lineRule="auto"/>
        <w:jc w:val="both"/>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73" w:lineRule="auto" w:before="36"/>
        <w:ind w:left="575" w:right="0"/>
        <w:jc w:val="left"/>
      </w:pPr>
      <w:r>
        <w:rPr>
          <w:rFonts w:ascii="宋体" w:hAnsi="宋体" w:cs="宋体" w:eastAsia="宋体" w:hint="default"/>
        </w:rPr>
        <w:t>2</w:t>
      </w:r>
      <w:r>
        <w:rPr/>
        <w:t>）经营租出资产</w:t>
      </w:r>
      <w:r>
        <w:rPr>
          <w:spacing w:val="-101"/>
        </w:rPr>
        <w:t> </w:t>
      </w:r>
      <w:r>
        <w:rPr>
          <w:spacing w:val="-101"/>
        </w:rPr>
      </w:r>
      <w:r>
        <w:rPr>
          <w:spacing w:val="-2"/>
        </w:rPr>
        <w:t>公司出租资产所收取的租赁费，在不扣除免租期的整个租赁期内，按直线法进行分摊，确认为租赁收</w:t>
      </w:r>
    </w:p>
    <w:p>
      <w:pPr>
        <w:pStyle w:val="Heading5"/>
        <w:spacing w:line="273" w:lineRule="auto"/>
        <w:ind w:right="0"/>
        <w:jc w:val="left"/>
      </w:pPr>
      <w:r>
        <w:rPr>
          <w:spacing w:val="-2"/>
        </w:rPr>
        <w:t>入。公司支付的与租赁交易相关的初始直接费用，计入当期费用；如金额较大的，则予以资本化，在整个</w:t>
      </w:r>
      <w:r>
        <w:rPr>
          <w:spacing w:val="-38"/>
        </w:rPr>
        <w:t> </w:t>
      </w:r>
      <w:r>
        <w:rPr>
          <w:spacing w:val="-38"/>
        </w:rPr>
      </w:r>
      <w:r>
        <w:rPr/>
        <w:t>租赁期间内按照与租赁收入确认相同的基础分期计入当期收益。</w:t>
      </w:r>
    </w:p>
    <w:p>
      <w:pPr>
        <w:pStyle w:val="Heading5"/>
        <w:spacing w:line="273" w:lineRule="auto"/>
        <w:ind w:right="0" w:firstLine="422"/>
        <w:jc w:val="left"/>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30、重要会计政策和会计估计变更" w:id="205"/>
      <w:bookmarkEnd w:id="205"/>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71"/>
        <w:gridCol w:w="3544"/>
        <w:gridCol w:w="2060"/>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9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17"/>
              <w:jc w:val="both"/>
              <w:rPr>
                <w:rFonts w:ascii="宋体" w:hAnsi="宋体" w:cs="宋体" w:eastAsia="宋体" w:hint="default"/>
                <w:sz w:val="18"/>
                <w:szCs w:val="18"/>
              </w:rPr>
            </w:pPr>
            <w:r>
              <w:rPr>
                <w:rFonts w:ascii="宋体" w:hAnsi="宋体" w:cs="宋体" w:eastAsia="宋体" w:hint="default"/>
                <w:w w:val="101"/>
                <w:sz w:val="18"/>
                <w:szCs w:val="18"/>
              </w:rPr>
              <w:t>首</w:t>
            </w:r>
            <w:r>
              <w:rPr>
                <w:rFonts w:ascii="宋体" w:hAnsi="宋体" w:cs="宋体" w:eastAsia="宋体" w:hint="default"/>
                <w:spacing w:val="-5"/>
                <w:w w:val="101"/>
                <w:sz w:val="18"/>
                <w:szCs w:val="18"/>
              </w:rPr>
              <w:t>次</w:t>
            </w:r>
            <w:r>
              <w:rPr>
                <w:rFonts w:ascii="宋体" w:hAnsi="宋体" w:cs="宋体" w:eastAsia="宋体" w:hint="default"/>
                <w:w w:val="101"/>
                <w:sz w:val="18"/>
                <w:szCs w:val="18"/>
              </w:rPr>
              <w:t>执</w:t>
            </w:r>
            <w:r>
              <w:rPr>
                <w:rFonts w:ascii="宋体" w:hAnsi="宋体" w:cs="宋体" w:eastAsia="宋体" w:hint="default"/>
                <w:spacing w:val="-5"/>
                <w:w w:val="101"/>
                <w:sz w:val="18"/>
                <w:szCs w:val="18"/>
              </w:rPr>
              <w:t>行</w:t>
            </w:r>
            <w:r>
              <w:rPr>
                <w:rFonts w:ascii="宋体" w:hAnsi="宋体" w:cs="宋体" w:eastAsia="宋体" w:hint="default"/>
                <w:w w:val="101"/>
                <w:sz w:val="18"/>
                <w:szCs w:val="18"/>
              </w:rPr>
              <w:t>新</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pacing w:val="-5"/>
                <w:w w:val="101"/>
                <w:sz w:val="18"/>
                <w:szCs w:val="18"/>
              </w:rPr>
              <w:t>准</w:t>
            </w:r>
            <w:r>
              <w:rPr>
                <w:rFonts w:ascii="宋体" w:hAnsi="宋体" w:cs="宋体" w:eastAsia="宋体" w:hint="default"/>
                <w:w w:val="101"/>
                <w:sz w:val="18"/>
                <w:szCs w:val="18"/>
              </w:rPr>
              <w:t>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 货</w:t>
            </w:r>
            <w:r>
              <w:rPr>
                <w:rFonts w:ascii="宋体" w:hAnsi="宋体" w:cs="宋体" w:eastAsia="宋体" w:hint="default"/>
                <w:spacing w:val="-5"/>
                <w:w w:val="101"/>
                <w:sz w:val="18"/>
                <w:szCs w:val="18"/>
              </w:rPr>
              <w:t>币</w:t>
            </w:r>
            <w:r>
              <w:rPr>
                <w:rFonts w:ascii="宋体" w:hAnsi="宋体" w:cs="宋体" w:eastAsia="宋体" w:hint="default"/>
                <w:w w:val="101"/>
                <w:sz w:val="18"/>
                <w:szCs w:val="18"/>
              </w:rPr>
              <w:t>性</w:t>
            </w:r>
            <w:r>
              <w:rPr>
                <w:rFonts w:ascii="宋体" w:hAnsi="宋体" w:cs="宋体" w:eastAsia="宋体" w:hint="default"/>
                <w:spacing w:val="-5"/>
                <w:w w:val="101"/>
                <w:sz w:val="18"/>
                <w:szCs w:val="18"/>
              </w:rPr>
              <w:t>资</w:t>
            </w:r>
            <w:r>
              <w:rPr>
                <w:rFonts w:ascii="宋体" w:hAnsi="宋体" w:cs="宋体" w:eastAsia="宋体" w:hint="default"/>
                <w:w w:val="101"/>
                <w:sz w:val="18"/>
                <w:szCs w:val="18"/>
              </w:rPr>
              <w:t>产</w:t>
            </w:r>
            <w:r>
              <w:rPr>
                <w:rFonts w:ascii="宋体" w:hAnsi="宋体" w:cs="宋体" w:eastAsia="宋体" w:hint="default"/>
                <w:spacing w:val="-5"/>
                <w:w w:val="101"/>
                <w:sz w:val="18"/>
                <w:szCs w:val="18"/>
              </w:rPr>
              <w:t>交</w:t>
            </w:r>
            <w:r>
              <w:rPr>
                <w:rFonts w:ascii="宋体" w:hAnsi="宋体" w:cs="宋体" w:eastAsia="宋体" w:hint="default"/>
                <w:w w:val="101"/>
                <w:sz w:val="18"/>
                <w:szCs w:val="18"/>
              </w:rPr>
              <w:t>换</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spacing w:val="-1"/>
                <w:w w:val="101"/>
                <w:sz w:val="18"/>
                <w:szCs w:val="18"/>
              </w:rPr>
              <w:t>会</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号</w:t>
            </w:r>
            <w:r>
              <w:rPr>
                <w:rFonts w:ascii="宋体" w:hAnsi="宋体" w:cs="宋体" w:eastAsia="宋体" w:hint="default"/>
                <w:spacing w:val="-96"/>
                <w:w w:val="101"/>
                <w:sz w:val="18"/>
                <w:szCs w:val="18"/>
              </w:rPr>
              <w:t>）</w:t>
            </w:r>
            <w:r>
              <w:rPr>
                <w:rFonts w:ascii="宋体" w:hAnsi="宋体" w:cs="宋体" w:eastAsia="宋体" w:hint="default"/>
                <w:spacing w:val="-10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w:t>
            </w:r>
            <w:r>
              <w:rPr>
                <w:rFonts w:ascii="宋体" w:hAnsi="宋体" w:cs="宋体" w:eastAsia="宋体" w:hint="default"/>
                <w:w w:val="101"/>
                <w:sz w:val="18"/>
                <w:szCs w:val="18"/>
              </w:rPr>
              <w:t> 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债</w:t>
            </w:r>
            <w:r>
              <w:rPr>
                <w:rFonts w:ascii="宋体" w:hAnsi="宋体" w:cs="宋体" w:eastAsia="宋体" w:hint="default"/>
                <w:spacing w:val="-5"/>
                <w:w w:val="101"/>
                <w:sz w:val="18"/>
                <w:szCs w:val="18"/>
              </w:rPr>
              <w:t>务</w:t>
            </w:r>
            <w:r>
              <w:rPr>
                <w:rFonts w:ascii="宋体" w:hAnsi="宋体" w:cs="宋体" w:eastAsia="宋体" w:hint="default"/>
                <w:w w:val="101"/>
                <w:sz w:val="18"/>
                <w:szCs w:val="18"/>
              </w:rPr>
              <w:t>重</w:t>
            </w:r>
            <w:r>
              <w:rPr>
                <w:rFonts w:ascii="宋体" w:hAnsi="宋体" w:cs="宋体" w:eastAsia="宋体" w:hint="default"/>
                <w:spacing w:val="-5"/>
                <w:w w:val="101"/>
                <w:sz w:val="18"/>
                <w:szCs w:val="18"/>
              </w:rPr>
              <w:t>组</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财会</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号）</w:t>
            </w:r>
            <w:r>
              <w:rPr>
                <w:rFonts w:ascii="宋体" w:hAnsi="宋体" w:cs="宋体" w:eastAsia="宋体" w:hint="default"/>
                <w:sz w:val="18"/>
                <w:szCs w:val="18"/>
              </w:rPr>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日，第三届董事会第三十次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会议，第三届监事会第二十三次会议，审议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通过《关于会计政策变更的议案》</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日发布了《关于修订</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印发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年度一般企业财务报表格式的通知》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财</w:t>
            </w:r>
            <w:r>
              <w:rPr>
                <w:rFonts w:ascii="宋体" w:hAnsi="宋体" w:cs="宋体" w:eastAsia="宋体" w:hint="default"/>
                <w:spacing w:val="-1"/>
                <w:w w:val="101"/>
                <w:sz w:val="18"/>
                <w:szCs w:val="18"/>
              </w:rPr>
              <w:t>会</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w w:val="101"/>
                <w:sz w:val="18"/>
                <w:szCs w:val="18"/>
              </w:rPr>
              <w:t>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和</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w:t>
            </w:r>
            <w:r>
              <w:rPr>
                <w:rFonts w:ascii="宋体" w:hAnsi="宋体" w:cs="宋体" w:eastAsia="宋体" w:hint="default"/>
                <w:spacing w:val="-5"/>
                <w:w w:val="101"/>
                <w:sz w:val="18"/>
                <w:szCs w:val="18"/>
              </w:rPr>
              <w:t>则的</w:t>
            </w:r>
            <w:r>
              <w:rPr>
                <w:rFonts w:ascii="宋体" w:hAnsi="宋体" w:cs="宋体" w:eastAsia="宋体" w:hint="default"/>
                <w:w w:val="101"/>
                <w:sz w:val="18"/>
                <w:szCs w:val="18"/>
              </w:rPr>
              <w:t>要</w:t>
            </w:r>
            <w:r>
              <w:rPr>
                <w:rFonts w:ascii="宋体" w:hAnsi="宋体" w:cs="宋体" w:eastAsia="宋体" w:hint="default"/>
                <w:spacing w:val="-5"/>
                <w:w w:val="101"/>
                <w:sz w:val="18"/>
                <w:szCs w:val="18"/>
              </w:rPr>
              <w:t>求</w:t>
            </w:r>
            <w:r>
              <w:rPr>
                <w:rFonts w:ascii="宋体" w:hAnsi="宋体" w:cs="宋体" w:eastAsia="宋体" w:hint="default"/>
                <w:w w:val="101"/>
                <w:sz w:val="18"/>
                <w:szCs w:val="18"/>
              </w:rPr>
              <w:t>编制</w:t>
            </w:r>
            <w:r>
              <w:rPr>
                <w:rFonts w:ascii="宋体" w:hAnsi="宋体" w:cs="宋体" w:eastAsia="宋体" w:hint="default"/>
                <w:sz w:val="18"/>
                <w:szCs w:val="18"/>
              </w:rPr>
            </w:r>
          </w:p>
          <w:p>
            <w:pPr>
              <w:pStyle w:val="TableParagraph"/>
              <w:spacing w:line="304" w:lineRule="auto" w:before="63"/>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1-6 </w:t>
            </w:r>
            <w:r>
              <w:rPr>
                <w:rFonts w:ascii="宋体" w:hAnsi="宋体" w:cs="宋体" w:eastAsia="宋体" w:hint="default"/>
                <w:spacing w:val="-3"/>
                <w:sz w:val="18"/>
                <w:szCs w:val="18"/>
              </w:rPr>
              <w:t>月财务报表，结合此项目会计政策变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更及企业实际情况，变更财务报表格式。</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0"/>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日，第三届董事会第三十次</w:t>
            </w:r>
            <w:r>
              <w:rPr>
                <w:rFonts w:ascii="宋体" w:hAnsi="宋体" w:cs="宋体" w:eastAsia="宋体" w:hint="default"/>
                <w:w w:val="101"/>
                <w:sz w:val="18"/>
                <w:szCs w:val="18"/>
              </w:rPr>
              <w:t> </w:t>
            </w:r>
            <w:r>
              <w:rPr>
                <w:rFonts w:ascii="宋体" w:hAnsi="宋体" w:cs="宋体" w:eastAsia="宋体" w:hint="default"/>
                <w:spacing w:val="-3"/>
                <w:sz w:val="18"/>
                <w:szCs w:val="18"/>
              </w:rPr>
              <w:t>会议，第三届监事会第二十三次会议，审议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通过《关于会计政策变更的议案》</w:t>
            </w:r>
          </w:p>
        </w:tc>
        <w:tc>
          <w:tcPr>
            <w:tcW w:w="206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76" w:lineRule="exact"/>
        <w:ind w:left="681" w:right="0"/>
        <w:jc w:val="left"/>
        <w:rPr>
          <w:b w:val="0"/>
          <w:bCs w:val="0"/>
        </w:rPr>
      </w:pPr>
      <w:r>
        <w:rPr/>
        <w:t>（</w:t>
      </w:r>
      <w:r>
        <w:rPr>
          <w:rFonts w:ascii="Times New Roman" w:hAnsi="Times New Roman" w:cs="Times New Roman" w:eastAsia="Times New Roman" w:hint="default"/>
        </w:rPr>
        <w:t>1</w:t>
      </w:r>
      <w:r>
        <w:rPr/>
        <w:t>）执行新金融工具准则对本公司的影响</w:t>
      </w:r>
      <w:r>
        <w:rPr>
          <w:b w:val="0"/>
          <w:bCs w:val="0"/>
        </w:rPr>
      </w:r>
    </w:p>
    <w:p>
      <w:pPr>
        <w:pStyle w:val="Heading5"/>
        <w:spacing w:line="256" w:lineRule="auto" w:before="21"/>
        <w:ind w:right="1122" w:firstLine="422"/>
        <w:jc w:val="both"/>
      </w:pPr>
      <w:r>
        <w:rPr>
          <w:spacing w:val="-7"/>
          <w:w w:val="100"/>
        </w:rPr>
        <w:t>本公司自</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1</w:t>
      </w:r>
      <w:r>
        <w:rPr>
          <w:spacing w:val="-7"/>
          <w:w w:val="100"/>
        </w:rPr>
        <w:t>月</w:t>
      </w:r>
      <w:r>
        <w:rPr>
          <w:rFonts w:ascii="Times New Roman" w:hAnsi="Times New Roman" w:cs="Times New Roman" w:eastAsia="Times New Roman" w:hint="default"/>
          <w:spacing w:val="-7"/>
          <w:w w:val="100"/>
        </w:rPr>
        <w:t>1</w:t>
      </w:r>
      <w:r>
        <w:rPr>
          <w:spacing w:val="-7"/>
          <w:w w:val="100"/>
        </w:rPr>
        <w:t>日起执行财政部</w:t>
      </w:r>
      <w:r>
        <w:rPr>
          <w:rFonts w:ascii="Times New Roman" w:hAnsi="Times New Roman" w:cs="Times New Roman" w:eastAsia="Times New Roman" w:hint="default"/>
          <w:spacing w:val="-7"/>
          <w:w w:val="100"/>
        </w:rPr>
        <w:t>2017</w:t>
      </w:r>
      <w:r>
        <w:rPr>
          <w:spacing w:val="-7"/>
          <w:w w:val="100"/>
        </w:rPr>
        <w:t>年修订的《企业会计准则第</w:t>
      </w:r>
      <w:r>
        <w:rPr>
          <w:rFonts w:ascii="Times New Roman" w:hAnsi="Times New Roman" w:cs="Times New Roman" w:eastAsia="Times New Roman" w:hint="default"/>
          <w:spacing w:val="-7"/>
          <w:w w:val="100"/>
        </w:rPr>
        <w:t>22</w:t>
      </w:r>
      <w:r>
        <w:rPr>
          <w:spacing w:val="-7"/>
          <w:w w:val="100"/>
        </w:rPr>
        <w:t>号</w:t>
      </w:r>
      <w:r>
        <w:rPr>
          <w:rFonts w:ascii="Times New Roman" w:hAnsi="Times New Roman" w:cs="Times New Roman" w:eastAsia="Times New Roman" w:hint="default"/>
          <w:spacing w:val="-7"/>
          <w:w w:val="100"/>
        </w:rPr>
        <w:t>-</w:t>
      </w:r>
      <w:r>
        <w:rPr>
          <w:spacing w:val="-7"/>
          <w:w w:val="100"/>
        </w:rPr>
        <w:t>金融工具确认和计量》、《企</w:t>
      </w:r>
      <w:r>
        <w:rPr>
          <w:w w:val="100"/>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金融资产转移》和《企业会计准则第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w:t>
      </w:r>
      <w:r>
        <w:rPr>
          <w:spacing w:val="-23"/>
        </w:rPr>
        <w:t> </w:t>
      </w:r>
      <w:r>
        <w:rPr/>
        <w:t>具列报》（以上四项统称</w:t>
      </w:r>
      <w:r>
        <w:rPr>
          <w:rFonts w:ascii="Times New Roman" w:hAnsi="Times New Roman" w:cs="Times New Roman" w:eastAsia="Times New Roman" w:hint="default"/>
        </w:rPr>
        <w:t>&lt;</w:t>
      </w:r>
      <w:r>
        <w:rPr/>
        <w:t>新金融工具准则</w:t>
      </w:r>
      <w:r>
        <w:rPr>
          <w:rFonts w:ascii="Times New Roman" w:hAnsi="Times New Roman" w:cs="Times New Roman" w:eastAsia="Times New Roman" w:hint="default"/>
        </w:rPr>
        <w:t>&gt;</w:t>
      </w:r>
      <w:r>
        <w:rPr/>
        <w:t>）。</w:t>
      </w:r>
    </w:p>
    <w:p>
      <w:pPr>
        <w:pStyle w:val="Heading5"/>
        <w:spacing w:line="240" w:lineRule="auto" w:before="5"/>
        <w:ind w:left="575" w:right="0"/>
        <w:jc w:val="left"/>
      </w:pPr>
      <w:r>
        <w:rPr/>
        <w:t>执行新金融工具准则对本期期初资产负债表相关项目的影响列示如下：</w:t>
      </w:r>
    </w:p>
    <w:p>
      <w:pPr>
        <w:spacing w:line="240" w:lineRule="auto" w:before="1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570"/>
        <w:gridCol w:w="1844"/>
        <w:gridCol w:w="1805"/>
        <w:gridCol w:w="1594"/>
        <w:gridCol w:w="1277"/>
        <w:gridCol w:w="1571"/>
      </w:tblGrid>
      <w:tr>
        <w:trPr>
          <w:trHeight w:val="341" w:hRule="exact"/>
        </w:trPr>
        <w:tc>
          <w:tcPr>
            <w:tcW w:w="15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67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5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1570" w:type="dxa"/>
            <w:vMerge/>
            <w:tcBorders>
              <w:left w:val="single" w:sz="4" w:space="0" w:color="000000"/>
              <w:bottom w:val="single" w:sz="4" w:space="0" w:color="000000"/>
              <w:right w:val="single" w:sz="4" w:space="0" w:color="000000"/>
            </w:tcBorders>
            <w:shd w:val="clear" w:color="auto" w:fill="D9D9D9"/>
          </w:tcPr>
          <w:p>
            <w:pPr/>
          </w:p>
        </w:tc>
        <w:tc>
          <w:tcPr>
            <w:tcW w:w="1844" w:type="dxa"/>
            <w:vMerge/>
            <w:tcBorders>
              <w:left w:val="single" w:sz="4" w:space="0" w:color="000000"/>
              <w:bottom w:val="single" w:sz="4" w:space="0" w:color="000000"/>
              <w:right w:val="single" w:sz="4" w:space="0" w:color="000000"/>
            </w:tcBorders>
            <w:shd w:val="clear" w:color="auto" w:fill="D9D9D9"/>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68" w:right="0"/>
              <w:jc w:val="left"/>
              <w:rPr>
                <w:rFonts w:ascii="宋体" w:hAnsi="宋体" w:cs="宋体" w:eastAsia="宋体" w:hint="default"/>
                <w:sz w:val="18"/>
                <w:szCs w:val="18"/>
              </w:rPr>
            </w:pPr>
            <w:r>
              <w:rPr>
                <w:rFonts w:ascii="宋体" w:hAnsi="宋体" w:cs="宋体" w:eastAsia="宋体" w:hint="default"/>
                <w:spacing w:val="-3"/>
                <w:sz w:val="18"/>
                <w:szCs w:val="18"/>
              </w:rPr>
              <w:t>分类和计量影响</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2" w:right="0"/>
              <w:jc w:val="left"/>
              <w:rPr>
                <w:rFonts w:ascii="宋体" w:hAnsi="宋体" w:cs="宋体" w:eastAsia="宋体" w:hint="default"/>
                <w:sz w:val="18"/>
                <w:szCs w:val="18"/>
              </w:rPr>
            </w:pPr>
            <w:r>
              <w:rPr>
                <w:rFonts w:ascii="宋体" w:hAnsi="宋体" w:cs="宋体" w:eastAsia="宋体" w:hint="default"/>
                <w:sz w:val="18"/>
                <w:szCs w:val="18"/>
              </w:rPr>
              <w:t>金融资产减值影响</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5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71" w:type="dxa"/>
            <w:vMerge/>
            <w:tcBorders>
              <w:left w:val="single" w:sz="4" w:space="0" w:color="000000"/>
              <w:bottom w:val="single" w:sz="4" w:space="0" w:color="000000"/>
              <w:right w:val="single" w:sz="4" w:space="0" w:color="000000"/>
            </w:tcBorders>
            <w:shd w:val="clear" w:color="auto" w:fill="D9D9D9"/>
          </w:tcPr>
          <w:p>
            <w:pPr/>
          </w:p>
        </w:tc>
      </w:tr>
      <w:tr>
        <w:trPr>
          <w:trHeight w:val="341"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8" w:right="0"/>
              <w:jc w:val="left"/>
              <w:rPr>
                <w:rFonts w:ascii="Times New Roman" w:hAnsi="Times New Roman" w:cs="Times New Roman" w:eastAsia="Times New Roman" w:hint="default"/>
                <w:sz w:val="18"/>
                <w:szCs w:val="18"/>
              </w:rPr>
            </w:pPr>
            <w:r>
              <w:rPr>
                <w:rFonts w:ascii="Times New Roman"/>
                <w:sz w:val="18"/>
              </w:rPr>
              <w:t>200,000.00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8" w:right="-5"/>
              <w:jc w:val="left"/>
              <w:rPr>
                <w:rFonts w:ascii="Times New Roman" w:hAnsi="Times New Roman" w:cs="Times New Roman" w:eastAsia="Times New Roman" w:hint="default"/>
                <w:sz w:val="18"/>
                <w:szCs w:val="18"/>
              </w:rPr>
            </w:pPr>
            <w:r>
              <w:rPr>
                <w:rFonts w:ascii="Times New Roman"/>
                <w:spacing w:val="-1"/>
                <w:sz w:val="18"/>
              </w:rPr>
              <w:t>-200,000.00</w:t>
            </w: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56" w:right="-5"/>
              <w:jc w:val="left"/>
              <w:rPr>
                <w:rFonts w:ascii="Times New Roman" w:hAnsi="Times New Roman" w:cs="Times New Roman" w:eastAsia="Times New Roman" w:hint="default"/>
                <w:sz w:val="18"/>
                <w:szCs w:val="18"/>
              </w:rPr>
            </w:pPr>
            <w:r>
              <w:rPr>
                <w:rFonts w:ascii="Times New Roman"/>
                <w:sz w:val="18"/>
              </w:rPr>
              <w:t>200,000.00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44" w:right="0"/>
              <w:jc w:val="lef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12"/>
        <w:rPr>
          <w:rFonts w:ascii="宋体" w:hAnsi="宋体" w:cs="宋体" w:eastAsia="宋体" w:hint="default"/>
          <w:sz w:val="19"/>
          <w:szCs w:val="19"/>
        </w:rPr>
      </w:pPr>
    </w:p>
    <w:p>
      <w:pPr>
        <w:pStyle w:val="Heading4"/>
        <w:spacing w:line="240" w:lineRule="auto" w:before="36"/>
        <w:ind w:left="575" w:right="0"/>
        <w:jc w:val="left"/>
        <w:rPr>
          <w:b w:val="0"/>
          <w:bCs w:val="0"/>
        </w:rPr>
      </w:pPr>
      <w:r>
        <w:rPr/>
        <w:t>（</w:t>
      </w:r>
      <w:r>
        <w:rPr>
          <w:rFonts w:ascii="Times New Roman" w:hAnsi="Times New Roman" w:cs="Times New Roman" w:eastAsia="Times New Roman" w:hint="default"/>
        </w:rPr>
        <w:t>2</w:t>
      </w:r>
      <w:r>
        <w:rPr/>
        <w:t>）执行新债务重组及非货币性资产交换准则对本公司的影响</w:t>
      </w:r>
      <w:r>
        <w:rPr>
          <w:b w:val="0"/>
          <w:bCs w:val="0"/>
        </w:rPr>
      </w:r>
    </w:p>
    <w:p>
      <w:pPr>
        <w:pStyle w:val="Heading5"/>
        <w:spacing w:line="256" w:lineRule="auto" w:before="21"/>
        <w:ind w:right="1123" w:firstLine="422"/>
        <w:jc w:val="left"/>
        <w:rPr>
          <w:rFonts w:ascii="Times New Roman" w:hAnsi="Times New Roman" w:cs="Times New Roman" w:eastAsia="Times New Roman" w:hint="default"/>
        </w:rPr>
      </w:pPr>
      <w:r>
        <w:rPr/>
        <w:t>本公司自</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10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非货币性资产交</w:t>
      </w:r>
      <w:r>
        <w:rPr>
          <w:w w:val="100"/>
        </w:rPr>
        <w:t> </w:t>
      </w:r>
      <w:r>
        <w:rPr>
          <w:spacing w:val="-3"/>
        </w:rPr>
        <w:t>换》，自</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17 </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债务重组》。该项会计</w:t>
      </w:r>
      <w:r>
        <w:rPr>
          <w:w w:val="100"/>
        </w:rPr>
        <w:t> </w:t>
      </w:r>
      <w:r>
        <w:rPr>
          <w:spacing w:val="-2"/>
        </w:rPr>
        <w:t>政策变更采用未来适用法处理，并根据准则的规定对于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日至准则实施日之间发生的非货币性资</w:t>
      </w:r>
      <w:r>
        <w:rPr>
          <w:spacing w:val="-25"/>
        </w:rPr>
        <w:t> </w:t>
      </w:r>
      <w:r>
        <w:rPr>
          <w:spacing w:val="-25"/>
        </w:rPr>
      </w:r>
      <w:r>
        <w:rPr/>
        <w:t>产交换和债务重组进行调整。本公司执行上述准则在本报告期内无重大影响</w:t>
      </w:r>
      <w:r>
        <w:rPr>
          <w:rFonts w:ascii="Times New Roman" w:hAnsi="Times New Roman" w:cs="Times New Roman" w:eastAsia="Times New Roman" w:hint="default"/>
        </w:rPr>
        <w:t>.</w:t>
      </w:r>
    </w:p>
    <w:p>
      <w:pPr>
        <w:spacing w:line="256" w:lineRule="auto" w:before="5"/>
        <w:ind w:left="714" w:right="0" w:hanging="14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）财务报表列报项目变更说明</w:t>
      </w:r>
      <w:r>
        <w:rPr>
          <w:rFonts w:ascii="宋体" w:hAnsi="宋体" w:cs="宋体" w:eastAsia="宋体" w:hint="default"/>
          <w:b/>
          <w:bCs/>
          <w:spacing w:val="-101"/>
          <w:sz w:val="21"/>
          <w:szCs w:val="21"/>
        </w:rPr>
        <w:t> </w:t>
      </w:r>
      <w:r>
        <w:rPr>
          <w:rFonts w:ascii="宋体" w:hAnsi="宋体" w:cs="宋体" w:eastAsia="宋体" w:hint="default"/>
          <w:sz w:val="21"/>
          <w:szCs w:val="21"/>
        </w:rPr>
        <w:t>财政部于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年发布了《关于修订印发</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年度一般企业财务报表格式的通知》（财会〔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p>
      <w:pPr>
        <w:pStyle w:val="Heading5"/>
        <w:spacing w:line="261" w:lineRule="auto" w:before="5"/>
        <w:ind w:left="297" w:right="1122"/>
        <w:jc w:val="both"/>
      </w:pPr>
      <w:r>
        <w:rPr>
          <w:spacing w:val="-3"/>
        </w:rPr>
        <w:t>号）和《关于修订印发合并财务报表格式</w:t>
      </w:r>
      <w:r>
        <w:rPr>
          <w:rFonts w:ascii="Times New Roman" w:hAnsi="Times New Roman" w:cs="Times New Roman" w:eastAsia="Times New Roman" w:hint="default"/>
          <w:spacing w:val="-3"/>
        </w:rPr>
        <w:t>(2019</w:t>
      </w:r>
      <w:r>
        <w:rPr>
          <w:spacing w:val="-3"/>
        </w:rPr>
        <w:t>版</w:t>
      </w:r>
      <w:r>
        <w:rPr>
          <w:rFonts w:ascii="Times New Roman" w:hAnsi="Times New Roman" w:cs="Times New Roman" w:eastAsia="Times New Roman" w:hint="default"/>
          <w:spacing w:val="-3"/>
        </w:rPr>
        <w:t>)</w:t>
      </w:r>
      <w:r>
        <w:rPr>
          <w:spacing w:val="-3"/>
        </w:rPr>
        <w:t>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16</w:t>
      </w:r>
      <w:r>
        <w:rPr>
          <w:spacing w:val="-3"/>
        </w:rPr>
        <w:t>号），对一般企业财务报表</w:t>
      </w:r>
      <w:r>
        <w:rPr>
          <w:spacing w:val="-47"/>
        </w:rPr>
        <w:t> </w:t>
      </w:r>
      <w:r>
        <w:rPr>
          <w:spacing w:val="-47"/>
        </w:rPr>
      </w:r>
      <w:r>
        <w:rPr/>
        <w:t>格式进行了修订，拆分部分资产负债表项目和调整利润表项目等。本公司已经根据新的企业财务报表格</w:t>
      </w:r>
      <w:r>
        <w:rPr>
          <w:spacing w:val="-56"/>
        </w:rPr>
        <w:t> </w:t>
      </w:r>
      <w:r>
        <w:rPr>
          <w:spacing w:val="-56"/>
        </w:rPr>
      </w:r>
      <w:r>
        <w:rPr/>
        <w:t>式的要求编制财务报表，财务报表的列报项目因此发生变更的，已经按照《企业会计准则第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w:t>
      </w:r>
      <w:r>
        <w:rPr>
          <w:spacing w:val="-55"/>
        </w:rPr>
        <w:t> </w:t>
      </w:r>
      <w:r>
        <w:rPr/>
        <w:t>务报表列报》等的相关规定，对可比期间的比较数据进行调整。</w:t>
      </w:r>
    </w:p>
    <w:p>
      <w:pPr>
        <w:pStyle w:val="Heading5"/>
        <w:spacing w:line="240" w:lineRule="auto" w:before="18"/>
        <w:ind w:left="575" w:right="0"/>
        <w:jc w:val="left"/>
      </w:pPr>
      <w:r>
        <w:rPr/>
        <w:t>对可比期间的财务报表列报项目及金额的影响如下：</w:t>
      </w:r>
    </w:p>
    <w:p>
      <w:pPr>
        <w:spacing w:after="0" w:line="240" w:lineRule="auto"/>
        <w:jc w:val="lef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853"/>
        <w:gridCol w:w="2228"/>
        <w:gridCol w:w="2670"/>
        <w:gridCol w:w="1849"/>
        <w:gridCol w:w="1061"/>
      </w:tblGrid>
      <w:tr>
        <w:trPr>
          <w:trHeight w:val="329" w:hRule="exact"/>
        </w:trPr>
        <w:tc>
          <w:tcPr>
            <w:tcW w:w="18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61"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2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pacing w:val="-3"/>
                <w:sz w:val="18"/>
                <w:szCs w:val="18"/>
              </w:rPr>
              <w:t>列报变更前金额</w:t>
            </w:r>
          </w:p>
        </w:tc>
        <w:tc>
          <w:tcPr>
            <w:tcW w:w="26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影响金额</w:t>
            </w:r>
          </w:p>
        </w:tc>
        <w:tc>
          <w:tcPr>
            <w:tcW w:w="1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pacing w:val="-3"/>
                <w:sz w:val="18"/>
                <w:szCs w:val="18"/>
              </w:rPr>
              <w:t>列报变更后金额</w:t>
            </w:r>
          </w:p>
        </w:tc>
        <w:tc>
          <w:tcPr>
            <w:tcW w:w="10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67" w:hRule="exact"/>
        </w:trPr>
        <w:tc>
          <w:tcPr>
            <w:tcW w:w="18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28" w:type="dxa"/>
            <w:tcBorders>
              <w:top w:val="single" w:sz="10" w:space="0" w:color="000000"/>
              <w:left w:val="single" w:sz="6" w:space="0" w:color="000000"/>
              <w:bottom w:val="single" w:sz="6" w:space="0" w:color="000000"/>
              <w:right w:val="single" w:sz="6" w:space="0" w:color="000000"/>
            </w:tcBorders>
          </w:tcPr>
          <w:p>
            <w:pPr/>
          </w:p>
        </w:tc>
        <w:tc>
          <w:tcPr>
            <w:tcW w:w="267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pacing w:val="-1"/>
                <w:sz w:val="18"/>
              </w:rPr>
              <w:t>929,920.00</w:t>
            </w:r>
          </w:p>
        </w:tc>
        <w:tc>
          <w:tcPr>
            <w:tcW w:w="184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5"/>
              <w:jc w:val="right"/>
              <w:rPr>
                <w:rFonts w:ascii="Times New Roman" w:hAnsi="Times New Roman" w:cs="Times New Roman" w:eastAsia="Times New Roman" w:hint="default"/>
                <w:sz w:val="18"/>
                <w:szCs w:val="18"/>
              </w:rPr>
            </w:pPr>
            <w:r>
              <w:rPr>
                <w:rFonts w:ascii="Times New Roman"/>
                <w:spacing w:val="-1"/>
                <w:sz w:val="18"/>
              </w:rPr>
              <w:t>929,920.00</w:t>
            </w:r>
          </w:p>
        </w:tc>
        <w:tc>
          <w:tcPr>
            <w:tcW w:w="1061" w:type="dxa"/>
            <w:tcBorders>
              <w:top w:val="single" w:sz="10" w:space="0" w:color="000000"/>
              <w:left w:val="single" w:sz="6" w:space="0" w:color="000000"/>
              <w:bottom w:val="single" w:sz="6" w:space="0" w:color="000000"/>
              <w:right w:val="single" w:sz="6" w:space="0" w:color="000000"/>
            </w:tcBorders>
          </w:tcPr>
          <w:p>
            <w:pP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28" w:type="dxa"/>
            <w:tcBorders>
              <w:top w:val="single" w:sz="6" w:space="0" w:color="000000"/>
              <w:left w:val="single" w:sz="6" w:space="0" w:color="000000"/>
              <w:bottom w:val="single" w:sz="6" w:space="0" w:color="000000"/>
              <w:right w:val="single" w:sz="6" w:space="0" w:color="000000"/>
            </w:tcBorders>
          </w:tcPr>
          <w:p>
            <w:pP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350,312,838.59</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350,312,838.59</w:t>
            </w:r>
          </w:p>
        </w:tc>
        <w:tc>
          <w:tcPr>
            <w:tcW w:w="10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351,242,758.59</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-351,242,758.59</w:t>
            </w:r>
          </w:p>
        </w:tc>
        <w:tc>
          <w:tcPr>
            <w:tcW w:w="1849"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28" w:type="dxa"/>
            <w:tcBorders>
              <w:top w:val="single" w:sz="6" w:space="0" w:color="000000"/>
              <w:left w:val="single" w:sz="6" w:space="0" w:color="000000"/>
              <w:bottom w:val="single" w:sz="6" w:space="0" w:color="000000"/>
              <w:right w:val="single" w:sz="6" w:space="0" w:color="000000"/>
            </w:tcBorders>
          </w:tcPr>
          <w:p>
            <w:pPr/>
          </w:p>
        </w:tc>
        <w:tc>
          <w:tcPr>
            <w:tcW w:w="2670"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28" w:type="dxa"/>
            <w:tcBorders>
              <w:top w:val="single" w:sz="6" w:space="0" w:color="000000"/>
              <w:left w:val="single" w:sz="6" w:space="0" w:color="000000"/>
              <w:bottom w:val="single" w:sz="6" w:space="0" w:color="000000"/>
              <w:right w:val="single" w:sz="6" w:space="0" w:color="000000"/>
            </w:tcBorders>
          </w:tcPr>
          <w:p>
            <w:pP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55,496,692.40</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55,496,692.40</w:t>
            </w:r>
          </w:p>
        </w:tc>
        <w:tc>
          <w:tcPr>
            <w:tcW w:w="10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55,496,692.40</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-55,496,692.40</w:t>
            </w:r>
          </w:p>
        </w:tc>
        <w:tc>
          <w:tcPr>
            <w:tcW w:w="1849" w:type="dxa"/>
            <w:tcBorders>
              <w:top w:val="single" w:sz="6" w:space="0" w:color="000000"/>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2833"/>
        <w:gridCol w:w="2411"/>
        <w:gridCol w:w="1488"/>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会计估计变更的内容和原因</w:t>
            </w:r>
          </w:p>
        </w:tc>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pacing w:val="-3"/>
                <w:sz w:val="18"/>
                <w:szCs w:val="18"/>
              </w:rPr>
              <w:t>开始适用的时点</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47"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为了更加客观、真实、公允地反映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9"/>
                <w:sz w:val="18"/>
                <w:szCs w:val="18"/>
              </w:rPr>
              <w:t>公司财务状况和经营成果，根据《企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业会计准则》等相关规定，对应收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款项计提坏账准备的会计估计进行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变更。</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日召开第三届董事</w:t>
            </w:r>
            <w:r>
              <w:rPr>
                <w:rFonts w:ascii="宋体" w:hAnsi="宋体" w:cs="宋体" w:eastAsia="宋体" w:hint="default"/>
                <w:w w:val="101"/>
                <w:sz w:val="18"/>
                <w:szCs w:val="18"/>
              </w:rPr>
              <w:t> </w:t>
            </w:r>
            <w:r>
              <w:rPr>
                <w:rFonts w:ascii="宋体" w:hAnsi="宋体" w:cs="宋体" w:eastAsia="宋体" w:hint="default"/>
                <w:spacing w:val="-3"/>
                <w:sz w:val="18"/>
                <w:szCs w:val="18"/>
              </w:rPr>
              <w:t>会第二十六次会议、第三届监事会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第十九次会议，审议通过了《关于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11"/>
                <w:w w:val="101"/>
                <w:sz w:val="18"/>
                <w:szCs w:val="18"/>
              </w:rPr>
              <w:t>会计估计变更的议案》。</w:t>
            </w:r>
            <w:r>
              <w:rPr>
                <w:rFonts w:ascii="宋体" w:hAnsi="宋体" w:cs="宋体" w:eastAsia="宋体" w:hint="default"/>
                <w:spacing w:val="-11"/>
                <w:sz w:val="18"/>
                <w:szCs w:val="18"/>
              </w:rPr>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60" w:lineRule="exact" w:before="0"/>
        <w:ind w:left="297" w:right="0" w:firstLine="417"/>
        <w:jc w:val="left"/>
      </w:pPr>
      <w:r>
        <w:rPr/>
        <w:t>公司上市以来，在巩固了原有中间件业务的同时，通过新设投资、收购等资本市场手段，拓展新业</w:t>
      </w:r>
    </w:p>
    <w:p>
      <w:pPr>
        <w:pStyle w:val="Heading5"/>
        <w:spacing w:line="273" w:lineRule="auto" w:before="37"/>
        <w:ind w:left="297" w:right="1125"/>
        <w:jc w:val="both"/>
      </w:pPr>
      <w:r>
        <w:rPr/>
        <w:t>务，不断完善在网络信息安全、大数据等领域的布局。公司已由原来的单一中间件厂商，转变为业务包</w:t>
      </w:r>
      <w:r>
        <w:rPr>
          <w:spacing w:val="-56"/>
        </w:rPr>
        <w:t> </w:t>
      </w:r>
      <w:r>
        <w:rPr>
          <w:spacing w:val="-56"/>
        </w:rPr>
      </w:r>
      <w:r>
        <w:rPr/>
        <w:t>含基础软件、信息安全、网络安全、数据安全、应急安全、军工信息化等综合性软件及服务供应商。随</w:t>
      </w:r>
      <w:r>
        <w:rPr>
          <w:spacing w:val="-56"/>
        </w:rPr>
        <w:t> </w:t>
      </w:r>
      <w:r>
        <w:rPr>
          <w:spacing w:val="-56"/>
        </w:rPr>
      </w:r>
      <w:r>
        <w:rPr/>
        <w:t>着公司业务的不断发展，公司的客户结构已发生根本性变化，为了更加客观、真实、公允地反映公司财</w:t>
      </w:r>
      <w:r>
        <w:rPr>
          <w:spacing w:val="-56"/>
        </w:rPr>
        <w:t> </w:t>
      </w:r>
      <w:r>
        <w:rPr>
          <w:spacing w:val="-56"/>
        </w:rPr>
      </w:r>
      <w:r>
        <w:rPr/>
        <w:t>务状况和经营成果，根据《企业会计准则》等相关规定，公司对应收款项计提坏账准备的会计估计进行</w:t>
      </w:r>
      <w:r>
        <w:rPr>
          <w:spacing w:val="-56"/>
        </w:rPr>
        <w:t> </w:t>
      </w:r>
      <w:r>
        <w:rPr>
          <w:spacing w:val="-56"/>
        </w:rPr>
      </w:r>
      <w:r>
        <w:rPr/>
        <w:t>变更。</w:t>
      </w:r>
    </w:p>
    <w:p>
      <w:pPr>
        <w:spacing w:line="240" w:lineRule="auto" w:before="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426"/>
        <w:gridCol w:w="1704"/>
        <w:gridCol w:w="1700"/>
        <w:gridCol w:w="1844"/>
        <w:gridCol w:w="1378"/>
        <w:gridCol w:w="1609"/>
      </w:tblGrid>
      <w:tr>
        <w:trPr>
          <w:trHeight w:val="968" w:hRule="exact"/>
        </w:trPr>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489" w:right="391" w:hanging="92"/>
              <w:jc w:val="left"/>
              <w:rPr>
                <w:rFonts w:ascii="宋体" w:hAnsi="宋体" w:cs="宋体" w:eastAsia="宋体" w:hint="default"/>
                <w:sz w:val="18"/>
                <w:szCs w:val="18"/>
              </w:rPr>
            </w:pPr>
            <w:r>
              <w:rPr>
                <w:rFonts w:ascii="宋体" w:hAnsi="宋体" w:cs="宋体" w:eastAsia="宋体" w:hint="default"/>
                <w:spacing w:val="-2"/>
                <w:sz w:val="18"/>
                <w:szCs w:val="18"/>
              </w:rPr>
              <w:t>原会计估计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应收原值</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24" w:right="118" w:firstLine="178"/>
              <w:jc w:val="left"/>
              <w:rPr>
                <w:rFonts w:ascii="宋体" w:hAnsi="宋体" w:cs="宋体" w:eastAsia="宋体" w:hint="default"/>
                <w:sz w:val="18"/>
                <w:szCs w:val="18"/>
              </w:rPr>
            </w:pPr>
            <w:r>
              <w:rPr>
                <w:rFonts w:ascii="宋体" w:hAnsi="宋体" w:cs="宋体" w:eastAsia="宋体" w:hint="default"/>
                <w:sz w:val="18"/>
                <w:szCs w:val="18"/>
              </w:rPr>
              <w:t>原会计估计下</w:t>
            </w:r>
            <w:r>
              <w:rPr>
                <w:rFonts w:ascii="宋体" w:hAnsi="宋体" w:cs="宋体" w:eastAsia="宋体" w:hint="default"/>
                <w:w w:val="101"/>
                <w:sz w:val="18"/>
                <w:szCs w:val="18"/>
              </w:rPr>
              <w:t> </w:t>
            </w:r>
            <w:r>
              <w:rPr>
                <w:rFonts w:ascii="宋体" w:hAnsi="宋体" w:cs="宋体" w:eastAsia="宋体" w:hint="default"/>
                <w:spacing w:val="-2"/>
                <w:sz w:val="18"/>
                <w:szCs w:val="18"/>
              </w:rPr>
              <w:t>应收账款计提比例</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92" w:right="276" w:firstLine="86"/>
              <w:jc w:val="left"/>
              <w:rPr>
                <w:rFonts w:ascii="宋体" w:hAnsi="宋体" w:cs="宋体" w:eastAsia="宋体" w:hint="default"/>
                <w:sz w:val="18"/>
                <w:szCs w:val="18"/>
              </w:rPr>
            </w:pPr>
            <w:r>
              <w:rPr>
                <w:rFonts w:ascii="宋体" w:hAnsi="宋体" w:cs="宋体" w:eastAsia="宋体" w:hint="default"/>
                <w:sz w:val="18"/>
                <w:szCs w:val="18"/>
              </w:rPr>
              <w:t>原会计估计下</w:t>
            </w:r>
            <w:r>
              <w:rPr>
                <w:rFonts w:ascii="宋体" w:hAnsi="宋体" w:cs="宋体" w:eastAsia="宋体" w:hint="default"/>
                <w:w w:val="101"/>
                <w:sz w:val="18"/>
                <w:szCs w:val="18"/>
              </w:rPr>
              <w:t> </w:t>
            </w:r>
            <w:r>
              <w:rPr>
                <w:rFonts w:ascii="宋体" w:hAnsi="宋体" w:cs="宋体" w:eastAsia="宋体" w:hint="default"/>
                <w:spacing w:val="-3"/>
                <w:sz w:val="18"/>
                <w:szCs w:val="18"/>
              </w:rPr>
              <w:t>应计提坏账准备</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3"/>
              <w:ind w:left="326" w:right="132" w:hanging="178"/>
              <w:jc w:val="left"/>
              <w:rPr>
                <w:rFonts w:ascii="宋体" w:hAnsi="宋体" w:cs="宋体" w:eastAsia="宋体" w:hint="default"/>
                <w:sz w:val="18"/>
                <w:szCs w:val="18"/>
              </w:rPr>
            </w:pPr>
            <w:r>
              <w:rPr>
                <w:rFonts w:ascii="宋体" w:hAnsi="宋体" w:cs="宋体" w:eastAsia="宋体" w:hint="default"/>
                <w:spacing w:val="-2"/>
                <w:sz w:val="18"/>
                <w:szCs w:val="18"/>
              </w:rPr>
              <w:t>现会计估计下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应收账款</w:t>
            </w:r>
            <w:r>
              <w:rPr>
                <w:rFonts w:ascii="宋体" w:hAnsi="宋体" w:cs="宋体" w:eastAsia="宋体" w:hint="default"/>
                <w:w w:val="101"/>
                <w:sz w:val="18"/>
                <w:szCs w:val="18"/>
              </w:rPr>
              <w:t> </w:t>
            </w:r>
            <w:r>
              <w:rPr>
                <w:rFonts w:ascii="宋体" w:hAnsi="宋体" w:cs="宋体" w:eastAsia="宋体" w:hint="default"/>
                <w:sz w:val="18"/>
                <w:szCs w:val="18"/>
              </w:rPr>
              <w:t>计提比例</w:t>
            </w:r>
          </w:p>
        </w:tc>
        <w:tc>
          <w:tcPr>
            <w:tcW w:w="1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72" w:right="162" w:firstLine="91"/>
              <w:jc w:val="left"/>
              <w:rPr>
                <w:rFonts w:ascii="宋体" w:hAnsi="宋体" w:cs="宋体" w:eastAsia="宋体" w:hint="default"/>
                <w:sz w:val="18"/>
                <w:szCs w:val="18"/>
              </w:rPr>
            </w:pPr>
            <w:r>
              <w:rPr>
                <w:rFonts w:ascii="宋体" w:hAnsi="宋体" w:cs="宋体" w:eastAsia="宋体" w:hint="default"/>
                <w:sz w:val="18"/>
                <w:szCs w:val="18"/>
              </w:rPr>
              <w:t>现会计估计下</w:t>
            </w:r>
            <w:r>
              <w:rPr>
                <w:rFonts w:ascii="宋体" w:hAnsi="宋体" w:cs="宋体" w:eastAsia="宋体" w:hint="default"/>
                <w:w w:val="101"/>
                <w:sz w:val="18"/>
                <w:szCs w:val="18"/>
              </w:rPr>
              <w:t> </w:t>
            </w:r>
            <w:r>
              <w:rPr>
                <w:rFonts w:ascii="宋体" w:hAnsi="宋体" w:cs="宋体" w:eastAsia="宋体" w:hint="default"/>
                <w:spacing w:val="-3"/>
                <w:sz w:val="18"/>
                <w:szCs w:val="18"/>
              </w:rPr>
              <w:t>应计提坏账准备</w:t>
            </w:r>
          </w:p>
        </w:tc>
      </w:tr>
      <w:tr>
        <w:trPr>
          <w:trHeight w:val="34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个月内（含）</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7" w:right="0"/>
              <w:jc w:val="left"/>
              <w:rPr>
                <w:rFonts w:ascii="Times New Roman" w:hAnsi="Times New Roman" w:cs="Times New Roman" w:eastAsia="Times New Roman" w:hint="default"/>
                <w:sz w:val="18"/>
                <w:szCs w:val="18"/>
              </w:rPr>
            </w:pPr>
            <w:r>
              <w:rPr>
                <w:rFonts w:ascii="Times New Roman"/>
                <w:sz w:val="18"/>
              </w:rPr>
              <w:t>261,861,892.86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03" w:right="0"/>
              <w:jc w:val="left"/>
              <w:rPr>
                <w:rFonts w:ascii="Times New Roman" w:hAnsi="Times New Roman" w:cs="Times New Roman" w:eastAsia="Times New Roman" w:hint="default"/>
                <w:sz w:val="18"/>
                <w:szCs w:val="18"/>
              </w:rPr>
            </w:pPr>
            <w:r>
              <w:rPr>
                <w:rFonts w:ascii="Times New Roman"/>
                <w:sz w:val="18"/>
              </w:rPr>
              <w:t>13,093,094.64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6" w:right="0"/>
              <w:jc w:val="left"/>
              <w:rPr>
                <w:rFonts w:ascii="Times New Roman" w:hAnsi="Times New Roman" w:cs="Times New Roman" w:eastAsia="Times New Roman" w:hint="default"/>
                <w:sz w:val="18"/>
                <w:szCs w:val="18"/>
              </w:rPr>
            </w:pPr>
            <w:r>
              <w:rPr>
                <w:rFonts w:ascii="Times New Roman"/>
                <w:sz w:val="18"/>
              </w:rPr>
              <w:t>0.00%</w:t>
            </w:r>
          </w:p>
        </w:tc>
        <w:tc>
          <w:tcPr>
            <w:tcW w:w="16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6"/>
        <w:ind w:right="0"/>
        <w:jc w:val="left"/>
        <w:rPr>
          <w:b w:val="0"/>
          <w:bCs w:val="0"/>
        </w:rPr>
      </w:pPr>
      <w:bookmarkStart w:name="（3）2019年起执行新金融工具准则、新收入准则或新租赁准则调整执行当年年初财务" w:id="208"/>
      <w:bookmarkEnd w:id="208"/>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343"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7" w:space="7385"/>
            <w:col w:w="2008"/>
          </w:cols>
        </w:sectPr>
      </w:pP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214"/>
        <w:gridCol w:w="2499"/>
        <w:gridCol w:w="2487"/>
        <w:gridCol w:w="2487"/>
      </w:tblGrid>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330" w:right="0"/>
              <w:jc w:val="left"/>
              <w:rPr>
                <w:rFonts w:ascii="Times New Roman" w:hAnsi="Times New Roman" w:cs="Times New Roman" w:eastAsia="Times New Roman" w:hint="default"/>
                <w:sz w:val="18"/>
                <w:szCs w:val="18"/>
              </w:rPr>
            </w:pPr>
            <w:r>
              <w:rPr>
                <w:rFonts w:ascii="Times New Roman"/>
                <w:sz w:val="18"/>
              </w:rPr>
              <w:t>370,094,606.09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9" w:right="0"/>
              <w:jc w:val="left"/>
              <w:rPr>
                <w:rFonts w:ascii="Times New Roman" w:hAnsi="Times New Roman" w:cs="Times New Roman" w:eastAsia="Times New Roman" w:hint="default"/>
                <w:sz w:val="18"/>
                <w:szCs w:val="18"/>
              </w:rPr>
            </w:pPr>
            <w:r>
              <w:rPr>
                <w:rFonts w:ascii="Times New Roman"/>
                <w:sz w:val="18"/>
              </w:rPr>
              <w:t>370,094,606.09</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214"/>
        <w:gridCol w:w="2499"/>
        <w:gridCol w:w="2487"/>
        <w:gridCol w:w="2487"/>
      </w:tblGrid>
      <w:tr>
        <w:trPr>
          <w:trHeight w:val="360"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pacing w:val="-3"/>
                <w:sz w:val="18"/>
                <w:szCs w:val="18"/>
              </w:rPr>
              <w:t>动计入当期损益的金融资产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929,920.00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929,920.00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350,312,838.59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350,312,838.59</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4,732,360.89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4,732,360.89</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7,179,724.32</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7,179,724.32</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38,577,722.60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38,577,722.60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40,851.19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40,851.19</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771,868,023.68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771,868,023.68</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67,605,343.76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67,605,343.76</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4,050,192.08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4,050,192.08</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214"/>
        <w:gridCol w:w="2499"/>
        <w:gridCol w:w="2487"/>
        <w:gridCol w:w="2487"/>
      </w:tblGrid>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17,138,257.90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17,138,257.90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1,077,053,612.42</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1,077,053,612.42</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15,363,720.59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15,363,720.59</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78,806,592.98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78,806,592.98</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1,260,359,394.69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1,260,359,394.69</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2,032,227,418.37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2,032,227,418.37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2" w:right="25" w:firstLine="36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w w:val="101"/>
                <w:sz w:val="18"/>
                <w:szCs w:val="18"/>
              </w:rPr>
              <w:t> </w:t>
            </w:r>
            <w:r>
              <w:rPr>
                <w:rFonts w:ascii="宋体" w:hAnsi="宋体" w:cs="宋体" w:eastAsia="宋体" w:hint="default"/>
                <w:spacing w:val="-3"/>
                <w:sz w:val="18"/>
                <w:szCs w:val="18"/>
              </w:rPr>
              <w:t>动计入当期损益的金融负债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55,496,692.40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55,496,692.40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7,271,317.71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7,271,317.71</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7"/>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7"/>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14,829,832.87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14,829,832.87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28,350,685.64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28,350,685.64</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338,177,765.61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338,177,765.61</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w w:val="101"/>
                <w:sz w:val="18"/>
                <w:szCs w:val="18"/>
              </w:rPr>
              <w:t>债</w:t>
            </w:r>
            <w:r>
              <w:rPr>
                <w:rFonts w:ascii="宋体" w:hAnsi="宋体" w:cs="宋体" w:eastAsia="宋体" w:hint="default"/>
                <w:sz w:val="18"/>
                <w:szCs w:val="18"/>
              </w:rPr>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48,000,000.00</w:t>
            </w: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214"/>
        <w:gridCol w:w="2499"/>
        <w:gridCol w:w="2487"/>
        <w:gridCol w:w="2487"/>
      </w:tblGrid>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492,126,294.23</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492,126,294.23</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112,000,000.00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112,000,000.00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5,468,820.00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5,468,820.00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315,026.67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315,026.67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117,783,846.67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117,783,846.67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609,910,140.90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609,910,140.90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277,031,708.00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277,031,708.00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1,184,086,255.80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1,184,086,255.80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150,004,584.16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84,877,947.23</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84,877,947.23</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25"/>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1,422,317,277.47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1,422,317,277.47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1,422,317,277.47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1,422,317,277.47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2,032,227,418.37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2,032,227,418.37</w:t>
            </w:r>
          </w:p>
        </w:tc>
        <w:tc>
          <w:tcPr>
            <w:tcW w:w="24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调整情况说明</w:t>
      </w:r>
    </w:p>
    <w:p>
      <w:pPr>
        <w:spacing w:after="0" w:line="240" w:lineRule="auto"/>
        <w:jc w:val="left"/>
        <w:sectPr>
          <w:footerReference w:type="default" r:id="rId46"/>
          <w:pgSz w:w="11910" w:h="16840"/>
          <w:pgMar w:footer="979" w:header="871" w:top="1100" w:bottom="1160" w:left="980" w:right="0"/>
          <w:pgNumType w:start="159"/>
        </w:sectPr>
      </w:pPr>
    </w:p>
    <w:p>
      <w:pPr>
        <w:spacing w:line="240" w:lineRule="auto" w:before="3"/>
        <w:rPr>
          <w:rFonts w:ascii="宋体" w:hAnsi="宋体" w:cs="宋体" w:eastAsia="宋体" w:hint="default"/>
          <w:sz w:val="22"/>
          <w:szCs w:val="22"/>
        </w:rPr>
      </w:pPr>
    </w:p>
    <w:p>
      <w:pPr>
        <w:pStyle w:val="BodyText"/>
        <w:spacing w:line="240" w:lineRule="auto" w:before="46"/>
        <w:ind w:left="513" w:right="0"/>
        <w:jc w:val="left"/>
      </w:pPr>
      <w:r>
        <w:rPr>
          <w:spacing w:val="-3"/>
        </w:rPr>
        <w:t>执行新金融工具准则对本期期初资产负债表相关项目的影响列示如下：</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709"/>
        <w:gridCol w:w="1988"/>
        <w:gridCol w:w="1700"/>
        <w:gridCol w:w="1560"/>
        <w:gridCol w:w="1133"/>
        <w:gridCol w:w="1571"/>
      </w:tblGrid>
      <w:tr>
        <w:trPr>
          <w:trHeight w:val="346" w:hRule="exact"/>
        </w:trPr>
        <w:tc>
          <w:tcPr>
            <w:tcW w:w="170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39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5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1709" w:type="dxa"/>
            <w:vMerge/>
            <w:tcBorders>
              <w:left w:val="single" w:sz="4" w:space="0" w:color="000000"/>
              <w:bottom w:val="single" w:sz="4" w:space="0" w:color="000000"/>
              <w:right w:val="single" w:sz="4" w:space="0" w:color="000000"/>
            </w:tcBorders>
            <w:shd w:val="clear" w:color="auto" w:fill="D9D9D9"/>
          </w:tcPr>
          <w:p>
            <w:pPr/>
          </w:p>
        </w:tc>
        <w:tc>
          <w:tcPr>
            <w:tcW w:w="1988" w:type="dxa"/>
            <w:vMerge/>
            <w:tcBorders>
              <w:left w:val="single" w:sz="4" w:space="0" w:color="000000"/>
              <w:bottom w:val="single" w:sz="4" w:space="0" w:color="000000"/>
              <w:right w:val="single" w:sz="4" w:space="0" w:color="000000"/>
            </w:tcBorders>
            <w:shd w:val="clear" w:color="auto" w:fill="D9D9D9"/>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pacing w:val="-3"/>
                <w:sz w:val="18"/>
                <w:szCs w:val="18"/>
              </w:rPr>
              <w:t>分类和计量影响</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z w:val="18"/>
                <w:szCs w:val="18"/>
              </w:rPr>
              <w:t>金融资产减值影响</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71" w:type="dxa"/>
            <w:vMerge/>
            <w:tcBorders>
              <w:left w:val="single" w:sz="4" w:space="0" w:color="000000"/>
              <w:bottom w:val="single" w:sz="4" w:space="0" w:color="000000"/>
              <w:right w:val="single" w:sz="4" w:space="0" w:color="000000"/>
            </w:tcBorders>
            <w:shd w:val="clear" w:color="auto" w:fill="D9D9D9"/>
          </w:tcPr>
          <w:p>
            <w:pPr/>
          </w:p>
        </w:tc>
      </w:tr>
      <w:tr>
        <w:trPr>
          <w:trHeight w:val="34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66" w:right="-5"/>
              <w:jc w:val="left"/>
              <w:rPr>
                <w:rFonts w:ascii="Times New Roman" w:hAnsi="Times New Roman" w:cs="Times New Roman" w:eastAsia="Times New Roman" w:hint="default"/>
                <w:sz w:val="18"/>
                <w:szCs w:val="18"/>
              </w:rPr>
            </w:pPr>
            <w:r>
              <w:rPr>
                <w:rFonts w:ascii="Times New Roman"/>
                <w:sz w:val="18"/>
              </w:rPr>
              <w:t>200,000.00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8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4" w:right="0"/>
              <w:jc w:val="left"/>
              <w:rPr>
                <w:rFonts w:ascii="Times New Roman" w:hAnsi="Times New Roman" w:cs="Times New Roman" w:eastAsia="Times New Roman" w:hint="default"/>
                <w:sz w:val="18"/>
                <w:szCs w:val="18"/>
              </w:rPr>
            </w:pPr>
            <w:r>
              <w:rPr>
                <w:rFonts w:ascii="Times New Roman"/>
                <w:sz w:val="18"/>
              </w:rPr>
              <w:t>200,000.00</w:t>
            </w:r>
          </w:p>
        </w:tc>
      </w:tr>
    </w:tbl>
    <w:p>
      <w:pPr>
        <w:pStyle w:val="BodyText"/>
        <w:spacing w:line="240" w:lineRule="auto" w:before="53"/>
        <w:ind w:right="0"/>
        <w:jc w:val="left"/>
      </w:pPr>
      <w:r>
        <w:rPr/>
        <w:t>母公司资产负债表</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214"/>
        <w:gridCol w:w="2499"/>
        <w:gridCol w:w="2487"/>
        <w:gridCol w:w="2487"/>
      </w:tblGrid>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170,909,652.24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170,909,652.24</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2" w:right="25" w:firstLine="36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w w:val="101"/>
                <w:sz w:val="18"/>
                <w:szCs w:val="18"/>
              </w:rPr>
              <w:t> </w:t>
            </w:r>
            <w:r>
              <w:rPr>
                <w:rFonts w:ascii="宋体" w:hAnsi="宋体" w:cs="宋体" w:eastAsia="宋体" w:hint="default"/>
                <w:spacing w:val="-3"/>
                <w:sz w:val="18"/>
                <w:szCs w:val="18"/>
              </w:rPr>
              <w:t>动计入当期损益的金融资产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929,920.00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929,920.00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111,523,755.75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111,523,755.75</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1,795,271.67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1,795,271.67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59,371,218.01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59,371,218.01</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5"/>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84"/>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w:t>
            </w:r>
          </w:p>
          <w:p>
            <w:pPr>
              <w:pStyle w:val="TableParagraph"/>
              <w:spacing w:line="240" w:lineRule="auto" w:before="82"/>
              <w:ind w:left="12"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344,529,817.67</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344,529,817.67</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5"/>
              <w:jc w:val="right"/>
              <w:rPr>
                <w:rFonts w:ascii="宋体" w:hAnsi="宋体" w:cs="宋体" w:eastAsia="宋体" w:hint="default"/>
                <w:sz w:val="18"/>
                <w:szCs w:val="18"/>
              </w:rPr>
            </w:pPr>
            <w:r>
              <w:rPr>
                <w:rFonts w:ascii="宋体" w:hAnsi="宋体" w:cs="宋体" w:eastAsia="宋体" w:hint="default"/>
                <w:spacing w:val="-2"/>
                <w:sz w:val="18"/>
                <w:szCs w:val="18"/>
              </w:rPr>
              <w:t>可供出售金融资产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1,507,765,424.70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1,507,765,424.70</w:t>
            </w: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214"/>
        <w:gridCol w:w="2499"/>
        <w:gridCol w:w="2487"/>
        <w:gridCol w:w="2487"/>
      </w:tblGrid>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1,146,963.22</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1,146,963.22</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6,303,112.53</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6,303,112.53</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7,147,874.78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7,147,874.78</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1,522,363,375.23</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1,522,363,375.23</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1,866,893,192.90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1,866,893,192.90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2" w:right="25" w:firstLine="36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w w:val="101"/>
                <w:sz w:val="18"/>
                <w:szCs w:val="18"/>
              </w:rPr>
              <w:t> </w:t>
            </w:r>
            <w:r>
              <w:rPr>
                <w:rFonts w:ascii="宋体" w:hAnsi="宋体" w:cs="宋体" w:eastAsia="宋体" w:hint="default"/>
                <w:spacing w:val="-3"/>
                <w:sz w:val="18"/>
                <w:szCs w:val="18"/>
              </w:rPr>
              <w:t>动计入当期损益的金融负债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2,433,169.16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2,433,169.16</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1,068,768.31</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1,068,768.31</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10,144,586.26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10,144,586.26</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8,072,205.18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8,072,205.18</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383,444,977.89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383,444,977.89</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w:t>
            </w:r>
          </w:p>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w w:val="101"/>
                <w:sz w:val="18"/>
                <w:szCs w:val="18"/>
              </w:rPr>
              <w:t>债</w:t>
            </w:r>
            <w:r>
              <w:rPr>
                <w:rFonts w:ascii="宋体" w:hAnsi="宋体" w:cs="宋体" w:eastAsia="宋体" w:hint="default"/>
                <w:sz w:val="18"/>
                <w:szCs w:val="18"/>
              </w:rPr>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48,000,000.00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2214"/>
        <w:gridCol w:w="2499"/>
        <w:gridCol w:w="2487"/>
        <w:gridCol w:w="2487"/>
      </w:tblGrid>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453,163,706.80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453,163,706.80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112,000,000.00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112,000,000.00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5,468,820.00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5,468,820.00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117,468,820.00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117,468,820.00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570,632,526.80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570,632,526.80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277,031,708.00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277,031,708.00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1,184,086,255.80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1,184,086,255.80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150,004,584.16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99" w:type="dxa"/>
            <w:tcBorders>
              <w:top w:val="single" w:sz="4" w:space="0" w:color="000000"/>
              <w:left w:val="single" w:sz="13" w:space="0" w:color="D2D2D2"/>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-41,178,664.14</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-41,178,664.14</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1,296,260,666.10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1,296,260,666.10</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1,866,893,192.90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1,866,893,192.90</w:t>
            </w: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4）2019年起执行新金融工具准则或新租赁准则追溯调整前期比较数据说明" w:id="209"/>
      <w:bookmarkEnd w:id="209"/>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六、税项" w:id="210"/>
      <w:bookmarkEnd w:id="210"/>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27"/>
        <w:gridCol w:w="5104"/>
        <w:gridCol w:w="2343"/>
      </w:tblGrid>
      <w:tr>
        <w:trPr>
          <w:trHeight w:val="39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104" w:type="dxa"/>
            <w:vMerge w:val="restart"/>
            <w:tcBorders>
              <w:top w:val="single" w:sz="4" w:space="0" w:color="000000"/>
              <w:left w:val="single" w:sz="8" w:space="0" w:color="D2D2D2"/>
              <w:right w:val="single" w:sz="4" w:space="0" w:color="000000"/>
            </w:tcBorders>
          </w:tcPr>
          <w:p>
            <w:pPr>
              <w:pStyle w:val="TableParagraph"/>
              <w:spacing w:line="321" w:lineRule="auto" w:before="53"/>
              <w:ind w:left="19" w:right="29"/>
              <w:jc w:val="left"/>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按税法规定计算的销售货物和应税劳务收入为基础计算销项税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额，在扣除当期允许抵扣的进项税额后，差额部分为应交增值税</w:t>
            </w:r>
          </w:p>
        </w:tc>
        <w:tc>
          <w:tcPr>
            <w:tcW w:w="234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z w:val="18"/>
                <w:szCs w:val="18"/>
              </w:rPr>
            </w:r>
          </w:p>
        </w:tc>
      </w:tr>
      <w:tr>
        <w:trPr>
          <w:trHeight w:val="394" w:hRule="exact"/>
        </w:trPr>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104" w:type="dxa"/>
            <w:vMerge/>
            <w:tcBorders>
              <w:left w:val="single" w:sz="8" w:space="0" w:color="D2D2D2"/>
              <w:right w:val="single" w:sz="4" w:space="0" w:color="000000"/>
            </w:tcBorders>
          </w:tcPr>
          <w:p>
            <w:pPr/>
          </w:p>
        </w:tc>
        <w:tc>
          <w:tcPr>
            <w:tcW w:w="2343" w:type="dxa"/>
            <w:vMerge/>
            <w:tcBorders>
              <w:left w:val="single" w:sz="4" w:space="0" w:color="000000"/>
              <w:right w:val="single" w:sz="4" w:space="0" w:color="000000"/>
            </w:tcBorders>
          </w:tcPr>
          <w:p>
            <w:pPr/>
          </w:p>
        </w:tc>
      </w:tr>
      <w:tr>
        <w:trPr>
          <w:trHeight w:val="158" w:hRule="exact"/>
        </w:trPr>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104" w:type="dxa"/>
            <w:vMerge/>
            <w:tcBorders>
              <w:left w:val="single" w:sz="8" w:space="0" w:color="D2D2D2"/>
              <w:bottom w:val="single" w:sz="4" w:space="0" w:color="000000"/>
              <w:right w:val="single" w:sz="4" w:space="0" w:color="000000"/>
            </w:tcBorders>
          </w:tcPr>
          <w:p>
            <w:pPr/>
          </w:p>
        </w:tc>
        <w:tc>
          <w:tcPr>
            <w:tcW w:w="2343" w:type="dxa"/>
            <w:vMerge/>
            <w:tcBorders>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510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按实际缴纳的增值税计缴</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104"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4"/>
              <w:ind w:left="1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按实际缴纳的增值税计缴</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按实际缴纳的增值税计缴</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北京东方通科技股份有限公司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成都东方通科技有限责任公司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上海东方通泰软件科技有限公司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北京惠捷朗科技有限公司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北京微智信业科技有限公司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北京东方通宇技术有限公司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北京数字天堂信息科技有限责任公司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东方通科技无锡有限公司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Heading5"/>
        <w:spacing w:line="256" w:lineRule="auto" w:before="0"/>
        <w:ind w:left="575" w:right="0"/>
        <w:jc w:val="left"/>
      </w:pPr>
      <w:r>
        <w:rPr/>
        <w:t>（</w:t>
      </w:r>
      <w:r>
        <w:rPr>
          <w:rFonts w:ascii="Times New Roman" w:hAnsi="Times New Roman" w:cs="Times New Roman" w:eastAsia="Times New Roman" w:hint="default"/>
        </w:rPr>
        <w:t>1</w:t>
      </w:r>
      <w:r>
        <w:rPr/>
        <w:t>）增值税</w:t>
      </w:r>
      <w:r>
        <w:rPr>
          <w:spacing w:val="-99"/>
        </w:rPr>
        <w:t> </w:t>
      </w:r>
      <w:r>
        <w:rPr>
          <w:spacing w:val="-1"/>
        </w:rPr>
        <w:t>根据《国务院关于印发进一步鼓励软件产业和集成电路产业发展若干政策的通知》（国发</w:t>
      </w:r>
      <w:r>
        <w:rPr>
          <w:rFonts w:ascii="Times New Roman" w:hAnsi="Times New Roman" w:cs="Times New Roman" w:eastAsia="Times New Roman" w:hint="default"/>
          <w:spacing w:val="-1"/>
        </w:rPr>
        <w:t>[2011]4</w:t>
      </w:r>
      <w:r>
        <w:rPr>
          <w:spacing w:val="-1"/>
        </w:rPr>
        <w:t>号）</w:t>
      </w:r>
    </w:p>
    <w:p>
      <w:pPr>
        <w:pStyle w:val="Heading5"/>
        <w:spacing w:line="256" w:lineRule="auto" w:before="5"/>
        <w:ind w:right="1122"/>
        <w:jc w:val="both"/>
      </w:pPr>
      <w:r>
        <w:rPr>
          <w:spacing w:val="-3"/>
        </w:rPr>
        <w:t>及《财政部、国家税务总局关于软件产品增值税政策的通知》（财税</w:t>
      </w:r>
      <w:r>
        <w:rPr>
          <w:rFonts w:ascii="Times New Roman" w:hAnsi="Times New Roman" w:cs="Times New Roman" w:eastAsia="Times New Roman" w:hint="default"/>
          <w:spacing w:val="-3"/>
        </w:rPr>
        <w:t>[2011]100</w:t>
      </w:r>
      <w:r>
        <w:rPr>
          <w:spacing w:val="-3"/>
        </w:rPr>
        <w:t>号）的规定，本公司及子公</w:t>
      </w:r>
      <w:r>
        <w:rPr>
          <w:spacing w:val="-12"/>
        </w:rPr>
        <w:t> </w:t>
      </w:r>
      <w:r>
        <w:rPr>
          <w:spacing w:val="-12"/>
        </w:rPr>
      </w:r>
      <w:r>
        <w:rPr>
          <w:spacing w:val="-4"/>
        </w:rPr>
        <w:t>司销售自行开发生产的软件产品，按法定税率征收增值税后，享受增值税实际税负超过</w:t>
      </w:r>
      <w:r>
        <w:rPr>
          <w:rFonts w:ascii="Times New Roman" w:hAnsi="Times New Roman" w:cs="Times New Roman" w:eastAsia="Times New Roman" w:hint="default"/>
          <w:spacing w:val="-4"/>
        </w:rPr>
        <w:t>3%</w:t>
      </w:r>
      <w:r>
        <w:rPr>
          <w:spacing w:val="-4"/>
        </w:rPr>
        <w:t>的部分即征即退 </w:t>
      </w:r>
      <w:r>
        <w:rPr/>
        <w:t>的优惠政策。</w:t>
      </w:r>
    </w:p>
    <w:p>
      <w:pPr>
        <w:pStyle w:val="Heading5"/>
        <w:spacing w:line="240" w:lineRule="auto" w:before="22"/>
        <w:ind w:left="575" w:right="0"/>
        <w:jc w:val="left"/>
      </w:pPr>
      <w:r>
        <w:rPr/>
        <w:t>（</w:t>
      </w:r>
      <w:r>
        <w:rPr>
          <w:rFonts w:ascii="Times New Roman" w:hAnsi="Times New Roman" w:cs="Times New Roman" w:eastAsia="Times New Roman" w:hint="default"/>
        </w:rPr>
        <w:t>2</w:t>
      </w:r>
      <w:r>
        <w:rPr/>
        <w:t>）所得税</w:t>
      </w:r>
    </w:p>
    <w:p>
      <w:pPr>
        <w:pStyle w:val="Heading5"/>
        <w:spacing w:line="256" w:lineRule="auto" w:before="21"/>
        <w:ind w:right="1135" w:firstLine="42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日，本公司被北京市科学技术委员会、北京市财政局、北京市国家税务局、北京市地方</w:t>
      </w:r>
      <w:r>
        <w:rPr>
          <w:w w:val="100"/>
        </w:rPr>
        <w:t> </w:t>
      </w:r>
      <w:r>
        <w:rPr/>
        <w:t>税务局认定为高新技术企业，有效期三年，自</w:t>
      </w:r>
      <w:r>
        <w:rPr>
          <w:rFonts w:ascii="Times New Roman" w:hAnsi="Times New Roman" w:cs="Times New Roman" w:eastAsia="Times New Roman" w:hint="default"/>
        </w:rPr>
        <w:t>2017</w:t>
      </w:r>
      <w:r>
        <w:rPr/>
        <w:t>年开始减按</w:t>
      </w:r>
      <w:r>
        <w:rPr>
          <w:rFonts w:ascii="Times New Roman" w:hAnsi="Times New Roman" w:cs="Times New Roman" w:eastAsia="Times New Roman" w:hint="default"/>
        </w:rPr>
        <w:t>15%</w:t>
      </w:r>
      <w:r>
        <w:rPr/>
        <w:t>税率征收企业所得税。</w:t>
      </w:r>
    </w:p>
    <w:p>
      <w:pPr>
        <w:pStyle w:val="Heading5"/>
        <w:spacing w:line="256" w:lineRule="auto" w:before="5"/>
        <w:ind w:right="1122" w:firstLine="422"/>
        <w:jc w:val="both"/>
      </w:pPr>
      <w:r>
        <w:rPr>
          <w:spacing w:val="-2"/>
        </w:rPr>
        <w:t>上海东方通泰软件科技有限公司于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日被上海市科学技术委员会、上海市财政局、上海市</w:t>
      </w:r>
      <w:r>
        <w:rPr>
          <w:w w:val="100"/>
        </w:rPr>
        <w:t> </w:t>
      </w:r>
      <w:r>
        <w:rPr>
          <w:spacing w:val="-1"/>
        </w:rPr>
        <w:t>国家税务局、上海市地方税务局认定为高新技术企业，有效期三年，自</w:t>
      </w:r>
      <w:r>
        <w:rPr>
          <w:rFonts w:ascii="Times New Roman" w:hAnsi="Times New Roman" w:cs="Times New Roman" w:eastAsia="Times New Roman" w:hint="default"/>
          <w:spacing w:val="-1"/>
        </w:rPr>
        <w:t>2018</w:t>
      </w:r>
      <w:r>
        <w:rPr>
          <w:spacing w:val="-1"/>
        </w:rPr>
        <w:t>年开始减按</w:t>
      </w:r>
      <w:r>
        <w:rPr>
          <w:rFonts w:ascii="Times New Roman" w:hAnsi="Times New Roman" w:cs="Times New Roman" w:eastAsia="Times New Roman" w:hint="default"/>
          <w:spacing w:val="-1"/>
        </w:rPr>
        <w:t>15%</w:t>
      </w:r>
      <w:r>
        <w:rPr>
          <w:spacing w:val="-1"/>
        </w:rPr>
        <w:t>税率征收企业</w:t>
      </w:r>
      <w:r>
        <w:rPr>
          <w:spacing w:val="-38"/>
        </w:rPr>
        <w:t> </w:t>
      </w:r>
      <w:r>
        <w:rPr>
          <w:spacing w:val="-38"/>
        </w:rPr>
      </w:r>
      <w:r>
        <w:rPr/>
        <w:t>所得税。</w:t>
      </w:r>
    </w:p>
    <w:p>
      <w:pPr>
        <w:pStyle w:val="Heading5"/>
        <w:spacing w:line="256" w:lineRule="auto" w:before="23"/>
        <w:ind w:right="1134" w:firstLine="422"/>
        <w:jc w:val="both"/>
      </w:pPr>
      <w:r>
        <w:rPr/>
        <w:t>北京惠捷朗科技有限公司于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日被北京市科学技术委员会、北京市财政局、北京市国家税</w:t>
      </w:r>
      <w:r>
        <w:rPr>
          <w:w w:val="100"/>
        </w:rPr>
        <w:t> </w:t>
      </w:r>
      <w:r>
        <w:rPr/>
        <w:t>务局、北京市地方税务局认定为高新技术企业，有效期三年。自</w:t>
      </w:r>
      <w:r>
        <w:rPr>
          <w:rFonts w:ascii="Times New Roman" w:hAnsi="Times New Roman" w:cs="Times New Roman" w:eastAsia="Times New Roman" w:hint="default"/>
        </w:rPr>
        <w:t>2017</w:t>
      </w:r>
      <w:r>
        <w:rPr/>
        <w:t>年减按</w:t>
      </w:r>
      <w:r>
        <w:rPr>
          <w:rFonts w:ascii="Times New Roman" w:hAnsi="Times New Roman" w:cs="Times New Roman" w:eastAsia="Times New Roman" w:hint="default"/>
        </w:rPr>
        <w:t>15%</w:t>
      </w:r>
      <w:r>
        <w:rPr/>
        <w:t>税率缴纳企业所得税。</w:t>
      </w:r>
    </w:p>
    <w:p>
      <w:pPr>
        <w:pStyle w:val="Heading5"/>
        <w:spacing w:line="256" w:lineRule="auto" w:before="5"/>
        <w:ind w:right="1122" w:firstLine="422"/>
        <w:jc w:val="both"/>
      </w:pPr>
      <w:r>
        <w:rPr>
          <w:spacing w:val="-2"/>
        </w:rPr>
        <w:t>北京数字天堂信息科技有限责任公司于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日被北京市科学技术委员会、北京市财政局、北</w:t>
      </w:r>
      <w:r>
        <w:rPr>
          <w:w w:val="100"/>
        </w:rPr>
        <w:t> </w:t>
      </w:r>
      <w:r>
        <w:rPr>
          <w:spacing w:val="-1"/>
        </w:rPr>
        <w:t>京市国家税务局、北京市地方税务局认定为高新技术企业，有效期三年。自</w:t>
      </w:r>
      <w:r>
        <w:rPr>
          <w:rFonts w:ascii="Times New Roman" w:hAnsi="Times New Roman" w:cs="Times New Roman" w:eastAsia="Times New Roman" w:hint="default"/>
          <w:spacing w:val="-1"/>
        </w:rPr>
        <w:t>2018</w:t>
      </w:r>
      <w:r>
        <w:rPr>
          <w:spacing w:val="-1"/>
        </w:rPr>
        <w:t>年减按</w:t>
      </w:r>
      <w:r>
        <w:rPr>
          <w:rFonts w:ascii="Times New Roman" w:hAnsi="Times New Roman" w:cs="Times New Roman" w:eastAsia="Times New Roman" w:hint="default"/>
          <w:spacing w:val="-1"/>
        </w:rPr>
        <w:t>15%</w:t>
      </w:r>
      <w:r>
        <w:rPr>
          <w:spacing w:val="-1"/>
        </w:rPr>
        <w:t>税率缴纳企业</w:t>
      </w:r>
    </w:p>
    <w:p>
      <w:pPr>
        <w:spacing w:after="0" w:line="256" w:lineRule="auto"/>
        <w:jc w:val="both"/>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5"/>
        <w:spacing w:line="240" w:lineRule="auto" w:before="36"/>
        <w:ind w:right="0"/>
        <w:jc w:val="left"/>
      </w:pPr>
      <w:r>
        <w:rPr/>
        <w:t>所得税。</w:t>
      </w:r>
    </w:p>
    <w:p>
      <w:pPr>
        <w:pStyle w:val="Heading5"/>
        <w:spacing w:line="256" w:lineRule="auto" w:before="37"/>
        <w:ind w:right="0" w:firstLine="422"/>
        <w:jc w:val="left"/>
      </w:pPr>
      <w:r>
        <w:rPr/>
        <w:t>北京微智信业科技有限公司于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日被北京市科学技术委员会、北京市财政局、北京市国家</w:t>
      </w:r>
      <w:r>
        <w:rPr>
          <w:w w:val="100"/>
        </w:rPr>
        <w:t> </w:t>
      </w:r>
      <w:r>
        <w:rPr>
          <w:spacing w:val="-3"/>
        </w:rPr>
        <w:t>税务局、北京市地方税务局认定为高新技术企业，</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年可减按</w:t>
      </w:r>
      <w:r>
        <w:rPr>
          <w:rFonts w:ascii="Times New Roman" w:hAnsi="Times New Roman" w:cs="Times New Roman" w:eastAsia="Times New Roman" w:hint="default"/>
          <w:spacing w:val="-3"/>
        </w:rPr>
        <w:t>15%</w:t>
      </w:r>
      <w:r>
        <w:rPr>
          <w:spacing w:val="-3"/>
        </w:rPr>
        <w:t>的税率计算缴纳企业所得税。</w:t>
      </w:r>
    </w:p>
    <w:p>
      <w:pPr>
        <w:pStyle w:val="Heading5"/>
        <w:spacing w:line="256" w:lineRule="auto" w:before="5"/>
        <w:ind w:right="0" w:firstLine="422"/>
        <w:jc w:val="left"/>
      </w:pPr>
      <w:r>
        <w:rPr/>
        <w:t>北京泰策科技有限公司于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日被北京市科学技术委员会、北京市财政局、北京市国家税务</w:t>
      </w:r>
      <w:r>
        <w:rPr>
          <w:w w:val="100"/>
        </w:rPr>
        <w:t> </w:t>
      </w:r>
      <w:r>
        <w:rPr/>
        <w:t>局、北京市地方税务局认定为高新技术企业，</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年可减按</w:t>
      </w:r>
      <w:r>
        <w:rPr>
          <w:rFonts w:ascii="Times New Roman" w:hAnsi="Times New Roman" w:cs="Times New Roman" w:eastAsia="Times New Roman" w:hint="default"/>
        </w:rPr>
        <w:t>15%</w:t>
      </w:r>
      <w:r>
        <w:rPr/>
        <w:t>的税率计算缴纳企业所得税。</w:t>
      </w:r>
    </w:p>
    <w:p>
      <w:pPr>
        <w:pStyle w:val="Heading5"/>
        <w:spacing w:line="256" w:lineRule="auto" w:before="5"/>
        <w:ind w:right="1004" w:firstLine="422"/>
        <w:jc w:val="left"/>
      </w:pPr>
      <w:r>
        <w:rPr/>
        <w:t>公司需遵守《深圳证券交易所行业信息披露指引第</w:t>
      </w:r>
      <w:r>
        <w:rPr>
          <w:rFonts w:ascii="Times New Roman" w:hAnsi="Times New Roman" w:cs="Times New Roman" w:eastAsia="Times New Roman" w:hint="default"/>
        </w:rPr>
        <w:t>12</w:t>
      </w:r>
      <w:r>
        <w:rPr>
          <w:rFonts w:ascii="Times New Roman" w:hAnsi="Times New Roman" w:cs="Times New Roman" w:eastAsia="Times New Roman" w:hint="default"/>
          <w:spacing w:val="32"/>
        </w:rPr>
        <w:t> </w:t>
      </w:r>
      <w:r>
        <w:rPr/>
        <w:t>号</w:t>
      </w:r>
      <w:r>
        <w:rPr>
          <w:rFonts w:ascii="Times New Roman" w:hAnsi="Times New Roman" w:cs="Times New Roman" w:eastAsia="Times New Roman" w:hint="default"/>
        </w:rPr>
        <w:t>——</w:t>
      </w:r>
      <w:r>
        <w:rPr/>
        <w:t>上市公司从事软件与信息技术服务业务》</w:t>
      </w:r>
      <w:r>
        <w:rPr>
          <w:w w:val="100"/>
        </w:rPr>
        <w:t> </w:t>
      </w:r>
      <w:r>
        <w:rPr/>
        <w:t>的披露要求。</w:t>
      </w:r>
    </w:p>
    <w:p>
      <w:pPr>
        <w:spacing w:line="240" w:lineRule="auto" w:before="0"/>
        <w:rPr>
          <w:rFonts w:ascii="宋体" w:hAnsi="宋体" w:cs="宋体" w:eastAsia="宋体" w:hint="default"/>
          <w:sz w:val="20"/>
          <w:szCs w:val="20"/>
        </w:rPr>
      </w:pPr>
    </w:p>
    <w:p>
      <w:pPr>
        <w:pStyle w:val="BodyText"/>
        <w:spacing w:line="240" w:lineRule="auto" w:before="141"/>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合并财务报表项目注释" w:id="213"/>
      <w:bookmarkEnd w:id="213"/>
      <w:r>
        <w:rPr>
          <w:b w:val="0"/>
          <w:bCs w:val="0"/>
        </w:rPr>
      </w:r>
      <w:r>
        <w:rPr/>
        <w:t>七、合并财务报表项目注释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货币资金" w:id="214"/>
      <w:bookmarkEnd w:id="21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207"/>
        <w:gridCol w:w="3244"/>
        <w:gridCol w:w="3237"/>
      </w:tblGrid>
      <w:tr>
        <w:trPr>
          <w:trHeight w:val="398"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40,244.26</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44,627.68</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345,891,827.70</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366,726,665.42</w:t>
            </w:r>
          </w:p>
        </w:tc>
      </w:tr>
      <w:tr>
        <w:trPr>
          <w:trHeight w:val="40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10,000,314.92</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3,323,312.99</w:t>
            </w:r>
          </w:p>
        </w:tc>
      </w:tr>
      <w:tr>
        <w:trPr>
          <w:trHeight w:val="40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355,932,386.88</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370,094,606.09</w:t>
            </w:r>
          </w:p>
        </w:tc>
      </w:tr>
    </w:tbl>
    <w:p>
      <w:pPr>
        <w:pStyle w:val="BodyText"/>
        <w:spacing w:line="240" w:lineRule="auto" w:before="53"/>
        <w:ind w:right="0"/>
        <w:jc w:val="left"/>
      </w:pPr>
      <w:r>
        <w:rPr/>
        <w:t>其他说明</w:t>
      </w:r>
    </w:p>
    <w:p>
      <w:pPr>
        <w:pStyle w:val="BodyText"/>
        <w:spacing w:line="304" w:lineRule="auto" w:before="110"/>
        <w:ind w:right="1131" w:firstLine="360"/>
        <w:jc w:val="left"/>
      </w:pPr>
      <w:r>
        <w:rPr/>
        <w:t>截止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spacing w:val="-3"/>
        </w:rPr>
        <w:t>日，其中因抵押、质押或冻结等对使用有限制，以及放在境外且资金汇回受限制的货币资金明细</w:t>
      </w:r>
      <w:r>
        <w:rPr>
          <w:w w:val="101"/>
        </w:rPr>
        <w:t> </w:t>
      </w:r>
      <w:r>
        <w:rPr/>
        <w:t>如下：</w:t>
      </w:r>
    </w:p>
    <w:p>
      <w:pPr>
        <w:spacing w:line="240" w:lineRule="auto" w:before="3"/>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4139"/>
        <w:gridCol w:w="2761"/>
        <w:gridCol w:w="2762"/>
      </w:tblGrid>
      <w:tr>
        <w:trPr>
          <w:trHeight w:val="341"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保函保证金</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6"/>
              <w:jc w:val="right"/>
              <w:rPr>
                <w:rFonts w:ascii="Times New Roman" w:hAnsi="Times New Roman" w:cs="Times New Roman" w:eastAsia="Times New Roman" w:hint="default"/>
                <w:sz w:val="18"/>
                <w:szCs w:val="18"/>
              </w:rPr>
            </w:pPr>
            <w:r>
              <w:rPr>
                <w:rFonts w:ascii="Times New Roman"/>
                <w:spacing w:val="-1"/>
                <w:sz w:val="18"/>
              </w:rPr>
              <w:t>8,770,500.71</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1"/>
              <w:jc w:val="right"/>
              <w:rPr>
                <w:rFonts w:ascii="Times New Roman" w:hAnsi="Times New Roman" w:cs="Times New Roman" w:eastAsia="Times New Roman" w:hint="default"/>
                <w:sz w:val="18"/>
                <w:szCs w:val="18"/>
              </w:rPr>
            </w:pPr>
            <w:r>
              <w:rPr>
                <w:rFonts w:ascii="Times New Roman"/>
                <w:spacing w:val="-1"/>
                <w:sz w:val="18"/>
              </w:rPr>
              <w:t>3,323,312.99</w:t>
            </w:r>
          </w:p>
        </w:tc>
      </w:tr>
      <w:tr>
        <w:trPr>
          <w:trHeight w:val="341" w:hRule="exact"/>
        </w:trPr>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6"/>
              <w:jc w:val="right"/>
              <w:rPr>
                <w:rFonts w:ascii="Times New Roman" w:hAnsi="Times New Roman" w:cs="Times New Roman" w:eastAsia="Times New Roman" w:hint="default"/>
                <w:sz w:val="18"/>
                <w:szCs w:val="18"/>
              </w:rPr>
            </w:pPr>
            <w:r>
              <w:rPr>
                <w:rFonts w:ascii="Times New Roman"/>
                <w:spacing w:val="-1"/>
                <w:sz w:val="18"/>
              </w:rPr>
              <w:t>8,770,500.71</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1"/>
              <w:jc w:val="right"/>
              <w:rPr>
                <w:rFonts w:ascii="Times New Roman" w:hAnsi="Times New Roman" w:cs="Times New Roman" w:eastAsia="Times New Roman" w:hint="default"/>
                <w:sz w:val="18"/>
                <w:szCs w:val="18"/>
              </w:rPr>
            </w:pPr>
            <w:r>
              <w:rPr>
                <w:rFonts w:ascii="Times New Roman"/>
                <w:spacing w:val="-1"/>
                <w:sz w:val="18"/>
              </w:rPr>
              <w:t>3,323,312.99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应收票据" w:id="215"/>
      <w:bookmarkEnd w:id="215"/>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16"/>
      <w:bookmarkEnd w:id="216"/>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6,513,200.00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929,920.00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6,513,200.00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929,920.00</w:t>
            </w:r>
          </w:p>
        </w:tc>
      </w:tr>
    </w:tbl>
    <w:p>
      <w:pPr>
        <w:pStyle w:val="BodyText"/>
        <w:spacing w:line="240" w:lineRule="auto" w:before="53"/>
        <w:ind w:right="0"/>
        <w:jc w:val="left"/>
      </w:pPr>
      <w:r>
        <w:rPr>
          <w:spacing w:val="-3"/>
        </w:rPr>
        <w:t>如是按照预期信用损失一般模型计提应收票据坏账准备，请参照其他应收款的披露方式披露坏账准备的相关信息：</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left"/>
        <w:rPr>
          <w:b w:val="0"/>
          <w:bCs w:val="0"/>
        </w:rPr>
      </w:pPr>
      <w:bookmarkStart w:name="3、应收账款" w:id="217"/>
      <w:bookmarkEnd w:id="217"/>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18"/>
      <w:bookmarkEnd w:id="21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840"/>
        <w:gridCol w:w="758"/>
        <w:gridCol w:w="764"/>
        <w:gridCol w:w="764"/>
        <w:gridCol w:w="787"/>
        <w:gridCol w:w="778"/>
        <w:gridCol w:w="797"/>
        <w:gridCol w:w="797"/>
        <w:gridCol w:w="792"/>
        <w:gridCol w:w="931"/>
      </w:tblGrid>
      <w:tr>
        <w:trPr>
          <w:trHeight w:val="403" w:hRule="exact"/>
        </w:trPr>
        <w:tc>
          <w:tcPr>
            <w:tcW w:w="1561" w:type="dxa"/>
            <w:tcBorders>
              <w:top w:val="single" w:sz="4" w:space="0" w:color="000000"/>
              <w:left w:val="single" w:sz="4" w:space="0" w:color="FFFFFF"/>
              <w:bottom w:val="nil" w:sz="6" w:space="0" w:color="auto"/>
              <w:right w:val="single" w:sz="4" w:space="0" w:color="000000"/>
            </w:tcBorders>
            <w:shd w:val="clear" w:color="auto" w:fill="D2D2D2"/>
          </w:tcPr>
          <w:p>
            <w:pPr/>
          </w:p>
        </w:tc>
        <w:tc>
          <w:tcPr>
            <w:tcW w:w="39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3"/>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2"/>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206" w:hRule="exact"/>
        </w:trPr>
        <w:tc>
          <w:tcPr>
            <w:tcW w:w="1561"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72"/>
              <w:ind w:right="3"/>
              <w:jc w:val="center"/>
              <w:rPr>
                <w:rFonts w:ascii="宋体" w:hAnsi="宋体" w:cs="宋体" w:eastAsia="宋体" w:hint="default"/>
                <w:sz w:val="16"/>
                <w:szCs w:val="16"/>
              </w:rPr>
            </w:pPr>
            <w:r>
              <w:rPr>
                <w:rFonts w:ascii="宋体" w:hAnsi="宋体" w:cs="宋体" w:eastAsia="宋体" w:hint="default"/>
                <w:sz w:val="16"/>
                <w:szCs w:val="16"/>
              </w:rPr>
              <w:t>类别</w:t>
            </w:r>
          </w:p>
        </w:tc>
        <w:tc>
          <w:tcPr>
            <w:tcW w:w="15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75"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3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6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471"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561" w:type="dxa"/>
            <w:vMerge/>
            <w:tcBorders>
              <w:left w:val="single" w:sz="4" w:space="0" w:color="FFFFFF"/>
              <w:bottom w:val="nil" w:sz="6" w:space="0" w:color="auto"/>
              <w:right w:val="single" w:sz="4" w:space="0" w:color="000000"/>
            </w:tcBorders>
            <w:shd w:val="clear" w:color="auto" w:fill="D2D2D2"/>
          </w:tcPr>
          <w:p>
            <w:pPr/>
          </w:p>
        </w:tc>
        <w:tc>
          <w:tcPr>
            <w:tcW w:w="1599"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72"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7"/>
              <w:ind w:left="143"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202" w:hRule="exact"/>
        </w:trPr>
        <w:tc>
          <w:tcPr>
            <w:tcW w:w="1561" w:type="dxa"/>
            <w:vMerge w:val="restart"/>
            <w:tcBorders>
              <w:top w:val="nil" w:sz="6" w:space="0" w:color="auto"/>
              <w:left w:val="single" w:sz="4" w:space="0" w:color="FFFFFF"/>
              <w:right w:val="single" w:sz="4" w:space="0" w:color="000000"/>
            </w:tcBorders>
            <w:shd w:val="clear" w:color="auto" w:fill="D2D2D2"/>
          </w:tcPr>
          <w:p>
            <w:pP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54"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16"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16"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57" w:right="0"/>
              <w:jc w:val="left"/>
              <w:rPr>
                <w:rFonts w:ascii="宋体" w:hAnsi="宋体" w:cs="宋体" w:eastAsia="宋体" w:hint="default"/>
                <w:sz w:val="16"/>
                <w:szCs w:val="16"/>
              </w:rPr>
            </w:pPr>
            <w:r>
              <w:rPr>
                <w:rFonts w:ascii="宋体" w:hAnsi="宋体" w:cs="宋体" w:eastAsia="宋体" w:hint="default"/>
                <w:sz w:val="16"/>
                <w:szCs w:val="16"/>
              </w:rPr>
              <w:t>计提比例</w:t>
            </w: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20"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30" w:right="0"/>
              <w:jc w:val="left"/>
              <w:rPr>
                <w:rFonts w:ascii="宋体" w:hAnsi="宋体" w:cs="宋体" w:eastAsia="宋体" w:hint="default"/>
                <w:sz w:val="16"/>
                <w:szCs w:val="16"/>
              </w:rPr>
            </w:pPr>
            <w:r>
              <w:rPr>
                <w:rFonts w:ascii="宋体" w:hAnsi="宋体" w:cs="宋体" w:eastAsia="宋体" w:hint="default"/>
                <w:sz w:val="16"/>
                <w:szCs w:val="16"/>
              </w:rPr>
              <w:t>比例</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235"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2"/>
              <w:ind w:left="71" w:right="0"/>
              <w:jc w:val="left"/>
              <w:rPr>
                <w:rFonts w:ascii="宋体" w:hAnsi="宋体" w:cs="宋体" w:eastAsia="宋体" w:hint="default"/>
                <w:sz w:val="16"/>
                <w:szCs w:val="16"/>
              </w:rPr>
            </w:pPr>
            <w:r>
              <w:rPr>
                <w:rFonts w:ascii="宋体" w:hAnsi="宋体" w:cs="宋体" w:eastAsia="宋体" w:hint="default"/>
                <w:sz w:val="16"/>
                <w:szCs w:val="16"/>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61" w:type="dxa"/>
            <w:vMerge/>
            <w:tcBorders>
              <w:left w:val="single" w:sz="4" w:space="0" w:color="FFFFFF"/>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758"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561"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8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1,834,794.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4.45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1,834,794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1,834,794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1"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561" w:type="dxa"/>
            <w:tcBorders>
              <w:top w:val="single" w:sz="4" w:space="0" w:color="000000"/>
              <w:left w:val="single" w:sz="4" w:space="0" w:color="FFFFFF"/>
              <w:bottom w:val="single" w:sz="4" w:space="0" w:color="000000"/>
              <w:right w:val="single" w:sz="4" w:space="0" w:color="000000"/>
            </w:tcBorders>
          </w:tcPr>
          <w:p>
            <w:pPr>
              <w:pStyle w:val="TableParagraph"/>
              <w:spacing w:line="319"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单项计提预期信用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损失的应收账款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1,834,794.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0.34%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1,834,794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1,834,794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1"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8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532,649,6</w:t>
            </w:r>
          </w:p>
          <w:p>
            <w:pPr>
              <w:pStyle w:val="TableParagraph"/>
              <w:spacing w:line="240" w:lineRule="auto" w:before="110"/>
              <w:ind w:left="391" w:right="0"/>
              <w:jc w:val="left"/>
              <w:rPr>
                <w:rFonts w:ascii="Times New Roman" w:hAnsi="Times New Roman" w:cs="Times New Roman" w:eastAsia="Times New Roman" w:hint="default"/>
                <w:sz w:val="18"/>
                <w:szCs w:val="18"/>
              </w:rPr>
            </w:pPr>
            <w:r>
              <w:rPr>
                <w:rFonts w:ascii="Times New Roman"/>
                <w:sz w:val="18"/>
              </w:rPr>
              <w:t>67.70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99.66%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83,202,9</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90.29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15.62%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449,446,6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77.41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429,101,4</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30.25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78,788,59</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1.66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350,312,83</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8.59</w:t>
            </w:r>
          </w:p>
        </w:tc>
      </w:tr>
      <w:tr>
        <w:trPr>
          <w:trHeight w:val="403" w:hRule="exact"/>
        </w:trPr>
        <w:tc>
          <w:tcPr>
            <w:tcW w:w="1561"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56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532,649,6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67.70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99.66%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83,202,9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90.29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15.62%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449,446,6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77.41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429,101,4</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30.25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78,788,59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350,312,83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8.59</w:t>
            </w:r>
          </w:p>
        </w:tc>
      </w:tr>
      <w:tr>
        <w:trPr>
          <w:trHeight w:val="710" w:hRule="exact"/>
        </w:trPr>
        <w:tc>
          <w:tcPr>
            <w:tcW w:w="1561"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534,484,4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62.15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85,037,7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84.74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15.91%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449,446,6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77.41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430,936,2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24.70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80,623,38</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6.11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350,312,83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8.59</w:t>
            </w:r>
          </w:p>
        </w:tc>
      </w:tr>
    </w:tbl>
    <w:p>
      <w:pPr>
        <w:pStyle w:val="BodyText"/>
        <w:spacing w:line="240" w:lineRule="auto" w:before="53"/>
        <w:ind w:right="0"/>
        <w:jc w:val="left"/>
      </w:pPr>
      <w:r>
        <w:rPr>
          <w:spacing w:val="-3"/>
        </w:rPr>
        <w:t>按单项计提坏账准备：单项计提预期信用损失的应收账款</w:t>
      </w:r>
    </w:p>
    <w:p>
      <w:pPr>
        <w:pStyle w:val="BodyText"/>
        <w:spacing w:line="240" w:lineRule="auto" w:before="119"/>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3717"/>
        <w:gridCol w:w="1844"/>
        <w:gridCol w:w="1421"/>
        <w:gridCol w:w="1273"/>
        <w:gridCol w:w="1446"/>
      </w:tblGrid>
      <w:tr>
        <w:trPr>
          <w:trHeight w:val="401" w:hRule="exact"/>
        </w:trPr>
        <w:tc>
          <w:tcPr>
            <w:tcW w:w="37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98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717"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江苏依迪计算机设备有限公司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399"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江苏依迪科技发展有限公司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江苏省计算机技术服务有限公司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272,000.00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海亮集团有限公司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179,400.00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179,400.00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中国移动通信集团辽宁有限公司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139,850.00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139,850.00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398"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中国移动通信集团四川有限公司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16,038.45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16,038.45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甘肃省通信产业服务有限公司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238,806.00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238,806.00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中国电信股份有限公司北京分公司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中国联合网络通信有限公司咸阳市分公司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398"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上海浩然网络通讯设备有限公司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北京灵智睿动数码网络科技有限公司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诺基亚西门子通信（天津）有限公司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554,670.00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554,670.00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中国移动通信集团安徽有限公司铜陵分公司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14,530.00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14,530.00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无法回收</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707"/>
        <w:gridCol w:w="1853"/>
        <w:gridCol w:w="1421"/>
        <w:gridCol w:w="1273"/>
        <w:gridCol w:w="1434"/>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869" w:right="0"/>
              <w:jc w:val="left"/>
              <w:rPr>
                <w:rFonts w:ascii="Times New Roman" w:hAnsi="Times New Roman" w:cs="Times New Roman" w:eastAsia="Times New Roman" w:hint="default"/>
                <w:sz w:val="18"/>
                <w:szCs w:val="18"/>
              </w:rPr>
            </w:pPr>
            <w:r>
              <w:rPr>
                <w:rFonts w:ascii="Times New Roman"/>
                <w:sz w:val="18"/>
              </w:rPr>
              <w:t>1,834,794.45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1,834,794.45</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按组合计提坏账准备：账龄组合</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261,861,892.86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个月以上－</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80,875,476.20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3,983,096.79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78,831,273.64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7,883,127.36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23,770,695.23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4,754,139.05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25,844,747.69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10,337,899.08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26,104,270.37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20,883,416.30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35,361,311.71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35,361,311.71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532,649,667.70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83,202,990.29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979" w:top="1100" w:bottom="1160" w:left="980" w:right="0"/>
        </w:sectPr>
      </w:pPr>
    </w:p>
    <w:p>
      <w:pPr>
        <w:pStyle w:val="BodyText"/>
        <w:spacing w:line="362" w:lineRule="auto" w:before="53"/>
        <w:ind w:right="0"/>
        <w:jc w:val="left"/>
      </w:pPr>
      <w:r>
        <w:rPr>
          <w:spacing w:val="-3"/>
        </w:rPr>
        <w:t>确定该组合依据的说明：</w:t>
      </w:r>
      <w:r>
        <w:rPr>
          <w:spacing w:val="-56"/>
        </w:rPr>
        <w:t> </w:t>
      </w:r>
      <w:r>
        <w:rPr>
          <w:spacing w:val="-56"/>
        </w:rPr>
      </w: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2136" w:space="6694"/>
            <w:col w:w="210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43" w:lineRule="auto" w:before="23"/>
        <w:ind w:right="86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37"/>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342,737,369.06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261,861,892.86</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个月以上－</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80,875,476.20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78,831,273.64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23,770,695.23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89,145,124.22</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25,844,747.69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26,104,270.37</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37,196,106.16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534,484,462.15</w:t>
            </w:r>
          </w:p>
        </w:tc>
      </w:tr>
    </w:tbl>
    <w:p>
      <w:pPr>
        <w:pStyle w:val="BodyText"/>
        <w:spacing w:line="240" w:lineRule="auto" w:before="53"/>
        <w:ind w:right="0"/>
        <w:jc w:val="left"/>
      </w:pPr>
      <w:r>
        <w:rPr>
          <w:spacing w:val="-3"/>
        </w:rPr>
        <w:t>公司需要遵守《深圳证券交易所行业信息披露指引第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7"/>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left"/>
        <w:rPr>
          <w:b w:val="0"/>
          <w:bCs w:val="0"/>
        </w:rPr>
      </w:pPr>
      <w:bookmarkStart w:name="（2）本期计提、收回或转回的坏账准备情况" w:id="219"/>
      <w:bookmarkEnd w:id="2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单项计提预期信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用损失的应收账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1,834,794.45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1,834,794.45</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按组合计提预期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信用损失的应收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78,788,591.66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4,414,398.63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83,202,990.29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80,623,386.11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4,414,398.63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85,037,784.74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按欠款方归集的期末余额前五名的应收账款情况" w:id="220"/>
      <w:bookmarkEnd w:id="22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05"/>
        <w:gridCol w:w="2127"/>
        <w:gridCol w:w="2127"/>
        <w:gridCol w:w="1911"/>
      </w:tblGrid>
      <w:tr>
        <w:trPr>
          <w:trHeight w:val="754"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53"/>
              <w:ind w:left="518" w:right="243" w:hanging="270"/>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合计数的比例</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中国电信集团有限公司江苏分公司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34,367,498.14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1,250,220.94</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中移全通系统集成有限公司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20,703,422.80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5,150.00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北京拓明科技有限公司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15,186,056.29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2.84%</w:t>
            </w:r>
          </w:p>
        </w:tc>
        <w:tc>
          <w:tcPr>
            <w:tcW w:w="19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中移在线服务有限公司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12,377,750.57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295,864.33</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中国联合网络通信有限公司上海市分公司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10,936,875.59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179,560.44</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93,571,603.39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17.51%</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预付款项" w:id="221"/>
      <w:bookmarkEnd w:id="221"/>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2"/>
      <w:bookmarkEnd w:id="22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9,506,407.26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3,439,229.50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362,136.09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713,131.39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271,093.34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10,719,636.69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4,732,360.89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23"/>
      <w:bookmarkEnd w:id="22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917"/>
        <w:gridCol w:w="2363"/>
        <w:gridCol w:w="2382"/>
      </w:tblGrid>
      <w:tr>
        <w:trPr>
          <w:trHeight w:val="338" w:hRule="exact"/>
        </w:trPr>
        <w:tc>
          <w:tcPr>
            <w:tcW w:w="49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占预付款项总额的比例</w:t>
            </w:r>
            <w:r>
              <w:rPr>
                <w:rFonts w:ascii="Times New Roman" w:hAnsi="Times New Roman" w:cs="Times New Roman" w:eastAsia="Times New Roman" w:hint="default"/>
                <w:spacing w:val="-3"/>
                <w:sz w:val="18"/>
                <w:szCs w:val="18"/>
              </w:rPr>
              <w:t>(%)</w:t>
            </w:r>
          </w:p>
        </w:tc>
      </w:tr>
      <w:tr>
        <w:trPr>
          <w:trHeight w:val="348" w:hRule="exact"/>
        </w:trPr>
        <w:tc>
          <w:tcPr>
            <w:tcW w:w="49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深圳优特利通信技术有限公司</w:t>
            </w:r>
          </w:p>
        </w:tc>
        <w:tc>
          <w:tcPr>
            <w:tcW w:w="23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2"/>
                <w:sz w:val="18"/>
              </w:rPr>
              <w:t>3,100,000.00</w:t>
            </w:r>
          </w:p>
        </w:tc>
        <w:tc>
          <w:tcPr>
            <w:tcW w:w="23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28.92</w:t>
            </w:r>
          </w:p>
        </w:tc>
      </w:tr>
      <w:tr>
        <w:trPr>
          <w:trHeight w:val="341" w:hRule="exact"/>
        </w:trPr>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北京朋明建筑装饰工程有限公司</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2,370,135.09</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22.11</w:t>
            </w:r>
          </w:p>
        </w:tc>
      </w:tr>
      <w:tr>
        <w:trPr>
          <w:trHeight w:val="341" w:hRule="exact"/>
        </w:trPr>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北京键兴泰家具有限公司</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720,000.00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6.72</w:t>
            </w:r>
          </w:p>
        </w:tc>
      </w:tr>
      <w:tr>
        <w:trPr>
          <w:trHeight w:val="346" w:hRule="exact"/>
        </w:trPr>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上海海思技术有限公司</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629,999.98</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5.88</w:t>
            </w:r>
          </w:p>
        </w:tc>
      </w:tr>
      <w:tr>
        <w:trPr>
          <w:trHeight w:val="341" w:hRule="exact"/>
        </w:trPr>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湖南菁科信息技术有限公司</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477,352.00</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6" w:right="0"/>
              <w:jc w:val="center"/>
              <w:rPr>
                <w:rFonts w:ascii="Times New Roman" w:hAnsi="Times New Roman" w:cs="Times New Roman" w:eastAsia="Times New Roman" w:hint="default"/>
                <w:sz w:val="18"/>
                <w:szCs w:val="18"/>
              </w:rPr>
            </w:pPr>
            <w:r>
              <w:rPr>
                <w:rFonts w:ascii="Times New Roman"/>
                <w:sz w:val="18"/>
              </w:rPr>
              <w:t>4.45</w:t>
            </w:r>
          </w:p>
        </w:tc>
      </w:tr>
      <w:tr>
        <w:trPr>
          <w:trHeight w:val="341" w:hRule="exact"/>
        </w:trPr>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7,297,487.07</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68.08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5、其他应收款" w:id="224"/>
      <w:bookmarkEnd w:id="224"/>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12,559,715.45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7,179,724.32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12,559,715.45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7,179,724.32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其他应收款" w:id="225"/>
      <w:bookmarkEnd w:id="225"/>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226"/>
      <w:bookmarkEnd w:id="22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备用金及职工暂借款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1,068,690.19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1,548,030.14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3,829,524.36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3,554,054.28</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1,494,866.95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2,241,829.84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5,152,845.48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1,177,978.41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12,723,905.39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7,343,914.26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227"/>
      <w:bookmarkEnd w:id="22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933"/>
        <w:gridCol w:w="1671"/>
        <w:gridCol w:w="2127"/>
        <w:gridCol w:w="2127"/>
        <w:gridCol w:w="1830"/>
      </w:tblGrid>
      <w:tr>
        <w:trPr>
          <w:trHeight w:val="403" w:hRule="exact"/>
        </w:trPr>
        <w:tc>
          <w:tcPr>
            <w:tcW w:w="19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9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71"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60"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2"/>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2"/>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30" w:type="dxa"/>
            <w:vMerge/>
            <w:tcBorders>
              <w:left w:val="single" w:sz="4" w:space="0" w:color="000000"/>
              <w:right w:val="single" w:sz="4" w:space="0" w:color="000000"/>
            </w:tcBorders>
            <w:shd w:val="clear" w:color="auto" w:fill="D2D2D2"/>
          </w:tcPr>
          <w:p>
            <w:pPr/>
          </w:p>
        </w:tc>
      </w:tr>
      <w:tr>
        <w:trPr>
          <w:trHeight w:val="365" w:hRule="exact"/>
        </w:trPr>
        <w:tc>
          <w:tcPr>
            <w:tcW w:w="19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71"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8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14" w:right="0"/>
              <w:jc w:val="left"/>
              <w:rPr>
                <w:rFonts w:ascii="Times New Roman" w:hAnsi="Times New Roman" w:cs="Times New Roman" w:eastAsia="Times New Roman" w:hint="default"/>
                <w:sz w:val="18"/>
                <w:szCs w:val="18"/>
              </w:rPr>
            </w:pPr>
            <w:r>
              <w:rPr>
                <w:rFonts w:ascii="Times New Roman"/>
                <w:sz w:val="18"/>
              </w:rPr>
              <w:t>164,189.94</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4" w:right="0"/>
              <w:jc w:val="left"/>
              <w:rPr>
                <w:rFonts w:ascii="Times New Roman" w:hAnsi="Times New Roman" w:cs="Times New Roman" w:eastAsia="Times New Roman" w:hint="default"/>
                <w:sz w:val="18"/>
                <w:szCs w:val="18"/>
              </w:rPr>
            </w:pPr>
            <w:r>
              <w:rPr>
                <w:rFonts w:ascii="Times New Roman"/>
                <w:sz w:val="18"/>
              </w:rPr>
              <w:t>164,189.94</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31" w:type="dxa"/>
        <w:tblLayout w:type="fixed"/>
        <w:tblCellMar>
          <w:top w:w="0" w:type="dxa"/>
          <w:left w:w="0" w:type="dxa"/>
          <w:bottom w:w="0" w:type="dxa"/>
          <w:right w:w="0" w:type="dxa"/>
        </w:tblCellMar>
        <w:tblLook w:val="01E0"/>
      </w:tblPr>
      <w:tblGrid>
        <w:gridCol w:w="1920"/>
        <w:gridCol w:w="1683"/>
        <w:gridCol w:w="2127"/>
        <w:gridCol w:w="2127"/>
        <w:gridCol w:w="1830"/>
      </w:tblGrid>
      <w:tr>
        <w:trPr>
          <w:trHeight w:val="163" w:hRule="exact"/>
        </w:trPr>
        <w:tc>
          <w:tcPr>
            <w:tcW w:w="1920"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8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920" w:type="dxa"/>
            <w:vMerge/>
            <w:tcBorders>
              <w:left w:val="single" w:sz="4" w:space="0" w:color="000000"/>
              <w:right w:val="single" w:sz="4" w:space="0" w:color="000000"/>
            </w:tcBorders>
            <w:shd w:val="clear" w:color="auto" w:fill="D2D2D2"/>
          </w:tcPr>
          <w:p>
            <w:pPr/>
          </w:p>
        </w:tc>
        <w:tc>
          <w:tcPr>
            <w:tcW w:w="1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920" w:type="dxa"/>
            <w:vMerge/>
            <w:tcBorders>
              <w:left w:val="single" w:sz="4" w:space="0" w:color="000000"/>
              <w:bottom w:val="single" w:sz="4" w:space="0" w:color="000000"/>
              <w:right w:val="single" w:sz="4" w:space="0" w:color="000000"/>
            </w:tcBorders>
            <w:shd w:val="clear" w:color="auto" w:fill="D2D2D2"/>
          </w:tcPr>
          <w:p>
            <w:pPr/>
          </w:p>
        </w:tc>
        <w:tc>
          <w:tcPr>
            <w:tcW w:w="16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26" w:right="0"/>
              <w:jc w:val="left"/>
              <w:rPr>
                <w:rFonts w:ascii="Times New Roman" w:hAnsi="Times New Roman" w:cs="Times New Roman" w:eastAsia="Times New Roman" w:hint="default"/>
                <w:sz w:val="18"/>
                <w:szCs w:val="18"/>
              </w:rPr>
            </w:pPr>
            <w:r>
              <w:rPr>
                <w:rFonts w:ascii="Times New Roman"/>
                <w:sz w:val="18"/>
              </w:rPr>
              <w:t>164,189.94</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4" w:right="0"/>
              <w:jc w:val="left"/>
              <w:rPr>
                <w:rFonts w:ascii="Times New Roman" w:hAnsi="Times New Roman" w:cs="Times New Roman" w:eastAsia="Times New Roman" w:hint="default"/>
                <w:sz w:val="18"/>
                <w:szCs w:val="18"/>
              </w:rPr>
            </w:pPr>
            <w:r>
              <w:rPr>
                <w:rFonts w:ascii="Times New Roman"/>
                <w:sz w:val="18"/>
              </w:rPr>
              <w:t>164,189.94</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43"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9,264,845.89</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7,315,345.76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个月以上－</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1,949,500.13</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1,012,598.54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537,102.34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1,909,358.62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970,678.07</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211,214.04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727,466.51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12,723,905.39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228"/>
      <w:bookmarkEnd w:id="22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1"/>
        <w:gridCol w:w="1417"/>
        <w:gridCol w:w="1133"/>
        <w:gridCol w:w="1416"/>
        <w:gridCol w:w="1138"/>
        <w:gridCol w:w="994"/>
        <w:gridCol w:w="1200"/>
      </w:tblGrid>
      <w:tr>
        <w:trPr>
          <w:trHeight w:val="398"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6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单项计提预期信用损失的其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164,189.94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164,189.94</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164,189.94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164,189.94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229"/>
      <w:bookmarkEnd w:id="229"/>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1277"/>
        <w:gridCol w:w="1378"/>
        <w:gridCol w:w="2026"/>
        <w:gridCol w:w="1700"/>
        <w:gridCol w:w="1061"/>
      </w:tblGrid>
      <w:tr>
        <w:trPr>
          <w:trHeight w:val="75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3"/>
              <w:ind w:left="216" w:right="27" w:hanging="178"/>
              <w:jc w:val="left"/>
              <w:rPr>
                <w:rFonts w:ascii="宋体" w:hAnsi="宋体" w:cs="宋体" w:eastAsia="宋体" w:hint="default"/>
                <w:sz w:val="18"/>
                <w:szCs w:val="18"/>
              </w:rPr>
            </w:pPr>
            <w:r>
              <w:rPr>
                <w:rFonts w:ascii="宋体" w:hAnsi="宋体" w:cs="宋体" w:eastAsia="宋体" w:hint="default"/>
                <w:spacing w:val="-3"/>
                <w:sz w:val="18"/>
                <w:szCs w:val="18"/>
              </w:rPr>
              <w:t>占其他应收款期末余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额合计数的比例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53"/>
              <w:ind w:left="163" w:right="161"/>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09"/>
              <w:jc w:val="left"/>
              <w:rPr>
                <w:rFonts w:ascii="宋体" w:hAnsi="宋体" w:cs="宋体" w:eastAsia="宋体" w:hint="default"/>
                <w:sz w:val="18"/>
                <w:szCs w:val="18"/>
              </w:rPr>
            </w:pPr>
            <w:r>
              <w:rPr>
                <w:rFonts w:ascii="宋体" w:hAnsi="宋体" w:cs="宋体" w:eastAsia="宋体" w:hint="default"/>
                <w:spacing w:val="-3"/>
                <w:sz w:val="18"/>
                <w:szCs w:val="18"/>
              </w:rPr>
              <w:t>中国证券登记结算有限责</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任公司深圳分公司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2,938,559.87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0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23.09%</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5"/>
              <w:jc w:val="center"/>
              <w:rPr>
                <w:rFonts w:ascii="宋体" w:hAnsi="宋体" w:cs="宋体" w:eastAsia="宋体" w:hint="default"/>
                <w:sz w:val="18"/>
                <w:szCs w:val="18"/>
              </w:rPr>
            </w:pPr>
            <w:r>
              <w:rPr>
                <w:rFonts w:ascii="宋体" w:hAnsi="宋体" w:cs="宋体" w:eastAsia="宋体" w:hint="default"/>
                <w:spacing w:val="-3"/>
                <w:sz w:val="18"/>
                <w:szCs w:val="18"/>
              </w:rPr>
              <w:t>北京东华合创科技有限公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946,900.00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495,000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7.44%</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7"/>
        <w:gridCol w:w="1277"/>
        <w:gridCol w:w="1378"/>
        <w:gridCol w:w="2026"/>
        <w:gridCol w:w="1700"/>
        <w:gridCol w:w="1061"/>
      </w:tblGrid>
      <w:tr>
        <w:trPr>
          <w:trHeight w:val="67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99,000 </w:t>
            </w:r>
            <w:r>
              <w:rPr>
                <w:rFonts w:ascii="宋体" w:hAnsi="宋体" w:cs="宋体" w:eastAsia="宋体" w:hint="default"/>
                <w:sz w:val="18"/>
                <w:szCs w:val="18"/>
              </w:rPr>
              <w:t>元；</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352,900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09"/>
              <w:jc w:val="left"/>
              <w:rPr>
                <w:rFonts w:ascii="宋体" w:hAnsi="宋体" w:cs="宋体" w:eastAsia="宋体" w:hint="default"/>
                <w:sz w:val="18"/>
                <w:szCs w:val="18"/>
              </w:rPr>
            </w:pPr>
            <w:r>
              <w:rPr>
                <w:rFonts w:ascii="宋体" w:hAnsi="宋体" w:cs="宋体" w:eastAsia="宋体" w:hint="default"/>
                <w:spacing w:val="-3"/>
                <w:sz w:val="18"/>
                <w:szCs w:val="18"/>
              </w:rPr>
              <w:t>前锦网络信息技术（上海</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p>
            <w:pPr>
              <w:pStyle w:val="TableParagraph"/>
              <w:spacing w:line="564" w:lineRule="exact"/>
              <w:ind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63.4pt;height:28.25pt;mso-position-horizontal-relative:char;mso-position-vertical-relative:line" coordorigin="0,0" coordsize="1268,565">
                  <v:group style="position:absolute;left:0;top:0;width:1268;height:159" coordorigin="0,0" coordsize="1268,159">
                    <v:shape style="position:absolute;left:0;top:0;width:1268;height:159" coordorigin="0,0" coordsize="1268,159" path="m0,158l1268,158,1268,0,0,0,0,158xe" filled="true" fillcolor="#ffffff" stroked="false">
                      <v:path arrowok="t"/>
                      <v:fill type="solid"/>
                    </v:shape>
                  </v:group>
                  <v:group style="position:absolute;left:12;top:159;width:2;height:395" coordorigin="12,159" coordsize="2,395">
                    <v:shape style="position:absolute;left:12;top:159;width:2;height:395" coordorigin="12,159" coordsize="0,395" path="m12,159l12,553e" filled="false" stroked="true" strokeweight="1.2pt" strokecolor="#ffffff">
                      <v:path arrowok="t"/>
                    </v:shape>
                  </v:group>
                  <v:group style="position:absolute;left:24;top:159;width:1220;height:395" coordorigin="24,159" coordsize="1220,395">
                    <v:shape style="position:absolute;left:24;top:159;width:1220;height:395" coordorigin="24,159" coordsize="1220,395" path="m24,553l1244,553,1244,159,24,159,24,553xe" filled="true" fillcolor="#ffffff" stroked="false">
                      <v:path arrowok="t"/>
                      <v:fill type="solid"/>
                    </v:shape>
                  </v:group>
                </v:group>
              </w:pict>
            </w:r>
            <w:r>
              <w:rPr>
                <w:rFonts w:ascii="宋体" w:hAnsi="宋体" w:cs="宋体" w:eastAsia="宋体" w:hint="default"/>
                <w:position w:val="-10"/>
                <w:sz w:val="20"/>
                <w:szCs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627,351.36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4.93%</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9"/>
              <w:jc w:val="left"/>
              <w:rPr>
                <w:rFonts w:ascii="宋体" w:hAnsi="宋体" w:cs="宋体" w:eastAsia="宋体" w:hint="default"/>
                <w:sz w:val="18"/>
                <w:szCs w:val="18"/>
              </w:rPr>
            </w:pPr>
            <w:r>
              <w:rPr>
                <w:rFonts w:ascii="宋体" w:hAnsi="宋体" w:cs="宋体" w:eastAsia="宋体" w:hint="default"/>
                <w:spacing w:val="-3"/>
                <w:sz w:val="18"/>
                <w:szCs w:val="18"/>
              </w:rPr>
              <w:t>河南省信息咨询设计研究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474,080.81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3.73%</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9"/>
              <w:jc w:val="left"/>
              <w:rPr>
                <w:rFonts w:ascii="宋体" w:hAnsi="宋体" w:cs="宋体" w:eastAsia="宋体" w:hint="default"/>
                <w:sz w:val="18"/>
                <w:szCs w:val="18"/>
              </w:rPr>
            </w:pPr>
            <w:r>
              <w:rPr>
                <w:rFonts w:ascii="宋体" w:hAnsi="宋体" w:cs="宋体" w:eastAsia="宋体" w:hint="default"/>
                <w:spacing w:val="-3"/>
                <w:sz w:val="18"/>
                <w:szCs w:val="18"/>
              </w:rPr>
              <w:t>上海通办信息服务有限公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397,978.14</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3.13%</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7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5,384,870.18</w:t>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42.32%</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存货" w:id="230"/>
      <w:bookmarkEnd w:id="230"/>
      <w:r>
        <w:rPr>
          <w:b w:val="0"/>
          <w:bCs w:val="0"/>
        </w:rPr>
      </w:r>
      <w:r>
        <w:rPr>
          <w:rFonts w:ascii="Times New Roman" w:hAnsi="Times New Roman" w:cs="Times New Roman" w:eastAsia="Times New Roman" w:hint="default"/>
        </w:rPr>
        <w:t>6</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1）存货分类" w:id="231"/>
      <w:bookmarkEnd w:id="23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7"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4"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4,420,746.48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238,511.80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4,182,234.68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9,805,064.16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132,587.41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9,672,476.75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17,162,737.01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17,162,737.01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28,905,245.85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28,905,245.85</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5,270,508.41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5,270,508.41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26,853,991.90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238,511.80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26,615,480.10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38,710,310.01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132,587.41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38,577,722.60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存货跌价准备" w:id="232"/>
      <w:bookmarkEnd w:id="23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132,587.41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105,924.39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238,511.80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132,587.41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105,924.39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238,511.80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其他流动资产" w:id="233"/>
      <w:bookmarkEnd w:id="233"/>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2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66,159.51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40,851.19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66,159.51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40,851.19</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8、长期股权投资" w:id="234"/>
      <w:bookmarkEnd w:id="234"/>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99"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北京核高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基软件有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250,098.9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-13,637.2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236,461.7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杭州清响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p>
          <w:p>
            <w:pPr>
              <w:pStyle w:val="TableParagraph"/>
              <w:spacing w:line="321" w:lineRule="auto" w:before="17"/>
              <w:ind w:left="24" w:right="36"/>
              <w:jc w:val="both"/>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67,355,24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1,262,112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88,617,35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1,248,475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88,853,81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1,248,475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88,853,81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9、其他权益工具投资" w:id="235"/>
      <w:bookmarkEnd w:id="235"/>
      <w:r>
        <w:rPr>
          <w:b w:val="0"/>
          <w:bCs w:val="0"/>
        </w:rPr>
      </w:r>
      <w:r>
        <w:rPr>
          <w:rFonts w:ascii="Times New Roman" w:hAnsi="Times New Roman" w:cs="Times New Roman" w:eastAsia="Times New Roman" w:hint="default"/>
        </w:rPr>
        <w:t>9</w:t>
      </w:r>
      <w:r>
        <w:rPr/>
        <w:t>、其他权益工具投资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4"/>
        <w:gridCol w:w="2838"/>
        <w:gridCol w:w="2482"/>
      </w:tblGrid>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北京海资联动创新股权投资管理中心（有限合伙）</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上海软件产业促进中心</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5,200,000.00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0、固定资产" w:id="236"/>
      <w:bookmarkEnd w:id="236"/>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84,597,253.75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4,050,192.08</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84,597,253.75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4,050,192.08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固定资产情况" w:id="237"/>
      <w:bookmarkEnd w:id="23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8"/>
        <w:gridCol w:w="1911"/>
        <w:gridCol w:w="1916"/>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5,301,751.01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7,488,199.26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12,783,463.09</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78,806,592.98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3,912,341.02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82,718,934.00</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78,806,592.98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2,701,047.04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81,507,640.02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1,211,293.98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1,211,293.98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2,204,975.78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2,211,462.96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2,204,975.78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2,211,462.96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78,806,592.98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5,301,751.01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9,208,538.87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93,316,882.86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3,916,464.14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4,829,343.87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8,745,921.01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178,252.98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469,196.77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914,201.35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1,561,764.20</w:t>
            </w: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178,252.98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469,196.77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914,201.35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1,524,390.29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1,790,907.79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1,791,133.89</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1,790,907.79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1,791,133.89</w:t>
            </w: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178,252.98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4,385,660.91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3,952,637.43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8,516,551.32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203,077.78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203,077.78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203,077.78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203,077.78</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203,077.78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203,077.78</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04"/>
        <w:gridCol w:w="1928"/>
        <w:gridCol w:w="1911"/>
        <w:gridCol w:w="1916"/>
        <w:gridCol w:w="1916"/>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78,628,340.00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916,090.10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5,052,823.65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84,597,253.75</w:t>
            </w: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6"/>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1,385,286.87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2,662,842.57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4,050,516.44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1、无形资产" w:id="238"/>
      <w:bookmarkEnd w:id="238"/>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39"/>
      <w:bookmarkEnd w:id="23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594"/>
        <w:gridCol w:w="1630"/>
        <w:gridCol w:w="1614"/>
        <w:gridCol w:w="1618"/>
        <w:gridCol w:w="1613"/>
        <w:gridCol w:w="1619"/>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66,740,824.74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66,740,824.74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8,559,585.70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8,559,585.70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6"/>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8,559,585.70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8,559,585.70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w w:val="101"/>
                <w:sz w:val="18"/>
                <w:szCs w:val="18"/>
              </w:rPr>
              <w:t>发</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2" w:right="35"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216"/>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75,300,410.44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75,300,410.44</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49,602,566.84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49,602,566.84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7,217,127.73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7,217,127.73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6"/>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7,217,127.73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7,217,127.73</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6"/>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56,819,694.57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56,819,694.57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606"/>
        <w:gridCol w:w="1630"/>
        <w:gridCol w:w="1614"/>
        <w:gridCol w:w="1618"/>
        <w:gridCol w:w="1613"/>
        <w:gridCol w:w="1619"/>
      </w:tblGrid>
      <w:tr>
        <w:trPr>
          <w:trHeight w:val="71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18,480,715.87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18,480,715.87</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30" w:type="dxa"/>
            <w:tcBorders>
              <w:top w:val="single" w:sz="4" w:space="0" w:color="000000"/>
              <w:left w:val="single" w:sz="13" w:space="0" w:color="D2D2D2"/>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17,138,257.90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17,138,257.90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2、商誉" w:id="240"/>
      <w:bookmarkEnd w:id="240"/>
      <w:r>
        <w:rPr>
          <w:b w:val="0"/>
          <w:bCs w:val="0"/>
        </w:rPr>
      </w:r>
      <w:r>
        <w:rPr>
          <w:rFonts w:ascii="Times New Roman" w:hAnsi="Times New Roman" w:cs="Times New Roman" w:eastAsia="Times New Roman" w:hint="default"/>
        </w:rPr>
        <w:t>12</w:t>
      </w:r>
      <w:r>
        <w:rPr/>
        <w:t>、商誉</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41"/>
      <w:bookmarkEnd w:id="24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36"/>
        <w:gridCol w:w="1428"/>
        <w:gridCol w:w="1561"/>
        <w:gridCol w:w="1277"/>
        <w:gridCol w:w="1417"/>
        <w:gridCol w:w="974"/>
        <w:gridCol w:w="1369"/>
      </w:tblGrid>
      <w:tr>
        <w:trPr>
          <w:trHeight w:val="206" w:hRule="exact"/>
        </w:trPr>
        <w:tc>
          <w:tcPr>
            <w:tcW w:w="153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31" w:right="39" w:hanging="92"/>
              <w:jc w:val="left"/>
              <w:rPr>
                <w:rFonts w:ascii="宋体" w:hAnsi="宋体" w:cs="宋体" w:eastAsia="宋体" w:hint="default"/>
                <w:sz w:val="18"/>
                <w:szCs w:val="18"/>
              </w:rPr>
            </w:pPr>
            <w:r>
              <w:rPr>
                <w:rFonts w:ascii="宋体" w:hAnsi="宋体" w:cs="宋体" w:eastAsia="宋体" w:hint="default"/>
                <w:spacing w:val="-2"/>
                <w:sz w:val="18"/>
                <w:szCs w:val="18"/>
              </w:rPr>
              <w:t>被投资单位名称或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形成商誉的事项</w:t>
            </w: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36" w:type="dxa"/>
            <w:vMerge/>
            <w:tcBorders>
              <w:left w:val="single" w:sz="4" w:space="0" w:color="000000"/>
              <w:right w:val="single" w:sz="4" w:space="0" w:color="000000"/>
            </w:tcBorders>
            <w:shd w:val="clear" w:color="auto" w:fill="D2D2D2"/>
          </w:tcPr>
          <w:p>
            <w:pPr/>
          </w:p>
        </w:tc>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38" w:type="dxa"/>
            <w:gridSpan w:val="2"/>
            <w:vMerge/>
            <w:tcBorders>
              <w:left w:val="single" w:sz="4" w:space="0" w:color="000000"/>
              <w:bottom w:val="single" w:sz="4" w:space="0" w:color="000000"/>
              <w:right w:val="single" w:sz="4" w:space="0" w:color="000000"/>
            </w:tcBorders>
            <w:shd w:val="clear" w:color="auto" w:fill="D2D2D2"/>
          </w:tcPr>
          <w:p>
            <w:pPr/>
          </w:p>
        </w:tc>
        <w:tc>
          <w:tcPr>
            <w:tcW w:w="2391"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536" w:type="dxa"/>
            <w:vMerge/>
            <w:tcBorders>
              <w:left w:val="single" w:sz="4" w:space="0" w:color="000000"/>
              <w:right w:val="single" w:sz="4" w:space="0" w:color="000000"/>
            </w:tcBorders>
            <w:shd w:val="clear" w:color="auto" w:fill="D2D2D2"/>
          </w:tcPr>
          <w:p>
            <w:pPr/>
          </w:p>
        </w:tc>
        <w:tc>
          <w:tcPr>
            <w:tcW w:w="1428" w:type="dxa"/>
            <w:vMerge/>
            <w:tcBorders>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3"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74"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36" w:type="dxa"/>
            <w:vMerge/>
            <w:tcBorders>
              <w:left w:val="single" w:sz="4" w:space="0" w:color="000000"/>
              <w:bottom w:val="single" w:sz="4" w:space="0" w:color="000000"/>
              <w:right w:val="single" w:sz="4" w:space="0" w:color="000000"/>
            </w:tcBorders>
            <w:shd w:val="clear" w:color="auto" w:fill="D2D2D2"/>
          </w:tcPr>
          <w:p>
            <w:pPr/>
          </w:p>
        </w:tc>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北京惠捷朗科技有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363,369,417.11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363,369,417.11</w:t>
            </w:r>
          </w:p>
        </w:tc>
      </w:tr>
      <w:tr>
        <w:trPr>
          <w:trHeight w:val="715"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北京同德一心科技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29,607,378.92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716"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北京数字天堂信息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科技有限责任公司</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34,847,082.00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34,847,082.00</w:t>
            </w:r>
          </w:p>
        </w:tc>
      </w:tr>
      <w:tr>
        <w:trPr>
          <w:trHeight w:val="710"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北京微智信业科技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479,175,592.37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479,175,592.37</w:t>
            </w:r>
          </w:p>
        </w:tc>
      </w:tr>
      <w:tr>
        <w:trPr>
          <w:trHeight w:val="716"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北京泰策科技有限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554,871,440.00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554,871,440.00</w:t>
            </w:r>
          </w:p>
        </w:tc>
      </w:tr>
      <w:tr>
        <w:trPr>
          <w:trHeight w:val="403" w:hRule="exact"/>
        </w:trPr>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1,461,870,910.40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1,461,870,910.40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商誉减值准备" w:id="242"/>
      <w:bookmarkEnd w:id="24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560"/>
        <w:gridCol w:w="2550"/>
        <w:gridCol w:w="2535"/>
        <w:gridCol w:w="1369"/>
      </w:tblGrid>
      <w:tr>
        <w:trPr>
          <w:trHeight w:val="398"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2" w:right="0"/>
              <w:jc w:val="left"/>
              <w:rPr>
                <w:rFonts w:ascii="宋体" w:hAnsi="宋体" w:cs="宋体" w:eastAsia="宋体" w:hint="default"/>
                <w:sz w:val="18"/>
                <w:szCs w:val="18"/>
              </w:rPr>
            </w:pPr>
            <w:r>
              <w:rPr>
                <w:rFonts w:ascii="宋体" w:hAnsi="宋体" w:cs="宋体" w:eastAsia="宋体" w:hint="default"/>
                <w:sz w:val="18"/>
                <w:szCs w:val="18"/>
              </w:rPr>
              <w:t>被投资单位名称或</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537"/>
        <w:gridCol w:w="1572"/>
        <w:gridCol w:w="1561"/>
        <w:gridCol w:w="989"/>
        <w:gridCol w:w="1422"/>
        <w:gridCol w:w="1114"/>
        <w:gridCol w:w="1369"/>
      </w:tblGrid>
      <w:tr>
        <w:trPr>
          <w:trHeight w:val="403"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pacing w:val="-3"/>
                <w:sz w:val="18"/>
                <w:szCs w:val="18"/>
              </w:rPr>
              <w:t>形成商誉的事项</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北京惠捷朗科技有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337,929,523.60</w:t>
            </w:r>
          </w:p>
        </w:tc>
        <w:tc>
          <w:tcPr>
            <w:tcW w:w="156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337,929,523.60</w:t>
            </w:r>
          </w:p>
        </w:tc>
      </w:tr>
      <w:tr>
        <w:trPr>
          <w:trHeight w:val="715"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北京同德一心科技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29,607,378.92</w:t>
            </w:r>
          </w:p>
        </w:tc>
        <w:tc>
          <w:tcPr>
            <w:tcW w:w="156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715"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7"/>
              <w:jc w:val="left"/>
              <w:rPr>
                <w:rFonts w:ascii="宋体" w:hAnsi="宋体" w:cs="宋体" w:eastAsia="宋体" w:hint="default"/>
                <w:sz w:val="18"/>
                <w:szCs w:val="18"/>
              </w:rPr>
            </w:pPr>
            <w:r>
              <w:rPr>
                <w:rFonts w:ascii="宋体" w:hAnsi="宋体" w:cs="宋体" w:eastAsia="宋体" w:hint="default"/>
                <w:spacing w:val="-2"/>
                <w:sz w:val="18"/>
                <w:szCs w:val="18"/>
              </w:rPr>
              <w:t>北京数字天堂信息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科技有限责任公司</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17,280,395.46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17,566,686.54</w:t>
            </w:r>
          </w:p>
        </w:tc>
        <w:tc>
          <w:tcPr>
            <w:tcW w:w="989"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34,847,082.00</w:t>
            </w:r>
          </w:p>
        </w:tc>
      </w:tr>
      <w:tr>
        <w:trPr>
          <w:trHeight w:val="40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384,817,297.98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17,566,686.54</w:t>
            </w:r>
          </w:p>
        </w:tc>
        <w:tc>
          <w:tcPr>
            <w:tcW w:w="989"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402,383,984.52</w:t>
            </w:r>
          </w:p>
        </w:tc>
      </w:tr>
    </w:tbl>
    <w:p>
      <w:pPr>
        <w:spacing w:line="240" w:lineRule="auto" w:before="4"/>
        <w:rPr>
          <w:rFonts w:ascii="宋体" w:hAnsi="宋体" w:cs="宋体" w:eastAsia="宋体" w:hint="default"/>
          <w:sz w:val="27"/>
          <w:szCs w:val="27"/>
        </w:rPr>
      </w:pPr>
    </w:p>
    <w:p>
      <w:pPr>
        <w:pStyle w:val="BodyText"/>
        <w:spacing w:line="240" w:lineRule="auto" w:before="46"/>
        <w:ind w:right="0"/>
        <w:jc w:val="left"/>
      </w:pPr>
      <w:r>
        <w:rPr>
          <w:spacing w:val="-3"/>
        </w:rPr>
        <w:t>商誉所在资产组或资产组组合的相关信息</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744"/>
        <w:gridCol w:w="3943"/>
        <w:gridCol w:w="1704"/>
        <w:gridCol w:w="1705"/>
        <w:gridCol w:w="1566"/>
      </w:tblGrid>
      <w:tr>
        <w:trPr>
          <w:trHeight w:val="341" w:hRule="exact"/>
        </w:trPr>
        <w:tc>
          <w:tcPr>
            <w:tcW w:w="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惠捷朗</w:t>
            </w: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1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泰策科技</w:t>
            </w:r>
          </w:p>
        </w:tc>
      </w:tr>
      <w:tr>
        <w:trPr>
          <w:trHeight w:val="34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商誉账面原值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363,369,417.11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479,175,592.37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554,871,440.00</w:t>
            </w:r>
          </w:p>
        </w:tc>
      </w:tr>
      <w:tr>
        <w:trPr>
          <w:trHeight w:val="346"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商誉减值准备金额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337,929,523.60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商誉的账面价值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25,439,893.51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479,175,592.37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554,871,440.00</w:t>
            </w:r>
          </w:p>
        </w:tc>
      </w:tr>
      <w:tr>
        <w:trPr>
          <w:trHeight w:val="34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资产组的账面价值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11,156,705.45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230,805,392.52</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33,435,232.84</w:t>
            </w:r>
          </w:p>
        </w:tc>
      </w:tr>
      <w:tr>
        <w:trPr>
          <w:trHeight w:val="34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包含商誉的资产组的公允价值</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36,596,598.96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709,980,984.89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588,306,672.84</w:t>
            </w:r>
          </w:p>
        </w:tc>
      </w:tr>
      <w:tr>
        <w:trPr>
          <w:trHeight w:val="346"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资产组预计未来现金流量的现值（可回收金额）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725,000,000.00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689,879,000.52</w:t>
            </w:r>
          </w:p>
        </w:tc>
      </w:tr>
      <w:tr>
        <w:trPr>
          <w:trHeight w:val="34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53"/>
        <w:ind w:right="0" w:firstLine="360"/>
        <w:jc w:val="left"/>
      </w:pPr>
      <w:r>
        <w:rPr>
          <w:spacing w:val="-4"/>
        </w:rPr>
        <w:t>资产组或资产组组合的构成：上述公司商誉减值测试时以收购的公司整体资产及业务作为资产组进行减值测试，主要现</w:t>
      </w:r>
      <w:r>
        <w:rPr>
          <w:w w:val="101"/>
        </w:rPr>
        <w:t> </w:t>
      </w:r>
      <w:r>
        <w:rPr>
          <w:spacing w:val="-3"/>
        </w:rPr>
        <w:t>金流入独立于其他资产或者资产组的现金流入，该资产组与购买日、以前年度商誉减值测试时所确认的资产组组合一致。</w:t>
      </w:r>
    </w:p>
    <w:p>
      <w:pPr>
        <w:pStyle w:val="BodyText"/>
        <w:spacing w:line="240" w:lineRule="auto" w:before="62"/>
        <w:ind w:left="513" w:right="0"/>
        <w:jc w:val="left"/>
      </w:pPr>
      <w:r>
        <w:rPr>
          <w:spacing w:val="-3"/>
        </w:rPr>
        <w:t>（</w:t>
      </w:r>
      <w:r>
        <w:rPr>
          <w:rFonts w:ascii="Times New Roman" w:hAnsi="Times New Roman" w:cs="Times New Roman" w:eastAsia="Times New Roman" w:hint="default"/>
          <w:spacing w:val="-3"/>
        </w:rPr>
        <w:t>1</w:t>
      </w:r>
      <w:r>
        <w:rPr>
          <w:spacing w:val="-3"/>
        </w:rPr>
        <w:t>）关于北京惠捷朗科技有限公司商誉所在资产组或资产组组合的相关信息</w:t>
      </w:r>
    </w:p>
    <w:p>
      <w:pPr>
        <w:pStyle w:val="BodyText"/>
        <w:spacing w:line="240" w:lineRule="auto" w:before="96"/>
        <w:ind w:left="513" w:right="0"/>
        <w:jc w:val="left"/>
      </w:pPr>
      <w:r>
        <w:rPr>
          <w:spacing w:val="-3"/>
        </w:rPr>
        <w:t>北京东方通科技股份有限公司于</w:t>
      </w:r>
      <w:r>
        <w:rPr>
          <w:spacing w:val="-3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日以人民币</w:t>
      </w:r>
      <w:r>
        <w:rPr>
          <w:spacing w:val="-37"/>
        </w:rPr>
        <w:t> </w:t>
      </w:r>
      <w:r>
        <w:rPr>
          <w:rFonts w:ascii="Times New Roman" w:hAnsi="Times New Roman" w:cs="Times New Roman" w:eastAsia="Times New Roman" w:hint="default"/>
        </w:rPr>
        <w:t>42,000</w:t>
      </w:r>
      <w:r>
        <w:rPr>
          <w:rFonts w:ascii="Times New Roman" w:hAnsi="Times New Roman" w:cs="Times New Roman" w:eastAsia="Times New Roman" w:hint="default"/>
          <w:spacing w:val="8"/>
        </w:rPr>
        <w:t> </w:t>
      </w:r>
      <w:r>
        <w:rPr>
          <w:spacing w:val="-4"/>
        </w:rPr>
        <w:t>万元为对价，收购非同一控制下的北京惠捷朗科技</w:t>
      </w:r>
    </w:p>
    <w:p>
      <w:pPr>
        <w:pStyle w:val="BodyText"/>
        <w:spacing w:line="240" w:lineRule="auto" w:before="63"/>
        <w:ind w:right="0"/>
        <w:jc w:val="left"/>
        <w:rPr>
          <w:rFonts w:ascii="Times New Roman" w:hAnsi="Times New Roman" w:cs="Times New Roman" w:eastAsia="Times New Roman" w:hint="default"/>
        </w:rPr>
      </w:pPr>
      <w:r>
        <w:rPr>
          <w:spacing w:val="-5"/>
        </w:rPr>
        <w:t>有限公司（以下简称</w:t>
      </w:r>
      <w:r>
        <w:rPr>
          <w:rFonts w:ascii="Times New Roman" w:hAnsi="Times New Roman" w:cs="Times New Roman" w:eastAsia="Times New Roman" w:hint="default"/>
          <w:spacing w:val="-5"/>
        </w:rPr>
        <w:t>“</w:t>
      </w:r>
      <w:r>
        <w:rPr>
          <w:spacing w:val="-5"/>
        </w:rPr>
        <w:t>惠捷朗</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100%</w:t>
      </w:r>
      <w:r>
        <w:rPr>
          <w:spacing w:val="-5"/>
        </w:rPr>
        <w:t>的股权，收购取得的惠捷朗以公允价值持续计算可辨认净资产公允价值为</w:t>
      </w:r>
      <w:r>
        <w:rPr>
          <w:spacing w:val="78"/>
        </w:rPr>
        <w:t> </w:t>
      </w:r>
      <w:r>
        <w:rPr>
          <w:rFonts w:ascii="Times New Roman" w:hAnsi="Times New Roman" w:cs="Times New Roman" w:eastAsia="Times New Roman" w:hint="default"/>
        </w:rPr>
        <w:t>56,630,582.89</w:t>
      </w:r>
    </w:p>
    <w:p>
      <w:pPr>
        <w:pStyle w:val="BodyText"/>
        <w:spacing w:line="333" w:lineRule="auto" w:before="67"/>
        <w:ind w:left="513" w:right="0" w:hanging="360"/>
        <w:jc w:val="left"/>
      </w:pPr>
      <w:r>
        <w:rPr/>
        <w:t>元，形成商誉人民币</w:t>
      </w:r>
      <w:r>
        <w:rPr>
          <w:spacing w:val="-47"/>
        </w:rPr>
        <w:t> </w:t>
      </w:r>
      <w:r>
        <w:rPr>
          <w:rFonts w:ascii="Times New Roman" w:hAnsi="Times New Roman" w:cs="Times New Roman" w:eastAsia="Times New Roman" w:hint="default"/>
        </w:rPr>
        <w:t>363,369,417.11</w:t>
      </w:r>
      <w:r>
        <w:rPr>
          <w:rFonts w:ascii="Times New Roman" w:hAnsi="Times New Roman" w:cs="Times New Roman" w:eastAsia="Times New Roman" w:hint="default"/>
          <w:spacing w:val="-2"/>
        </w:rPr>
        <w:t> </w:t>
      </w:r>
      <w:r>
        <w:rPr>
          <w:spacing w:val="-5"/>
        </w:rPr>
        <w:t>元。</w:t>
      </w:r>
      <w:r>
        <w:rPr>
          <w:spacing w:val="-88"/>
        </w:rPr>
        <w:t> </w:t>
      </w:r>
      <w:r>
        <w:rPr>
          <w:spacing w:val="-4"/>
        </w:rPr>
        <w:t>东方通管理层在充分考虑能够受益于企业合并的协同效应后，判断惠捷朗没有与商誉无关的资产和负债，所有资产负债</w:t>
      </w:r>
    </w:p>
    <w:p>
      <w:pPr>
        <w:pStyle w:val="BodyText"/>
        <w:spacing w:line="304" w:lineRule="auto" w:before="6"/>
        <w:ind w:right="0"/>
        <w:jc w:val="left"/>
      </w:pPr>
      <w:r>
        <w:rPr>
          <w:spacing w:val="-3"/>
        </w:rPr>
        <w:t>在一个资产组范围内才可独立产生现金流，因此将惠捷朗划分为一个独立资产组。由于惠捷朗销售业绩持续下滑，</w:t>
      </w:r>
      <w:r>
        <w:rPr>
          <w:rFonts w:ascii="Times New Roman" w:hAnsi="Times New Roman" w:cs="Times New Roman" w:eastAsia="Times New Roman" w:hint="default"/>
          <w:spacing w:val="-3"/>
        </w:rPr>
        <w:t>2017 </w:t>
      </w:r>
      <w:r>
        <w:rPr/>
        <w:t>年</w:t>
      </w:r>
      <w:r>
        <w:rPr>
          <w:spacing w:val="-55"/>
        </w:rPr>
        <w:t> </w:t>
      </w:r>
      <w:r>
        <w:rPr>
          <w:spacing w:val="-3"/>
        </w:rPr>
        <w:t>经管理层对惠捷朗整体股权及商誉价值进行测试，提取商誉减值准备 </w:t>
      </w:r>
      <w:r>
        <w:rPr>
          <w:rFonts w:ascii="Times New Roman" w:hAnsi="Times New Roman" w:cs="Times New Roman" w:eastAsia="Times New Roman" w:hint="default"/>
        </w:rPr>
        <w:t>337,929,523.60 </w:t>
      </w:r>
      <w:r>
        <w:rPr>
          <w:rFonts w:ascii="Times New Roman" w:hAnsi="Times New Roman" w:cs="Times New Roman" w:eastAsia="Times New Roman" w:hint="default"/>
          <w:spacing w:val="2"/>
        </w:rPr>
        <w:t> </w:t>
      </w:r>
      <w:r>
        <w:rPr/>
        <w:t>元。</w:t>
      </w:r>
    </w:p>
    <w:p>
      <w:pPr>
        <w:pStyle w:val="BodyText"/>
        <w:spacing w:line="302" w:lineRule="auto" w:before="48"/>
        <w:ind w:right="1123" w:firstLine="360"/>
        <w:jc w:val="left"/>
        <w:rPr>
          <w:rFonts w:ascii="Times New Roman" w:hAnsi="Times New Roman" w:cs="Times New Roman" w:eastAsia="Times New Roman" w:hint="default"/>
        </w:rPr>
      </w:pPr>
      <w:r>
        <w:rPr>
          <w:spacing w:val="-3"/>
        </w:rPr>
        <w:t>惠捷朗公司经营范围：技术推广</w:t>
      </w:r>
      <w:r>
        <w:rPr>
          <w:rFonts w:ascii="Times New Roman" w:hAnsi="Times New Roman" w:cs="Times New Roman" w:eastAsia="Times New Roman" w:hint="default"/>
          <w:spacing w:val="-3"/>
        </w:rPr>
        <w:t>;</w:t>
      </w:r>
      <w:r>
        <w:rPr>
          <w:spacing w:val="-3"/>
        </w:rPr>
        <w:t>软件服务</w:t>
      </w:r>
      <w:r>
        <w:rPr>
          <w:rFonts w:ascii="Times New Roman" w:hAnsi="Times New Roman" w:cs="Times New Roman" w:eastAsia="Times New Roman" w:hint="default"/>
          <w:spacing w:val="-3"/>
        </w:rPr>
        <w:t>;</w:t>
      </w:r>
      <w:r>
        <w:rPr>
          <w:spacing w:val="-3"/>
        </w:rPr>
        <w:t>销售计算机、软件及辅助设备</w:t>
      </w:r>
      <w:r>
        <w:rPr>
          <w:rFonts w:ascii="Times New Roman" w:hAnsi="Times New Roman" w:cs="Times New Roman" w:eastAsia="Times New Roman" w:hint="default"/>
          <w:spacing w:val="-3"/>
        </w:rPr>
        <w:t>.(</w:t>
      </w:r>
      <w:r>
        <w:rPr>
          <w:spacing w:val="-3"/>
        </w:rPr>
        <w:t>企业依法自主选择经营项目</w:t>
      </w:r>
      <w:r>
        <w:rPr>
          <w:rFonts w:ascii="Times New Roman" w:hAnsi="Times New Roman" w:cs="Times New Roman" w:eastAsia="Times New Roman" w:hint="default"/>
          <w:spacing w:val="-3"/>
        </w:rPr>
        <w:t>,</w:t>
      </w:r>
      <w:r>
        <w:rPr>
          <w:spacing w:val="-3"/>
        </w:rPr>
        <w:t>开展经营活动</w:t>
      </w:r>
      <w:r>
        <w:rPr>
          <w:rFonts w:ascii="Times New Roman" w:hAnsi="Times New Roman" w:cs="Times New Roman" w:eastAsia="Times New Roman" w:hint="default"/>
          <w:spacing w:val="-3"/>
        </w:rPr>
        <w:t>;</w:t>
      </w:r>
      <w:r>
        <w:rPr>
          <w:spacing w:val="-3"/>
        </w:rPr>
        <w:t>开</w:t>
      </w:r>
      <w:r>
        <w:rPr>
          <w:w w:val="101"/>
        </w:rPr>
        <w:t> </w:t>
      </w:r>
      <w:r>
        <w:rPr>
          <w:spacing w:val="-3"/>
        </w:rPr>
        <w:t>展经营活动</w:t>
      </w:r>
      <w:r>
        <w:rPr>
          <w:rFonts w:ascii="Times New Roman" w:hAnsi="Times New Roman" w:cs="Times New Roman" w:eastAsia="Times New Roman" w:hint="default"/>
          <w:spacing w:val="-3"/>
        </w:rPr>
        <w:t>;</w:t>
      </w:r>
      <w:r>
        <w:rPr>
          <w:spacing w:val="-3"/>
        </w:rPr>
        <w:t>依法经批准的项目</w:t>
      </w:r>
      <w:r>
        <w:rPr>
          <w:rFonts w:ascii="Times New Roman" w:hAnsi="Times New Roman" w:cs="Times New Roman" w:eastAsia="Times New Roman" w:hint="default"/>
          <w:spacing w:val="-3"/>
        </w:rPr>
        <w:t>,</w:t>
      </w:r>
      <w:r>
        <w:rPr>
          <w:spacing w:val="-3"/>
        </w:rPr>
        <w:t>经相关部门批准后依批准的内容开展经营活动</w:t>
      </w:r>
      <w:r>
        <w:rPr>
          <w:rFonts w:ascii="Times New Roman" w:hAnsi="Times New Roman" w:cs="Times New Roman" w:eastAsia="Times New Roman" w:hint="default"/>
          <w:spacing w:val="-3"/>
        </w:rPr>
        <w:t>;</w:t>
      </w:r>
      <w:r>
        <w:rPr>
          <w:spacing w:val="-3"/>
        </w:rPr>
        <w:t>不得从事本市产业政策禁止和限制类项目的</w:t>
      </w:r>
      <w:r>
        <w:rPr>
          <w:spacing w:val="72"/>
        </w:rPr>
        <w:t> </w:t>
      </w:r>
      <w:r>
        <w:rPr>
          <w:spacing w:val="72"/>
        </w:rPr>
      </w:r>
      <w:r>
        <w:rPr/>
        <w:t>经营活动</w:t>
      </w:r>
      <w:r>
        <w:rPr>
          <w:rFonts w:ascii="Times New Roman" w:hAnsi="Times New Roman" w:cs="Times New Roman" w:eastAsia="Times New Roman" w:hint="default"/>
        </w:rPr>
        <w:t>.)</w:t>
      </w:r>
    </w:p>
    <w:p>
      <w:pPr>
        <w:pStyle w:val="BodyText"/>
        <w:spacing w:line="240" w:lineRule="auto" w:before="49"/>
        <w:ind w:left="513" w:right="0"/>
        <w:jc w:val="left"/>
      </w:pPr>
      <w:r>
        <w:rPr>
          <w:spacing w:val="-3"/>
        </w:rPr>
        <w:t>（</w:t>
      </w:r>
      <w:r>
        <w:rPr>
          <w:rFonts w:ascii="Times New Roman" w:hAnsi="Times New Roman" w:cs="Times New Roman" w:eastAsia="Times New Roman" w:hint="default"/>
          <w:spacing w:val="-3"/>
        </w:rPr>
        <w:t>2</w:t>
      </w:r>
      <w:r>
        <w:rPr>
          <w:spacing w:val="-3"/>
        </w:rPr>
        <w:t>）关于北京同德一心科技有限公司商誉所在资产组或资产组组合的相关信息</w:t>
      </w:r>
    </w:p>
    <w:p>
      <w:pPr>
        <w:pStyle w:val="BodyText"/>
        <w:spacing w:line="240" w:lineRule="auto" w:before="96"/>
        <w:ind w:left="513" w:right="0"/>
        <w:jc w:val="left"/>
      </w:pPr>
      <w:r>
        <w:rPr>
          <w:spacing w:val="-3"/>
        </w:rPr>
        <w:t>北京东方通科技股份有限公司于</w:t>
      </w:r>
      <w:r>
        <w:rPr>
          <w:spacing w:val="-3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日以人民币</w:t>
      </w:r>
      <w:r>
        <w:rPr>
          <w:spacing w:val="-3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5"/>
        </w:rPr>
        <w:t> </w:t>
      </w:r>
      <w:r>
        <w:rPr>
          <w:spacing w:val="-5"/>
        </w:rPr>
        <w:t>万元为对价，收购非同一控制下的北京同德一心科技</w:t>
      </w:r>
    </w:p>
    <w:p>
      <w:pPr>
        <w:pStyle w:val="BodyText"/>
        <w:spacing w:line="240" w:lineRule="auto" w:before="63"/>
        <w:ind w:right="0"/>
        <w:jc w:val="left"/>
      </w:pPr>
      <w:r>
        <w:rPr>
          <w:spacing w:val="-3"/>
        </w:rPr>
        <w:t>有限公司（以下简称</w:t>
      </w:r>
      <w:r>
        <w:rPr>
          <w:rFonts w:ascii="Times New Roman" w:hAnsi="Times New Roman" w:cs="Times New Roman" w:eastAsia="Times New Roman" w:hint="default"/>
          <w:spacing w:val="-3"/>
        </w:rPr>
        <w:t>“</w:t>
      </w:r>
      <w:r>
        <w:rPr>
          <w:spacing w:val="-3"/>
        </w:rPr>
        <w:t>同德一心</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的股权，收购取得的同德一心可辨认净资产为 </w:t>
      </w:r>
      <w:r>
        <w:rPr>
          <w:rFonts w:ascii="Times New Roman" w:hAnsi="Times New Roman" w:cs="Times New Roman" w:eastAsia="Times New Roman" w:hint="default"/>
        </w:rPr>
        <w:t>392,621.08  </w:t>
      </w:r>
      <w:r>
        <w:rPr>
          <w:rFonts w:ascii="Times New Roman" w:hAnsi="Times New Roman" w:cs="Times New Roman" w:eastAsia="Times New Roman" w:hint="default"/>
          <w:spacing w:val="13"/>
        </w:rPr>
        <w:t> </w:t>
      </w:r>
      <w:r>
        <w:rPr>
          <w:spacing w:val="-3"/>
        </w:rPr>
        <w:t>元，形成商誉人民币</w:t>
      </w:r>
    </w:p>
    <w:p>
      <w:pPr>
        <w:pStyle w:val="BodyText"/>
        <w:spacing w:line="240" w:lineRule="auto" w:before="67"/>
        <w:ind w:right="0"/>
        <w:jc w:val="left"/>
      </w:pPr>
      <w:r>
        <w:rPr>
          <w:rFonts w:ascii="Times New Roman" w:hAnsi="Times New Roman" w:cs="Times New Roman" w:eastAsia="Times New Roman" w:hint="default"/>
        </w:rPr>
        <w:t>29,607,378.92</w:t>
      </w:r>
      <w:r>
        <w:rPr>
          <w:rFonts w:ascii="Times New Roman" w:hAnsi="Times New Roman" w:cs="Times New Roman" w:eastAsia="Times New Roman" w:hint="default"/>
          <w:spacing w:val="3"/>
        </w:rPr>
        <w:t> </w:t>
      </w:r>
      <w:r>
        <w:rPr/>
        <w:t>元。</w:t>
      </w:r>
    </w:p>
    <w:p>
      <w:pPr>
        <w:pStyle w:val="BodyText"/>
        <w:spacing w:line="321" w:lineRule="auto" w:before="101"/>
        <w:ind w:right="0" w:firstLine="360"/>
        <w:jc w:val="left"/>
      </w:pPr>
      <w:r>
        <w:rPr>
          <w:spacing w:val="-4"/>
        </w:rPr>
        <w:t>东方通管理层在充分考虑能够受益于企业合并的协同效应后，判断同德一心没有与商誉无关的资产和负债，所有资产负</w:t>
      </w:r>
      <w:r>
        <w:rPr>
          <w:w w:val="101"/>
        </w:rPr>
        <w:t> </w:t>
      </w:r>
      <w:r>
        <w:rPr>
          <w:spacing w:val="-3"/>
        </w:rPr>
        <w:t>债在一个资产组范围内才可独立产生现金流，因此将同德一心划分为一个独立资产组。</w:t>
      </w:r>
    </w:p>
    <w:p>
      <w:pPr>
        <w:pStyle w:val="BodyText"/>
        <w:spacing w:line="307" w:lineRule="auto" w:before="49"/>
        <w:ind w:right="1123" w:firstLine="360"/>
        <w:jc w:val="left"/>
      </w:pPr>
      <w:r>
        <w:rPr>
          <w:spacing w:val="-3"/>
        </w:rPr>
        <w:t>同德一心是国内最早专业从事服务器虚拟化软件以及云管理平台系列软件研发的公司，其核心产品</w:t>
      </w:r>
      <w:r>
        <w:rPr>
          <w:spacing w:val="42"/>
        </w:rPr>
        <w:t> </w:t>
      </w:r>
      <w:r>
        <w:rPr>
          <w:rFonts w:ascii="Times New Roman" w:hAnsi="Times New Roman" w:cs="Times New Roman" w:eastAsia="Times New Roman" w:hint="default"/>
        </w:rPr>
        <w:t>oCloud-</w:t>
      </w:r>
      <w:r>
        <w:rPr/>
        <w:t>奥云虚拟化</w:t>
      </w:r>
      <w:r>
        <w:rPr>
          <w:w w:val="101"/>
        </w:rPr>
        <w:t> </w:t>
      </w:r>
      <w:r>
        <w:rPr>
          <w:spacing w:val="-8"/>
        </w:rPr>
        <w:t>平。</w:t>
      </w:r>
      <w:r>
        <w:rPr>
          <w:rFonts w:ascii="Times New Roman" w:hAnsi="Times New Roman" w:cs="Times New Roman" w:eastAsia="Times New Roman" w:hint="default"/>
          <w:spacing w:val="-8"/>
        </w:rPr>
        <w:t>2016</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37"/>
        </w:rPr>
        <w:t> </w:t>
      </w:r>
      <w:r>
        <w:rPr>
          <w:rFonts w:ascii="Times New Roman" w:hAnsi="Times New Roman" w:cs="Times New Roman" w:eastAsia="Times New Roman" w:hint="default"/>
        </w:rPr>
        <w:t>14</w:t>
      </w:r>
      <w:r>
        <w:rPr>
          <w:rFonts w:ascii="Times New Roman" w:hAnsi="Times New Roman" w:cs="Times New Roman" w:eastAsia="Times New Roman" w:hint="default"/>
          <w:spacing w:val="15"/>
        </w:rPr>
        <w:t> </w:t>
      </w:r>
      <w:r>
        <w:rPr>
          <w:spacing w:val="-4"/>
        </w:rPr>
        <w:t>日东方通完成了对北京同德一心科技有限公司的吸收合并后，同德一心的商誉</w:t>
      </w:r>
      <w:r>
        <w:rPr>
          <w:spacing w:val="-36"/>
        </w:rPr>
        <w:t> </w:t>
      </w:r>
      <w:r>
        <w:rPr>
          <w:rFonts w:ascii="Times New Roman" w:hAnsi="Times New Roman" w:cs="Times New Roman" w:eastAsia="Times New Roman" w:hint="default"/>
        </w:rPr>
        <w:t>29,607,378.92</w:t>
      </w:r>
      <w:r>
        <w:rPr>
          <w:rFonts w:ascii="Times New Roman" w:hAnsi="Times New Roman" w:cs="Times New Roman" w:eastAsia="Times New Roman" w:hint="default"/>
          <w:spacing w:val="9"/>
        </w:rPr>
        <w:t> </w:t>
      </w:r>
      <w:r>
        <w:rPr/>
        <w:t>元载入东方</w:t>
      </w:r>
      <w:r>
        <w:rPr>
          <w:spacing w:val="-83"/>
        </w:rPr>
        <w:t> </w:t>
      </w:r>
      <w:r>
        <w:rPr>
          <w:spacing w:val="-83"/>
        </w:rPr>
      </w:r>
      <w:r>
        <w:rPr>
          <w:spacing w:val="-3"/>
        </w:rPr>
        <w:t>通账面。收购完成后，东方通对同德一心的人员、技术、品牌的融合，未能达到预期。账面同德一心相关资产仅剩商誉</w:t>
      </w:r>
      <w:r>
        <w:rPr>
          <w:spacing w:val="60"/>
        </w:rPr>
        <w:t> </w:t>
      </w:r>
      <w:r>
        <w:rPr>
          <w:spacing w:val="60"/>
        </w:rPr>
      </w:r>
      <w:r>
        <w:rPr>
          <w:rFonts w:ascii="Times New Roman" w:hAnsi="Times New Roman" w:cs="Times New Roman" w:eastAsia="Times New Roman" w:hint="default"/>
        </w:rPr>
        <w:t>29,607,378.92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41"/>
        </w:rPr>
        <w:t> </w:t>
      </w:r>
      <w:r>
        <w:rPr>
          <w:spacing w:val="-3"/>
        </w:rPr>
        <w:t>年度对商誉全额计提减值准备。</w:t>
      </w:r>
    </w:p>
    <w:p>
      <w:pPr>
        <w:spacing w:after="0" w:line="307"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33" w:lineRule="auto" w:before="46"/>
        <w:ind w:left="513" w:right="1167"/>
        <w:jc w:val="left"/>
      </w:pPr>
      <w:r>
        <w:rPr>
          <w:spacing w:val="-3"/>
        </w:rPr>
        <w:t>（</w:t>
      </w:r>
      <w:r>
        <w:rPr>
          <w:rFonts w:ascii="Times New Roman" w:hAnsi="Times New Roman" w:cs="Times New Roman" w:eastAsia="Times New Roman" w:hint="default"/>
          <w:spacing w:val="-3"/>
        </w:rPr>
        <w:t>3</w:t>
      </w:r>
      <w:r>
        <w:rPr>
          <w:spacing w:val="-3"/>
        </w:rPr>
        <w:t>）关于北京数字天堂信息科技有限责任公司商誉所在资产组或资产组组合的相关信息</w:t>
      </w:r>
      <w:r>
        <w:rPr>
          <w:spacing w:val="29"/>
        </w:rPr>
        <w:t> </w:t>
      </w:r>
      <w:r>
        <w:rPr>
          <w:spacing w:val="29"/>
        </w:rPr>
      </w:r>
      <w:r>
        <w:rPr>
          <w:spacing w:val="-3"/>
        </w:rPr>
        <w:t>北京东方通科技股份有限公司于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 </w:t>
      </w:r>
      <w:r>
        <w:rPr/>
        <w:t>月以人民币 </w:t>
      </w:r>
      <w:r>
        <w:rPr>
          <w:rFonts w:ascii="Times New Roman" w:hAnsi="Times New Roman" w:cs="Times New Roman" w:eastAsia="Times New Roman" w:hint="default"/>
        </w:rPr>
        <w:t>4,137</w:t>
      </w:r>
      <w:r>
        <w:rPr>
          <w:rFonts w:ascii="Times New Roman" w:hAnsi="Times New Roman" w:cs="Times New Roman" w:eastAsia="Times New Roman" w:hint="default"/>
          <w:spacing w:val="-16"/>
        </w:rPr>
        <w:t> </w:t>
      </w:r>
      <w:r>
        <w:rPr>
          <w:spacing w:val="-3"/>
        </w:rPr>
        <w:t>万元为对价，收购非同一控制下的北京数字天堂信息科技</w:t>
      </w:r>
    </w:p>
    <w:p>
      <w:pPr>
        <w:pStyle w:val="BodyText"/>
        <w:spacing w:line="234" w:lineRule="exact"/>
        <w:ind w:right="0"/>
        <w:jc w:val="left"/>
        <w:rPr>
          <w:rFonts w:ascii="Times New Roman" w:hAnsi="Times New Roman" w:cs="Times New Roman" w:eastAsia="Times New Roman" w:hint="default"/>
        </w:rPr>
      </w:pPr>
      <w:r>
        <w:rPr>
          <w:w w:val="101"/>
        </w:rPr>
        <w:t>有</w:t>
      </w:r>
      <w:r>
        <w:rPr>
          <w:spacing w:val="-5"/>
          <w:w w:val="101"/>
        </w:rPr>
        <w:t>限</w:t>
      </w:r>
      <w:r>
        <w:rPr>
          <w:w w:val="101"/>
        </w:rPr>
        <w:t>责</w:t>
      </w:r>
      <w:r>
        <w:rPr>
          <w:spacing w:val="-5"/>
          <w:w w:val="101"/>
        </w:rPr>
        <w:t>任</w:t>
      </w:r>
      <w:r>
        <w:rPr>
          <w:w w:val="101"/>
        </w:rPr>
        <w:t>公</w:t>
      </w:r>
      <w:r>
        <w:rPr>
          <w:spacing w:val="-73"/>
          <w:w w:val="101"/>
        </w:rPr>
        <w:t>司</w:t>
      </w:r>
      <w:r>
        <w:rPr>
          <w:spacing w:val="-5"/>
          <w:w w:val="101"/>
        </w:rPr>
        <w:t>（</w:t>
      </w:r>
      <w:r>
        <w:rPr>
          <w:w w:val="101"/>
        </w:rPr>
        <w:t>以</w:t>
      </w:r>
      <w:r>
        <w:rPr>
          <w:spacing w:val="-5"/>
          <w:w w:val="101"/>
        </w:rPr>
        <w:t>下</w:t>
      </w:r>
      <w:r>
        <w:rPr>
          <w:w w:val="101"/>
        </w:rPr>
        <w:t>简</w:t>
      </w:r>
      <w:r>
        <w:rPr>
          <w:spacing w:val="-5"/>
          <w:w w:val="101"/>
        </w:rPr>
        <w:t>称</w:t>
      </w:r>
      <w:r>
        <w:rPr>
          <w:rFonts w:ascii="Times New Roman" w:hAnsi="Times New Roman" w:cs="Times New Roman" w:eastAsia="Times New Roman" w:hint="default"/>
          <w:w w:val="101"/>
        </w:rPr>
        <w:t>“</w:t>
      </w:r>
      <w:r>
        <w:rPr>
          <w:spacing w:val="-5"/>
          <w:w w:val="101"/>
        </w:rPr>
        <w:t>数</w:t>
      </w:r>
      <w:r>
        <w:rPr>
          <w:w w:val="101"/>
        </w:rPr>
        <w:t>字</w:t>
      </w:r>
      <w:r>
        <w:rPr>
          <w:spacing w:val="-5"/>
          <w:w w:val="101"/>
        </w:rPr>
        <w:t>天</w:t>
      </w:r>
      <w:r>
        <w:rPr>
          <w:w w:val="101"/>
        </w:rPr>
        <w:t>堂</w:t>
      </w:r>
      <w:r>
        <w:rPr>
          <w:rFonts w:ascii="Times New Roman" w:hAnsi="Times New Roman" w:cs="Times New Roman" w:eastAsia="Times New Roman" w:hint="default"/>
          <w:w w:val="101"/>
        </w:rPr>
        <w:t>”</w:t>
      </w:r>
      <w:r>
        <w:rPr>
          <w:spacing w:val="-72"/>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spacing w:val="-5"/>
          <w:w w:val="101"/>
        </w:rPr>
        <w:t>的</w:t>
      </w:r>
      <w:r>
        <w:rPr>
          <w:w w:val="101"/>
        </w:rPr>
        <w:t>股权</w:t>
      </w:r>
      <w:r>
        <w:rPr>
          <w:spacing w:val="-77"/>
          <w:w w:val="101"/>
        </w:rPr>
        <w:t>，</w:t>
      </w:r>
      <w:r>
        <w:rPr>
          <w:w w:val="101"/>
        </w:rPr>
        <w:t>收</w:t>
      </w:r>
      <w:r>
        <w:rPr>
          <w:spacing w:val="-5"/>
          <w:w w:val="101"/>
        </w:rPr>
        <w:t>购</w:t>
      </w:r>
      <w:r>
        <w:rPr>
          <w:w w:val="101"/>
        </w:rPr>
        <w:t>取</w:t>
      </w:r>
      <w:r>
        <w:rPr>
          <w:spacing w:val="-5"/>
          <w:w w:val="101"/>
        </w:rPr>
        <w:t>得的</w:t>
      </w:r>
      <w:r>
        <w:rPr>
          <w:w w:val="101"/>
        </w:rPr>
        <w:t>数</w:t>
      </w:r>
      <w:r>
        <w:rPr>
          <w:spacing w:val="-5"/>
          <w:w w:val="101"/>
        </w:rPr>
        <w:t>字</w:t>
      </w:r>
      <w:r>
        <w:rPr>
          <w:w w:val="101"/>
        </w:rPr>
        <w:t>天</w:t>
      </w:r>
      <w:r>
        <w:rPr>
          <w:spacing w:val="-5"/>
          <w:w w:val="101"/>
        </w:rPr>
        <w:t>堂</w:t>
      </w:r>
      <w:r>
        <w:rPr>
          <w:w w:val="101"/>
        </w:rPr>
        <w:t>可</w:t>
      </w:r>
      <w:r>
        <w:rPr>
          <w:spacing w:val="-5"/>
          <w:w w:val="101"/>
        </w:rPr>
        <w:t>辨</w:t>
      </w:r>
      <w:r>
        <w:rPr>
          <w:w w:val="101"/>
        </w:rPr>
        <w:t>认</w:t>
      </w:r>
      <w:r>
        <w:rPr>
          <w:spacing w:val="-5"/>
          <w:w w:val="101"/>
        </w:rPr>
        <w:t>的</w:t>
      </w:r>
      <w:r>
        <w:rPr>
          <w:w w:val="101"/>
        </w:rPr>
        <w:t>以</w:t>
      </w:r>
      <w:r>
        <w:rPr>
          <w:spacing w:val="-5"/>
          <w:w w:val="101"/>
        </w:rPr>
        <w:t>公</w:t>
      </w:r>
      <w:r>
        <w:rPr>
          <w:w w:val="101"/>
        </w:rPr>
        <w:t>允</w:t>
      </w:r>
      <w:r>
        <w:rPr>
          <w:spacing w:val="-5"/>
          <w:w w:val="101"/>
        </w:rPr>
        <w:t>价</w:t>
      </w:r>
      <w:r>
        <w:rPr>
          <w:w w:val="101"/>
        </w:rPr>
        <w:t>值</w:t>
      </w:r>
      <w:r>
        <w:rPr>
          <w:spacing w:val="-5"/>
          <w:w w:val="101"/>
        </w:rPr>
        <w:t>持</w:t>
      </w:r>
      <w:r>
        <w:rPr>
          <w:w w:val="101"/>
        </w:rPr>
        <w:t>续</w:t>
      </w:r>
      <w:r>
        <w:rPr>
          <w:spacing w:val="-5"/>
          <w:w w:val="101"/>
        </w:rPr>
        <w:t>计</w:t>
      </w:r>
      <w:r>
        <w:rPr>
          <w:w w:val="101"/>
        </w:rPr>
        <w:t>量</w:t>
      </w:r>
      <w:r>
        <w:rPr>
          <w:spacing w:val="-5"/>
          <w:w w:val="101"/>
        </w:rPr>
        <w:t>的</w:t>
      </w:r>
      <w:r>
        <w:rPr>
          <w:w w:val="101"/>
        </w:rPr>
        <w:t>净资产</w:t>
      </w:r>
      <w:r>
        <w:rPr>
          <w:spacing w:val="-51"/>
        </w:rPr>
        <w:t> </w:t>
      </w:r>
      <w:r>
        <w:rPr>
          <w:rFonts w:ascii="Times New Roman" w:hAnsi="Times New Roman" w:cs="Times New Roman" w:eastAsia="Times New Roman" w:hint="default"/>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91</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rPr>
      </w:r>
    </w:p>
    <w:p>
      <w:pPr>
        <w:pStyle w:val="BodyText"/>
        <w:spacing w:line="338" w:lineRule="auto" w:before="68"/>
        <w:ind w:left="513" w:right="0" w:hanging="360"/>
        <w:jc w:val="left"/>
      </w:pPr>
      <w:r>
        <w:rPr/>
        <w:t>元，合并时确认商誉</w:t>
      </w:r>
      <w:r>
        <w:rPr>
          <w:spacing w:val="-47"/>
        </w:rPr>
        <w:t> </w:t>
      </w:r>
      <w:r>
        <w:rPr>
          <w:rFonts w:ascii="Times New Roman" w:hAnsi="Times New Roman" w:cs="Times New Roman" w:eastAsia="Times New Roman" w:hint="default"/>
        </w:rPr>
        <w:t>34,847,082.00</w:t>
      </w:r>
      <w:r>
        <w:rPr>
          <w:rFonts w:ascii="Times New Roman" w:hAnsi="Times New Roman" w:cs="Times New Roman" w:eastAsia="Times New Roman" w:hint="default"/>
          <w:spacing w:val="-6"/>
        </w:rPr>
        <w:t> </w:t>
      </w:r>
      <w:r>
        <w:rPr/>
        <w:t>元。</w:t>
      </w:r>
      <w:r>
        <w:rPr>
          <w:spacing w:val="-79"/>
        </w:rPr>
        <w:t> </w:t>
      </w:r>
      <w:r>
        <w:rPr>
          <w:spacing w:val="-4"/>
        </w:rPr>
        <w:t>东方通管理层在充分考虑能够受益于企业合并的协同效应后，判断数字天堂没有与商誉无关的资产和负债，所有资产负</w:t>
      </w:r>
    </w:p>
    <w:p>
      <w:pPr>
        <w:pStyle w:val="BodyText"/>
        <w:spacing w:line="352" w:lineRule="auto" w:before="7"/>
        <w:ind w:left="513" w:right="1119" w:hanging="360"/>
        <w:jc w:val="left"/>
      </w:pPr>
      <w:r>
        <w:rPr>
          <w:spacing w:val="-3"/>
        </w:rPr>
        <w:t>债在一个资产组范围内才可独立产生现金流，因此将数字天堂划分为一个独立资产组。</w:t>
      </w:r>
      <w:r>
        <w:rPr>
          <w:spacing w:val="20"/>
        </w:rPr>
        <w:t> </w:t>
      </w:r>
      <w:r>
        <w:rPr>
          <w:spacing w:val="20"/>
        </w:rPr>
      </w:r>
      <w:r>
        <w:rPr>
          <w:spacing w:val="-3"/>
        </w:rPr>
        <w:t>随着国内市场移动互联网的广泛普及，</w:t>
      </w:r>
      <w:r>
        <w:rPr>
          <w:rFonts w:ascii="Times New Roman" w:hAnsi="Times New Roman" w:cs="Times New Roman" w:eastAsia="Times New Roman" w:hint="default"/>
          <w:spacing w:val="-3"/>
        </w:rPr>
        <w:t>HTML5  </w:t>
      </w:r>
      <w:r>
        <w:rPr>
          <w:spacing w:val="-3"/>
        </w:rPr>
        <w:t>技术的成熟和广泛应用，数字天堂核心产品移动开发平台 </w:t>
      </w:r>
      <w:r>
        <w:rPr>
          <w:rFonts w:ascii="Times New Roman" w:hAnsi="Times New Roman" w:cs="Times New Roman" w:eastAsia="Times New Roman" w:hint="default"/>
        </w:rPr>
        <w:t>MKey</w:t>
      </w:r>
      <w:r>
        <w:rPr>
          <w:rFonts w:ascii="Times New Roman" w:hAnsi="Times New Roman" w:cs="Times New Roman" w:eastAsia="Times New Roman" w:hint="default"/>
          <w:spacing w:val="37"/>
        </w:rPr>
        <w:t> </w:t>
      </w:r>
      <w:r>
        <w:rPr/>
        <w:t>已逐渐</w:t>
      </w:r>
    </w:p>
    <w:p>
      <w:pPr>
        <w:pStyle w:val="BodyText"/>
        <w:spacing w:line="218" w:lineRule="exact"/>
        <w:ind w:right="0"/>
        <w:jc w:val="left"/>
      </w:pPr>
      <w:r>
        <w:rPr/>
        <w:t>失去了产品竞争力。</w:t>
      </w:r>
      <w:r>
        <w:rPr>
          <w:rFonts w:ascii="Times New Roman" w:hAnsi="Times New Roman" w:cs="Times New Roman" w:eastAsia="Times New Roman" w:hint="default"/>
        </w:rPr>
        <w:t>2019  </w:t>
      </w:r>
      <w:r>
        <w:rPr>
          <w:rFonts w:ascii="Times New Roman" w:hAnsi="Times New Roman" w:cs="Times New Roman" w:eastAsia="Times New Roman" w:hint="default"/>
          <w:spacing w:val="36"/>
        </w:rPr>
        <w:t> </w:t>
      </w:r>
      <w:r>
        <w:rPr>
          <w:spacing w:val="-3"/>
        </w:rPr>
        <w:t>年数字天堂核心管理团队已调整到其他部门，移动化产品也陆续停止研发和推广。目前数字天堂</w:t>
      </w:r>
    </w:p>
    <w:p>
      <w:pPr>
        <w:pStyle w:val="BodyText"/>
        <w:spacing w:line="319" w:lineRule="auto" w:before="63"/>
        <w:ind w:right="1124"/>
        <w:jc w:val="both"/>
      </w:pPr>
      <w:r>
        <w:rPr>
          <w:spacing w:val="-4"/>
        </w:rPr>
        <w:t>品牌不再独立存在，未来向从事政务等行业解决方案的实施转型，形成全新的国产化创新业务体系，因此与并购形成商誉时</w:t>
      </w:r>
      <w:r>
        <w:rPr>
          <w:spacing w:val="43"/>
        </w:rPr>
        <w:t> </w:t>
      </w:r>
      <w:r>
        <w:rPr>
          <w:spacing w:val="43"/>
        </w:rPr>
      </w:r>
      <w:r>
        <w:rPr>
          <w:spacing w:val="-4"/>
        </w:rPr>
        <w:t>在核心管理及开发人员、主要客户群、业务和技术方向等方面均发生较大变化。经管理层对数字天堂整体股权及商誉价值进</w:t>
      </w:r>
      <w:r>
        <w:rPr>
          <w:spacing w:val="43"/>
        </w:rPr>
        <w:t> </w:t>
      </w:r>
      <w:r>
        <w:rPr>
          <w:spacing w:val="43"/>
        </w:rPr>
      </w:r>
      <w:r>
        <w:rPr/>
        <w:t>行测试，</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2019 </w:t>
      </w:r>
      <w:r>
        <w:rPr>
          <w:spacing w:val="-3"/>
        </w:rPr>
        <w:t>年分别提取商誉减值准备 </w:t>
      </w:r>
      <w:r>
        <w:rPr>
          <w:rFonts w:ascii="Times New Roman" w:hAnsi="Times New Roman" w:cs="Times New Roman" w:eastAsia="Times New Roman" w:hint="default"/>
        </w:rPr>
        <w:t>17,280,395.46 </w:t>
      </w:r>
      <w:r>
        <w:rPr/>
        <w:t>元、</w:t>
      </w:r>
      <w:r>
        <w:rPr>
          <w:rFonts w:ascii="Times New Roman" w:hAnsi="Times New Roman" w:cs="Times New Roman" w:eastAsia="Times New Roman" w:hint="default"/>
        </w:rPr>
        <w:t>17,566,686.54</w:t>
      </w:r>
      <w:r>
        <w:rPr>
          <w:rFonts w:ascii="Times New Roman" w:hAnsi="Times New Roman" w:cs="Times New Roman" w:eastAsia="Times New Roman" w:hint="default"/>
          <w:spacing w:val="-11"/>
        </w:rPr>
        <w:t> </w:t>
      </w:r>
      <w:r>
        <w:rPr>
          <w:spacing w:val="-5"/>
        </w:rPr>
        <w:t>元。</w:t>
      </w:r>
      <w:r>
        <w:rPr/>
      </w:r>
    </w:p>
    <w:p>
      <w:pPr>
        <w:pStyle w:val="BodyText"/>
        <w:spacing w:line="240" w:lineRule="auto" w:before="35"/>
        <w:ind w:left="513" w:right="0"/>
        <w:jc w:val="left"/>
      </w:pPr>
      <w:r>
        <w:rPr>
          <w:spacing w:val="-3"/>
        </w:rPr>
        <w:t>（</w:t>
      </w:r>
      <w:r>
        <w:rPr>
          <w:rFonts w:ascii="Times New Roman" w:hAnsi="Times New Roman" w:cs="Times New Roman" w:eastAsia="Times New Roman" w:hint="default"/>
          <w:spacing w:val="-3"/>
        </w:rPr>
        <w:t>4</w:t>
      </w:r>
      <w:r>
        <w:rPr>
          <w:spacing w:val="-3"/>
        </w:rPr>
        <w:t>）关于北京微智信业科技有限公司商誉所在资产组或资产组组合的相关信息</w:t>
      </w:r>
    </w:p>
    <w:p>
      <w:pPr>
        <w:pStyle w:val="BodyText"/>
        <w:spacing w:line="240" w:lineRule="auto" w:before="101"/>
        <w:ind w:left="513" w:right="0"/>
        <w:jc w:val="left"/>
      </w:pPr>
      <w:r>
        <w:rPr>
          <w:spacing w:val="-3"/>
        </w:rPr>
        <w:t>北京东方通科技股份有限公司于</w:t>
      </w:r>
      <w:r>
        <w:rPr>
          <w:spacing w:val="-2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t>年</w:t>
      </w:r>
      <w:r>
        <w:rPr>
          <w:spacing w:val="-26"/>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月以人民币</w:t>
      </w:r>
      <w:r>
        <w:rPr>
          <w:spacing w:val="-26"/>
        </w:rPr>
        <w:t> </w:t>
      </w:r>
      <w:r>
        <w:rPr>
          <w:rFonts w:ascii="Times New Roman" w:hAnsi="Times New Roman" w:cs="Times New Roman" w:eastAsia="Times New Roman" w:hint="default"/>
        </w:rPr>
        <w:t>58,100</w:t>
      </w:r>
      <w:r>
        <w:rPr>
          <w:rFonts w:ascii="Times New Roman" w:hAnsi="Times New Roman" w:cs="Times New Roman" w:eastAsia="Times New Roman" w:hint="default"/>
          <w:spacing w:val="12"/>
        </w:rPr>
        <w:t> </w:t>
      </w:r>
      <w:r>
        <w:rPr>
          <w:spacing w:val="-4"/>
        </w:rPr>
        <w:t>万元为对价，收购非同一控制下的北京微智信业科技有限</w:t>
      </w:r>
    </w:p>
    <w:p>
      <w:pPr>
        <w:pStyle w:val="BodyText"/>
        <w:spacing w:line="240" w:lineRule="auto" w:before="63"/>
        <w:ind w:right="0"/>
        <w:jc w:val="left"/>
      </w:pPr>
      <w:r>
        <w:rPr>
          <w:spacing w:val="-3"/>
        </w:rPr>
        <w:t>公司（以下简称</w:t>
      </w:r>
      <w:r>
        <w:rPr>
          <w:rFonts w:ascii="Times New Roman" w:hAnsi="Times New Roman" w:cs="Times New Roman" w:eastAsia="Times New Roman" w:hint="default"/>
          <w:spacing w:val="-3"/>
        </w:rPr>
        <w:t>“</w:t>
      </w:r>
      <w:r>
        <w:rPr>
          <w:spacing w:val="-3"/>
        </w:rPr>
        <w:t>微智信业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的股权，收购取得的微智信业可辨认的以公允价值持续计量的净资产 </w:t>
      </w:r>
      <w:r>
        <w:rPr>
          <w:rFonts w:ascii="Times New Roman" w:hAnsi="Times New Roman" w:cs="Times New Roman" w:eastAsia="Times New Roman" w:hint="default"/>
        </w:rPr>
        <w:t>101,824,407.63  </w:t>
      </w:r>
      <w:r>
        <w:rPr>
          <w:rFonts w:ascii="Times New Roman" w:hAnsi="Times New Roman" w:cs="Times New Roman" w:eastAsia="Times New Roman" w:hint="default"/>
          <w:spacing w:val="10"/>
        </w:rPr>
        <w:t> </w:t>
      </w:r>
      <w:r>
        <w:rPr/>
        <w:t>元，</w:t>
      </w:r>
    </w:p>
    <w:p>
      <w:pPr>
        <w:pStyle w:val="BodyText"/>
        <w:spacing w:line="333" w:lineRule="auto" w:before="67"/>
        <w:ind w:left="513" w:right="0" w:hanging="360"/>
        <w:jc w:val="left"/>
      </w:pPr>
      <w:r>
        <w:rPr/>
        <w:t>合并时确认商誉</w:t>
      </w:r>
      <w:r>
        <w:rPr>
          <w:spacing w:val="-47"/>
        </w:rPr>
        <w:t> </w:t>
      </w:r>
      <w:r>
        <w:rPr>
          <w:rFonts w:ascii="Times New Roman" w:hAnsi="Times New Roman" w:cs="Times New Roman" w:eastAsia="Times New Roman" w:hint="default"/>
        </w:rPr>
        <w:t>479,175,592.37</w:t>
      </w:r>
      <w:r>
        <w:rPr>
          <w:rFonts w:ascii="Times New Roman" w:hAnsi="Times New Roman" w:cs="Times New Roman" w:eastAsia="Times New Roman" w:hint="default"/>
          <w:spacing w:val="-2"/>
        </w:rPr>
        <w:t> </w:t>
      </w:r>
      <w:r>
        <w:rPr/>
        <w:t>元。</w:t>
      </w:r>
      <w:r>
        <w:rPr>
          <w:spacing w:val="-83"/>
        </w:rPr>
        <w:t> </w:t>
      </w:r>
      <w:r>
        <w:rPr>
          <w:spacing w:val="-4"/>
        </w:rPr>
        <w:t>东方通管理层在充分考虑能够受益于企业合并的协同效应后，判断微智信业没有与商誉无关的资产和负债，所有资产负</w:t>
      </w:r>
    </w:p>
    <w:p>
      <w:pPr>
        <w:pStyle w:val="BodyText"/>
        <w:spacing w:line="357" w:lineRule="auto" w:before="11"/>
        <w:ind w:left="513" w:right="2020" w:hanging="360"/>
        <w:jc w:val="left"/>
      </w:pPr>
      <w:r>
        <w:rPr>
          <w:spacing w:val="-3"/>
        </w:rPr>
        <w:t>债在一个资产组范围内才可独立产生现金流，因此将微智信业划分为一个独立资产组。</w:t>
      </w:r>
      <w:r>
        <w:rPr>
          <w:spacing w:val="20"/>
        </w:rPr>
        <w:t> </w:t>
      </w:r>
      <w:r>
        <w:rPr>
          <w:spacing w:val="20"/>
        </w:rPr>
      </w:r>
      <w:r>
        <w:rPr>
          <w:spacing w:val="-3"/>
        </w:rPr>
        <w:t>微智信业是国内专业的网络内容安全管理产品及服务提供商。</w:t>
      </w:r>
      <w:r>
        <w:rPr>
          <w:rFonts w:ascii="Times New Roman" w:hAnsi="Times New Roman" w:cs="Times New Roman" w:eastAsia="Times New Roman" w:hint="default"/>
          <w:spacing w:val="-3"/>
        </w:rPr>
        <w:t>2015-2017   </w:t>
      </w:r>
      <w:r>
        <w:rPr>
          <w:rFonts w:ascii="Times New Roman" w:hAnsi="Times New Roman" w:cs="Times New Roman" w:eastAsia="Times New Roman" w:hint="default"/>
          <w:spacing w:val="23"/>
        </w:rPr>
        <w:t> </w:t>
      </w:r>
      <w:r>
        <w:rPr>
          <w:spacing w:val="-3"/>
        </w:rPr>
        <w:t>三年均超额完成了业绩承诺目标。</w:t>
      </w:r>
    </w:p>
    <w:p>
      <w:pPr>
        <w:pStyle w:val="BodyText"/>
        <w:spacing w:line="240" w:lineRule="auto" w:before="8"/>
        <w:ind w:left="513" w:right="0"/>
        <w:jc w:val="left"/>
      </w:pPr>
      <w:r>
        <w:rPr>
          <w:spacing w:val="-3"/>
        </w:rPr>
        <w:t>（</w:t>
      </w:r>
      <w:r>
        <w:rPr>
          <w:rFonts w:ascii="Times New Roman" w:hAnsi="Times New Roman" w:cs="Times New Roman" w:eastAsia="Times New Roman" w:hint="default"/>
          <w:spacing w:val="-3"/>
        </w:rPr>
        <w:t>5</w:t>
      </w:r>
      <w:r>
        <w:rPr>
          <w:spacing w:val="-3"/>
        </w:rPr>
        <w:t>）关于北京泰策科技有限公司商誉所在资产组或资产组组合的相关信息</w:t>
      </w:r>
    </w:p>
    <w:p>
      <w:pPr>
        <w:pStyle w:val="BodyText"/>
        <w:spacing w:line="240" w:lineRule="auto" w:before="96"/>
        <w:ind w:left="513" w:right="0"/>
        <w:jc w:val="left"/>
      </w:pPr>
      <w:r>
        <w:rPr>
          <w:spacing w:val="-3"/>
        </w:rPr>
        <w:t>北京东方通科技股份有限公司于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spacing w:val="-3"/>
        </w:rPr>
        <w:t>11 </w:t>
      </w:r>
      <w:r>
        <w:rPr/>
        <w:t>月以人民币 </w:t>
      </w:r>
      <w:r>
        <w:rPr>
          <w:rFonts w:ascii="Times New Roman" w:hAnsi="Times New Roman" w:cs="Times New Roman" w:eastAsia="Times New Roman" w:hint="default"/>
        </w:rPr>
        <w:t>60,000</w:t>
      </w:r>
      <w:r>
        <w:rPr>
          <w:rFonts w:ascii="Times New Roman" w:hAnsi="Times New Roman" w:cs="Times New Roman" w:eastAsia="Times New Roman" w:hint="default"/>
          <w:spacing w:val="-20"/>
        </w:rPr>
        <w:t> </w:t>
      </w:r>
      <w:r>
        <w:rPr>
          <w:spacing w:val="-3"/>
        </w:rPr>
        <w:t>万元为对价，收购非同一控制下的北京泰策科技有限公</w:t>
      </w:r>
    </w:p>
    <w:p>
      <w:pPr>
        <w:pStyle w:val="BodyText"/>
        <w:spacing w:line="240" w:lineRule="auto" w:before="63"/>
        <w:ind w:right="0"/>
        <w:jc w:val="left"/>
      </w:pPr>
      <w:r>
        <w:rPr>
          <w:spacing w:val="-3"/>
        </w:rPr>
        <w:t>司（以下简称</w:t>
      </w:r>
      <w:r>
        <w:rPr>
          <w:rFonts w:ascii="Times New Roman" w:hAnsi="Times New Roman" w:cs="Times New Roman" w:eastAsia="Times New Roman" w:hint="default"/>
          <w:spacing w:val="-3"/>
        </w:rPr>
        <w:t>“</w:t>
      </w:r>
      <w:r>
        <w:rPr>
          <w:spacing w:val="-3"/>
        </w:rPr>
        <w:t>泰策科技</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的股权，收购取得的泰策科技可辨认的以公允价值持续计量的净资产 </w:t>
      </w:r>
      <w:r>
        <w:rPr>
          <w:rFonts w:ascii="Times New Roman" w:hAnsi="Times New Roman" w:cs="Times New Roman" w:eastAsia="Times New Roman" w:hint="default"/>
        </w:rPr>
        <w:t>45,128,560.00  </w:t>
      </w:r>
      <w:r>
        <w:rPr>
          <w:rFonts w:ascii="Times New Roman" w:hAnsi="Times New Roman" w:cs="Times New Roman" w:eastAsia="Times New Roman" w:hint="default"/>
          <w:spacing w:val="32"/>
        </w:rPr>
        <w:t> </w:t>
      </w:r>
      <w:r>
        <w:rPr>
          <w:spacing w:val="-5"/>
        </w:rPr>
        <w:t>元，合</w:t>
      </w:r>
    </w:p>
    <w:p>
      <w:pPr>
        <w:pStyle w:val="BodyText"/>
        <w:spacing w:line="333" w:lineRule="auto" w:before="67"/>
        <w:ind w:left="513" w:right="0" w:hanging="360"/>
        <w:jc w:val="left"/>
      </w:pPr>
      <w:r>
        <w:rPr/>
        <w:t>并时确认商誉 </w:t>
      </w:r>
      <w:r>
        <w:rPr>
          <w:rFonts w:ascii="Times New Roman" w:hAnsi="Times New Roman" w:cs="Times New Roman" w:eastAsia="Times New Roman" w:hint="default"/>
        </w:rPr>
        <w:t>554,871,440.00 </w:t>
      </w:r>
      <w:r>
        <w:rPr>
          <w:spacing w:val="-5"/>
        </w:rPr>
        <w:t>元。</w:t>
      </w:r>
      <w:r>
        <w:rPr>
          <w:spacing w:val="-85"/>
        </w:rPr>
        <w:t> </w:t>
      </w:r>
      <w:r>
        <w:rPr>
          <w:spacing w:val="-4"/>
        </w:rPr>
        <w:t>东方通管理层在充分考虑能够受益于企业合并的协同效应后，判断泰策科技没有与商誉无关的资产和负债，所有资产负</w:t>
      </w:r>
    </w:p>
    <w:p>
      <w:pPr>
        <w:pStyle w:val="BodyText"/>
        <w:spacing w:line="357" w:lineRule="auto" w:before="11"/>
        <w:ind w:left="513" w:right="0" w:hanging="360"/>
        <w:jc w:val="left"/>
      </w:pPr>
      <w:r>
        <w:rPr>
          <w:spacing w:val="-3"/>
        </w:rPr>
        <w:t>债在一个资产组范围内才可独立产生现金流，因此将泰策科技划分为一个独立资产组。</w:t>
      </w:r>
      <w:r>
        <w:rPr>
          <w:spacing w:val="20"/>
        </w:rPr>
        <w:t> </w:t>
      </w:r>
      <w:r>
        <w:rPr>
          <w:spacing w:val="20"/>
        </w:rPr>
      </w:r>
      <w:r>
        <w:rPr>
          <w:spacing w:val="-4"/>
        </w:rPr>
        <w:t>泰策科技是国内领先的数据应用安全和应急安全产品提供商，是高新技术企业和软件企业。泰策科技的主要产品包括域</w:t>
      </w:r>
    </w:p>
    <w:p>
      <w:pPr>
        <w:pStyle w:val="BodyText"/>
        <w:spacing w:line="242" w:lineRule="exact"/>
        <w:ind w:right="0"/>
        <w:jc w:val="left"/>
      </w:pPr>
      <w:r>
        <w:rPr>
          <w:w w:val="101"/>
        </w:rPr>
        <w:t>名</w:t>
      </w:r>
      <w:r>
        <w:rPr>
          <w:spacing w:val="-5"/>
          <w:w w:val="101"/>
        </w:rPr>
        <w:t>解</w:t>
      </w:r>
      <w:r>
        <w:rPr>
          <w:w w:val="101"/>
        </w:rPr>
        <w:t>析</w:t>
      </w:r>
      <w:r>
        <w:rPr>
          <w:spacing w:val="-5"/>
          <w:w w:val="101"/>
        </w:rPr>
        <w:t>系</w:t>
      </w:r>
      <w:r>
        <w:rPr>
          <w:w w:val="101"/>
        </w:rPr>
        <w:t>统（</w:t>
      </w:r>
      <w:r>
        <w:rPr>
          <w:rFonts w:ascii="Times New Roman" w:hAnsi="Times New Roman" w:cs="Times New Roman" w:eastAsia="Times New Roman" w:hint="default"/>
          <w:spacing w:val="-3"/>
          <w:w w:val="101"/>
        </w:rPr>
        <w:t>DN</w:t>
      </w:r>
      <w:r>
        <w:rPr>
          <w:rFonts w:ascii="Times New Roman" w:hAnsi="Times New Roman" w:cs="Times New Roman" w:eastAsia="Times New Roman" w:hint="default"/>
          <w:spacing w:val="-1"/>
          <w:w w:val="101"/>
        </w:rPr>
        <w:t>S</w:t>
      </w:r>
      <w:r>
        <w:rPr>
          <w:spacing w:val="-96"/>
          <w:w w:val="101"/>
        </w:rPr>
        <w:t>）</w:t>
      </w:r>
      <w:r>
        <w:rPr>
          <w:w w:val="101"/>
        </w:rPr>
        <w:t>、</w:t>
      </w:r>
      <w:r>
        <w:rPr>
          <w:spacing w:val="-5"/>
          <w:w w:val="101"/>
        </w:rPr>
        <w:t>应</w:t>
      </w:r>
      <w:r>
        <w:rPr>
          <w:w w:val="101"/>
        </w:rPr>
        <w:t>急</w:t>
      </w:r>
      <w:r>
        <w:rPr>
          <w:spacing w:val="-5"/>
          <w:w w:val="101"/>
        </w:rPr>
        <w:t>通</w:t>
      </w:r>
      <w:r>
        <w:rPr>
          <w:w w:val="101"/>
        </w:rPr>
        <w:t>信</w:t>
      </w:r>
      <w:r>
        <w:rPr>
          <w:spacing w:val="-5"/>
          <w:w w:val="101"/>
        </w:rPr>
        <w:t>系</w:t>
      </w:r>
      <w:r>
        <w:rPr>
          <w:w w:val="101"/>
        </w:rPr>
        <w:t>统</w:t>
      </w:r>
      <w:r>
        <w:rPr>
          <w:spacing w:val="-5"/>
          <w:w w:val="101"/>
        </w:rPr>
        <w:t>和</w:t>
      </w:r>
      <w:r>
        <w:rPr>
          <w:w w:val="101"/>
        </w:rPr>
        <w:t>数</w:t>
      </w:r>
      <w:r>
        <w:rPr>
          <w:spacing w:val="-5"/>
          <w:w w:val="101"/>
        </w:rPr>
        <w:t>据</w:t>
      </w:r>
      <w:r>
        <w:rPr>
          <w:w w:val="101"/>
        </w:rPr>
        <w:t>安</w:t>
      </w:r>
      <w:r>
        <w:rPr>
          <w:spacing w:val="-5"/>
          <w:w w:val="101"/>
        </w:rPr>
        <w:t>全</w:t>
      </w:r>
      <w:r>
        <w:rPr>
          <w:w w:val="101"/>
        </w:rPr>
        <w:t>系</w:t>
      </w:r>
      <w:r>
        <w:rPr>
          <w:spacing w:val="-5"/>
          <w:w w:val="101"/>
        </w:rPr>
        <w:t>统</w:t>
      </w:r>
      <w:r>
        <w:rPr>
          <w:w w:val="101"/>
        </w:rPr>
        <w:t>。</w:t>
      </w:r>
      <w:r>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316" w:lineRule="auto"/>
        <w:ind w:right="1124"/>
        <w:jc w:val="both"/>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240" w:lineRule="auto" w:before="62"/>
        <w:ind w:left="513" w:right="0"/>
        <w:jc w:val="left"/>
      </w:pPr>
      <w:r>
        <w:rPr/>
        <w:t>（</w:t>
      </w:r>
      <w:r>
        <w:rPr>
          <w:rFonts w:ascii="Times New Roman" w:hAnsi="Times New Roman" w:cs="Times New Roman" w:eastAsia="Times New Roman" w:hint="default"/>
        </w:rPr>
        <w:t>1</w:t>
      </w:r>
      <w:r>
        <w:rPr/>
        <w:t>）重要假设及依据</w:t>
      </w:r>
    </w:p>
    <w:p>
      <w:pPr>
        <w:pStyle w:val="BodyText"/>
        <w:spacing w:line="319" w:lineRule="auto" w:before="96"/>
        <w:ind w:right="1123" w:firstLine="360"/>
        <w:jc w:val="left"/>
      </w:pPr>
      <w:r>
        <w:rPr>
          <w:spacing w:val="-6"/>
        </w:rPr>
        <w:t>①持续经营假设：是将资产组组合作为评估对象而作出的评估假定。即资产组组合作为经营主体，在所处的外部环境下，</w:t>
      </w:r>
      <w:r>
        <w:rPr>
          <w:w w:val="101"/>
        </w:rPr>
        <w:t> </w:t>
      </w:r>
      <w:r>
        <w:rPr>
          <w:spacing w:val="-4"/>
        </w:rPr>
        <w:t>按照经营目标，持续经营下去。经营者负责并有能力担当责任；资产组组合合法经营，并能够获取适当利润，以维持持续经</w:t>
      </w:r>
      <w:r>
        <w:rPr>
          <w:spacing w:val="40"/>
        </w:rPr>
        <w:t> </w:t>
      </w:r>
      <w:r>
        <w:rPr>
          <w:spacing w:val="40"/>
        </w:rPr>
      </w:r>
      <w:r>
        <w:rPr/>
        <w:t>营能力。</w:t>
      </w:r>
    </w:p>
    <w:p>
      <w:pPr>
        <w:pStyle w:val="BodyText"/>
        <w:spacing w:line="324" w:lineRule="auto" w:before="50"/>
        <w:ind w:right="0" w:firstLine="360"/>
        <w:jc w:val="left"/>
      </w:pPr>
      <w:r>
        <w:rPr>
          <w:spacing w:val="-5"/>
        </w:rPr>
        <w:t>②国家现行的有关法律、法规及政策，国家宏观经济形势无重大变化；本次交易各方所处地区的政治、经济和社会环境</w:t>
      </w:r>
      <w:r>
        <w:rPr>
          <w:w w:val="101"/>
        </w:rPr>
        <w:t> </w:t>
      </w:r>
      <w:r>
        <w:rPr>
          <w:spacing w:val="-3"/>
        </w:rPr>
        <w:t>无重大变化；无其他不可预测和不可抗力因素造成的重大不利影响；</w:t>
      </w:r>
    </w:p>
    <w:p>
      <w:pPr>
        <w:pStyle w:val="BodyText"/>
        <w:spacing w:line="240" w:lineRule="auto" w:before="56"/>
        <w:ind w:left="513" w:right="0"/>
        <w:jc w:val="left"/>
      </w:pPr>
      <w:r>
        <w:rPr>
          <w:spacing w:val="-3"/>
        </w:rPr>
        <w:t>③假设资产组经营者是负责的，且管理层有能力担当其职务；管理团队在预测期内能保持稳定。</w:t>
      </w:r>
    </w:p>
    <w:p>
      <w:pPr>
        <w:pStyle w:val="BodyText"/>
        <w:spacing w:line="240" w:lineRule="auto" w:before="115"/>
        <w:ind w:left="513" w:right="0"/>
        <w:jc w:val="left"/>
      </w:pPr>
      <w:r>
        <w:rPr>
          <w:spacing w:val="-3"/>
        </w:rPr>
        <w:t>④假设有关利率、汇率、赋税基准及税率，政策性征收费用等不发生重大变化；</w:t>
      </w:r>
    </w:p>
    <w:p>
      <w:pPr>
        <w:pStyle w:val="BodyText"/>
        <w:spacing w:line="240" w:lineRule="auto" w:before="115"/>
        <w:ind w:left="513" w:right="0"/>
        <w:jc w:val="left"/>
      </w:pPr>
      <w:r>
        <w:rPr>
          <w:spacing w:val="-3"/>
        </w:rPr>
        <w:t>⑤假设企业在现有的管理方式和管理水平的基础上，经营范围、经营模式、及经营规模不发生重大变化。</w:t>
      </w:r>
    </w:p>
    <w:p>
      <w:pPr>
        <w:pStyle w:val="BodyText"/>
        <w:spacing w:line="348" w:lineRule="auto" w:before="120"/>
        <w:ind w:left="513" w:right="4275"/>
        <w:jc w:val="left"/>
      </w:pPr>
      <w:r>
        <w:rPr/>
        <w:t>（</w:t>
      </w:r>
      <w:r>
        <w:rPr>
          <w:rFonts w:ascii="Times New Roman" w:hAnsi="Times New Roman" w:cs="Times New Roman" w:eastAsia="Times New Roman" w:hint="default"/>
        </w:rPr>
        <w:t>2</w:t>
      </w:r>
      <w:r>
        <w:rPr/>
        <w:t>）关键参数</w:t>
      </w:r>
      <w:r>
        <w:rPr>
          <w:spacing w:val="-85"/>
        </w:rPr>
        <w:t> </w:t>
      </w:r>
      <w:r>
        <w:rPr>
          <w:spacing w:val="-85"/>
        </w:rPr>
      </w:r>
      <w:r>
        <w:rPr>
          <w:spacing w:val="-3"/>
        </w:rPr>
        <w:t>资产组的可回收金额是结合管理层编制的五年期预算，采用现金流量预算方法</w:t>
      </w:r>
      <w:r>
        <w:rPr>
          <w:spacing w:val="8"/>
        </w:rPr>
        <w:t> </w:t>
      </w:r>
      <w:r>
        <w:rPr>
          <w:spacing w:val="8"/>
        </w:rPr>
      </w:r>
      <w:r>
        <w:rPr/>
        <w:t>计算。 </w:t>
      </w:r>
      <w:r>
        <w:rPr>
          <w:spacing w:val="-3"/>
        </w:rPr>
        <w:t>东方通管理层于 </w:t>
      </w:r>
      <w:r>
        <w:rPr>
          <w:rFonts w:ascii="Times New Roman" w:hAnsi="Times New Roman" w:cs="Times New Roman" w:eastAsia="Times New Roman" w:hint="default"/>
        </w:rPr>
        <w:t>2019</w:t>
      </w:r>
      <w:r>
        <w:rPr>
          <w:rFonts w:ascii="Times New Roman" w:hAnsi="Times New Roman" w:cs="Times New Roman" w:eastAsia="Times New Roman" w:hint="default"/>
          <w:spacing w:val="38"/>
        </w:rPr>
        <w:t> </w:t>
      </w:r>
      <w:r>
        <w:rPr>
          <w:spacing w:val="-3"/>
        </w:rPr>
        <w:t>年末分别编制了上述公司未来的现金流量预测，</w:t>
      </w:r>
    </w:p>
    <w:p>
      <w:pPr>
        <w:spacing w:after="0" w:line="348"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4" w:lineRule="auto" w:before="46"/>
        <w:ind w:right="0" w:firstLine="360"/>
        <w:jc w:val="left"/>
      </w:pPr>
      <w:r>
        <w:rPr>
          <w:spacing w:val="-3"/>
        </w:rPr>
        <w:t>并基于减值测试的结果提取商誉减值准备。预测期：</w:t>
      </w:r>
      <w:r>
        <w:rPr>
          <w:rFonts w:ascii="Times New Roman" w:hAnsi="Times New Roman" w:cs="Times New Roman" w:eastAsia="Times New Roman" w:hint="default"/>
          <w:spacing w:val="-3"/>
        </w:rPr>
        <w:t>2020 </w:t>
      </w:r>
      <w:r>
        <w:rPr/>
        <w:t>年</w:t>
      </w:r>
      <w:r>
        <w:rPr>
          <w:rFonts w:ascii="Times New Roman" w:hAnsi="Times New Roman" w:cs="Times New Roman" w:eastAsia="Times New Roman" w:hint="default"/>
        </w:rPr>
        <w:t>-2024</w:t>
      </w:r>
      <w:r>
        <w:rPr>
          <w:rFonts w:ascii="Times New Roman" w:hAnsi="Times New Roman" w:cs="Times New Roman" w:eastAsia="Times New Roman" w:hint="default"/>
          <w:spacing w:val="26"/>
        </w:rPr>
        <w:t> </w:t>
      </w:r>
      <w:r>
        <w:rPr>
          <w:spacing w:val="-5"/>
        </w:rPr>
        <w:t>年；预测期增长率：持平；稳定期增长率：持平；利</w:t>
      </w:r>
      <w:r>
        <w:rPr>
          <w:w w:val="101"/>
        </w:rPr>
        <w:t> </w:t>
      </w:r>
      <w:r>
        <w:rPr>
          <w:spacing w:val="-3"/>
        </w:rPr>
        <w:t>润率：根据预测的收入、成本、费用等计算；税前折现率（加权平均资本成本</w:t>
      </w:r>
      <w:r>
        <w:rPr>
          <w:spacing w:val="83"/>
        </w:rPr>
        <w:t> </w:t>
      </w:r>
      <w:r>
        <w:rPr>
          <w:rFonts w:ascii="Times New Roman" w:hAnsi="Times New Roman" w:cs="Times New Roman" w:eastAsia="Times New Roman" w:hint="default"/>
          <w:spacing w:val="-4"/>
        </w:rPr>
        <w:t>WACC</w:t>
      </w:r>
      <w:r>
        <w:rPr>
          <w:spacing w:val="-4"/>
        </w:rPr>
        <w:t>）</w:t>
      </w:r>
      <w:r>
        <w:rPr>
          <w:rFonts w:ascii="Times New Roman" w:hAnsi="Times New Roman" w:cs="Times New Roman" w:eastAsia="Times New Roman" w:hint="default"/>
          <w:spacing w:val="-4"/>
        </w:rPr>
        <w:t>13-15%</w:t>
      </w:r>
      <w:r>
        <w:rPr>
          <w:spacing w:val="-4"/>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362" w:lineRule="auto"/>
        <w:ind w:right="8661"/>
        <w:jc w:val="left"/>
      </w:pPr>
      <w:r>
        <w:rPr>
          <w:spacing w:val="-3"/>
        </w:rPr>
        <w:t>商誉减值测试的影响</w:t>
      </w:r>
      <w:r>
        <w:rPr>
          <w:spacing w:val="-62"/>
        </w:rPr>
        <w:t> </w:t>
      </w:r>
      <w:r>
        <w:rPr>
          <w:spacing w:val="-62"/>
        </w:rPr>
      </w:r>
      <w:r>
        <w:rPr/>
        <w:t>其他说明</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13、长期待摊费用" w:id="243"/>
      <w:bookmarkEnd w:id="243"/>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4、递延所得税资产/递延所得税负债" w:id="244"/>
      <w:bookmarkEnd w:id="244"/>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45"/>
      <w:bookmarkEnd w:id="24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11"/>
        <w:gridCol w:w="1844"/>
        <w:gridCol w:w="1844"/>
        <w:gridCol w:w="1844"/>
        <w:gridCol w:w="1633"/>
      </w:tblGrid>
      <w:tr>
        <w:trPr>
          <w:trHeight w:val="207" w:hRule="exact"/>
        </w:trPr>
        <w:tc>
          <w:tcPr>
            <w:tcW w:w="24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4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8" w:type="dxa"/>
            <w:gridSpan w:val="2"/>
            <w:vMerge/>
            <w:tcBorders>
              <w:left w:val="single" w:sz="4" w:space="0" w:color="000000"/>
              <w:bottom w:val="single" w:sz="4" w:space="0" w:color="000000"/>
              <w:right w:val="single" w:sz="4" w:space="0" w:color="000000"/>
            </w:tcBorders>
            <w:shd w:val="clear" w:color="auto" w:fill="D2D2D2"/>
          </w:tcPr>
          <w:p>
            <w:pPr/>
          </w:p>
        </w:tc>
        <w:tc>
          <w:tcPr>
            <w:tcW w:w="347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11" w:type="dxa"/>
            <w:vMerge/>
            <w:tcBorders>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9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9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24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85,643,564.26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14,740,502.49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80,920,163.46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13,801,980.88</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2,965,666.84</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741,416.71</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5,538,600.00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830,790.00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5,468,820.00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820,323.00</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股份支付形成的可抵扣差异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138,961,846.67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20,844,277.00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230,144,010.93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36,415,569.49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89,354,650.30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15,363,720.59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未经抵销的递延所得税负债" w:id="246"/>
      <w:bookmarkEnd w:id="24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4"/>
        <w:gridCol w:w="1856"/>
        <w:gridCol w:w="1556"/>
        <w:gridCol w:w="1705"/>
        <w:gridCol w:w="1633"/>
      </w:tblGrid>
      <w:tr>
        <w:trPr>
          <w:trHeight w:val="206" w:hRule="exact"/>
        </w:trPr>
        <w:tc>
          <w:tcPr>
            <w:tcW w:w="2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12" w:type="dxa"/>
            <w:gridSpan w:val="2"/>
            <w:vMerge/>
            <w:tcBorders>
              <w:left w:val="single" w:sz="4" w:space="0" w:color="000000"/>
              <w:bottom w:val="single" w:sz="4" w:space="0" w:color="000000"/>
              <w:right w:val="single" w:sz="4" w:space="0" w:color="000000"/>
            </w:tcBorders>
            <w:shd w:val="clear" w:color="auto" w:fill="D2D2D2"/>
          </w:tcPr>
          <w:p>
            <w:pPr/>
          </w:p>
        </w:tc>
        <w:tc>
          <w:tcPr>
            <w:tcW w:w="33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14" w:type="dxa"/>
            <w:vMerge/>
            <w:tcBorders>
              <w:left w:val="single" w:sz="4" w:space="0" w:color="000000"/>
              <w:bottom w:val="nil" w:sz="6" w:space="0" w:color="auto"/>
              <w:right w:val="single" w:sz="4" w:space="0" w:color="000000"/>
            </w:tcBorders>
            <w:shd w:val="clear" w:color="auto" w:fill="D2D2D2"/>
          </w:tcPr>
          <w:p>
            <w:pPr/>
          </w:p>
        </w:tc>
        <w:tc>
          <w:tcPr>
            <w:tcW w:w="1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08"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7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6" w:hRule="exact"/>
        </w:trPr>
        <w:tc>
          <w:tcPr>
            <w:tcW w:w="2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6" w:type="dxa"/>
            <w:vMerge/>
            <w:tcBorders>
              <w:left w:val="single" w:sz="4" w:space="0" w:color="000000"/>
              <w:bottom w:val="single" w:sz="4" w:space="0" w:color="000000"/>
              <w:right w:val="single" w:sz="4" w:space="0" w:color="000000"/>
            </w:tcBorders>
            <w:shd w:val="clear" w:color="auto" w:fill="D2D2D2"/>
          </w:tcPr>
          <w:p>
            <w:pPr/>
          </w:p>
        </w:tc>
        <w:tc>
          <w:tcPr>
            <w:tcW w:w="1556" w:type="dxa"/>
            <w:vMerge/>
            <w:tcBorders>
              <w:left w:val="single" w:sz="4" w:space="0" w:color="000000"/>
              <w:bottom w:val="single" w:sz="4" w:space="0" w:color="000000"/>
              <w:right w:val="single" w:sz="4" w:space="0" w:color="000000"/>
            </w:tcBorders>
            <w:shd w:val="clear" w:color="auto" w:fill="D2D2D2"/>
          </w:tcPr>
          <w:p>
            <w:pPr/>
          </w:p>
        </w:tc>
        <w:tc>
          <w:tcPr>
            <w:tcW w:w="1705"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非同一控制企业合并资产评估增值</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895,944.47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134,391.67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2,100,177.80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315,026.67</w:t>
            </w:r>
          </w:p>
        </w:tc>
      </w:tr>
      <w:tr>
        <w:trPr>
          <w:trHeight w:val="403" w:hRule="exact"/>
        </w:trPr>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895,944.47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134,391.67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2,100,177.80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315,026.67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以抵销后净额列示的递延所得税资产或负债" w:id="247"/>
      <w:bookmarkEnd w:id="24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45"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bl>
    <w:p>
      <w:pPr>
        <w:spacing w:after="0" w:line="316"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36,415,569.49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15,363,720.59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134,391.67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315,026.67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5、其他非流动资产" w:id="248"/>
      <w:bookmarkEnd w:id="248"/>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预付软件款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705,557.52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78,806,592.98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预付购车款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1,335,557.52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78,806,592.98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6、短期借款" w:id="249"/>
      <w:bookmarkEnd w:id="249"/>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50"/>
      <w:bookmarkEnd w:id="25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168,552.09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10,168,552.09</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短期借款分类的说明：</w:t>
      </w:r>
    </w:p>
    <w:p>
      <w:pPr>
        <w:pStyle w:val="BodyText"/>
        <w:spacing w:line="240" w:lineRule="auto" w:before="119"/>
        <w:ind w:left="513" w:right="0"/>
        <w:jc w:val="left"/>
      </w:pPr>
      <w:r>
        <w:rPr/>
        <w:t>截至</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日止，短期借款情况如下所示：</w:t>
      </w:r>
    </w:p>
    <w:p>
      <w:pPr>
        <w:spacing w:line="240" w:lineRule="auto" w:before="7"/>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2319"/>
        <w:gridCol w:w="2276"/>
        <w:gridCol w:w="1690"/>
        <w:gridCol w:w="1690"/>
        <w:gridCol w:w="1686"/>
      </w:tblGrid>
      <w:tr>
        <w:trPr>
          <w:trHeight w:val="326" w:hRule="exact"/>
        </w:trPr>
        <w:tc>
          <w:tcPr>
            <w:tcW w:w="23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2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借款日</w:t>
            </w:r>
          </w:p>
        </w:tc>
        <w:tc>
          <w:tcPr>
            <w:tcW w:w="16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利率</w:t>
            </w:r>
          </w:p>
        </w:tc>
      </w:tr>
      <w:tr>
        <w:trPr>
          <w:trHeight w:val="361" w:hRule="exact"/>
        </w:trPr>
        <w:tc>
          <w:tcPr>
            <w:tcW w:w="231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pacing w:val="-3"/>
                <w:sz w:val="18"/>
                <w:szCs w:val="18"/>
              </w:rPr>
              <w:t>北京银行中关村海淀园支行</w:t>
            </w:r>
          </w:p>
        </w:tc>
        <w:tc>
          <w:tcPr>
            <w:tcW w:w="22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6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7"/>
              <w:ind w:left="945" w:right="0"/>
              <w:jc w:val="left"/>
              <w:rPr>
                <w:rFonts w:ascii="Times New Roman" w:hAnsi="Times New Roman" w:cs="Times New Roman" w:eastAsia="Times New Roman" w:hint="default"/>
                <w:sz w:val="18"/>
                <w:szCs w:val="18"/>
              </w:rPr>
            </w:pPr>
            <w:r>
              <w:rPr>
                <w:rFonts w:ascii="Times New Roman"/>
                <w:sz w:val="18"/>
              </w:rPr>
              <w:t>2019/9/10</w:t>
            </w:r>
          </w:p>
        </w:tc>
        <w:tc>
          <w:tcPr>
            <w:tcW w:w="16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7"/>
              <w:ind w:left="946" w:right="0"/>
              <w:jc w:val="left"/>
              <w:rPr>
                <w:rFonts w:ascii="Times New Roman" w:hAnsi="Times New Roman" w:cs="Times New Roman" w:eastAsia="Times New Roman" w:hint="default"/>
                <w:sz w:val="18"/>
                <w:szCs w:val="18"/>
              </w:rPr>
            </w:pPr>
            <w:r>
              <w:rPr>
                <w:rFonts w:ascii="Times New Roman"/>
                <w:sz w:val="18"/>
              </w:rPr>
              <w:t>2020/9/10</w:t>
            </w:r>
          </w:p>
        </w:tc>
        <w:tc>
          <w:tcPr>
            <w:tcW w:w="16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7"/>
              <w:ind w:left="1027" w:right="0"/>
              <w:jc w:val="left"/>
              <w:rPr>
                <w:rFonts w:ascii="Times New Roman" w:hAnsi="Times New Roman" w:cs="Times New Roman" w:eastAsia="Times New Roman" w:hint="default"/>
                <w:sz w:val="18"/>
                <w:szCs w:val="18"/>
              </w:rPr>
            </w:pPr>
            <w:r>
              <w:rPr>
                <w:rFonts w:ascii="Times New Roman"/>
                <w:sz w:val="18"/>
              </w:rPr>
              <w:t>5.0025%</w:t>
            </w:r>
          </w:p>
        </w:tc>
      </w:tr>
      <w:tr>
        <w:trPr>
          <w:trHeight w:val="341" w:hRule="exact"/>
        </w:trPr>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7、应付账款" w:id="251"/>
      <w:bookmarkEnd w:id="251"/>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52"/>
      <w:bookmarkEnd w:id="25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41,227,879.13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42,712,468.04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5,466,901.13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8,323,509.74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210,235.07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425,700.00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3,036,014.62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4,035,014.62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49,941,029.95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55,496,692.40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应付账款" w:id="253"/>
      <w:bookmarkEnd w:id="253"/>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688"/>
        <w:gridCol w:w="2694"/>
        <w:gridCol w:w="3193"/>
      </w:tblGrid>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4"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中国电子科技集团公司第五十四研究所</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2,732,534.48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尚未付款</w:t>
            </w:r>
          </w:p>
        </w:tc>
      </w:tr>
      <w:tr>
        <w:trPr>
          <w:trHeight w:val="398"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北京蓝海讯通科技股份有限公司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1,518,992.00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尚未付款</w:t>
            </w:r>
          </w:p>
        </w:tc>
      </w:tr>
      <w:tr>
        <w:trPr>
          <w:trHeight w:val="403" w:hRule="exact"/>
        </w:trPr>
        <w:tc>
          <w:tcPr>
            <w:tcW w:w="3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4,251,526.48</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8、预收款项" w:id="254"/>
      <w:bookmarkEnd w:id="254"/>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1）预收款项列示" w:id="255"/>
      <w:bookmarkEnd w:id="25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4,541,013.71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6,276,487.12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537,105.19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838,483.02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2,819.26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153,528.31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153,528.31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5,443,847.21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7,271,317.71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9、应付职工薪酬" w:id="256"/>
      <w:bookmarkEnd w:id="256"/>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57"/>
      <w:bookmarkEnd w:id="25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1854"/>
        <w:gridCol w:w="1700"/>
        <w:gridCol w:w="1705"/>
        <w:gridCol w:w="1633"/>
      </w:tblGrid>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14,734,466.73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129,872,287.01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126,912,747.26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17,694,006.48</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设定提存计划</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95,366.14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9,534,522.98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9,505,922.86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123,966.26</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14,829,832.87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139,406,809.99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136,418,670.12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17,817,972.74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258"/>
      <w:bookmarkEnd w:id="25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928"/>
        <w:gridCol w:w="1952"/>
        <w:gridCol w:w="1940"/>
        <w:gridCol w:w="1940"/>
        <w:gridCol w:w="1940"/>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补贴</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4,854,262.90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113,638,291.54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112,073,749.55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6,418,804.89</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52"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428,046.94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424,030.96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4,015.98</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61,699.08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6,277,783.40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6,249,082.03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90,400.45</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7"/>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55,927.33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5,769,374.82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5,743,751.44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81,550.71</w:t>
            </w:r>
          </w:p>
        </w:tc>
      </w:tr>
      <w:tr>
        <w:trPr>
          <w:trHeight w:val="398"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6"/>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1,493.06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106,552.47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105,666.94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2,378.59</w:t>
            </w:r>
          </w:p>
        </w:tc>
      </w:tr>
      <w:tr>
        <w:trPr>
          <w:trHeight w:val="404"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86"/>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4,278.69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401,856.11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399,663.65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6,471.15</w:t>
            </w: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196,808.48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7,315,545.20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7,503,241.68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9,112.00</w:t>
            </w:r>
          </w:p>
        </w:tc>
      </w:tr>
      <w:tr>
        <w:trPr>
          <w:trHeight w:val="715"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经费</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9,621,696.27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1,967,459.85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417,482.96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11,171,673.16</w:t>
            </w:r>
          </w:p>
        </w:tc>
      </w:tr>
      <w:tr>
        <w:trPr>
          <w:trHeight w:val="399"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52"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245,160.08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245,160.08</w:t>
            </w: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14,734,466.73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129,872,287.01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126,912,747.26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17,694,006.48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设定提存计划列示" w:id="259"/>
      <w:bookmarkEnd w:id="25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91,847.17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9,174,782.06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9,148,631.03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117,998.20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3,518.97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359,740.92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357,291.83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5,968.06</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95,366.14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9,534,522.98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9,505,922.86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123,966.26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0、应交税费" w:id="260"/>
      <w:bookmarkEnd w:id="260"/>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39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10,736,262.55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14,543,152.69</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7,546,465.78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11,038,295.94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36,179,891.28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413,515.88</w:t>
            </w:r>
          </w:p>
        </w:tc>
      </w:tr>
      <w:tr>
        <w:trPr>
          <w:trHeight w:val="399"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934,272.93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1,170,191.54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664,768.90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830,056.43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77,818.83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355,284.27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5,743.57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188.89</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56,145,223.84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28,350,685.64</w:t>
            </w:r>
          </w:p>
        </w:tc>
      </w:tr>
    </w:tbl>
    <w:p>
      <w:pPr>
        <w:pStyle w:val="BodyText"/>
        <w:spacing w:line="240" w:lineRule="auto" w:before="54"/>
        <w:ind w:right="0"/>
        <w:jc w:val="left"/>
      </w:pPr>
      <w:r>
        <w:rPr/>
        <w:t>其他说明：</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6"/>
        <w:ind w:right="0"/>
        <w:jc w:val="left"/>
        <w:rPr>
          <w:b w:val="0"/>
          <w:bCs w:val="0"/>
        </w:rPr>
      </w:pPr>
      <w:bookmarkStart w:name="21、其他应付款" w:id="261"/>
      <w:bookmarkEnd w:id="261"/>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267,731,380.45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338,177,765.61</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267,731,380.45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338,177,765.61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其他应付款" w:id="262"/>
      <w:bookmarkEnd w:id="262"/>
      <w:r>
        <w:rPr>
          <w:b w:val="0"/>
          <w:bCs w:val="0"/>
        </w:rPr>
      </w: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63"/>
      <w:bookmarkEnd w:id="263"/>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180,956.00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1,388,006.40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5,155,135.27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3,943,297.16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工业互联网创新发展工程款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2,273,308.90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3,805,501.15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733,973.88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428,967.30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267,731,380.45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338,177,765.61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2、一年内到期的非流动负债" w:id="264"/>
      <w:bookmarkEnd w:id="264"/>
      <w:r>
        <w:rPr>
          <w:b w:val="0"/>
          <w:bCs w:val="0"/>
        </w:rPr>
      </w:r>
      <w:r>
        <w:rPr>
          <w:rFonts w:ascii="Times New Roman" w:hAnsi="Times New Roman" w:cs="Times New Roman" w:eastAsia="Times New Roman" w:hint="default"/>
        </w:rPr>
        <w:t>22</w:t>
      </w:r>
      <w:r>
        <w:rPr/>
        <w:t>、一年内到期的非流动负债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3、长期借款" w:id="265"/>
      <w:bookmarkEnd w:id="265"/>
      <w:r>
        <w:rPr>
          <w:b w:val="0"/>
          <w:bCs w:val="0"/>
        </w:rPr>
      </w:r>
      <w:r>
        <w:rPr>
          <w:rFonts w:ascii="Times New Roman" w:hAnsi="Times New Roman" w:cs="Times New Roman" w:eastAsia="Times New Roman" w:hint="default"/>
        </w:rPr>
        <w:t>23</w:t>
      </w:r>
      <w:r>
        <w:rPr/>
        <w:t>、长期借款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266"/>
      <w:bookmarkEnd w:id="26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112,000,000.00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64,000,000.00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24、递延收益" w:id="267"/>
      <w:bookmarkEnd w:id="267"/>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5,468,820.00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18,251,918.00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18,182,138.00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5,538,600.00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5,468,820.00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18,251,918.00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18,182,138.00</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5,538,600.00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涉及政府补助的项目：</w:t>
      </w:r>
    </w:p>
    <w:p>
      <w:pPr>
        <w:pStyle w:val="BodyText"/>
        <w:spacing w:line="240" w:lineRule="auto" w:before="120"/>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3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2"/>
                <w:sz w:val="18"/>
                <w:szCs w:val="18"/>
              </w:rPr>
              <w:t>东方通中间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件升级优化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及产业化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5,000,000.00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both"/>
              <w:rPr>
                <w:rFonts w:ascii="宋体" w:hAnsi="宋体" w:cs="宋体" w:eastAsia="宋体" w:hint="default"/>
                <w:sz w:val="18"/>
                <w:szCs w:val="18"/>
              </w:rPr>
            </w:pPr>
            <w:r>
              <w:rPr>
                <w:rFonts w:ascii="宋体" w:hAnsi="宋体" w:cs="宋体" w:eastAsia="宋体" w:hint="default"/>
                <w:sz w:val="18"/>
                <w:szCs w:val="18"/>
              </w:rPr>
              <w:t>核心电子器</w:t>
            </w:r>
            <w:r>
              <w:rPr>
                <w:rFonts w:ascii="宋体" w:hAnsi="宋体" w:cs="宋体" w:eastAsia="宋体" w:hint="default"/>
                <w:w w:val="101"/>
                <w:sz w:val="18"/>
                <w:szCs w:val="18"/>
              </w:rPr>
              <w:t> </w:t>
            </w:r>
            <w:r>
              <w:rPr>
                <w:rFonts w:ascii="宋体" w:hAnsi="宋体" w:cs="宋体" w:eastAsia="宋体" w:hint="default"/>
                <w:sz w:val="18"/>
                <w:szCs w:val="18"/>
              </w:rPr>
              <w:t>件、高端通</w:t>
            </w:r>
            <w:r>
              <w:rPr>
                <w:rFonts w:ascii="宋体" w:hAnsi="宋体" w:cs="宋体" w:eastAsia="宋体" w:hint="default"/>
                <w:w w:val="101"/>
                <w:sz w:val="18"/>
                <w:szCs w:val="18"/>
              </w:rPr>
              <w:t> </w:t>
            </w:r>
            <w:r>
              <w:rPr>
                <w:rFonts w:ascii="宋体" w:hAnsi="宋体" w:cs="宋体" w:eastAsia="宋体" w:hint="default"/>
                <w:sz w:val="18"/>
                <w:szCs w:val="18"/>
              </w:rPr>
              <w:t>用芯片及基</w:t>
            </w:r>
            <w:r>
              <w:rPr>
                <w:rFonts w:ascii="宋体" w:hAnsi="宋体" w:cs="宋体" w:eastAsia="宋体" w:hint="default"/>
                <w:w w:val="101"/>
                <w:sz w:val="18"/>
                <w:szCs w:val="18"/>
              </w:rPr>
              <w:t> </w:t>
            </w:r>
            <w:r>
              <w:rPr>
                <w:rFonts w:ascii="宋体" w:hAnsi="宋体" w:cs="宋体" w:eastAsia="宋体" w:hint="default"/>
                <w:sz w:val="18"/>
                <w:szCs w:val="18"/>
              </w:rPr>
              <w:t>础软件产品</w:t>
            </w:r>
            <w:r>
              <w:rPr>
                <w:rFonts w:ascii="宋体" w:hAnsi="宋体" w:cs="宋体" w:eastAsia="宋体" w:hint="default"/>
                <w:w w:val="101"/>
                <w:sz w:val="18"/>
                <w:szCs w:val="18"/>
              </w:rPr>
              <w:t> </w:t>
            </w:r>
            <w:r>
              <w:rPr>
                <w:rFonts w:ascii="宋体" w:hAnsi="宋体" w:cs="宋体" w:eastAsia="宋体" w:hint="default"/>
                <w:sz w:val="18"/>
                <w:szCs w:val="18"/>
              </w:rPr>
              <w:t>科技重大专</w:t>
            </w:r>
            <w:r>
              <w:rPr>
                <w:rFonts w:ascii="宋体" w:hAnsi="宋体" w:cs="宋体" w:eastAsia="宋体" w:hint="default"/>
                <w:w w:val="101"/>
                <w:sz w:val="18"/>
                <w:szCs w:val="18"/>
              </w:rPr>
              <w:t> </w:t>
            </w: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年课</w:t>
            </w:r>
            <w:r>
              <w:rPr>
                <w:rFonts w:ascii="宋体" w:hAnsi="宋体" w:cs="宋体" w:eastAsia="宋体" w:hint="default"/>
                <w:spacing w:val="-5"/>
                <w:w w:val="101"/>
                <w:sz w:val="18"/>
                <w:szCs w:val="18"/>
              </w:rPr>
              <w:t> </w:t>
            </w:r>
            <w:r>
              <w:rPr>
                <w:rFonts w:ascii="宋体" w:hAnsi="宋体" w:cs="宋体" w:eastAsia="宋体" w:hint="default"/>
                <w:sz w:val="18"/>
                <w:szCs w:val="18"/>
              </w:rPr>
              <w:t>题</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5,468,820.00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5,468,820.00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年核高</w:t>
            </w:r>
            <w:r>
              <w:rPr>
                <w:rFonts w:ascii="宋体" w:hAnsi="宋体" w:cs="宋体" w:eastAsia="宋体" w:hint="default"/>
                <w:w w:val="101"/>
                <w:sz w:val="18"/>
                <w:szCs w:val="18"/>
              </w:rPr>
              <w:t> </w:t>
            </w:r>
            <w:r>
              <w:rPr>
                <w:rFonts w:ascii="宋体" w:hAnsi="宋体" w:cs="宋体" w:eastAsia="宋体" w:hint="default"/>
                <w:sz w:val="18"/>
                <w:szCs w:val="18"/>
              </w:rPr>
              <w:t>基重大专项</w:t>
            </w:r>
            <w:r>
              <w:rPr>
                <w:rFonts w:ascii="宋体" w:hAnsi="宋体" w:cs="宋体" w:eastAsia="宋体" w:hint="default"/>
                <w:w w:val="101"/>
                <w:sz w:val="18"/>
                <w:szCs w:val="18"/>
              </w:rPr>
              <w:t> </w:t>
            </w:r>
            <w:r>
              <w:rPr>
                <w:rFonts w:ascii="宋体" w:hAnsi="宋体" w:cs="宋体" w:eastAsia="宋体" w:hint="default"/>
                <w:sz w:val="18"/>
                <w:szCs w:val="18"/>
              </w:rPr>
              <w:t>课题</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7,713,318.00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7,713,318.00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4" w:right="7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工业互联网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创新发展工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程</w:t>
            </w:r>
            <w:r>
              <w:rPr>
                <w:rFonts w:ascii="Times New Roman" w:hAnsi="Times New Roman" w:cs="Times New Roman" w:eastAsia="Times New Roman" w:hint="default"/>
                <w:sz w:val="18"/>
                <w:szCs w:val="18"/>
              </w:rPr>
              <w:t>-</w:t>
            </w:r>
            <w:r>
              <w:rPr>
                <w:rFonts w:ascii="宋体" w:hAnsi="宋体" w:cs="宋体" w:eastAsia="宋体" w:hint="default"/>
                <w:sz w:val="18"/>
                <w:szCs w:val="18"/>
              </w:rPr>
              <w:t>工业互</w:t>
            </w:r>
            <w:r>
              <w:rPr>
                <w:rFonts w:ascii="宋体" w:hAnsi="宋体" w:cs="宋体" w:eastAsia="宋体" w:hint="default"/>
                <w:w w:val="101"/>
                <w:sz w:val="18"/>
                <w:szCs w:val="18"/>
              </w:rPr>
              <w:t> </w:t>
            </w:r>
            <w:r>
              <w:rPr>
                <w:rFonts w:ascii="宋体" w:hAnsi="宋体" w:cs="宋体" w:eastAsia="宋体" w:hint="default"/>
                <w:sz w:val="18"/>
                <w:szCs w:val="18"/>
              </w:rPr>
              <w:t>联网</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APP</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2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标志</w:t>
            </w:r>
            <w:r>
              <w:rPr>
                <w:rFonts w:ascii="宋体" w:hAnsi="宋体" w:cs="宋体" w:eastAsia="宋体" w:hint="default"/>
                <w:spacing w:val="-5"/>
                <w:w w:val="101"/>
                <w:sz w:val="18"/>
                <w:szCs w:val="18"/>
              </w:rPr>
              <w:t> </w:t>
            </w:r>
            <w:r>
              <w:rPr>
                <w:rFonts w:ascii="宋体" w:hAnsi="宋体" w:cs="宋体" w:eastAsia="宋体" w:hint="default"/>
                <w:sz w:val="18"/>
                <w:szCs w:val="18"/>
              </w:rPr>
              <w:t>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 </w:t>
            </w:r>
            <w:r>
              <w:rPr>
                <w:rFonts w:ascii="宋体" w:hAnsi="宋体" w:cs="宋体" w:eastAsia="宋体" w:hint="default"/>
                <w:sz w:val="18"/>
                <w:szCs w:val="18"/>
              </w:rPr>
              <w:t>网络防</w:t>
            </w:r>
            <w:r>
              <w:rPr>
                <w:rFonts w:ascii="宋体" w:hAnsi="宋体" w:cs="宋体" w:eastAsia="宋体" w:hint="default"/>
                <w:spacing w:val="-86"/>
                <w:sz w:val="18"/>
                <w:szCs w:val="18"/>
              </w:rPr>
              <w:t> </w:t>
            </w:r>
            <w:r>
              <w:rPr>
                <w:rFonts w:ascii="宋体" w:hAnsi="宋体" w:cs="宋体" w:eastAsia="宋体" w:hint="default"/>
                <w:sz w:val="18"/>
                <w:szCs w:val="18"/>
              </w:rPr>
              <w:t>护监管一体</w:t>
            </w:r>
            <w:r>
              <w:rPr>
                <w:rFonts w:ascii="宋体" w:hAnsi="宋体" w:cs="宋体" w:eastAsia="宋体" w:hint="default"/>
                <w:w w:val="101"/>
                <w:sz w:val="18"/>
                <w:szCs w:val="18"/>
              </w:rPr>
              <w:t> </w:t>
            </w:r>
            <w:r>
              <w:rPr>
                <w:rFonts w:ascii="宋体" w:hAnsi="宋体" w:cs="宋体" w:eastAsia="宋体" w:hint="default"/>
                <w:sz w:val="18"/>
                <w:szCs w:val="18"/>
              </w:rPr>
              <w:t>化技术体系</w:t>
            </w:r>
            <w:r>
              <w:rPr>
                <w:rFonts w:ascii="宋体" w:hAnsi="宋体" w:cs="宋体" w:eastAsia="宋体" w:hint="default"/>
                <w:w w:val="101"/>
                <w:sz w:val="18"/>
                <w:szCs w:val="18"/>
              </w:rPr>
              <w:t> </w:t>
            </w:r>
            <w:r>
              <w:rPr>
                <w:rFonts w:ascii="宋体" w:hAnsi="宋体" w:cs="宋体" w:eastAsia="宋体" w:hint="default"/>
                <w:sz w:val="18"/>
                <w:szCs w:val="18"/>
              </w:rPr>
              <w:t>研究与实验</w:t>
            </w:r>
            <w:r>
              <w:rPr>
                <w:rFonts w:ascii="宋体" w:hAnsi="宋体" w:cs="宋体" w:eastAsia="宋体" w:hint="default"/>
                <w:w w:val="101"/>
                <w:sz w:val="18"/>
                <w:szCs w:val="18"/>
              </w:rPr>
              <w:t> </w:t>
            </w:r>
            <w:r>
              <w:rPr>
                <w:rFonts w:ascii="宋体" w:hAnsi="宋体" w:cs="宋体" w:eastAsia="宋体" w:hint="default"/>
                <w:sz w:val="18"/>
                <w:szCs w:val="18"/>
              </w:rPr>
              <w:t>验证</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138,600.00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138,600.00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5,468,820.00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18,251,918.0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18,182,138.0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5,538,600.00</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5、股本" w:id="268"/>
      <w:bookmarkEnd w:id="268"/>
      <w:r>
        <w:rPr>
          <w:b w:val="0"/>
          <w:bCs w:val="0"/>
        </w:rPr>
      </w:r>
      <w:r>
        <w:rPr>
          <w:rFonts w:ascii="Times New Roman" w:hAnsi="Times New Roman" w:cs="Times New Roman" w:eastAsia="Times New Roman" w:hint="default"/>
        </w:rPr>
        <w:t>25</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left="36" w:right="0"/>
              <w:jc w:val="left"/>
              <w:rPr>
                <w:rFonts w:ascii="Times New Roman" w:hAnsi="Times New Roman" w:cs="Times New Roman" w:eastAsia="Times New Roman" w:hint="default"/>
                <w:sz w:val="18"/>
                <w:szCs w:val="18"/>
              </w:rPr>
            </w:pPr>
            <w:r>
              <w:rPr>
                <w:rFonts w:ascii="Times New Roman"/>
                <w:sz w:val="18"/>
              </w:rPr>
              <w:t>277,031,708.00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Times New Roman" w:hAnsi="Times New Roman" w:cs="Times New Roman" w:eastAsia="Times New Roman" w:hint="default"/>
                <w:sz w:val="18"/>
                <w:szCs w:val="18"/>
              </w:rPr>
            </w:pPr>
            <w:r>
              <w:rPr>
                <w:rFonts w:ascii="Times New Roman"/>
                <w:sz w:val="18"/>
              </w:rPr>
              <w:t>4,264,000.00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Times New Roman" w:hAnsi="Times New Roman" w:cs="Times New Roman" w:eastAsia="Times New Roman" w:hint="default"/>
                <w:sz w:val="18"/>
                <w:szCs w:val="18"/>
              </w:rPr>
            </w:pPr>
            <w:r>
              <w:rPr>
                <w:rFonts w:ascii="Times New Roman"/>
                <w:sz w:val="18"/>
              </w:rPr>
              <w:t>4,264,000.00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281,295,708.00</w:t>
            </w:r>
          </w:p>
        </w:tc>
      </w:tr>
    </w:tbl>
    <w:p>
      <w:pPr>
        <w:pStyle w:val="BodyText"/>
        <w:spacing w:line="240" w:lineRule="auto" w:before="53"/>
        <w:ind w:right="0"/>
        <w:jc w:val="left"/>
      </w:pPr>
      <w:r>
        <w:rPr/>
        <w:t>其他说明：</w:t>
      </w:r>
    </w:p>
    <w:p>
      <w:pPr>
        <w:pStyle w:val="BodyText"/>
        <w:spacing w:line="300" w:lineRule="auto" w:before="115"/>
        <w:ind w:right="0" w:firstLine="360"/>
        <w:jc w:val="left"/>
      </w:pPr>
      <w:r>
        <w:rPr/>
        <w:t>公司于</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20 </w:t>
      </w:r>
      <w:r>
        <w:rPr>
          <w:spacing w:val="-5"/>
        </w:rPr>
        <w:t>日召开了第三届董事会第十六次会议，审议通过了《关于向 </w:t>
      </w:r>
      <w:r>
        <w:rPr>
          <w:rFonts w:ascii="Times New Roman" w:hAnsi="Times New Roman" w:cs="Times New Roman" w:eastAsia="Times New Roman" w:hint="default"/>
        </w:rPr>
        <w:t>2018</w:t>
      </w:r>
      <w:r>
        <w:rPr>
          <w:rFonts w:ascii="Times New Roman" w:hAnsi="Times New Roman" w:cs="Times New Roman" w:eastAsia="Times New Roman" w:hint="default"/>
          <w:spacing w:val="37"/>
        </w:rPr>
        <w:t> </w:t>
      </w:r>
      <w:r>
        <w:rPr>
          <w:spacing w:val="-3"/>
        </w:rPr>
        <w:t>年股票期权激励计划受激励对</w:t>
      </w:r>
      <w:r>
        <w:rPr>
          <w:w w:val="101"/>
        </w:rPr>
        <w:t> </w:t>
      </w:r>
      <w:r>
        <w:rPr>
          <w:spacing w:val="-3"/>
        </w:rPr>
        <w:t>象授予股票期权的议案》。报告期内股本的增加为员工期权行权增加股本</w:t>
      </w:r>
      <w:r>
        <w:rPr>
          <w:rFonts w:ascii="Times New Roman" w:hAnsi="Times New Roman" w:cs="Times New Roman" w:eastAsia="Times New Roman" w:hint="default"/>
          <w:spacing w:val="-3"/>
        </w:rPr>
        <w:t>426.40</w:t>
      </w:r>
      <w:r>
        <w:rPr>
          <w:spacing w:val="-3"/>
        </w:rPr>
        <w:t>万股。</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6、资本公积" w:id="269"/>
      <w:bookmarkEnd w:id="269"/>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1,179,532,266.20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63,221,145.59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1,242,753,411.79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4,553,989.60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27,476,997.00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3,269,182.92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28,761,803.68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1,184,086,255.80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90,698,142.59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3,269,182.92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1,271,515,215.47</w:t>
            </w:r>
          </w:p>
        </w:tc>
      </w:tr>
    </w:tbl>
    <w:p>
      <w:pPr>
        <w:pStyle w:val="BodyText"/>
        <w:spacing w:line="240" w:lineRule="auto" w:before="53"/>
        <w:ind w:right="0"/>
        <w:jc w:val="left"/>
      </w:pPr>
      <w:r>
        <w:rPr>
          <w:spacing w:val="-3"/>
        </w:rPr>
        <w:t>其他说明，包括本期增减变动情况、变动原因说明：</w:t>
      </w:r>
    </w:p>
    <w:p>
      <w:pPr>
        <w:pStyle w:val="BodyText"/>
        <w:spacing w:line="300" w:lineRule="auto" w:before="110"/>
        <w:ind w:right="0" w:firstLine="360"/>
        <w:jc w:val="left"/>
      </w:pPr>
      <w:r>
        <w:rPr/>
        <w:t>公司于</w:t>
      </w:r>
      <w:r>
        <w:rPr>
          <w:rFonts w:ascii="Times New Roman" w:hAnsi="Times New Roman" w:cs="Times New Roman" w:eastAsia="Times New Roman" w:hint="default"/>
        </w:rPr>
        <w:t>2018</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20 </w:t>
      </w:r>
      <w:r>
        <w:rPr>
          <w:spacing w:val="-5"/>
        </w:rPr>
        <w:t>日召开了第三届董事会第十六次会议，审议通过了《关于向 </w:t>
      </w:r>
      <w:r>
        <w:rPr>
          <w:rFonts w:ascii="Times New Roman" w:hAnsi="Times New Roman" w:cs="Times New Roman" w:eastAsia="Times New Roman" w:hint="default"/>
        </w:rPr>
        <w:t>2018</w:t>
      </w:r>
      <w:r>
        <w:rPr>
          <w:rFonts w:ascii="Times New Roman" w:hAnsi="Times New Roman" w:cs="Times New Roman" w:eastAsia="Times New Roman" w:hint="default"/>
          <w:spacing w:val="36"/>
        </w:rPr>
        <w:t> </w:t>
      </w:r>
      <w:r>
        <w:rPr>
          <w:spacing w:val="-3"/>
        </w:rPr>
        <w:t>年股票期权激励计划受激励对</w:t>
      </w:r>
      <w:r>
        <w:rPr>
          <w:w w:val="101"/>
        </w:rPr>
        <w:t> </w:t>
      </w:r>
      <w:r>
        <w:rPr>
          <w:spacing w:val="-2"/>
        </w:rPr>
        <w:t>象授予股票期权的议案》。报告期内股本溢价增加</w:t>
      </w:r>
      <w:r>
        <w:rPr>
          <w:rFonts w:ascii="Times New Roman" w:hAnsi="Times New Roman" w:cs="Times New Roman" w:eastAsia="Times New Roman" w:hint="default"/>
          <w:spacing w:val="-2"/>
        </w:rPr>
        <w:t>63,221,145.59</w:t>
      </w:r>
      <w:r>
        <w:rPr>
          <w:spacing w:val="-2"/>
        </w:rPr>
        <w:t>元，其中：员工行权增加资本溢价</w:t>
      </w:r>
      <w:r>
        <w:rPr>
          <w:rFonts w:ascii="Times New Roman" w:hAnsi="Times New Roman" w:cs="Times New Roman" w:eastAsia="Times New Roman" w:hint="default"/>
          <w:spacing w:val="-2"/>
        </w:rPr>
        <w:t>59,951,962.67</w:t>
      </w:r>
      <w:r>
        <w:rPr>
          <w:spacing w:val="-2"/>
        </w:rPr>
        <w:t>元，行权影</w:t>
      </w:r>
      <w:r>
        <w:rPr>
          <w:spacing w:val="41"/>
        </w:rPr>
        <w:t> </w:t>
      </w:r>
      <w:r>
        <w:rPr>
          <w:spacing w:val="41"/>
        </w:rPr>
      </w:r>
      <w:r>
        <w:rPr/>
        <w:t>响的其他资本公积转入资本溢价</w:t>
      </w:r>
      <w:r>
        <w:rPr>
          <w:rFonts w:ascii="Times New Roman" w:hAnsi="Times New Roman" w:cs="Times New Roman" w:eastAsia="Times New Roman" w:hint="default"/>
        </w:rPr>
        <w:t>3,269,182.92</w:t>
      </w:r>
      <w:r>
        <w:rPr/>
        <w:t>元。报告期内其他资本公积增加</w:t>
      </w:r>
      <w:r>
        <w:rPr>
          <w:rFonts w:ascii="Times New Roman" w:hAnsi="Times New Roman" w:cs="Times New Roman" w:eastAsia="Times New Roman" w:hint="default"/>
        </w:rPr>
        <w:t>27,476,997.00</w:t>
      </w:r>
      <w:r>
        <w:rPr/>
        <w:t>元，其中股份支付确认的费用</w:t>
      </w:r>
      <w:r>
        <w:rPr>
          <w:w w:val="101"/>
        </w:rPr>
        <w:t> </w:t>
      </w:r>
      <w:r>
        <w:rPr>
          <w:rFonts w:ascii="Times New Roman" w:hAnsi="Times New Roman" w:cs="Times New Roman" w:eastAsia="Times New Roman" w:hint="default"/>
        </w:rPr>
        <w:t>7,803,200.00</w:t>
      </w:r>
      <w:r>
        <w:rPr/>
        <w:t>元，股份支付费用造成的时间性差异确认的其他资本公积</w:t>
      </w:r>
      <w:r>
        <w:rPr>
          <w:rFonts w:ascii="Times New Roman" w:hAnsi="Times New Roman" w:cs="Times New Roman" w:eastAsia="Times New Roman" w:hint="default"/>
        </w:rPr>
        <w:t>19,673,797.00</w:t>
      </w:r>
      <w:r>
        <w:rPr/>
        <w:t>元。</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7、库存股" w:id="270"/>
      <w:bookmarkEnd w:id="270"/>
      <w:r>
        <w:rPr>
          <w:b w:val="0"/>
          <w:bCs w:val="0"/>
        </w:rPr>
      </w:r>
      <w:r>
        <w:rPr>
          <w:rFonts w:ascii="Times New Roman" w:hAnsi="Times New Roman" w:cs="Times New Roman" w:eastAsia="Times New Roman" w:hint="default"/>
        </w:rPr>
        <w:t>27</w:t>
      </w:r>
      <w:r>
        <w:rPr/>
        <w:t>、库存股</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150,004,584.16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150,004,584.16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150,004,584.16</w:t>
            </w:r>
          </w:p>
        </w:tc>
      </w:tr>
    </w:tbl>
    <w:p>
      <w:pPr>
        <w:pStyle w:val="BodyText"/>
        <w:spacing w:line="357" w:lineRule="auto" w:before="53"/>
        <w:ind w:left="513" w:right="0" w:hanging="360"/>
        <w:jc w:val="left"/>
      </w:pPr>
      <w:r>
        <w:rPr>
          <w:spacing w:val="-3"/>
        </w:rPr>
        <w:t>其他说明，包括本期增减变动情况、变动原因说明：</w:t>
      </w:r>
      <w:r>
        <w:rPr>
          <w:spacing w:val="-21"/>
        </w:rPr>
        <w:t> </w:t>
      </w:r>
      <w:r>
        <w:rPr>
          <w:spacing w:val="-21"/>
        </w:rPr>
      </w:r>
      <w:r>
        <w:rPr>
          <w:spacing w:val="-3"/>
        </w:rPr>
        <w:t>公司于巨潮资讯</w:t>
      </w:r>
      <w:r>
        <w:rPr>
          <w:rFonts w:ascii="宋体" w:hAnsi="宋体" w:cs="宋体" w:eastAsia="宋体" w:hint="default"/>
          <w:spacing w:val="-3"/>
        </w:rPr>
        <w:t>2018</w:t>
      </w:r>
      <w:r>
        <w:rPr>
          <w:spacing w:val="-3"/>
        </w:rPr>
        <w:t>年巨潮资讯</w:t>
      </w:r>
      <w:r>
        <w:rPr>
          <w:rFonts w:ascii="宋体" w:hAnsi="宋体" w:cs="宋体" w:eastAsia="宋体" w:hint="default"/>
          <w:spacing w:val="-3"/>
        </w:rPr>
        <w:t>9</w:t>
      </w:r>
      <w:r>
        <w:rPr>
          <w:spacing w:val="-3"/>
        </w:rPr>
        <w:t>巨潮资讯月巨潮资讯</w:t>
      </w:r>
      <w:r>
        <w:rPr>
          <w:rFonts w:ascii="宋体" w:hAnsi="宋体" w:cs="宋体" w:eastAsia="宋体" w:hint="default"/>
          <w:spacing w:val="-3"/>
        </w:rPr>
        <w:t>17</w:t>
      </w:r>
      <w:r>
        <w:rPr>
          <w:spacing w:val="-3"/>
        </w:rPr>
        <w:t>巨潮资讯日召开了巨潮资讯</w:t>
      </w:r>
      <w:r>
        <w:rPr>
          <w:rFonts w:ascii="宋体" w:hAnsi="宋体" w:cs="宋体" w:eastAsia="宋体" w:hint="default"/>
          <w:spacing w:val="-3"/>
        </w:rPr>
        <w:t>2018</w:t>
      </w:r>
      <w:r>
        <w:rPr>
          <w:spacing w:val="-3"/>
        </w:rPr>
        <w:t>巨潮资讯年第三次临时股东大</w:t>
      </w:r>
    </w:p>
    <w:p>
      <w:pPr>
        <w:pStyle w:val="BodyText"/>
        <w:spacing w:line="224" w:lineRule="exact"/>
        <w:ind w:right="0"/>
        <w:jc w:val="both"/>
      </w:pPr>
      <w:r>
        <w:rPr>
          <w:spacing w:val="-3"/>
        </w:rPr>
        <w:t>会，会议审议通过了《关于回购公司股份的议案》。并于巨潮资讯</w:t>
      </w:r>
      <w:r>
        <w:rPr>
          <w:rFonts w:ascii="宋体" w:hAnsi="宋体" w:cs="宋体" w:eastAsia="宋体" w:hint="default"/>
          <w:spacing w:val="-3"/>
        </w:rPr>
        <w:t>2018</w:t>
      </w:r>
      <w:r>
        <w:rPr>
          <w:spacing w:val="-3"/>
        </w:rPr>
        <w:t>巨潮资讯年巨潮资讯</w:t>
      </w:r>
      <w:r>
        <w:rPr>
          <w:rFonts w:ascii="宋体" w:hAnsi="宋体" w:cs="宋体" w:eastAsia="宋体" w:hint="default"/>
          <w:spacing w:val="-3"/>
        </w:rPr>
        <w:t>9</w:t>
      </w:r>
      <w:r>
        <w:rPr>
          <w:spacing w:val="-3"/>
        </w:rPr>
        <w:t>巨潮资讯月巨潮资讯</w:t>
      </w:r>
      <w:r>
        <w:rPr>
          <w:rFonts w:ascii="宋体" w:hAnsi="宋体" w:cs="宋体" w:eastAsia="宋体" w:hint="default"/>
          <w:spacing w:val="-3"/>
        </w:rPr>
        <w:t>27</w:t>
      </w:r>
      <w:r>
        <w:rPr>
          <w:spacing w:val="-3"/>
        </w:rPr>
        <w:t>巨潮资</w:t>
      </w:r>
    </w:p>
    <w:p>
      <w:pPr>
        <w:pStyle w:val="BodyText"/>
        <w:spacing w:line="316" w:lineRule="auto" w:before="76"/>
        <w:ind w:right="1122"/>
        <w:jc w:val="both"/>
      </w:pPr>
      <w:r>
        <w:rPr>
          <w:spacing w:val="-4"/>
        </w:rPr>
        <w:t>讯日披露了《关于回购公司股份的报告书》。截止巨潮资讯</w:t>
      </w:r>
      <w:r>
        <w:rPr>
          <w:rFonts w:ascii="宋体" w:hAnsi="宋体" w:cs="宋体" w:eastAsia="宋体" w:hint="default"/>
          <w:spacing w:val="-4"/>
        </w:rPr>
        <w:t>2018</w:t>
      </w:r>
      <w:r>
        <w:rPr>
          <w:spacing w:val="-4"/>
        </w:rPr>
        <w:t>巨潮资讯年巨潮资讯</w:t>
      </w:r>
      <w:r>
        <w:rPr>
          <w:rFonts w:ascii="宋体" w:hAnsi="宋体" w:cs="宋体" w:eastAsia="宋体" w:hint="default"/>
          <w:spacing w:val="-4"/>
        </w:rPr>
        <w:t>11</w:t>
      </w:r>
      <w:r>
        <w:rPr>
          <w:spacing w:val="-4"/>
        </w:rPr>
        <w:t>巨潮资讯月巨潮资讯</w:t>
      </w:r>
      <w:r>
        <w:rPr>
          <w:rFonts w:ascii="宋体" w:hAnsi="宋体" w:cs="宋体" w:eastAsia="宋体" w:hint="default"/>
          <w:spacing w:val="-4"/>
        </w:rPr>
        <w:t>15</w:t>
      </w:r>
      <w:r>
        <w:rPr>
          <w:spacing w:val="-4"/>
        </w:rPr>
        <w:t>巨潮资讯日回</w:t>
      </w:r>
      <w:r>
        <w:rPr>
          <w:spacing w:val="58"/>
        </w:rPr>
        <w:t> </w:t>
      </w:r>
      <w:r>
        <w:rPr>
          <w:spacing w:val="58"/>
        </w:rPr>
      </w:r>
      <w:r>
        <w:rPr>
          <w:spacing w:val="-3"/>
        </w:rPr>
        <w:t>购公司股份实施完毕，累计回购股份巨潮资讯</w:t>
      </w:r>
      <w:r>
        <w:rPr>
          <w:rFonts w:ascii="宋体" w:hAnsi="宋体" w:cs="宋体" w:eastAsia="宋体" w:hint="default"/>
          <w:spacing w:val="-3"/>
        </w:rPr>
        <w:t>10,336,816</w:t>
      </w:r>
      <w:r>
        <w:rPr>
          <w:spacing w:val="-3"/>
        </w:rPr>
        <w:t>巨潮资讯股，占公司总股本的巨潮资讯</w:t>
      </w:r>
      <w:r>
        <w:rPr>
          <w:rFonts w:ascii="宋体" w:hAnsi="宋体" w:cs="宋体" w:eastAsia="宋体" w:hint="default"/>
          <w:spacing w:val="-3"/>
        </w:rPr>
        <w:t>3.73%</w:t>
      </w:r>
      <w:r>
        <w:rPr>
          <w:spacing w:val="-3"/>
        </w:rPr>
        <w:t>，累计支付的总金额</w:t>
      </w:r>
      <w:r>
        <w:rPr>
          <w:spacing w:val="2"/>
        </w:rPr>
        <w:t> </w:t>
      </w:r>
      <w:r>
        <w:rPr>
          <w:spacing w:val="2"/>
        </w:rPr>
      </w:r>
      <w:r>
        <w:rPr/>
        <w:t>为</w:t>
      </w:r>
      <w:r>
        <w:rPr>
          <w:rFonts w:ascii="宋体" w:hAnsi="宋体" w:cs="宋体" w:eastAsia="宋体" w:hint="default"/>
        </w:rPr>
        <w:t>150,004,584.16</w:t>
      </w:r>
      <w:r>
        <w:rPr/>
        <w:t>巨潮资讯元。</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bookmarkStart w:name="28、盈余公积" w:id="271"/>
      <w:bookmarkEnd w:id="271"/>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3,381,790.31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29,707,740.91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26,325,950.60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3,381,790.31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29,707,740.91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29、未分配利润" w:id="272"/>
      <w:bookmarkEnd w:id="272"/>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84,877,947.23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-37,290,619.88</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84,877,947.23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-37,290,619.88</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141,291,862.35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3,381,790.31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222,788,019.27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84,877,947.23</w:t>
            </w:r>
          </w:p>
        </w:tc>
      </w:tr>
    </w:tbl>
    <w:p>
      <w:pPr>
        <w:pStyle w:val="BodyText"/>
        <w:spacing w:line="240" w:lineRule="auto" w:before="53"/>
        <w:ind w:right="0"/>
        <w:jc w:val="left"/>
      </w:pPr>
      <w:r>
        <w:rPr>
          <w:spacing w:val="-3"/>
        </w:rPr>
        <w:t>调整期初未分配利润明细：</w:t>
      </w:r>
    </w:p>
    <w:p>
      <w:pPr>
        <w:pStyle w:val="BodyText"/>
        <w:spacing w:line="240" w:lineRule="auto" w:before="115"/>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、由于《企业会计准则》及其相关新规定进行追溯调整，影响期初未分配利润元。</w:t>
      </w:r>
    </w:p>
    <w:p>
      <w:pPr>
        <w:pStyle w:val="BodyText"/>
        <w:spacing w:line="240" w:lineRule="auto" w:before="106"/>
        <w:ind w:right="0"/>
        <w:jc w:val="left"/>
      </w:pPr>
      <w:r>
        <w:rPr>
          <w:rFonts w:ascii="Times New Roman" w:hAnsi="Times New Roman" w:cs="Times New Roman" w:eastAsia="Times New Roman" w:hint="default"/>
          <w:spacing w:val="-3"/>
        </w:rPr>
        <w:t>2)</w:t>
      </w:r>
      <w:r>
        <w:rPr>
          <w:spacing w:val="-3"/>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spacing w:val="-3"/>
        </w:rPr>
        <w:t>3)</w:t>
      </w:r>
      <w:r>
        <w:rPr>
          <w:spacing w:val="-3"/>
        </w:rPr>
        <w:t>、由于重大会计差错更正，影响期初未分配利润元。</w:t>
      </w:r>
    </w:p>
    <w:p>
      <w:pPr>
        <w:pStyle w:val="BodyText"/>
        <w:spacing w:line="240" w:lineRule="auto" w:before="101"/>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、由于同一控制导致的合并范围变更，影响期初未分配利润元。</w:t>
      </w:r>
    </w:p>
    <w:p>
      <w:pPr>
        <w:pStyle w:val="BodyText"/>
        <w:spacing w:line="240" w:lineRule="auto" w:before="106"/>
        <w:ind w:right="0"/>
        <w:jc w:val="left"/>
      </w:pPr>
      <w:r>
        <w:rPr>
          <w:rFonts w:ascii="Times New Roman" w:hAnsi="Times New Roman" w:cs="Times New Roman" w:eastAsia="Times New Roman" w:hint="default"/>
          <w:spacing w:val="-3"/>
        </w:rPr>
        <w:t>5)</w:t>
      </w:r>
      <w:r>
        <w:rPr>
          <w:spacing w:val="-3"/>
        </w:rPr>
        <w:t>、其他调整合计影响期初未分配利润元。</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0、营业收入和营业成本" w:id="273"/>
      <w:bookmarkEnd w:id="273"/>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9"/>
        <w:gridCol w:w="1911"/>
        <w:gridCol w:w="1916"/>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499,954,445.71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119,511,934.64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372,052,345.23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91,492,878.91</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15,458.04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499,969,903.75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119,511,934.64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372,052,345.23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91,492,878.91</w:t>
            </w:r>
          </w:p>
        </w:tc>
      </w:tr>
    </w:tbl>
    <w:p>
      <w:pPr>
        <w:pStyle w:val="BodyText"/>
        <w:spacing w:line="240" w:lineRule="auto" w:before="53"/>
        <w:ind w:right="0"/>
        <w:jc w:val="left"/>
      </w:pPr>
      <w:r>
        <w:rPr/>
        <w:t>是否已执行新收入准则</w:t>
      </w:r>
    </w:p>
    <w:p>
      <w:pPr>
        <w:pStyle w:val="BodyText"/>
        <w:spacing w:line="338" w:lineRule="auto" w:before="119"/>
        <w:ind w:right="928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5"/>
        </w:rPr>
        <w:t> </w:t>
      </w:r>
      <w:r>
        <w:rPr/>
        <w:t>其他说明</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1、税金及附加" w:id="274"/>
      <w:bookmarkEnd w:id="274"/>
      <w:r>
        <w:rPr>
          <w:b w:val="0"/>
          <w:bCs w:val="0"/>
        </w:rPr>
      </w:r>
      <w:r>
        <w:rPr>
          <w:rFonts w:ascii="Times New Roman" w:hAnsi="Times New Roman" w:cs="Times New Roman" w:eastAsia="Times New Roman" w:hint="default"/>
        </w:rPr>
        <w:t>31</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2,819,791.85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2,699,382.77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2,009,352.25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1,920,618.24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606,810.72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3,775.22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278,054.47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475,632.06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6,857.80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327.25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5,731,369.56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5,100,433.07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2、销售费用" w:id="275"/>
      <w:bookmarkEnd w:id="275"/>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40,621,423.73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29,979,116.42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63,570.33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63,027.55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16,290,643.29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11,579,939.58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134,488.21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181,364.47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7,273,238.85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4,701,074.31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5,703,630.50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3,663,359.00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1,181,532.41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1,031,904.68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98,301.09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569,862.64</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1,454,275.79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1,425,689.72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110,188.76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113,993.05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1,758,935.34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3,053,760.49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581,572.13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499,073.06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75,271,800.43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56,862,164.97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3、管理费用" w:id="276"/>
      <w:bookmarkEnd w:id="276"/>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22,076,174.98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22,744,175.81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845,533.27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625,725.92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4,294,019.19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7,209,870.88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长期待费用摊销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825,400.36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221,423.64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1,618,741.18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1,781,144.08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1,549,405.51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1,505,496.19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63,731.85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30,802.01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10,239,056.74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9,256,550.74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聘请中介机构费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2,264,642.75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2,221,457.92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1,580,105.52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1,550,990.16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1,475,658.38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1,057,329.96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327,242.29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450,234.18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24,959.28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117,274.51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3,748,137.89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3,757,294.93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网络服务费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37,207.00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86,811.00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825,702.51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400,842.09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7,803,200.00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2,711,450.98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426,393.21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7,008,607.63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6,264,837.67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1,463,090.10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1,225,086.28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68,497,009.64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63,218,798.95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4、研发费用" w:id="277"/>
      <w:bookmarkEnd w:id="277"/>
      <w:r>
        <w:rPr>
          <w:b w:val="0"/>
          <w:bCs w:val="0"/>
        </w:rPr>
      </w:r>
      <w:r>
        <w:rPr>
          <w:rFonts w:ascii="Times New Roman" w:hAnsi="Times New Roman" w:cs="Times New Roman" w:eastAsia="Times New Roman" w:hint="default"/>
        </w:rPr>
        <w:t>34</w:t>
      </w:r>
      <w:r>
        <w:rPr/>
        <w:t>、研发费用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65,943,494.54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48,378,929.79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59,080.46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1,026,847.38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3,025,749.60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2,196,831.84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委外开发费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5,650,094.67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11,451,133.90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621,556.68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502,471.95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2,923,108.54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1,368,800.69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329,855.19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272,401.33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19,105,573.93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5,071,685.00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515,273.86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服务费摊销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115,296.68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1,414,546.56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100,050.96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99,703,630.71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70,369,152.84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5、财务费用" w:id="278"/>
      <w:bookmarkEnd w:id="278"/>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9,952,342.24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2,547,769.46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3,751,711.89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9,134,700.67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293,566.25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202,435.65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6,494,196.60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-6,384,495.56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6、其他收益" w:id="279"/>
      <w:bookmarkEnd w:id="279"/>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23,508,553.82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24,316,801.49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26,050,269.05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19,312,366.90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49,558,822.87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43,629,168.39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7、投资收益" w:id="280"/>
      <w:bookmarkEnd w:id="280"/>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1,248,475.13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-300,903.06</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1,248,020.44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-300,903.06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8、信用减值损失" w:id="281"/>
      <w:bookmarkEnd w:id="281"/>
      <w:r>
        <w:rPr>
          <w:b w:val="0"/>
          <w:bCs w:val="0"/>
        </w:rPr>
      </w:r>
      <w:r>
        <w:rPr>
          <w:rFonts w:ascii="Times New Roman" w:hAnsi="Times New Roman" w:cs="Times New Roman" w:eastAsia="Times New Roman" w:hint="default"/>
        </w:rPr>
        <w:t>38</w:t>
      </w:r>
      <w:r>
        <w:rPr/>
        <w:t>、信用减值损失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-4,414,398.63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-4,414,398.63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9、资产减值损失" w:id="282"/>
      <w:bookmarkEnd w:id="282"/>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-7,956,901.28</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-309,002.17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-132,587.41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-17,566,686.54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-17,875,688.71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-8,089,488.69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40、营业外收入" w:id="283"/>
      <w:bookmarkEnd w:id="283"/>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9,170.07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2,822.37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9,310.07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2,822.37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1、营业外支出" w:id="284"/>
      <w:bookmarkEnd w:id="284"/>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58"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47,696.25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51,431.03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47,696.25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129,852.38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148,206.25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181,283.41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148,206.25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2、所得税费用" w:id="285"/>
      <w:bookmarkEnd w:id="285"/>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286"/>
      <w:bookmarkEnd w:id="28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13,398,158.81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6,696,510.33</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-1,558,686.90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-2,404,862.09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11,839,471.91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4,291,648.24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会计利润与所得税费用调整过程" w:id="287"/>
      <w:bookmarkEnd w:id="28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153,131,334.26</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30,650,335.14</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-849,312.17</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-120,429.37</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-7,687,271.27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10,147,974.40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39,123.98</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4,801,559.98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-8,070,880.22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-17,071,628.56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11,839,471.91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3、现金流量表项目" w:id="288"/>
      <w:bookmarkEnd w:id="288"/>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289"/>
      <w:bookmarkEnd w:id="28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2,487,509.20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9,134,700.67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政府补助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或者研发项目经费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48,888,533.45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20,801,462.12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7,784,864.62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7,215,881.45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职工暂借款及备用金返还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7,611,237.59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6,626,063.56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717,796.00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42,740.00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5,518,198.45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1,066,982.06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73,008,139.31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44,887,829.86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支付的其他与经营活动有关的现金" w:id="290"/>
      <w:bookmarkEnd w:id="29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金融机构手续费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821,460.10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202,435.65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463,421.60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12,433,017.13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5,262,224.23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备用金及职工暂借款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18,755,200.82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6,406,596.27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直接付现的销售费用、管理费用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88,141,459.27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59,717,160.63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预付房租、物业费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10,294,122.28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8,175,820.61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997,356.60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449,915.68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131,906,037.80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80,237,013.07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收到的其他与筹资活动有关的现金" w:id="291"/>
      <w:bookmarkEnd w:id="291"/>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r>
        <w:rPr/>
        <w:pict>
          <v:group style="position:absolute;margin-left:223.300003pt;margin-top:694.630005pt;width:151.25pt;height:20.9pt;mso-position-horizontal-relative:page;mso-position-vertical-relative:page;z-index:-1160776" coordorigin="4466,13893" coordsize="3025,418">
            <v:group style="position:absolute;left:4478;top:13905;width:2;height:394" coordorigin="4478,13905" coordsize="2,394">
              <v:shape style="position:absolute;left:4478;top:13905;width:2;height:394" coordorigin="4478,13905" coordsize="0,394" path="m4478,13905l4478,14298e" filled="false" stroked="true" strokeweight="1.2pt" strokecolor="#ffffff">
                <v:path arrowok="t"/>
              </v:shape>
            </v:group>
            <v:group style="position:absolute;left:4490;top:13905;width:3001;height:394" coordorigin="4490,13905" coordsize="3001,394">
              <v:shape style="position:absolute;left:4490;top:13905;width:3001;height:394" coordorigin="4490,13905" coordsize="3001,394" path="m4490,14298l7491,14298,7491,13905,4490,13905,4490,1429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行权代扣款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40,754,101.45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代扣所得税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49,105.25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40,803,206.70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支付的其他与筹资活动有关的现金" w:id="292"/>
      <w:bookmarkEnd w:id="292"/>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个人股权激励收入税费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5,499,900.50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回购股份支付的现金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150,004,584.16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5,499,900.50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150,004,584.16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4、现金流量表补充资料" w:id="293"/>
      <w:bookmarkEnd w:id="293"/>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294"/>
      <w:bookmarkEnd w:id="29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1039"/>
        <w:gridCol w:w="2029"/>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141,291,862.35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122,168,567.11</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22,290,087.34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8,089,488.69</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1,524,390.29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1,278,644.25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7,217,127.73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8,713,063.24</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141,674.96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170,010.12</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47,696.25</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9,952,342.24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2,547,769.46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025" w:right="0"/>
              <w:jc w:val="left"/>
              <w:rPr>
                <w:rFonts w:ascii="Times New Roman" w:hAnsi="Times New Roman" w:cs="Times New Roman" w:eastAsia="Times New Roman" w:hint="default"/>
                <w:sz w:val="18"/>
                <w:szCs w:val="18"/>
              </w:rPr>
            </w:pPr>
            <w:r>
              <w:rPr>
                <w:rFonts w:ascii="Times New Roman"/>
                <w:sz w:val="18"/>
              </w:rPr>
              <w:t>-1,248,020.44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300,903.06</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-21,051,848.90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-2,333,885.58</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-180,635.00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-70,976.51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39"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962" w:right="0"/>
              <w:jc w:val="left"/>
              <w:rPr>
                <w:rFonts w:ascii="Times New Roman" w:hAnsi="Times New Roman" w:cs="Times New Roman" w:eastAsia="Times New Roman" w:hint="default"/>
                <w:sz w:val="18"/>
                <w:szCs w:val="18"/>
              </w:rPr>
            </w:pPr>
            <w:r>
              <w:rPr>
                <w:rFonts w:ascii="Times New Roman"/>
                <w:sz w:val="18"/>
              </w:rPr>
              <w:t>10,638,243.06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-5,328,899.20</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-120,008,078.59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-45,230,521.04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36,972,792.22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36,351,413.33</w:t>
            </w: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87,587,633.51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126,655,576.93</w:t>
            </w:r>
          </w:p>
        </w:tc>
      </w:tr>
      <w:tr>
        <w:trPr>
          <w:trHeight w:val="161"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347,163,721.89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366,771,293.10</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366,771,293.10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593,679,289.59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-19,607,571.21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-226,907,996.49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支付的取得子公司的现金净额" w:id="295"/>
      <w:bookmarkEnd w:id="29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68"/>
        <w:gridCol w:w="4590"/>
      </w:tblGrid>
      <w:tr>
        <w:trPr>
          <w:trHeight w:val="403"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加：以前期间发生的企业合并于本期支付的现金或现金等价物</w:t>
            </w:r>
          </w:p>
        </w:tc>
        <w:tc>
          <w:tcPr>
            <w:tcW w:w="45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北京泰策科技有限公司</w:t>
            </w:r>
          </w:p>
        </w:tc>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4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90,000,000.00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现金和现金等价物的构成" w:id="296"/>
      <w:bookmarkEnd w:id="29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347,163,721.89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366,771,293.10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40,244.26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44,627.68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347,123,477.63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366,726,665.42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347,163,721.89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366,771,293.10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5、所有权或使用权受到限制的资产" w:id="297"/>
      <w:bookmarkEnd w:id="297"/>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8,770,500.71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8,770,500.71</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46、政府补助" w:id="298"/>
      <w:bookmarkEnd w:id="298"/>
      <w:r>
        <w:rPr>
          <w:b w:val="0"/>
          <w:bCs w:val="0"/>
        </w:rPr>
      </w:r>
      <w:r>
        <w:rPr>
          <w:rFonts w:ascii="Times New Roman" w:hAnsi="Times New Roman" w:cs="Times New Roman" w:eastAsia="Times New Roman" w:hint="default"/>
        </w:rPr>
        <w:t>46</w:t>
      </w:r>
      <w:r>
        <w:rPr/>
        <w:t>、政府补助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299"/>
      <w:bookmarkEnd w:id="29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283"/>
        <w:gridCol w:w="1561"/>
        <w:gridCol w:w="1700"/>
        <w:gridCol w:w="2156"/>
      </w:tblGrid>
      <w:tr>
        <w:trPr>
          <w:trHeight w:val="403" w:hRule="exact"/>
        </w:trPr>
        <w:tc>
          <w:tcPr>
            <w:tcW w:w="4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98"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23,508,553.82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23,508,553.82</w:t>
            </w:r>
          </w:p>
        </w:tc>
      </w:tr>
      <w:tr>
        <w:trPr>
          <w:trHeight w:val="4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年核高基重大专项课题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7,713,318.00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7,713,318.00</w:t>
            </w:r>
          </w:p>
        </w:tc>
      </w:tr>
      <w:tr>
        <w:trPr>
          <w:trHeight w:val="715"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核心电子器件、高端通用芯片及基础软件产品科技重</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大专项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年课题</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5,468,820.00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5,468,820.00</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工业互联网创新发展工程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工业互联网</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APP</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收到中关村科技园区海淀园管理委员会研发费用专项</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补贴款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5"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24"/>
              <w:jc w:val="left"/>
              <w:rPr>
                <w:rFonts w:ascii="宋体" w:hAnsi="宋体" w:cs="宋体" w:eastAsia="宋体" w:hint="default"/>
                <w:sz w:val="18"/>
                <w:szCs w:val="18"/>
              </w:rPr>
            </w:pPr>
            <w:r>
              <w:rPr>
                <w:rFonts w:ascii="宋体" w:hAnsi="宋体" w:cs="宋体" w:eastAsia="宋体" w:hint="default"/>
                <w:spacing w:val="-3"/>
                <w:sz w:val="18"/>
                <w:szCs w:val="18"/>
              </w:rPr>
              <w:t>中关村科技园区丰台园管理委员会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创新十二条</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z w:val="18"/>
                <w:szCs w:val="18"/>
              </w:rPr>
              <w:t>年度支持资金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中关村科技园区海淀园管理委员会政府补助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6"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年中关村提升创新能力优化创新环境支持资金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标</w:t>
            </w:r>
            <w:r>
              <w:rPr>
                <w:rFonts w:ascii="宋体" w:hAnsi="宋体" w:cs="宋体" w:eastAsia="宋体" w:hint="default"/>
                <w:spacing w:val="-43"/>
                <w:sz w:val="18"/>
                <w:szCs w:val="18"/>
              </w:rPr>
              <w:t> </w:t>
            </w:r>
            <w:r>
              <w:rPr>
                <w:rFonts w:ascii="宋体" w:hAnsi="宋体" w:cs="宋体" w:eastAsia="宋体" w:hint="default"/>
                <w:spacing w:val="-3"/>
                <w:sz w:val="18"/>
                <w:szCs w:val="18"/>
              </w:rPr>
              <w:t>准高端推进项目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1,418,500.00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1,418,500.00</w:t>
            </w:r>
          </w:p>
        </w:tc>
      </w:tr>
      <w:tr>
        <w:trPr>
          <w:trHeight w:val="398"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丰台区实施商标品牌战略突出贡献企业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中关村股权交易服务集团有限公司并购政策补贴款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398,660.00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398,660.00</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中关村科技园区管理委员会创新基金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w:t>
            </w:r>
          </w:p>
        </w:tc>
      </w:tr>
      <w:tr>
        <w:trPr>
          <w:trHeight w:val="716"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17"/>
              <w:jc w:val="left"/>
              <w:rPr>
                <w:rFonts w:ascii="宋体" w:hAnsi="宋体" w:cs="宋体" w:eastAsia="宋体" w:hint="default"/>
                <w:sz w:val="18"/>
                <w:szCs w:val="18"/>
              </w:rPr>
            </w:pPr>
            <w:r>
              <w:rPr>
                <w:rFonts w:ascii="宋体" w:hAnsi="宋体" w:cs="宋体" w:eastAsia="宋体" w:hint="default"/>
                <w:sz w:val="18"/>
                <w:szCs w:val="18"/>
              </w:rPr>
              <w:t>北京市市场监督管理局</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年北京市技术标准修订补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0"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标志的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网络防护监管一体化技术体系研究与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实验验证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138,600.00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北京市科技型中小企业技术创新资金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70,562.05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70,562.05</w:t>
            </w:r>
          </w:p>
        </w:tc>
      </w:tr>
      <w:tr>
        <w:trPr>
          <w:trHeight w:val="4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上海财政局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年高新技术企业奖励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98"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无锡高新技术产业开发区管理委员会政府补贴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6"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国家知识产权局专利局北京代办处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年北京专利资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助金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715"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工信部集成化中间件套件产品研发及产业化项目结余</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资金退回</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-112,591.00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-112,591.00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政府补助退回情况" w:id="300"/>
      <w:bookmarkEnd w:id="30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65"/>
        <w:gridCol w:w="1983"/>
        <w:gridCol w:w="2627"/>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21"/>
              <w:jc w:val="right"/>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2"/>
              <w:jc w:val="center"/>
              <w:rPr>
                <w:rFonts w:ascii="宋体" w:hAnsi="宋体" w:cs="宋体" w:eastAsia="宋体" w:hint="default"/>
                <w:sz w:val="18"/>
                <w:szCs w:val="18"/>
              </w:rPr>
            </w:pPr>
            <w:r>
              <w:rPr>
                <w:rFonts w:ascii="宋体" w:hAnsi="宋体" w:cs="宋体" w:eastAsia="宋体" w:hint="default"/>
                <w:spacing w:val="-3"/>
                <w:sz w:val="18"/>
                <w:szCs w:val="18"/>
              </w:rPr>
              <w:t>工信部集成化中间件套件产品研发及产业化项目结余资金退回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89" w:right="0"/>
              <w:jc w:val="left"/>
              <w:rPr>
                <w:rFonts w:ascii="Times New Roman" w:hAnsi="Times New Roman" w:cs="Times New Roman" w:eastAsia="Times New Roman" w:hint="default"/>
                <w:sz w:val="18"/>
                <w:szCs w:val="18"/>
              </w:rPr>
            </w:pPr>
            <w:r>
              <w:rPr>
                <w:rFonts w:ascii="Times New Roman"/>
                <w:sz w:val="18"/>
              </w:rPr>
              <w:t>-112,591.00</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46"/>
              <w:jc w:val="right"/>
              <w:rPr>
                <w:rFonts w:ascii="宋体" w:hAnsi="宋体" w:cs="宋体" w:eastAsia="宋体" w:hint="default"/>
                <w:sz w:val="18"/>
                <w:szCs w:val="18"/>
              </w:rPr>
            </w:pPr>
            <w:r>
              <w:rPr>
                <w:rFonts w:ascii="宋体" w:hAnsi="宋体" w:cs="宋体" w:eastAsia="宋体" w:hint="default"/>
                <w:spacing w:val="-2"/>
                <w:sz w:val="18"/>
                <w:szCs w:val="18"/>
              </w:rPr>
              <w:t>项目结余资金退回</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八、在其他主体中的权益" w:id="301"/>
      <w:bookmarkEnd w:id="301"/>
      <w:r>
        <w:rPr>
          <w:b w:val="0"/>
          <w:bCs w:val="0"/>
        </w:rPr>
      </w:r>
      <w:r>
        <w:rPr/>
        <w:t>八、在其他主体中的权益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02"/>
      <w:bookmarkEnd w:id="30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03"/>
      <w:bookmarkEnd w:id="3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24" w:right="75"/>
              <w:jc w:val="left"/>
              <w:rPr>
                <w:rFonts w:ascii="宋体" w:hAnsi="宋体" w:cs="宋体" w:eastAsia="宋体" w:hint="default"/>
                <w:sz w:val="18"/>
                <w:szCs w:val="18"/>
              </w:rPr>
            </w:pPr>
            <w:r>
              <w:rPr>
                <w:rFonts w:ascii="宋体" w:hAnsi="宋体" w:cs="宋体" w:eastAsia="宋体" w:hint="default"/>
                <w:spacing w:val="-3"/>
                <w:sz w:val="18"/>
                <w:szCs w:val="18"/>
              </w:rPr>
              <w:t>成都东方通科技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成都高新区天府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大道中段</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天府软件园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上海东方通泰软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件科技有限公司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江场三路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北京东方通宇技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北京市海淀区彩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和坊路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0" w:lineRule="auto" w:before="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北京惠捷朗科技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北京市海淀区中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关村南大街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北京数字天堂信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息科技有限责任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北京市海淀区中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关村南大街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 w:right="69"/>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r>
        <w:trPr>
          <w:trHeight w:val="133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4" w:right="75"/>
              <w:jc w:val="left"/>
              <w:rPr>
                <w:rFonts w:ascii="宋体" w:hAnsi="宋体" w:cs="宋体" w:eastAsia="宋体" w:hint="default"/>
                <w:sz w:val="18"/>
                <w:szCs w:val="18"/>
              </w:rPr>
            </w:pPr>
            <w:r>
              <w:rPr>
                <w:rFonts w:ascii="宋体" w:hAnsi="宋体" w:cs="宋体" w:eastAsia="宋体" w:hint="default"/>
                <w:spacing w:val="-3"/>
                <w:sz w:val="18"/>
                <w:szCs w:val="18"/>
              </w:rPr>
              <w:t>东方通科技无锡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无锡市新吴区震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泽路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号无锡软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件园二期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巨蟹</w:t>
            </w:r>
            <w:r>
              <w:rPr>
                <w:rFonts w:ascii="宋体" w:hAnsi="宋体" w:cs="宋体" w:eastAsia="宋体" w:hint="default"/>
                <w:spacing w:val="-73"/>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A-507</w:t>
            </w:r>
            <w:r>
              <w:rPr>
                <w:rFonts w:ascii="宋体" w:hAnsi="宋体" w:cs="宋体" w:eastAsia="宋体" w:hint="default"/>
                <w:sz w:val="18"/>
                <w:szCs w:val="18"/>
              </w:rPr>
              <w:t>、</w:t>
            </w:r>
            <w:r>
              <w:rPr>
                <w:rFonts w:ascii="Times New Roman" w:hAnsi="Times New Roman" w:cs="Times New Roman" w:eastAsia="Times New Roman" w:hint="default"/>
                <w:sz w:val="18"/>
                <w:szCs w:val="18"/>
              </w:rPr>
              <w:t>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北京微智信业科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北京市海淀区中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关村南大街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30"/>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北京泰策科技有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北京市海淀区中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关村南大街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pStyle w:val="TableParagraph"/>
              <w:spacing w:line="24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座</w:t>
            </w: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2202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30"/>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并</w:t>
            </w:r>
          </w:p>
        </w:tc>
      </w:tr>
    </w:tbl>
    <w:p>
      <w:pPr>
        <w:pStyle w:val="BodyText"/>
        <w:spacing w:line="240" w:lineRule="auto" w:before="53"/>
        <w:ind w:right="0"/>
        <w:jc w:val="left"/>
      </w:pPr>
      <w:r>
        <w:rPr>
          <w:spacing w:val="-3"/>
        </w:rPr>
        <w:t>在子公司的持股比例不同于表决权比例的说明：</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57" w:lineRule="auto" w:before="46"/>
        <w:ind w:right="0"/>
        <w:jc w:val="left"/>
      </w:pPr>
      <w:r>
        <w:rPr>
          <w:spacing w:val="-3"/>
        </w:rPr>
        <w:t>持有半数或以下表决权但仍控制被投资单位、以及持有半数以上表决权但不控制被投资单位的依据：</w:t>
      </w:r>
      <w:r>
        <w:rPr>
          <w:spacing w:val="38"/>
        </w:rPr>
        <w:t> </w:t>
      </w:r>
      <w:r>
        <w:rPr>
          <w:spacing w:val="38"/>
        </w:rPr>
      </w:r>
      <w:r>
        <w:rPr>
          <w:spacing w:val="-3"/>
        </w:rPr>
        <w:t>对于纳入合并范围的重要的结构化主体，控制的依据：</w:t>
      </w:r>
    </w:p>
    <w:p>
      <w:pPr>
        <w:pStyle w:val="BodyText"/>
        <w:spacing w:line="357" w:lineRule="auto" w:before="31"/>
        <w:ind w:right="7272"/>
        <w:jc w:val="left"/>
      </w:pPr>
      <w:r>
        <w:rPr>
          <w:spacing w:val="-3"/>
        </w:rPr>
        <w:t>确定公司是代理人还是委托人的依据：</w:t>
      </w:r>
      <w:r>
        <w:rPr>
          <w:spacing w:val="-39"/>
        </w:rPr>
        <w:t> </w:t>
      </w:r>
      <w:r>
        <w:rPr>
          <w:spacing w:val="-39"/>
        </w:rPr>
      </w:r>
      <w:r>
        <w:rPr/>
        <w:t>其他说明：</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2、在合营安排或联营企业中的权益" w:id="304"/>
      <w:bookmarkEnd w:id="304"/>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05"/>
      <w:bookmarkEnd w:id="30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北京核高基软件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北京市海淀区北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四环西路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2108-212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基础软件应用软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件服务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杭州清响投资管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理合伙企业（有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杭州市余杭区仓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前街道景兴路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999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4"/>
        <w:ind w:right="0"/>
        <w:jc w:val="left"/>
      </w:pPr>
      <w:r>
        <w:rPr>
          <w:spacing w:val="-3"/>
        </w:rPr>
        <w:t>在合营企业或联营企业的持股比例不同于表决权比例的说明：</w:t>
      </w:r>
    </w:p>
    <w:p>
      <w:pPr>
        <w:pStyle w:val="BodyText"/>
        <w:spacing w:line="240" w:lineRule="auto" w:before="119"/>
        <w:ind w:right="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重要联营企业的主要财务信息" w:id="306"/>
      <w:bookmarkEnd w:id="306"/>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4"/>
        <w:gridCol w:w="1417"/>
        <w:gridCol w:w="1988"/>
        <w:gridCol w:w="1561"/>
        <w:gridCol w:w="1916"/>
      </w:tblGrid>
      <w:tr>
        <w:trPr>
          <w:trHeight w:val="398"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4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9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82" w:hRule="exact"/>
        </w:trPr>
        <w:tc>
          <w:tcPr>
            <w:tcW w:w="2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53"/>
              <w:ind w:left="163" w:right="156" w:firstLine="91"/>
              <w:jc w:val="left"/>
              <w:rPr>
                <w:rFonts w:ascii="宋体" w:hAnsi="宋体" w:cs="宋体" w:eastAsia="宋体" w:hint="default"/>
                <w:sz w:val="18"/>
                <w:szCs w:val="18"/>
              </w:rPr>
            </w:pPr>
            <w:r>
              <w:rPr>
                <w:rFonts w:ascii="宋体" w:hAnsi="宋体" w:cs="宋体" w:eastAsia="宋体" w:hint="default"/>
                <w:sz w:val="18"/>
                <w:szCs w:val="18"/>
              </w:rPr>
              <w:t>北京核高基</w:t>
            </w:r>
            <w:r>
              <w:rPr>
                <w:rFonts w:ascii="宋体" w:hAnsi="宋体" w:cs="宋体" w:eastAsia="宋体" w:hint="default"/>
                <w:w w:val="101"/>
                <w:sz w:val="18"/>
                <w:szCs w:val="18"/>
              </w:rPr>
              <w:t> </w:t>
            </w:r>
            <w:r>
              <w:rPr>
                <w:rFonts w:ascii="宋体" w:hAnsi="宋体" w:cs="宋体" w:eastAsia="宋体" w:hint="default"/>
                <w:spacing w:val="-2"/>
                <w:sz w:val="18"/>
                <w:szCs w:val="18"/>
              </w:rPr>
              <w:t>软件有限公司</w:t>
            </w:r>
          </w:p>
        </w:tc>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73" w:right="80" w:hanging="183"/>
              <w:jc w:val="left"/>
              <w:rPr>
                <w:rFonts w:ascii="宋体" w:hAnsi="宋体" w:cs="宋体" w:eastAsia="宋体" w:hint="default"/>
                <w:sz w:val="18"/>
                <w:szCs w:val="18"/>
              </w:rPr>
            </w:pPr>
            <w:r>
              <w:rPr>
                <w:rFonts w:ascii="宋体" w:hAnsi="宋体" w:cs="宋体" w:eastAsia="宋体" w:hint="default"/>
                <w:spacing w:val="-2"/>
                <w:sz w:val="18"/>
                <w:szCs w:val="18"/>
              </w:rPr>
              <w:t>杭州清响投资管理合伙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企业（有限合伙）</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362" w:lineRule="auto" w:before="53"/>
              <w:ind w:left="235" w:right="228" w:firstLine="91"/>
              <w:jc w:val="left"/>
              <w:rPr>
                <w:rFonts w:ascii="宋体" w:hAnsi="宋体" w:cs="宋体" w:eastAsia="宋体" w:hint="default"/>
                <w:sz w:val="18"/>
                <w:szCs w:val="18"/>
              </w:rPr>
            </w:pPr>
            <w:r>
              <w:rPr>
                <w:rFonts w:ascii="宋体" w:hAnsi="宋体" w:cs="宋体" w:eastAsia="宋体" w:hint="default"/>
                <w:sz w:val="18"/>
                <w:szCs w:val="18"/>
              </w:rPr>
              <w:t>北京核高基</w:t>
            </w:r>
            <w:r>
              <w:rPr>
                <w:rFonts w:ascii="宋体" w:hAnsi="宋体" w:cs="宋体" w:eastAsia="宋体" w:hint="default"/>
                <w:w w:val="101"/>
                <w:sz w:val="18"/>
                <w:szCs w:val="18"/>
              </w:rPr>
              <w:t> </w:t>
            </w:r>
            <w:r>
              <w:rPr>
                <w:rFonts w:ascii="宋体" w:hAnsi="宋体" w:cs="宋体" w:eastAsia="宋体" w:hint="default"/>
                <w:spacing w:val="-2"/>
                <w:sz w:val="18"/>
                <w:szCs w:val="18"/>
              </w:rPr>
              <w:t>软件有限公司</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230" w:right="46" w:hanging="178"/>
              <w:jc w:val="left"/>
              <w:rPr>
                <w:rFonts w:ascii="宋体" w:hAnsi="宋体" w:cs="宋体" w:eastAsia="宋体" w:hint="default"/>
                <w:sz w:val="18"/>
                <w:szCs w:val="18"/>
              </w:rPr>
            </w:pPr>
            <w:r>
              <w:rPr>
                <w:rFonts w:ascii="宋体" w:hAnsi="宋体" w:cs="宋体" w:eastAsia="宋体" w:hint="default"/>
                <w:spacing w:val="-2"/>
                <w:sz w:val="18"/>
                <w:szCs w:val="18"/>
              </w:rPr>
              <w:t>杭州清响投资管理合伙</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企业（有限合伙）</w:t>
            </w:r>
          </w:p>
        </w:tc>
      </w:tr>
      <w:tr>
        <w:trPr>
          <w:trHeight w:val="394" w:hRule="exact"/>
        </w:trPr>
        <w:tc>
          <w:tcPr>
            <w:tcW w:w="2694"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1988" w:type="dxa"/>
            <w:vMerge/>
            <w:tcBorders>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80" w:hRule="exact"/>
        </w:trPr>
        <w:tc>
          <w:tcPr>
            <w:tcW w:w="2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988"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14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1"/>
                <w:sz w:val="18"/>
              </w:rPr>
              <w:t>236,461.73</w:t>
            </w:r>
          </w:p>
        </w:tc>
        <w:tc>
          <w:tcPr>
            <w:tcW w:w="19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3"/>
              <w:jc w:val="right"/>
              <w:rPr>
                <w:rFonts w:ascii="Times New Roman" w:hAnsi="Times New Roman" w:cs="Times New Roman" w:eastAsia="Times New Roman" w:hint="default"/>
                <w:sz w:val="18"/>
                <w:szCs w:val="18"/>
              </w:rPr>
            </w:pPr>
            <w:r>
              <w:rPr>
                <w:rFonts w:ascii="Times New Roman"/>
                <w:spacing w:val="-1"/>
                <w:sz w:val="18"/>
              </w:rPr>
              <w:t>88,617,357.16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250,098.96</w:t>
            </w:r>
          </w:p>
        </w:tc>
        <w:tc>
          <w:tcPr>
            <w:tcW w:w="191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pacing w:val="-1"/>
                <w:sz w:val="18"/>
              </w:rPr>
              <w:t>67,355,244.80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按持股比例计算的净利润</w:t>
            </w:r>
          </w:p>
        </w:tc>
        <w:tc>
          <w:tcPr>
            <w:tcW w:w="14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-13,637.23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1,262,112.36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-295,932.50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按持股比例计算的综合收益总额</w:t>
            </w:r>
          </w:p>
        </w:tc>
        <w:tc>
          <w:tcPr>
            <w:tcW w:w="14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-13,637.23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1,262,112.36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-295,932.50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九、关联方及关联交易" w:id="307"/>
      <w:bookmarkEnd w:id="307"/>
      <w:r>
        <w:rPr>
          <w:b w:val="0"/>
          <w:bCs w:val="0"/>
        </w:rPr>
      </w: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企业合营和联营企业情况" w:id="308"/>
      <w:bookmarkEnd w:id="308"/>
      <w:r>
        <w:rPr>
          <w:b w:val="0"/>
          <w:bCs w:val="0"/>
        </w:rPr>
      </w:r>
      <w:r>
        <w:rPr>
          <w:rFonts w:ascii="Times New Roman" w:hAnsi="Times New Roman" w:cs="Times New Roman" w:eastAsia="Times New Roman" w:hint="default"/>
        </w:rPr>
        <w:t>1</w:t>
      </w:r>
      <w:r>
        <w:rPr/>
        <w:t>、本企业合营和联营企业情况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0"/>
        <w:jc w:val="left"/>
      </w:pPr>
      <w:r>
        <w:rPr>
          <w:spacing w:val="-3"/>
        </w:rPr>
        <w:t>本企业重要的合营或联营企业详见附注。</w:t>
      </w:r>
      <w:r>
        <w:rPr>
          <w:spacing w:val="-33"/>
        </w:rPr>
        <w:t> </w:t>
      </w:r>
      <w:r>
        <w:rPr>
          <w:spacing w:val="-33"/>
        </w:rPr>
      </w:r>
      <w:r>
        <w:rPr>
          <w:spacing w:val="-3"/>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北京核高基软件有限公司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杭州清响投资管理合伙企业（有限合伙）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2、其他关联方情况" w:id="309"/>
      <w:bookmarkEnd w:id="309"/>
      <w:r>
        <w:rPr>
          <w:b w:val="0"/>
          <w:bCs w:val="0"/>
        </w:rPr>
      </w:r>
      <w:r>
        <w:rPr>
          <w:rFonts w:ascii="Times New Roman" w:hAnsi="Times New Roman" w:cs="Times New Roman" w:eastAsia="Times New Roman" w:hint="default"/>
        </w:rPr>
        <w:t>2</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238"/>
        <w:gridCol w:w="3332"/>
      </w:tblGrid>
      <w:tr>
        <w:trPr>
          <w:trHeight w:val="403" w:hRule="exact"/>
        </w:trPr>
        <w:tc>
          <w:tcPr>
            <w:tcW w:w="6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2"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本公司董事、监事、高级管理人员、主要投资者及其关系密切的家庭成员等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3、关联交易情况" w:id="310"/>
      <w:bookmarkEnd w:id="310"/>
      <w:r>
        <w:rPr>
          <w:b w:val="0"/>
          <w:bCs w:val="0"/>
        </w:rPr>
      </w:r>
      <w:r>
        <w:rPr>
          <w:rFonts w:ascii="Times New Roman" w:hAnsi="Times New Roman" w:cs="Times New Roman" w:eastAsia="Times New Roman" w:hint="default"/>
        </w:rPr>
        <w:t>3</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关键管理人员报酬" w:id="311"/>
      <w:bookmarkEnd w:id="311"/>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4,840,400.00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5,903,100.00</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股份支付" w:id="312"/>
      <w:bookmarkEnd w:id="312"/>
      <w:r>
        <w:rPr>
          <w:b w:val="0"/>
          <w:bCs w:val="0"/>
        </w:rPr>
      </w:r>
      <w:r>
        <w:rPr/>
        <w:t>十、股份支付</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股份支付总体情况" w:id="313"/>
      <w:bookmarkEnd w:id="31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4,264,000.00</w:t>
            </w:r>
          </w:p>
        </w:tc>
      </w:tr>
      <w:tr>
        <w:trPr>
          <w:trHeight w:val="39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授予的股票期权行权价格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53"/>
        <w:ind w:right="0"/>
        <w:jc w:val="left"/>
      </w:pPr>
      <w:r>
        <w:rPr/>
        <w:t>其他说明</w:t>
      </w:r>
    </w:p>
    <w:p>
      <w:pPr>
        <w:pStyle w:val="Heading6"/>
        <w:spacing w:line="240" w:lineRule="auto" w:before="119"/>
        <w:ind w:right="0"/>
        <w:jc w:val="left"/>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年股票期权激励计划：</w:t>
      </w:r>
      <w:r>
        <w:rPr>
          <w:b w:val="0"/>
          <w:bCs w:val="0"/>
        </w:rPr>
      </w:r>
    </w:p>
    <w:p>
      <w:pPr>
        <w:pStyle w:val="BodyText"/>
        <w:spacing w:line="240" w:lineRule="auto" w:before="101"/>
        <w:ind w:left="513" w:right="0"/>
        <w:jc w:val="left"/>
      </w:pPr>
      <w:r>
        <w:rPr>
          <w:rFonts w:ascii="Times New Roman" w:hAnsi="Times New Roman" w:cs="Times New Roman" w:eastAsia="Times New Roman" w:hint="default"/>
        </w:rPr>
        <w:t>2018   </w:t>
      </w:r>
      <w:r>
        <w:rPr>
          <w:spacing w:val="-5"/>
        </w:rPr>
        <w:t>年度，公司授予的各项权益工具总额：</w:t>
      </w:r>
      <w:r>
        <w:rPr>
          <w:rFonts w:ascii="Times New Roman" w:hAnsi="Times New Roman" w:cs="Times New Roman" w:eastAsia="Times New Roman" w:hint="default"/>
          <w:spacing w:val="-5"/>
        </w:rPr>
        <w:t>1,198.00   </w:t>
      </w:r>
      <w:r>
        <w:rPr>
          <w:spacing w:val="-7"/>
        </w:rPr>
        <w:t>万股；行权的各项权益工具总额：</w:t>
      </w:r>
      <w:r>
        <w:rPr>
          <w:rFonts w:ascii="Times New Roman" w:hAnsi="Times New Roman" w:cs="Times New Roman" w:eastAsia="Times New Roman" w:hint="default"/>
          <w:spacing w:val="-7"/>
        </w:rPr>
        <w:t>0</w:t>
      </w:r>
      <w:r>
        <w:rPr>
          <w:spacing w:val="-7"/>
        </w:rPr>
        <w:t>。失效的各项权益工具总额：</w:t>
      </w:r>
      <w:r>
        <w:rPr>
          <w:rFonts w:ascii="Times New Roman" w:hAnsi="Times New Roman" w:cs="Times New Roman" w:eastAsia="Times New Roman" w:hint="default"/>
          <w:spacing w:val="-7"/>
        </w:rPr>
        <w:t>0</w:t>
      </w:r>
      <w:r>
        <w:rPr>
          <w:spacing w:val="-7"/>
        </w:rPr>
        <w:t>。</w:t>
      </w:r>
    </w:p>
    <w:p>
      <w:pPr>
        <w:pStyle w:val="BodyText"/>
        <w:spacing w:line="240" w:lineRule="auto" w:before="101"/>
        <w:ind w:left="513" w:right="0"/>
        <w:jc w:val="left"/>
      </w:pPr>
      <w:r>
        <w:rPr/>
        <w:t>公司 </w:t>
      </w:r>
      <w:r>
        <w:rPr>
          <w:rFonts w:ascii="Times New Roman" w:hAnsi="Times New Roman" w:cs="Times New Roman" w:eastAsia="Times New Roman" w:hint="default"/>
        </w:rPr>
        <w:t>2018 </w:t>
      </w:r>
      <w:r>
        <w:rPr>
          <w:spacing w:val="-3"/>
        </w:rPr>
        <w:t>年末发行在外的股份期权行权价格的范围：本次授予的股票期权的行权价格 </w:t>
      </w:r>
      <w:r>
        <w:rPr>
          <w:rFonts w:ascii="Times New Roman" w:hAnsi="Times New Roman" w:cs="Times New Roman" w:eastAsia="Times New Roman" w:hint="default"/>
        </w:rPr>
        <w:t>15.06</w:t>
      </w:r>
      <w:r>
        <w:rPr>
          <w:rFonts w:ascii="Times New Roman" w:hAnsi="Times New Roman" w:cs="Times New Roman" w:eastAsia="Times New Roman" w:hint="default"/>
          <w:spacing w:val="16"/>
        </w:rPr>
        <w:t> </w:t>
      </w:r>
      <w:r>
        <w:rPr/>
        <w:t>元。</w:t>
      </w:r>
    </w:p>
    <w:p>
      <w:pPr>
        <w:pStyle w:val="BodyText"/>
        <w:spacing w:line="240" w:lineRule="auto" w:before="106"/>
        <w:ind w:left="513" w:right="0"/>
        <w:jc w:val="left"/>
      </w:pPr>
      <w:r>
        <w:rPr>
          <w:rFonts w:ascii="Times New Roman" w:hAnsi="Times New Roman" w:cs="Times New Roman" w:eastAsia="Times New Roman" w:hint="default"/>
        </w:rPr>
        <w:t>2019  </w:t>
      </w:r>
      <w:r>
        <w:rPr>
          <w:spacing w:val="-3"/>
        </w:rPr>
        <w:t>年度，行权的各项权益工具总额：</w:t>
      </w:r>
      <w:r>
        <w:rPr>
          <w:rFonts w:ascii="Times New Roman" w:hAnsi="Times New Roman" w:cs="Times New Roman" w:eastAsia="Times New Roman" w:hint="default"/>
          <w:spacing w:val="-3"/>
        </w:rPr>
        <w:t>426.40  </w:t>
      </w:r>
      <w:r>
        <w:rPr>
          <w:spacing w:val="-3"/>
        </w:rPr>
        <w:t>万股。失效的各项权益工具总额：</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29"/>
        </w:rPr>
        <w:t> </w:t>
      </w:r>
      <w:r>
        <w:rPr/>
        <w:t>万股。</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314"/>
      <w:bookmarkEnd w:id="31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102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4" w:right="46"/>
              <w:jc w:val="both"/>
              <w:rPr>
                <w:rFonts w:ascii="宋体" w:hAnsi="宋体" w:cs="宋体" w:eastAsia="宋体" w:hint="default"/>
                <w:sz w:val="18"/>
                <w:szCs w:val="18"/>
              </w:rPr>
            </w:pPr>
            <w:r>
              <w:rPr>
                <w:rFonts w:ascii="宋体" w:hAnsi="宋体" w:cs="宋体" w:eastAsia="宋体" w:hint="default"/>
                <w:spacing w:val="-3"/>
                <w:sz w:val="18"/>
                <w:szCs w:val="18"/>
              </w:rPr>
              <w:t>在等待期的每个资产负债表日，根据最新取得的可行权人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数变动、业绩指标完成情况等信息，修正预计可行权的股</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票期权数量</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10,839,800.00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7,803,200.00</w:t>
            </w:r>
          </w:p>
        </w:tc>
      </w:tr>
    </w:tbl>
    <w:p>
      <w:pPr>
        <w:pStyle w:val="BodyText"/>
        <w:spacing w:line="240" w:lineRule="auto" w:before="53"/>
        <w:ind w:right="0"/>
        <w:jc w:val="left"/>
      </w:pPr>
      <w:r>
        <w:rPr/>
        <w:t>其他说明</w:t>
      </w:r>
    </w:p>
    <w:p>
      <w:pPr>
        <w:spacing w:line="343" w:lineRule="auto" w:before="115"/>
        <w:ind w:left="513" w:right="57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 </w:t>
      </w:r>
      <w:r>
        <w:rPr>
          <w:rFonts w:ascii="宋体" w:hAnsi="宋体" w:cs="宋体" w:eastAsia="宋体" w:hint="default"/>
          <w:b/>
          <w:bCs/>
          <w:sz w:val="18"/>
          <w:szCs w:val="18"/>
        </w:rPr>
        <w:t>年股票期权激励计划：</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3"/>
          <w:sz w:val="18"/>
          <w:szCs w:val="18"/>
        </w:rPr>
        <w:t>授予日权益工具公允价值的确定方法：</w:t>
      </w:r>
      <w:r>
        <w:rPr>
          <w:rFonts w:ascii="Times New Roman" w:hAnsi="Times New Roman" w:cs="Times New Roman" w:eastAsia="Times New Roman" w:hint="default"/>
          <w:spacing w:val="-3"/>
          <w:sz w:val="18"/>
          <w:szCs w:val="18"/>
        </w:rPr>
        <w:t>Black-Scholes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p>
      <w:pPr>
        <w:pStyle w:val="BodyText"/>
        <w:spacing w:line="321" w:lineRule="auto" w:before="10"/>
        <w:ind w:right="0" w:firstLine="360"/>
        <w:jc w:val="left"/>
      </w:pPr>
      <w:r>
        <w:rPr>
          <w:spacing w:val="-4"/>
        </w:rPr>
        <w:t>对可行权权益工具数量的最佳估计的确定方法：在等待期的每个资产负债表日，根据最新取得的可行权人数变动、业绩</w:t>
      </w:r>
      <w:r>
        <w:rPr>
          <w:w w:val="101"/>
        </w:rPr>
        <w:t> </w:t>
      </w:r>
      <w:r>
        <w:rPr>
          <w:spacing w:val="-3"/>
        </w:rPr>
        <w:t>指标完成情况等信息，修正预计可行权的股票期权数量</w:t>
      </w:r>
    </w:p>
    <w:p>
      <w:pPr>
        <w:pStyle w:val="BodyText"/>
        <w:spacing w:line="343" w:lineRule="auto" w:before="53"/>
        <w:ind w:left="513" w:right="2475"/>
        <w:jc w:val="left"/>
      </w:pPr>
      <w:r>
        <w:rPr>
          <w:rFonts w:ascii="Times New Roman" w:hAnsi="Times New Roman" w:cs="Times New Roman" w:eastAsia="Times New Roman" w:hint="default"/>
        </w:rPr>
        <w:t>2018 </w:t>
      </w:r>
      <w:r>
        <w:rPr>
          <w:spacing w:val="-3"/>
        </w:rPr>
        <w:t>年度以权益结算的股份支付计入资本公积的累计金额：</w:t>
      </w:r>
      <w:r>
        <w:rPr>
          <w:rFonts w:ascii="Times New Roman" w:hAnsi="Times New Roman" w:cs="Times New Roman" w:eastAsia="Times New Roman" w:hint="default"/>
          <w:spacing w:val="-3"/>
        </w:rPr>
        <w:t>303.66 </w:t>
      </w:r>
      <w:r>
        <w:rPr/>
        <w:t>万元。</w:t>
      </w:r>
      <w:r>
        <w:rPr>
          <w:spacing w:val="-85"/>
        </w:rPr>
        <w:t> </w:t>
      </w:r>
      <w:r>
        <w:rPr>
          <w:spacing w:val="-85"/>
        </w:rPr>
      </w:r>
      <w:r>
        <w:rPr>
          <w:spacing w:val="-2"/>
        </w:rPr>
        <w:t>以权益结算的股份支付确认的费用总额：</w:t>
      </w:r>
      <w:r>
        <w:rPr>
          <w:rFonts w:ascii="Times New Roman" w:hAnsi="Times New Roman" w:cs="Times New Roman" w:eastAsia="Times New Roman" w:hint="default"/>
          <w:spacing w:val="-2"/>
        </w:rPr>
        <w:t>303.66</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万元。</w:t>
      </w:r>
    </w:p>
    <w:p>
      <w:pPr>
        <w:pStyle w:val="BodyText"/>
        <w:spacing w:line="338" w:lineRule="auto" w:before="16"/>
        <w:ind w:left="513" w:right="2475"/>
        <w:jc w:val="left"/>
      </w:pPr>
      <w:r>
        <w:rPr>
          <w:rFonts w:ascii="Times New Roman" w:hAnsi="Times New Roman" w:cs="Times New Roman" w:eastAsia="Times New Roman" w:hint="default"/>
        </w:rPr>
        <w:t>2019 </w:t>
      </w:r>
      <w:r>
        <w:rPr>
          <w:spacing w:val="-3"/>
        </w:rPr>
        <w:t>年度以权益结算的股份支付计入资本公积的累计金额：</w:t>
      </w:r>
      <w:r>
        <w:rPr>
          <w:rFonts w:ascii="Times New Roman" w:hAnsi="Times New Roman" w:cs="Times New Roman" w:eastAsia="Times New Roman" w:hint="default"/>
          <w:spacing w:val="-3"/>
        </w:rPr>
        <w:t>780.32 </w:t>
      </w:r>
      <w:r>
        <w:rPr/>
        <w:t>元。</w:t>
      </w:r>
      <w:r>
        <w:rPr>
          <w:spacing w:val="-83"/>
        </w:rPr>
        <w:t> </w:t>
      </w:r>
      <w:r>
        <w:rPr>
          <w:spacing w:val="-2"/>
        </w:rPr>
        <w:t>以权益结算的股份支付确认的费用总额：</w:t>
      </w:r>
      <w:r>
        <w:rPr>
          <w:rFonts w:ascii="Times New Roman" w:hAnsi="Times New Roman" w:cs="Times New Roman" w:eastAsia="Times New Roman" w:hint="default"/>
          <w:spacing w:val="-2"/>
        </w:rPr>
        <w:t>780.32</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万元。</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bookmarkStart w:name="十一、资产负债表日后事项" w:id="315"/>
      <w:bookmarkEnd w:id="315"/>
      <w:r>
        <w:rPr>
          <w:b w:val="0"/>
          <w:bCs w:val="0"/>
        </w:rPr>
      </w:r>
      <w:r>
        <w:rPr/>
        <w:t>十一、资产负债表日后事项</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其他资产负债表日后事项说明" w:id="316"/>
      <w:bookmarkEnd w:id="316"/>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w:t>
      </w:r>
      <w:r>
        <w:rPr>
          <w:spacing w:val="-30"/>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spacing w:val="-3"/>
        </w:rPr>
        <w:t>日，本公司注册成立了全资子公司北京东方通软件有限公司，注册资本</w:t>
      </w:r>
      <w:r>
        <w:rPr>
          <w:spacing w:val="-29"/>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亿元，注册地址为北京</w:t>
      </w:r>
    </w:p>
    <w:p>
      <w:pPr>
        <w:pStyle w:val="BodyText"/>
        <w:spacing w:line="312" w:lineRule="auto" w:before="63"/>
        <w:ind w:right="1132"/>
        <w:jc w:val="both"/>
      </w:pPr>
      <w:r>
        <w:rPr>
          <w:spacing w:val="-3"/>
        </w:rPr>
        <w:t>市北京经济技术开发区科谷一街</w:t>
      </w:r>
      <w:r>
        <w:rPr>
          <w:spacing w:val="-29"/>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号院</w:t>
      </w:r>
      <w:r>
        <w:rPr>
          <w:spacing w:val="-29"/>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号楼</w:t>
      </w:r>
      <w:r>
        <w:rPr>
          <w:spacing w:val="-29"/>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层</w:t>
      </w:r>
      <w:r>
        <w:rPr>
          <w:spacing w:val="-36"/>
        </w:rPr>
        <w:t> </w:t>
      </w:r>
      <w:r>
        <w:rPr>
          <w:rFonts w:ascii="Times New Roman" w:hAnsi="Times New Roman" w:cs="Times New Roman" w:eastAsia="Times New Roman" w:hint="default"/>
        </w:rPr>
        <w:t>1201</w:t>
      </w:r>
      <w:r>
        <w:rPr>
          <w:rFonts w:ascii="Times New Roman" w:hAnsi="Times New Roman" w:cs="Times New Roman" w:eastAsia="Times New Roman" w:hint="default"/>
          <w:spacing w:val="16"/>
        </w:rPr>
        <w:t> </w:t>
      </w:r>
      <w:r>
        <w:rPr>
          <w:spacing w:val="-3"/>
        </w:rPr>
        <w:t>室，经营范围为软件开发；技术推广服务；销售计算机、软件及</w:t>
      </w:r>
      <w:r>
        <w:rPr>
          <w:spacing w:val="-84"/>
        </w:rPr>
        <w:t> </w:t>
      </w:r>
      <w:r>
        <w:rPr>
          <w:spacing w:val="-84"/>
        </w:rPr>
      </w:r>
      <w:r>
        <w:rPr>
          <w:spacing w:val="-5"/>
          <w:w w:val="101"/>
        </w:rPr>
        <w:t>辅助设备；计算机系统服务。（企业依法自主选择经营项目，开展经营活动；依法须经批准的项目，经相关部门批准后依批</w:t>
      </w:r>
      <w:r>
        <w:rPr>
          <w:spacing w:val="-43"/>
          <w:w w:val="101"/>
        </w:rPr>
        <w:t> </w:t>
      </w:r>
      <w:r>
        <w:rPr>
          <w:spacing w:val="-43"/>
          <w:w w:val="101"/>
        </w:rPr>
      </w:r>
      <w:r>
        <w:rPr>
          <w:spacing w:val="-8"/>
          <w:w w:val="101"/>
        </w:rPr>
        <w:t>准的内容开展经营活动；不得从事本市产业政策禁止和限制类项目的经营活动。）。</w:t>
      </w:r>
      <w:r>
        <w:rPr>
          <w:spacing w:val="-8"/>
        </w:rPr>
      </w:r>
    </w:p>
    <w:p>
      <w:pPr>
        <w:pStyle w:val="BodyText"/>
        <w:spacing w:line="240" w:lineRule="auto" w:before="56"/>
        <w:ind w:left="513" w:right="0"/>
        <w:jc w:val="left"/>
      </w:pPr>
      <w:r>
        <w:rPr>
          <w:w w:val="101"/>
        </w:rPr>
        <w:t>（</w:t>
      </w:r>
      <w:r>
        <w:rPr>
          <w:rFonts w:ascii="Times New Roman" w:hAnsi="Times New Roman" w:cs="Times New Roman" w:eastAsia="Times New Roman" w:hint="default"/>
          <w:w w:val="101"/>
        </w:rPr>
        <w:t>2</w:t>
      </w:r>
      <w:r>
        <w:rPr>
          <w:spacing w:val="-5"/>
          <w:w w:val="101"/>
        </w:rPr>
        <w:t>）</w:t>
      </w:r>
      <w:r>
        <w:rPr>
          <w:rFonts w:ascii="Times New Roman" w:hAnsi="Times New Roman" w:cs="Times New Roman" w:eastAsia="Times New Roman" w:hint="default"/>
          <w:w w:val="101"/>
        </w:rPr>
        <w:t>2020</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年</w:t>
      </w:r>
      <w:r>
        <w:rPr>
          <w:spacing w:val="-4"/>
        </w:rPr>
        <w:t> </w:t>
      </w:r>
      <w:r>
        <w:rPr>
          <w:rFonts w:ascii="Times New Roman" w:hAnsi="Times New Roman" w:cs="Times New Roman" w:eastAsia="Times New Roman" w:hint="default"/>
          <w:w w:val="101"/>
        </w:rPr>
        <w:t>4</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1"/>
        </w:rPr>
        <w:t>月</w:t>
      </w:r>
      <w:r>
        <w:rPr>
          <w:spacing w:val="-4"/>
        </w:rPr>
        <w:t> </w:t>
      </w:r>
      <w:r>
        <w:rPr>
          <w:rFonts w:ascii="Times New Roman" w:hAnsi="Times New Roman" w:cs="Times New Roman" w:eastAsia="Times New Roman" w:hint="default"/>
          <w:w w:val="101"/>
        </w:rPr>
        <w:t>23</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日</w:t>
      </w:r>
      <w:r>
        <w:rPr>
          <w:spacing w:val="-5"/>
          <w:w w:val="101"/>
        </w:rPr>
        <w:t>，</w:t>
      </w:r>
      <w:r>
        <w:rPr>
          <w:w w:val="101"/>
        </w:rPr>
        <w:t>公</w:t>
      </w:r>
      <w:r>
        <w:rPr>
          <w:spacing w:val="-5"/>
          <w:w w:val="101"/>
        </w:rPr>
        <w:t>司</w:t>
      </w:r>
      <w:r>
        <w:rPr>
          <w:w w:val="101"/>
        </w:rPr>
        <w:t>收</w:t>
      </w:r>
      <w:r>
        <w:rPr>
          <w:spacing w:val="-5"/>
          <w:w w:val="101"/>
        </w:rPr>
        <w:t>到</w:t>
      </w:r>
      <w:r>
        <w:rPr>
          <w:w w:val="101"/>
        </w:rPr>
        <w:t>中</w:t>
      </w:r>
      <w:r>
        <w:rPr>
          <w:spacing w:val="-5"/>
          <w:w w:val="101"/>
        </w:rPr>
        <w:t>国</w:t>
      </w:r>
      <w:r>
        <w:rPr>
          <w:w w:val="101"/>
        </w:rPr>
        <w:t>证</w:t>
      </w:r>
      <w:r>
        <w:rPr>
          <w:spacing w:val="-5"/>
          <w:w w:val="101"/>
        </w:rPr>
        <w:t>券</w:t>
      </w:r>
      <w:r>
        <w:rPr>
          <w:w w:val="101"/>
        </w:rPr>
        <w:t>登</w:t>
      </w:r>
      <w:r>
        <w:rPr>
          <w:spacing w:val="-5"/>
          <w:w w:val="101"/>
        </w:rPr>
        <w:t>记</w:t>
      </w:r>
      <w:r>
        <w:rPr>
          <w:w w:val="101"/>
        </w:rPr>
        <w:t>结</w:t>
      </w:r>
      <w:r>
        <w:rPr>
          <w:spacing w:val="-5"/>
          <w:w w:val="101"/>
        </w:rPr>
        <w:t>算</w:t>
      </w:r>
      <w:r>
        <w:rPr>
          <w:w w:val="101"/>
        </w:rPr>
        <w:t>有</w:t>
      </w:r>
      <w:r>
        <w:rPr>
          <w:spacing w:val="-5"/>
          <w:w w:val="101"/>
        </w:rPr>
        <w:t>限</w:t>
      </w:r>
      <w:r>
        <w:rPr>
          <w:w w:val="101"/>
        </w:rPr>
        <w:t>责</w:t>
      </w:r>
      <w:r>
        <w:rPr>
          <w:spacing w:val="-5"/>
          <w:w w:val="101"/>
        </w:rPr>
        <w:t>任</w:t>
      </w:r>
      <w:r>
        <w:rPr>
          <w:w w:val="101"/>
        </w:rPr>
        <w:t>公</w:t>
      </w:r>
      <w:r>
        <w:rPr>
          <w:spacing w:val="-5"/>
          <w:w w:val="101"/>
        </w:rPr>
        <w:t>司</w:t>
      </w:r>
      <w:r>
        <w:rPr>
          <w:w w:val="101"/>
        </w:rPr>
        <w:t>深</w:t>
      </w:r>
      <w:r>
        <w:rPr>
          <w:spacing w:val="-5"/>
          <w:w w:val="101"/>
        </w:rPr>
        <w:t>圳</w:t>
      </w:r>
      <w:r>
        <w:rPr>
          <w:w w:val="101"/>
        </w:rPr>
        <w:t>分</w:t>
      </w:r>
      <w:r>
        <w:rPr>
          <w:spacing w:val="-5"/>
          <w:w w:val="101"/>
        </w:rPr>
        <w:t>公</w:t>
      </w:r>
      <w:r>
        <w:rPr>
          <w:w w:val="101"/>
        </w:rPr>
        <w:t>司</w:t>
      </w:r>
      <w:r>
        <w:rPr>
          <w:spacing w:val="-5"/>
          <w:w w:val="101"/>
        </w:rPr>
        <w:t>出</w:t>
      </w:r>
      <w:r>
        <w:rPr>
          <w:w w:val="101"/>
        </w:rPr>
        <w:t>具</w:t>
      </w:r>
      <w:r>
        <w:rPr>
          <w:spacing w:val="-5"/>
          <w:w w:val="101"/>
        </w:rPr>
        <w:t>的</w:t>
      </w:r>
      <w:r>
        <w:rPr>
          <w:w w:val="101"/>
        </w:rPr>
        <w:t>《</w:t>
      </w:r>
      <w:r>
        <w:rPr>
          <w:spacing w:val="-5"/>
          <w:w w:val="101"/>
        </w:rPr>
        <w:t>证</w:t>
      </w:r>
      <w:r>
        <w:rPr>
          <w:w w:val="101"/>
        </w:rPr>
        <w:t>券</w:t>
      </w:r>
      <w:r>
        <w:rPr>
          <w:spacing w:val="-5"/>
          <w:w w:val="101"/>
        </w:rPr>
        <w:t>过</w:t>
      </w:r>
      <w:r>
        <w:rPr>
          <w:w w:val="101"/>
        </w:rPr>
        <w:t>户</w:t>
      </w:r>
      <w:r>
        <w:rPr>
          <w:spacing w:val="-5"/>
          <w:w w:val="101"/>
        </w:rPr>
        <w:t>登</w:t>
      </w:r>
      <w:r>
        <w:rPr>
          <w:w w:val="101"/>
        </w:rPr>
        <w:t>记</w:t>
      </w:r>
      <w:r>
        <w:rPr>
          <w:spacing w:val="-5"/>
          <w:w w:val="101"/>
        </w:rPr>
        <w:t>确</w:t>
      </w:r>
      <w:r>
        <w:rPr>
          <w:w w:val="101"/>
        </w:rPr>
        <w:t>认书</w:t>
      </w:r>
      <w:r>
        <w:rPr>
          <w:spacing w:val="-96"/>
          <w:w w:val="101"/>
        </w:rPr>
        <w:t>》</w:t>
      </w:r>
      <w:r>
        <w:rPr>
          <w:w w:val="101"/>
        </w:rPr>
        <w:t>，</w:t>
      </w:r>
      <w:r>
        <w:rPr>
          <w:rFonts w:ascii="Times New Roman" w:hAnsi="Times New Roman" w:cs="Times New Roman" w:eastAsia="Times New Roman" w:hint="default"/>
          <w:spacing w:val="-5"/>
          <w:w w:val="101"/>
        </w:rPr>
        <w:t>“</w:t>
      </w:r>
      <w:r>
        <w:rPr>
          <w:w w:val="101"/>
        </w:rPr>
        <w:t>北</w:t>
      </w:r>
      <w:r>
        <w:rPr/>
      </w:r>
    </w:p>
    <w:p>
      <w:pPr>
        <w:pStyle w:val="BodyText"/>
        <w:spacing w:line="304" w:lineRule="auto" w:before="63"/>
        <w:ind w:right="1031"/>
        <w:jc w:val="left"/>
      </w:pPr>
      <w:r>
        <w:rPr>
          <w:spacing w:val="-3"/>
        </w:rPr>
        <w:t>京东方通科技股份有限公司回购专用证券账户</w:t>
      </w:r>
      <w:r>
        <w:rPr>
          <w:rFonts w:ascii="Times New Roman" w:hAnsi="Times New Roman" w:cs="Times New Roman" w:eastAsia="Times New Roman" w:hint="default"/>
          <w:spacing w:val="-3"/>
        </w:rPr>
        <w:t>”</w:t>
      </w:r>
      <w:r>
        <w:rPr>
          <w:spacing w:val="-3"/>
        </w:rPr>
        <w:t>所持有的 </w:t>
      </w:r>
      <w:r>
        <w:rPr>
          <w:rFonts w:ascii="Times New Roman" w:hAnsi="Times New Roman" w:cs="Times New Roman" w:eastAsia="Times New Roman" w:hint="default"/>
        </w:rPr>
        <w:t>10,336,816 </w:t>
      </w:r>
      <w:r>
        <w:rPr>
          <w:spacing w:val="-3"/>
        </w:rPr>
        <w:t>股公司回购股票已于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22 </w:t>
      </w:r>
      <w:r>
        <w:rPr>
          <w:spacing w:val="-3"/>
        </w:rPr>
        <w:t>日全部以非交</w:t>
      </w:r>
      <w:r>
        <w:rPr>
          <w:spacing w:val="-15"/>
        </w:rPr>
        <w:t> </w:t>
      </w:r>
      <w:r>
        <w:rPr>
          <w:spacing w:val="-15"/>
        </w:rPr>
      </w:r>
      <w:r>
        <w:rPr>
          <w:spacing w:val="-4"/>
        </w:rPr>
        <w:t>易过户的方式过户至</w:t>
      </w:r>
      <w:r>
        <w:rPr>
          <w:rFonts w:ascii="Times New Roman" w:hAnsi="Times New Roman" w:cs="Times New Roman" w:eastAsia="Times New Roman" w:hint="default"/>
          <w:spacing w:val="-4"/>
        </w:rPr>
        <w:t>“</w:t>
      </w:r>
      <w:r>
        <w:rPr>
          <w:spacing w:val="-4"/>
        </w:rPr>
        <w:t>北京东方通科技股份有限公司</w:t>
      </w:r>
      <w:r>
        <w:rPr>
          <w:rFonts w:ascii="Times New Roman" w:hAnsi="Times New Roman" w:cs="Times New Roman" w:eastAsia="Times New Roman" w:hint="default"/>
          <w:spacing w:val="-4"/>
        </w:rPr>
        <w:t>-</w:t>
      </w:r>
      <w:r>
        <w:rPr>
          <w:spacing w:val="-4"/>
        </w:rPr>
        <w:t>第一期员工持股计划</w:t>
      </w:r>
      <w:r>
        <w:rPr>
          <w:rFonts w:ascii="Times New Roman" w:hAnsi="Times New Roman" w:cs="Times New Roman" w:eastAsia="Times New Roman" w:hint="default"/>
          <w:spacing w:val="-4"/>
        </w:rPr>
        <w:t>”</w:t>
      </w:r>
      <w:r>
        <w:rPr>
          <w:spacing w:val="-4"/>
        </w:rPr>
        <w:t>专户，过户股份数量占公司目前总股本的 </w:t>
      </w:r>
      <w:r>
        <w:rPr>
          <w:rFonts w:ascii="Times New Roman" w:hAnsi="Times New Roman" w:cs="Times New Roman" w:eastAsia="Times New Roman" w:hint="default"/>
        </w:rPr>
        <w:t>3.67%</w:t>
      </w:r>
      <w:r>
        <w:rPr/>
        <w:t>，</w:t>
      </w:r>
      <w:r>
        <w:rPr>
          <w:spacing w:val="-11"/>
        </w:rPr>
        <w:t> </w:t>
      </w:r>
      <w:r>
        <w:rPr>
          <w:spacing w:val="-2"/>
          <w:w w:val="101"/>
        </w:rPr>
        <w:t>过户价格为</w:t>
      </w:r>
      <w:r>
        <w:rPr>
          <w:w w:val="101"/>
        </w:rPr>
        <w:t> </w:t>
      </w:r>
      <w:r>
        <w:rPr>
          <w:rFonts w:ascii="Times New Roman" w:hAnsi="Times New Roman" w:cs="Times New Roman" w:eastAsia="Times New Roman" w:hint="default"/>
          <w:spacing w:val="-1"/>
          <w:w w:val="101"/>
        </w:rPr>
        <w:t>14.52</w:t>
      </w:r>
      <w:r>
        <w:rPr>
          <w:rFonts w:ascii="Times New Roman" w:hAnsi="Times New Roman" w:cs="Times New Roman" w:eastAsia="Times New Roman" w:hint="default"/>
          <w:w w:val="101"/>
        </w:rPr>
        <w:t> </w:t>
      </w:r>
      <w:r>
        <w:rPr>
          <w:spacing w:val="-2"/>
          <w:w w:val="101"/>
        </w:rPr>
        <w:t>元</w:t>
      </w:r>
      <w:r>
        <w:rPr>
          <w:rFonts w:ascii="Times New Roman" w:hAnsi="Times New Roman" w:cs="Times New Roman" w:eastAsia="Times New Roman" w:hint="default"/>
          <w:spacing w:val="-2"/>
          <w:w w:val="101"/>
        </w:rPr>
        <w:t>/</w:t>
      </w:r>
      <w:r>
        <w:rPr>
          <w:spacing w:val="-2"/>
          <w:w w:val="101"/>
        </w:rPr>
        <w:t>股。</w:t>
      </w:r>
      <w:r>
        <w:rPr>
          <w:w w:val="101"/>
        </w:rPr>
        <w:t> </w:t>
      </w:r>
      <w:r>
        <w:rPr>
          <w:spacing w:val="-10"/>
          <w:w w:val="101"/>
        </w:rPr>
        <w:t>根据《北京东方通科技股份有限公司第一期员工持股计划（草案）》，本次员工持股计划存续期</w:t>
      </w:r>
      <w:r>
        <w:rPr>
          <w:spacing w:val="-50"/>
          <w:w w:val="101"/>
        </w:rPr>
        <w:t> </w:t>
      </w:r>
      <w:r>
        <w:rPr>
          <w:rFonts w:ascii="Times New Roman" w:hAnsi="Times New Roman" w:cs="Times New Roman" w:eastAsia="Times New Roman" w:hint="default"/>
          <w:w w:val="101"/>
        </w:rPr>
        <w:t>24 </w:t>
      </w:r>
      <w:r>
        <w:rPr>
          <w:spacing w:val="-4"/>
        </w:rPr>
        <w:t>个月，自股东大会审议通过本员工持股计划并且员工持股计划成立之日起计算。存续期满后，本员工持股计划终止，也可经</w:t>
      </w:r>
      <w:r>
        <w:rPr>
          <w:spacing w:val="41"/>
        </w:rPr>
        <w:t> </w:t>
      </w:r>
      <w:r>
        <w:rPr>
          <w:spacing w:val="41"/>
        </w:rPr>
      </w:r>
      <w:r>
        <w:rPr>
          <w:spacing w:val="-4"/>
        </w:rPr>
        <w:t>董事会审议通过后延长。本次员工持股计划所获标的股票的锁定期为  </w:t>
      </w:r>
      <w:r>
        <w:rPr>
          <w:rFonts w:ascii="Times New Roman" w:hAnsi="Times New Roman" w:cs="Times New Roman" w:eastAsia="Times New Roman" w:hint="default"/>
        </w:rPr>
        <w:t>12  </w:t>
      </w:r>
      <w:r>
        <w:rPr>
          <w:rFonts w:ascii="Times New Roman" w:hAnsi="Times New Roman" w:cs="Times New Roman" w:eastAsia="Times New Roman" w:hint="default"/>
          <w:spacing w:val="21"/>
        </w:rPr>
        <w:t> </w:t>
      </w:r>
      <w:r>
        <w:rPr>
          <w:spacing w:val="-5"/>
        </w:rPr>
        <w:t>个月，自公司公告全部回购股份非交易过户至员工</w:t>
      </w:r>
    </w:p>
    <w:p>
      <w:pPr>
        <w:pStyle w:val="BodyText"/>
        <w:spacing w:line="240" w:lineRule="auto" w:before="14"/>
        <w:ind w:right="0"/>
        <w:jc w:val="left"/>
      </w:pPr>
      <w:r>
        <w:rPr>
          <w:w w:val="101"/>
        </w:rPr>
        <w:t>持</w:t>
      </w:r>
      <w:r>
        <w:rPr>
          <w:spacing w:val="-5"/>
          <w:w w:val="101"/>
        </w:rPr>
        <w:t>股</w:t>
      </w:r>
      <w:r>
        <w:rPr>
          <w:w w:val="101"/>
        </w:rPr>
        <w:t>计</w:t>
      </w:r>
      <w:r>
        <w:rPr>
          <w:spacing w:val="-5"/>
          <w:w w:val="101"/>
        </w:rPr>
        <w:t>划</w:t>
      </w:r>
      <w:r>
        <w:rPr>
          <w:w w:val="101"/>
        </w:rPr>
        <w:t>名</w:t>
      </w:r>
      <w:r>
        <w:rPr>
          <w:spacing w:val="-5"/>
          <w:w w:val="101"/>
        </w:rPr>
        <w:t>下</w:t>
      </w:r>
      <w:r>
        <w:rPr>
          <w:w w:val="101"/>
        </w:rPr>
        <w:t>之</w:t>
      </w:r>
      <w:r>
        <w:rPr>
          <w:spacing w:val="-5"/>
          <w:w w:val="101"/>
        </w:rPr>
        <w:t>日</w:t>
      </w:r>
      <w:r>
        <w:rPr>
          <w:w w:val="101"/>
        </w:rPr>
        <w:t>起</w:t>
      </w:r>
      <w:r>
        <w:rPr>
          <w:spacing w:val="-5"/>
          <w:w w:val="101"/>
        </w:rPr>
        <w:t>计</w:t>
      </w:r>
      <w:r>
        <w:rPr>
          <w:w w:val="101"/>
        </w:rPr>
        <w:t>算</w:t>
      </w:r>
      <w:r>
        <w:rPr>
          <w:spacing w:val="-5"/>
          <w:w w:val="101"/>
        </w:rPr>
        <w:t>（</w:t>
      </w:r>
      <w:r>
        <w:rPr>
          <w:w w:val="101"/>
        </w:rPr>
        <w:t>即自</w:t>
      </w:r>
      <w:r>
        <w:rPr>
          <w:spacing w:val="-4"/>
        </w:rPr>
        <w:t> </w:t>
      </w:r>
      <w:r>
        <w:rPr>
          <w:rFonts w:ascii="Times New Roman" w:hAnsi="Times New Roman" w:cs="Times New Roman" w:eastAsia="Times New Roman" w:hint="default"/>
          <w:w w:val="101"/>
        </w:rPr>
        <w:t>2020</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年</w:t>
      </w:r>
      <w:r>
        <w:rPr>
          <w:spacing w:val="-3"/>
        </w:rPr>
        <w:t> </w:t>
      </w:r>
      <w:r>
        <w:rPr>
          <w:rFonts w:ascii="Times New Roman" w:hAnsi="Times New Roman" w:cs="Times New Roman" w:eastAsia="Times New Roman" w:hint="default"/>
          <w:w w:val="101"/>
        </w:rPr>
        <w:t>4</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1"/>
        </w:rPr>
        <w:t>月</w:t>
      </w:r>
      <w:r>
        <w:rPr>
          <w:spacing w:val="-4"/>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2"/>
        </w:rPr>
        <w:t> </w:t>
      </w:r>
      <w:r>
        <w:rPr>
          <w:spacing w:val="-5"/>
          <w:w w:val="101"/>
        </w:rPr>
        <w:t>日</w:t>
      </w:r>
      <w:r>
        <w:rPr>
          <w:w w:val="101"/>
        </w:rPr>
        <w:t>起</w:t>
      </w:r>
      <w:r>
        <w:rPr>
          <w:spacing w:val="-5"/>
          <w:w w:val="101"/>
        </w:rPr>
        <w:t>计</w:t>
      </w:r>
      <w:r>
        <w:rPr>
          <w:w w:val="101"/>
        </w:rPr>
        <w:t>算</w:t>
      </w:r>
      <w:r>
        <w:rPr>
          <w:spacing w:val="-96"/>
          <w:w w:val="101"/>
        </w:rPr>
        <w:t>）</w:t>
      </w:r>
      <w:r>
        <w:rPr>
          <w:w w:val="101"/>
        </w:rPr>
        <w:t>。</w:t>
      </w:r>
      <w:r>
        <w:rPr/>
      </w:r>
    </w:p>
    <w:p>
      <w:pPr>
        <w:pStyle w:val="BodyText"/>
        <w:spacing w:line="240" w:lineRule="auto" w:before="101"/>
        <w:ind w:left="513" w:right="0"/>
        <w:jc w:val="left"/>
      </w:pPr>
      <w:r>
        <w:rPr>
          <w:spacing w:val="-3"/>
        </w:rPr>
        <w:t>（</w:t>
      </w:r>
      <w:r>
        <w:rPr>
          <w:rFonts w:ascii="Times New Roman" w:hAnsi="Times New Roman" w:cs="Times New Roman" w:eastAsia="Times New Roman" w:hint="default"/>
          <w:spacing w:val="-3"/>
        </w:rPr>
        <w:t>3</w:t>
      </w:r>
      <w:r>
        <w:rPr>
          <w:spacing w:val="-3"/>
        </w:rPr>
        <w:t>）新型冠状病毒疫情影响的风险评估</w:t>
      </w:r>
    </w:p>
    <w:p>
      <w:pPr>
        <w:pStyle w:val="BodyText"/>
        <w:spacing w:line="240" w:lineRule="auto" w:before="106"/>
        <w:ind w:left="513" w:right="0"/>
        <w:jc w:val="left"/>
      </w:pPr>
      <w:r>
        <w:rPr>
          <w:rFonts w:ascii="Times New Roman" w:hAnsi="Times New Roman" w:cs="Times New Roman" w:eastAsia="Times New Roman" w:hint="default"/>
        </w:rPr>
        <w:t>2020  </w:t>
      </w:r>
      <w:r>
        <w:rPr>
          <w:rFonts w:ascii="Times New Roman" w:hAnsi="Times New Roman" w:cs="Times New Roman" w:eastAsia="Times New Roman" w:hint="default"/>
          <w:spacing w:val="7"/>
        </w:rPr>
        <w:t> </w:t>
      </w:r>
      <w:r>
        <w:rPr>
          <w:spacing w:val="-3"/>
        </w:rPr>
        <w:t>年第一季度公司亏损，主要原因为：</w:t>
      </w:r>
    </w:p>
    <w:p>
      <w:pPr>
        <w:pStyle w:val="BodyText"/>
        <w:spacing w:line="312" w:lineRule="auto" w:before="97"/>
        <w:ind w:right="0" w:firstLine="360"/>
        <w:jc w:val="left"/>
      </w:pPr>
      <w:r>
        <w:rPr>
          <w:rFonts w:ascii="Times New Roman" w:hAnsi="Times New Roman" w:cs="Times New Roman" w:eastAsia="Times New Roman" w:hint="default"/>
          <w:spacing w:val="-3"/>
        </w:rPr>
        <w:t>1</w:t>
      </w:r>
      <w:r>
        <w:rPr>
          <w:spacing w:val="-3"/>
        </w:rPr>
        <w:t>）受新冠疫情影响，报告期内公司营收同比显著下降。公司主要客户群集</w:t>
      </w:r>
      <w:r>
        <w:rPr>
          <w:spacing w:val="45"/>
        </w:rPr>
        <w:t> </w:t>
      </w:r>
      <w:r>
        <w:rPr>
          <w:spacing w:val="-3"/>
        </w:rPr>
        <w:t>中在政府、电信、金融、交通等行业领域。</w:t>
      </w:r>
      <w:r>
        <w:rPr>
          <w:w w:val="101"/>
        </w:rPr>
        <w:t> </w:t>
      </w:r>
      <w:r>
        <w:rPr>
          <w:spacing w:val="-3"/>
        </w:rPr>
        <w:t>疫情发生以来，政企客户延期复工复 产，招投标及采购合同流程停滞或节奏明显放缓，导致公司新签合同订单同比锐减，</w:t>
      </w:r>
      <w:r>
        <w:rPr>
          <w:spacing w:val="-16"/>
        </w:rPr>
        <w:t> </w:t>
      </w:r>
      <w:r>
        <w:rPr>
          <w:spacing w:val="-16"/>
        </w:rPr>
      </w:r>
      <w:r>
        <w:rPr>
          <w:spacing w:val="-3"/>
        </w:rPr>
        <w:t>原有商机延后；同时受疫情影响，既往在手订单实施、交付及验收延迟，对 </w:t>
      </w:r>
      <w:r>
        <w:rPr>
          <w:spacing w:val="54"/>
        </w:rPr>
        <w:t> </w:t>
      </w:r>
      <w:r>
        <w:rPr>
          <w:spacing w:val="-3"/>
        </w:rPr>
        <w:t>公司营业收入确认造成不利影响。</w:t>
      </w:r>
    </w:p>
    <w:p>
      <w:pPr>
        <w:pStyle w:val="BodyText"/>
        <w:spacing w:line="304" w:lineRule="auto" w:before="56"/>
        <w:ind w:right="1123" w:firstLine="360"/>
        <w:jc w:val="left"/>
      </w:pPr>
      <w:r>
        <w:rPr>
          <w:rFonts w:ascii="Times New Roman" w:hAnsi="Times New Roman" w:cs="Times New Roman" w:eastAsia="Times New Roman" w:hint="default"/>
          <w:spacing w:val="-5"/>
        </w:rPr>
        <w:t>2</w:t>
      </w:r>
      <w:r>
        <w:rPr>
          <w:spacing w:val="-5"/>
        </w:rPr>
        <w:t>）公司的营业收入和经营业绩具有明显的季节性特征，主要集中在下半年</w:t>
      </w:r>
      <w:r>
        <w:rPr>
          <w:spacing w:val="50"/>
        </w:rPr>
        <w:t> </w:t>
      </w:r>
      <w:r>
        <w:rPr>
          <w:spacing w:val="-4"/>
        </w:rPr>
        <w:t>尤其是第四季度，第一季度占全年的比重较</w:t>
      </w:r>
      <w:r>
        <w:rPr>
          <w:w w:val="101"/>
        </w:rPr>
        <w:t> </w:t>
      </w:r>
      <w:r>
        <w:rPr/>
        <w:t>低。</w:t>
      </w:r>
    </w:p>
    <w:p>
      <w:pPr>
        <w:pStyle w:val="BodyText"/>
        <w:spacing w:line="240" w:lineRule="auto" w:before="71"/>
        <w:ind w:left="513" w:right="0"/>
        <w:jc w:val="left"/>
      </w:pPr>
      <w:r>
        <w:rPr>
          <w:rFonts w:ascii="Times New Roman" w:hAnsi="Times New Roman" w:cs="Times New Roman" w:eastAsia="Times New Roman" w:hint="default"/>
          <w:spacing w:val="-3"/>
        </w:rPr>
        <w:t>3</w:t>
      </w:r>
      <w:r>
        <w:rPr>
          <w:spacing w:val="-3"/>
        </w:rPr>
        <w:t>）公司积极履行上市公司社会责任，向疫情严重的湖北省相关医疗机构捐 </w:t>
      </w:r>
      <w:r>
        <w:rPr>
          <w:spacing w:val="16"/>
        </w:rPr>
        <w:t> </w:t>
      </w:r>
      <w:r>
        <w:rPr/>
        <w:t>助呼吸机等物资。</w:t>
      </w:r>
    </w:p>
    <w:p>
      <w:pPr>
        <w:pStyle w:val="BodyText"/>
        <w:spacing w:line="312" w:lineRule="auto" w:before="97"/>
        <w:ind w:right="1122" w:firstLine="360"/>
        <w:jc w:val="both"/>
      </w:pPr>
      <w:r>
        <w:rPr/>
        <w:t>预计 </w:t>
      </w:r>
      <w:r>
        <w:rPr>
          <w:rFonts w:ascii="Times New Roman" w:hAnsi="Times New Roman" w:cs="Times New Roman" w:eastAsia="Times New Roman" w:hint="default"/>
        </w:rPr>
        <w:t>2020 </w:t>
      </w:r>
      <w:r>
        <w:rPr>
          <w:spacing w:val="-3"/>
        </w:rPr>
        <w:t>年第一季度公司疫情对净利润的影响金额约为 </w:t>
      </w:r>
      <w:r>
        <w:rPr>
          <w:rFonts w:ascii="Times New Roman" w:hAnsi="Times New Roman" w:cs="Times New Roman" w:eastAsia="Times New Roman" w:hint="default"/>
        </w:rPr>
        <w:t>406.7</w:t>
      </w:r>
      <w:r>
        <w:rPr>
          <w:rFonts w:ascii="Times New Roman" w:hAnsi="Times New Roman" w:cs="Times New Roman" w:eastAsia="Times New Roman" w:hint="default"/>
          <w:spacing w:val="20"/>
        </w:rPr>
        <w:t> </w:t>
      </w:r>
      <w:r>
        <w:rPr>
          <w:spacing w:val="-3"/>
        </w:rPr>
        <w:t>万元。面对新冠疫情带来的不利影响，公司成立了疫</w:t>
      </w:r>
      <w:r>
        <w:rPr>
          <w:w w:val="101"/>
        </w:rPr>
        <w:t> </w:t>
      </w:r>
      <w:r>
        <w:rPr>
          <w:spacing w:val="-4"/>
        </w:rPr>
        <w:t>情防控领导小组部署防控工作，开展了员工信息全掌握、办公环境全消毒、现场与居家办公相结合等一系列措施；同时积极</w:t>
      </w:r>
      <w:r>
        <w:rPr>
          <w:spacing w:val="42"/>
        </w:rPr>
        <w:t> </w:t>
      </w:r>
      <w:r>
        <w:rPr>
          <w:spacing w:val="42"/>
        </w:rPr>
      </w:r>
      <w:r>
        <w:rPr>
          <w:spacing w:val="-3"/>
        </w:rPr>
        <w:t>开展全员业务和技术线上培训，持续加强客户及合作伙伴交流， </w:t>
      </w:r>
      <w:r>
        <w:rPr>
          <w:spacing w:val="65"/>
        </w:rPr>
        <w:t> </w:t>
      </w:r>
      <w:r>
        <w:rPr>
          <w:spacing w:val="-3"/>
        </w:rPr>
        <w:t>推进项目实施进度，尽可能减少疫情带来的负面影响。</w:t>
      </w:r>
    </w:p>
    <w:p>
      <w:pPr>
        <w:spacing w:after="0" w:line="312" w:lineRule="auto"/>
        <w:jc w:val="both"/>
        <w:sectPr>
          <w:pgSz w:w="11910" w:h="16840"/>
          <w:pgMar w:header="871" w:footer="979" w:top="1100" w:bottom="1160" w:left="980" w:right="0"/>
        </w:sectPr>
      </w:pP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十二、母公司财务报表主要项目注释" w:id="317"/>
      <w:bookmarkEnd w:id="317"/>
      <w:r>
        <w:rPr>
          <w:b w:val="0"/>
          <w:bCs w:val="0"/>
        </w:rPr>
      </w:r>
      <w:r>
        <w:rPr/>
        <w:t>十二、母公司财务报表主要项目注释</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应收账款" w:id="318"/>
      <w:bookmarkEnd w:id="31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19"/>
      <w:bookmarkEnd w:id="31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776"/>
        <w:gridCol w:w="758"/>
        <w:gridCol w:w="764"/>
        <w:gridCol w:w="764"/>
        <w:gridCol w:w="787"/>
        <w:gridCol w:w="778"/>
        <w:gridCol w:w="797"/>
        <w:gridCol w:w="797"/>
        <w:gridCol w:w="792"/>
        <w:gridCol w:w="931"/>
      </w:tblGrid>
      <w:tr>
        <w:trPr>
          <w:trHeight w:val="394"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8"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625"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179,356,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285.83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43,230,5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58.07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136,125,7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27.76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153,707,4</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34.29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42,183,67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111,523,75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5.75</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其中：账龄组合</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179,356,</w:t>
            </w:r>
          </w:p>
          <w:p>
            <w:pPr>
              <w:pStyle w:val="TableParagraph"/>
              <w:spacing w:line="240" w:lineRule="auto" w:before="110"/>
              <w:ind w:left="227" w:right="0"/>
              <w:jc w:val="center"/>
              <w:rPr>
                <w:rFonts w:ascii="Times New Roman" w:hAnsi="Times New Roman" w:cs="Times New Roman" w:eastAsia="Times New Roman" w:hint="default"/>
                <w:sz w:val="18"/>
                <w:szCs w:val="18"/>
              </w:rPr>
            </w:pPr>
            <w:r>
              <w:rPr>
                <w:rFonts w:ascii="Times New Roman"/>
                <w:sz w:val="18"/>
              </w:rPr>
              <w:t>285.83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43,230,5</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58.07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136,125,7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27.76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153,707,4</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34.29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42,183,67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111,523,75</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5.75</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179,356,</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285.83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43,230,5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58.07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136,125,7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27.76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153,707,4</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34.29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42,183,67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111,523,75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5.75</w:t>
            </w:r>
          </w:p>
        </w:tc>
      </w:tr>
    </w:tbl>
    <w:p>
      <w:pPr>
        <w:pStyle w:val="BodyText"/>
        <w:spacing w:line="240" w:lineRule="auto" w:before="53"/>
        <w:ind w:right="0"/>
        <w:jc w:val="left"/>
      </w:pPr>
      <w:r>
        <w:rPr>
          <w:spacing w:val="-3"/>
        </w:rPr>
        <w:t>按组合计提坏账准备：账龄组合</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个月内（含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69,290,793.88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个月以上</w:t>
            </w:r>
            <w:r>
              <w:rPr>
                <w:rFonts w:ascii="Times New Roman" w:hAnsi="Times New Roman" w:cs="Times New Roman" w:eastAsia="Times New Roman" w:hint="default"/>
                <w:spacing w:val="-3"/>
                <w:sz w:val="18"/>
                <w:szCs w:val="18"/>
              </w:rPr>
              <w:t>-1  </w:t>
            </w:r>
            <w:r>
              <w:rPr>
                <w:rFonts w:ascii="宋体" w:hAnsi="宋体" w:cs="宋体" w:eastAsia="宋体" w:hint="default"/>
                <w:sz w:val="18"/>
                <w:szCs w:val="18"/>
              </w:rPr>
              <w:t>年以内（含</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23,427,857.98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999,717.90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4.27%</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24,554,014.75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2,455,401.48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15,584,671.42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3,116,934.28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12,394,417.44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4,957,766.98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12,018,964.62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9,615,171.70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22,085,565.74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22,085,565.74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179,356,285.83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43,230,558.07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43" w:lineRule="auto" w:before="23"/>
        <w:ind w:right="86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37"/>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92,718,651.86</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69,284,351.40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个月以上－</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23,434,300.46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24,554,014.75</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15,584,671.42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46,498,947.80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12,394,417.44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12,018,964.62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22,085,565.74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179,356,285.83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320"/>
      <w:bookmarkEnd w:id="32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11"/>
        <w:gridCol w:w="1421"/>
        <w:gridCol w:w="1272"/>
        <w:gridCol w:w="1421"/>
        <w:gridCol w:w="850"/>
        <w:gridCol w:w="830"/>
        <w:gridCol w:w="1369"/>
      </w:tblGrid>
      <w:tr>
        <w:trPr>
          <w:trHeight w:val="404"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2"/>
              <w:jc w:val="left"/>
              <w:rPr>
                <w:rFonts w:ascii="宋体" w:hAnsi="宋体" w:cs="宋体" w:eastAsia="宋体" w:hint="default"/>
                <w:sz w:val="18"/>
                <w:szCs w:val="18"/>
              </w:rPr>
            </w:pPr>
            <w:r>
              <w:rPr>
                <w:rFonts w:ascii="宋体" w:hAnsi="宋体" w:cs="宋体" w:eastAsia="宋体" w:hint="default"/>
                <w:spacing w:val="-3"/>
                <w:sz w:val="18"/>
                <w:szCs w:val="18"/>
              </w:rPr>
              <w:t>按组合计提预期信用损失的应</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收账款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42,183,678.54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1,046,879.53</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43,230,558.07</w:t>
            </w:r>
          </w:p>
        </w:tc>
      </w:tr>
      <w:tr>
        <w:trPr>
          <w:trHeight w:val="399"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42,183,678.54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1,046,879.53</w:t>
            </w:r>
          </w:p>
        </w:tc>
        <w:tc>
          <w:tcPr>
            <w:tcW w:w="14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43,230,558.07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按欠款方归集的期末余额前五名的应收账款情况" w:id="321"/>
      <w:bookmarkEnd w:id="321"/>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21"/>
        <w:gridCol w:w="2127"/>
        <w:gridCol w:w="2267"/>
        <w:gridCol w:w="2055"/>
      </w:tblGrid>
      <w:tr>
        <w:trPr>
          <w:trHeight w:val="75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54"/>
              <w:ind w:left="590" w:right="310" w:hanging="270"/>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合计数的比例</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中国软件与技术服务股份有限公司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9,151,935.75</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1,381,035.75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航天网安技术（深圳）有限公司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7,055,000.00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370,000.00</w:t>
            </w:r>
          </w:p>
        </w:tc>
      </w:tr>
      <w:tr>
        <w:trPr>
          <w:trHeight w:val="39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北京联合伟世科技股份有限公司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6,769,989.74</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120,505.49</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北京蓝海讯通科技股份有限公司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782,218.87</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杭州天尊信息技术有限公司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4,117,214.00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273,467.45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33,094,139.49</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18.45%</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其他应收款" w:id="322"/>
      <w:bookmarkEnd w:id="32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53,592,543.52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59,371,218.01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103,592,543.52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59,371,218.01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收股利" w:id="323"/>
      <w:bookmarkEnd w:id="32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收股利分类" w:id="324"/>
      <w:bookmarkEnd w:id="32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北京微智信业科技有限公司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其他应收款" w:id="325"/>
      <w:bookmarkEnd w:id="325"/>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326"/>
      <w:bookmarkEnd w:id="32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备用金及职工暂借款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122,882.93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66,762.00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717,921.20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583,476.00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711,615.01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572,959.15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50,916,640.94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57,404,471.08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1,123,483.44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743,549.78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53,592,543.52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59,371,218.01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327"/>
      <w:bookmarkEnd w:id="32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47"/>
          <w:pgSz w:w="11910" w:h="16840"/>
          <w:pgMar w:footer="979" w:header="871" w:top="1100" w:bottom="1160" w:left="980" w:right="0"/>
          <w:pgNumType w:start="19"/>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20"/>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45,479,756.58</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个月内（含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41,087,667.50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个月以上</w:t>
            </w:r>
            <w:r>
              <w:rPr>
                <w:rFonts w:ascii="Times New Roman" w:hAnsi="Times New Roman" w:cs="Times New Roman" w:eastAsia="Times New Roman" w:hint="default"/>
                <w:spacing w:val="-3"/>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4,392,089.08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2,452,265.69</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1,338,147.77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4,322,373.48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2,327,251.82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1,446,839.00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548,282.66</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53,592,543.52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按欠款方归集的期末余额前五名的其他应收款情况" w:id="328"/>
      <w:bookmarkEnd w:id="328"/>
      <w:r>
        <w:rPr>
          <w:b w:val="0"/>
          <w:bCs w:val="0"/>
        </w:rPr>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北京微智信业科技有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55.98%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北京数字天堂信息科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技有限责任公司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3,000,000 </w:t>
            </w:r>
            <w:r>
              <w:rPr>
                <w:rFonts w:ascii="宋体" w:hAnsi="宋体" w:cs="宋体" w:eastAsia="宋体" w:hint="default"/>
                <w:sz w:val="18"/>
                <w:szCs w:val="18"/>
              </w:rPr>
              <w:t>元为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300" w:lineRule="auto" w:before="58"/>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个月；</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 </w:t>
            </w:r>
            <w:r>
              <w:rPr>
                <w:rFonts w:ascii="宋体" w:hAnsi="宋体" w:cs="宋体" w:eastAsia="宋体" w:hint="default"/>
                <w:w w:val="101"/>
                <w:sz w:val="18"/>
                <w:szCs w:val="18"/>
              </w:rPr>
              <w:t>为</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2-3</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0"/>
                <w:w w:val="101"/>
                <w:sz w:val="18"/>
                <w:szCs w:val="18"/>
              </w:rPr>
              <w:t>年；</w:t>
            </w:r>
            <w:r>
              <w:rPr>
                <w:rFonts w:ascii="Times New Roman" w:hAnsi="Times New Roman" w:cs="Times New Roman" w:eastAsia="Times New Roman" w:hint="default"/>
                <w:spacing w:val="-10"/>
                <w:w w:val="101"/>
                <w:sz w:val="18"/>
                <w:szCs w:val="18"/>
              </w:rPr>
              <w:t>2,000,000</w:t>
            </w:r>
            <w:r>
              <w:rPr>
                <w:rFonts w:ascii="Times New Roman" w:hAnsi="Times New Roman" w:cs="Times New Roman" w:eastAsia="Times New Roman" w:hint="default"/>
                <w:spacing w:val="-10"/>
                <w:sz w:val="18"/>
                <w:szCs w:val="18"/>
              </w:rPr>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元为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1,400,000 </w:t>
            </w:r>
            <w:r>
              <w:rPr>
                <w:rFonts w:ascii="宋体" w:hAnsi="宋体" w:cs="宋体" w:eastAsia="宋体" w:hint="default"/>
                <w:sz w:val="18"/>
                <w:szCs w:val="18"/>
              </w:rPr>
              <w:t>元为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13.81%</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27"/>
              <w:jc w:val="left"/>
              <w:rPr>
                <w:rFonts w:ascii="宋体" w:hAnsi="宋体" w:cs="宋体" w:eastAsia="宋体" w:hint="default"/>
                <w:sz w:val="18"/>
                <w:szCs w:val="18"/>
              </w:rPr>
            </w:pPr>
            <w:r>
              <w:rPr>
                <w:rFonts w:ascii="宋体" w:hAnsi="宋体" w:cs="宋体" w:eastAsia="宋体" w:hint="default"/>
                <w:spacing w:val="-3"/>
                <w:sz w:val="18"/>
                <w:szCs w:val="18"/>
              </w:rPr>
              <w:t>北京东方通宇技术有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7,035,629.00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2,899,937 </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个</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1,700,000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元为</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2,046,893 </w:t>
            </w:r>
            <w:r>
              <w:rPr>
                <w:rFonts w:ascii="宋体" w:hAnsi="宋体" w:cs="宋体" w:eastAsia="宋体" w:hint="default"/>
                <w:sz w:val="18"/>
                <w:szCs w:val="18"/>
              </w:rPr>
              <w:t>元为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202,596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元为</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186,203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13.13%</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both"/>
              <w:rPr>
                <w:rFonts w:ascii="宋体" w:hAnsi="宋体" w:cs="宋体" w:eastAsia="宋体" w:hint="default"/>
                <w:sz w:val="18"/>
                <w:szCs w:val="18"/>
              </w:rPr>
            </w:pPr>
            <w:r>
              <w:rPr>
                <w:rFonts w:ascii="宋体" w:hAnsi="宋体" w:cs="宋体" w:eastAsia="宋体" w:hint="default"/>
                <w:spacing w:val="-3"/>
                <w:sz w:val="18"/>
                <w:szCs w:val="18"/>
              </w:rPr>
              <w:t>中国证券登记结算有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限责任公司深圳分公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2,938,559.87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上海东方通泰软件科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2,115,507.69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49,489,696.56</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92.34%</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4"/>
        <w:spacing w:line="240" w:lineRule="auto" w:before="36"/>
        <w:ind w:right="0"/>
        <w:jc w:val="left"/>
        <w:rPr>
          <w:b w:val="0"/>
          <w:bCs w:val="0"/>
        </w:rPr>
      </w:pPr>
      <w:bookmarkStart w:name="3、长期股权投资" w:id="329"/>
      <w:bookmarkEnd w:id="32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7"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1,795,370,000.00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372,776,605.60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1,422,593,394.40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1,795,370,000.00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355,209,919.06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1,440,160,080.94</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88,853,818.89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88,853,818.89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67,605,343.76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67,605,343.76</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1,884,223,818.89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372,776,605.60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1,511,447,213.29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1,862,975,343.76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355,209,919.06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1,507,765,424.70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对子公司投资" w:id="330"/>
      <w:bookmarkEnd w:id="33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398"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成都东方通科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技有限责任公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7" w:right="0"/>
              <w:jc w:val="center"/>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上海东方通泰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软件科技有限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北京东方通宇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北京惠捷朗科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82,070,476.40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82,070,476.40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337,929,523.60</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北京数字天堂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责任公司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24,089,604.54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17,566,686.54</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6,522,918.00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34,847,082.00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北京微智信业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711,000,000.00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北京泰策科技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1,440,160,080.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17,566,686.54</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1,422,593,394.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372,776,605.60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对联营、合营企业投资" w:id="331"/>
      <w:bookmarkEnd w:id="33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6386"/>
        <w:gridCol w:w="797"/>
        <w:gridCol w:w="797"/>
      </w:tblGrid>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footerReference w:type="default" r:id="rId48"/>
          <w:pgSz w:w="11910" w:h="16840"/>
          <w:pgMar w:footer="979" w:header="871" w:top="1100" w:bottom="1160" w:left="980" w:right="0"/>
          <w:pgNumType w:start="2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3"/>
        <w:gridCol w:w="785"/>
        <w:gridCol w:w="803"/>
        <w:gridCol w:w="803"/>
        <w:gridCol w:w="793"/>
        <w:gridCol w:w="801"/>
        <w:gridCol w:w="797"/>
        <w:gridCol w:w="798"/>
        <w:gridCol w:w="791"/>
        <w:gridCol w:w="806"/>
        <w:gridCol w:w="797"/>
        <w:gridCol w:w="797"/>
      </w:tblGrid>
      <w:tr>
        <w:trPr>
          <w:trHeight w:val="163" w:hRule="exact"/>
        </w:trPr>
        <w:tc>
          <w:tcPr>
            <w:tcW w:w="803" w:type="dxa"/>
            <w:vMerge w:val="restart"/>
            <w:tcBorders>
              <w:top w:val="single" w:sz="4" w:space="0" w:color="000000"/>
              <w:left w:val="single" w:sz="4" w:space="0" w:color="000000"/>
              <w:right w:val="single" w:sz="4" w:space="0" w:color="000000"/>
            </w:tcBorders>
            <w:shd w:val="clear" w:color="auto" w:fill="D2D2D2"/>
          </w:tcPr>
          <w:p>
            <w:pP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10"/>
              <w:ind w:left="267" w:right="83" w:hanging="1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803" w:type="dxa"/>
            <w:vMerge w:val="restart"/>
            <w:tcBorders>
              <w:top w:val="single" w:sz="4" w:space="0" w:color="000000"/>
              <w:left w:val="single" w:sz="4" w:space="0" w:color="000000"/>
              <w:right w:val="single" w:sz="4" w:space="0" w:color="000000"/>
            </w:tcBorders>
            <w:shd w:val="clear" w:color="auto" w:fill="D2D2D2"/>
          </w:tcPr>
          <w:p>
            <w:pP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7" w:right="28"/>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28"/>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304" w:lineRule="auto" w:before="10"/>
              <w:ind w:left="266" w:right="84" w:hanging="17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4" w:hRule="exact"/>
        </w:trPr>
        <w:tc>
          <w:tcPr>
            <w:tcW w:w="803"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803" w:type="dxa"/>
            <w:vMerge/>
            <w:tcBorders>
              <w:left w:val="single" w:sz="4" w:space="0" w:color="000000"/>
              <w:bottom w:val="nil" w:sz="6" w:space="0" w:color="auto"/>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32"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8" w:type="dxa"/>
            <w:vMerge/>
            <w:tcBorders>
              <w:left w:val="single" w:sz="4" w:space="0" w:color="000000"/>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14" w:right="22"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6"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394" w:hRule="exact"/>
        </w:trPr>
        <w:tc>
          <w:tcPr>
            <w:tcW w:w="803" w:type="dxa"/>
            <w:vMerge/>
            <w:tcBorders>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8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3" w:type="dxa"/>
            <w:vMerge/>
            <w:tcBorders>
              <w:left w:val="single" w:sz="4" w:space="0" w:color="000000"/>
              <w:right w:val="single" w:sz="4" w:space="0" w:color="000000"/>
            </w:tcBorders>
            <w:shd w:val="clear" w:color="auto" w:fill="D2D2D2"/>
          </w:tcPr>
          <w:p>
            <w:pPr/>
          </w:p>
        </w:tc>
        <w:tc>
          <w:tcPr>
            <w:tcW w:w="80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1" w:type="dxa"/>
            <w:vMerge/>
            <w:tcBorders>
              <w:left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54" w:hRule="exact"/>
        </w:trPr>
        <w:tc>
          <w:tcPr>
            <w:tcW w:w="803" w:type="dxa"/>
            <w:vMerge/>
            <w:tcBorders>
              <w:left w:val="single" w:sz="4" w:space="0" w:color="000000"/>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803" w:type="dxa"/>
            <w:vMerge w:val="restart"/>
            <w:tcBorders>
              <w:top w:val="nil" w:sz="6" w:space="0" w:color="auto"/>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r>
      <w:tr>
        <w:trPr>
          <w:trHeight w:val="163" w:hRule="exact"/>
        </w:trPr>
        <w:tc>
          <w:tcPr>
            <w:tcW w:w="803"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803"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c>
          <w:tcPr>
            <w:tcW w:w="8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2"/>
              <w:jc w:val="both"/>
              <w:rPr>
                <w:rFonts w:ascii="宋体" w:hAnsi="宋体" w:cs="宋体" w:eastAsia="宋体" w:hint="default"/>
                <w:sz w:val="18"/>
                <w:szCs w:val="18"/>
              </w:rPr>
            </w:pPr>
            <w:r>
              <w:rPr>
                <w:rFonts w:ascii="宋体" w:hAnsi="宋体" w:cs="宋体" w:eastAsia="宋体" w:hint="default"/>
                <w:sz w:val="18"/>
                <w:szCs w:val="18"/>
              </w:rPr>
              <w:t>北京核高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基软件有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250,098.9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03" w:type="dxa"/>
            <w:tcBorders>
              <w:top w:val="single" w:sz="4" w:space="0" w:color="000000"/>
              <w:left w:val="single" w:sz="4" w:space="0" w:color="000000"/>
              <w:bottom w:val="single" w:sz="4" w:space="0" w:color="000000"/>
              <w:right w:val="single" w:sz="4" w:space="0" w:color="000000"/>
            </w:tcBorders>
          </w:tcPr>
          <w:p>
            <w:pPr/>
          </w:p>
        </w:tc>
        <w:tc>
          <w:tcPr>
            <w:tcW w:w="80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-13,637.2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0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236,461.7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2"/>
              <w:jc w:val="both"/>
              <w:rPr>
                <w:rFonts w:ascii="宋体" w:hAnsi="宋体" w:cs="宋体" w:eastAsia="宋体" w:hint="default"/>
                <w:sz w:val="18"/>
                <w:szCs w:val="18"/>
              </w:rPr>
            </w:pPr>
            <w:r>
              <w:rPr>
                <w:rFonts w:ascii="宋体" w:hAnsi="宋体" w:cs="宋体" w:eastAsia="宋体" w:hint="default"/>
                <w:sz w:val="18"/>
                <w:szCs w:val="18"/>
              </w:rPr>
              <w:t>杭州清响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p>
          <w:p>
            <w:pPr>
              <w:pStyle w:val="TableParagraph"/>
              <w:spacing w:line="321" w:lineRule="auto" w:before="20"/>
              <w:ind w:left="24" w:right="42"/>
              <w:jc w:val="both"/>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67,355,24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4.80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1,262,112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.36</w:t>
            </w:r>
          </w:p>
        </w:tc>
        <w:tc>
          <w:tcPr>
            <w:tcW w:w="80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88,617,35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3.76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1,248,475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.13</w:t>
            </w:r>
          </w:p>
        </w:tc>
        <w:tc>
          <w:tcPr>
            <w:tcW w:w="80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88,853,81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left"/>
              <w:rPr>
                <w:rFonts w:ascii="Times New Roman" w:hAnsi="Times New Roman" w:cs="Times New Roman" w:eastAsia="Times New Roman" w:hint="default"/>
                <w:sz w:val="18"/>
                <w:szCs w:val="18"/>
              </w:rPr>
            </w:pPr>
            <w:r>
              <w:rPr>
                <w:rFonts w:ascii="Times New Roman"/>
                <w:sz w:val="18"/>
              </w:rPr>
              <w:t>67,605,34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3.76</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1,248,475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.13</w:t>
            </w:r>
          </w:p>
        </w:tc>
        <w:tc>
          <w:tcPr>
            <w:tcW w:w="80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88,853,81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营业收入和营业成本" w:id="332"/>
      <w:bookmarkEnd w:id="33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2"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160,478,986.57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10,801,578.77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106,497,983.40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11,059,923.90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160,478,986.57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10,801,578.77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106,497,983.40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11,059,923.90</w:t>
            </w:r>
          </w:p>
        </w:tc>
      </w:tr>
    </w:tbl>
    <w:p>
      <w:pPr>
        <w:pStyle w:val="BodyText"/>
        <w:spacing w:line="240" w:lineRule="auto" w:before="53"/>
        <w:ind w:right="0"/>
        <w:jc w:val="left"/>
      </w:pPr>
      <w:r>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5、投资收益" w:id="333"/>
      <w:bookmarkEnd w:id="33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1,248,475.13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-300,903.06</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51,248,475.13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19,699,096.94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十三、补充资料" w:id="334"/>
      <w:bookmarkEnd w:id="334"/>
      <w:r>
        <w:rPr>
          <w:b w:val="0"/>
          <w:bCs w:val="0"/>
        </w:rPr>
      </w:r>
      <w:r>
        <w:rPr/>
        <w:t>十三、补充资料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35"/>
      <w:bookmarkEnd w:id="33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-48,150.94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26,050,269.05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-97,687.63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3,887,115.02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22,017,315.46</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123"/>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36"/>
      <w:bookmarkEnd w:id="33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09"/>
        <w:gridCol w:w="2622"/>
        <w:gridCol w:w="1916"/>
        <w:gridCol w:w="1911"/>
      </w:tblGrid>
      <w:tr>
        <w:trPr>
          <w:trHeight w:val="206" w:hRule="exact"/>
        </w:trPr>
        <w:tc>
          <w:tcPr>
            <w:tcW w:w="31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7" w:hRule="exact"/>
        </w:trPr>
        <w:tc>
          <w:tcPr>
            <w:tcW w:w="31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09" w:type="dxa"/>
            <w:vMerge/>
            <w:tcBorders>
              <w:left w:val="single" w:sz="4" w:space="0" w:color="000000"/>
              <w:bottom w:val="nil" w:sz="6" w:space="0" w:color="auto"/>
              <w:right w:val="single" w:sz="4" w:space="0" w:color="000000"/>
            </w:tcBorders>
            <w:shd w:val="clear" w:color="auto" w:fill="D2D2D2"/>
          </w:tcPr>
          <w:p>
            <w:pPr/>
          </w:p>
        </w:tc>
        <w:tc>
          <w:tcPr>
            <w:tcW w:w="262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31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26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0.52</w:t>
            </w:r>
          </w:p>
        </w:tc>
      </w:tr>
      <w:tr>
        <w:trPr>
          <w:trHeight w:val="715"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股东的净利润</w:t>
            </w:r>
          </w:p>
        </w:tc>
        <w:tc>
          <w:tcPr>
            <w:tcW w:w="26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0.44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365" w:right="0"/>
        <w:jc w:val="left"/>
        <w:rPr>
          <w:b w:val="0"/>
          <w:bCs w:val="0"/>
        </w:rPr>
      </w:pPr>
      <w:bookmarkStart w:name="_TOC_250000" w:id="337"/>
      <w:bookmarkStart w:name="第十三节备查文件目录" w:id="338"/>
      <w:r>
        <w:rPr>
          <w:b w:val="0"/>
          <w:bCs w:val="0"/>
        </w:rPr>
      </w:r>
      <w:r>
        <w:rPr/>
        <w:t>第十三节备查文件目录</w:t>
      </w:r>
      <w:bookmarkEnd w:id="337"/>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0"/>
        <w:jc w:val="left"/>
      </w:pPr>
      <w:r>
        <w:rPr>
          <w:spacing w:val="-3"/>
        </w:rPr>
        <w:t>一、载有法定代表人、财务负责人、财务报表编制人签名并盖章的会计报表。</w:t>
      </w:r>
      <w:r>
        <w:rPr>
          <w:spacing w:val="9"/>
        </w:rPr>
        <w:t> </w:t>
      </w:r>
      <w:r>
        <w:rPr>
          <w:spacing w:val="9"/>
        </w:rPr>
      </w:r>
      <w:r>
        <w:rPr>
          <w:spacing w:val="-3"/>
        </w:rPr>
        <w:t>二、载有会计师事务所盖章、注册会计师签名并盖章的审计报告原件。</w:t>
      </w:r>
      <w:r>
        <w:rPr>
          <w:spacing w:val="2"/>
        </w:rPr>
        <w:t> </w:t>
      </w:r>
      <w:r>
        <w:rPr>
          <w:spacing w:val="2"/>
        </w:rPr>
      </w:r>
      <w:r>
        <w:rPr>
          <w:spacing w:val="-3"/>
        </w:rPr>
        <w:t>三、报告期内在中国证监会指定信息披露网站上披露的所有公司文件的正本及公告的原稿。</w:t>
      </w:r>
      <w:r>
        <w:rPr>
          <w:spacing w:val="25"/>
        </w:rPr>
        <w:t> </w:t>
      </w:r>
      <w:r>
        <w:rPr>
          <w:spacing w:val="25"/>
        </w:rPr>
      </w:r>
      <w:r>
        <w:rPr>
          <w:spacing w:val="-3"/>
        </w:rPr>
        <w:t>以上备查文件的备置地点：公司董事会秘书办公室。</w:t>
      </w:r>
    </w:p>
    <w:sectPr>
      <w:pgSz w:w="11910" w:h="16840"/>
      <w:pgMar w:header="871"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1520" type="#_x0000_t75" stroked="false">
          <v:imagedata r:id="rId1" o:title=""/>
        </v:shape>
      </w:pict>
    </w:r>
    <w:r>
      <w:rPr/>
      <w:pict>
        <v:shape style="position:absolute;margin-left:533.190002pt;margin-top:795.661377pt;width:6.6pt;height:11.15pt;mso-position-horizontal-relative:page;mso-position-vertical-relative:page;z-index:-116149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0896" type="#_x0000_t75" stroked="false">
          <v:imagedata r:id="rId1" o:title=""/>
        </v:shape>
      </w:pict>
    </w:r>
    <w:r>
      <w:rPr/>
      <w:pict>
        <v:shape style="position:absolute;margin-left:523.309998pt;margin-top:781.957336pt;width:17.7pt;height:11.15pt;mso-position-horizontal-relative:page;mso-position-vertical-relative:page;z-index:-116087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159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0848" type="#_x0000_t75" stroked="false">
          <v:imagedata r:id="rId1" o:title=""/>
        </v:shape>
      </w:pict>
    </w:r>
    <w:r>
      <w:rPr/>
      <w:pict>
        <v:shape style="position:absolute;margin-left:523.309998pt;margin-top:781.957336pt;width:16.7pt;height:11.15pt;mso-position-horizontal-relative:page;mso-position-vertical-relative:page;z-index:-11608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19</w:t>
                </w:r>
                <w:r>
                  <w:rPr/>
                  <w:fldChar w:fldCharType="end"/>
                </w:r>
                <w:r>
                  <w:rPr>
                    <w:rFonts w:ascii="Times New Roman"/>
                  </w:rPr>
                  <w:t>9</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0800" type="#_x0000_t75" stroked="false">
          <v:imagedata r:id="rId1" o:title=""/>
        </v:shape>
      </w:pict>
    </w:r>
    <w:r>
      <w:rPr/>
      <w:pict>
        <v:shape style="position:absolute;margin-left:523.309998pt;margin-top:781.957336pt;width:17.7pt;height:11.15pt;mso-position-horizontal-relative:page;mso-position-vertical-relative:page;z-index:-11607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1472" type="#_x0000_t75" stroked="false">
          <v:imagedata r:id="rId1" o:title=""/>
        </v:shape>
      </w:pict>
    </w:r>
    <w:r>
      <w:rPr/>
      <w:pict>
        <v:shape style="position:absolute;margin-left:527.869995pt;margin-top:781.957336pt;width:13.15pt;height:11.15pt;mso-position-horizontal-relative:page;mso-position-vertical-relative:page;z-index:-116144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161376" type="#_x0000_t75" stroked="false">
          <v:imagedata r:id="rId1" o:title=""/>
        </v:shape>
      </w:pict>
    </w:r>
    <w:r>
      <w:rPr/>
      <w:pict>
        <v:shape style="position:absolute;margin-left:759.26001pt;margin-top:535.477417pt;width:13.15pt;height:11.15pt;mso-position-horizontal-relative:page;mso-position-vertical-relative:page;z-index:-116135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1256" type="#_x0000_t75" stroked="false">
          <v:imagedata r:id="rId1" o:title=""/>
        </v:shape>
      </w:pict>
    </w:r>
    <w:r>
      <w:rPr/>
      <w:pict>
        <v:shape style="position:absolute;margin-left:527.869995pt;margin-top:781.957336pt;width:13.15pt;height:11.15pt;mso-position-horizontal-relative:page;mso-position-vertical-relative:page;z-index:-11612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1208" type="#_x0000_t75" stroked="false">
          <v:imagedata r:id="rId1" o:title=""/>
        </v:shape>
      </w:pict>
    </w:r>
    <w:r>
      <w:rPr/>
      <w:pict>
        <v:shape style="position:absolute;margin-left:524.309998pt;margin-top:781.957336pt;width:15.7pt;height:11.15pt;mso-position-horizontal-relative:page;mso-position-vertical-relative:page;z-index:-1161184"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1160" type="#_x0000_t75" stroked="false">
          <v:imagedata r:id="rId1" o:title=""/>
        </v:shape>
      </w:pict>
    </w:r>
    <w:r>
      <w:rPr/>
      <w:pict>
        <v:shape style="position:absolute;margin-left:523.309998pt;margin-top:781.957336pt;width:17.7pt;height:11.15pt;mso-position-horizontal-relative:page;mso-position-vertical-relative:page;z-index:-11611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161088" type="#_x0000_t75" stroked="false">
          <v:imagedata r:id="rId1" o:title=""/>
        </v:shape>
      </w:pict>
    </w:r>
    <w:r>
      <w:rPr/>
      <w:pict>
        <v:shape style="position:absolute;margin-left:754.700012pt;margin-top:535.477417pt;width:17.7pt;height:11.15pt;mso-position-horizontal-relative:page;mso-position-vertical-relative:page;z-index:-116106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0992" type="#_x0000_t75" stroked="false">
          <v:imagedata r:id="rId1" o:title=""/>
        </v:shape>
      </w:pict>
    </w:r>
    <w:r>
      <w:rPr/>
      <w:pict>
        <v:shape style="position:absolute;margin-left:523.309998pt;margin-top:781.957336pt;width:17.7pt;height:11.15pt;mso-position-horizontal-relative:page;mso-position-vertical-relative:page;z-index:-11609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0944" type="#_x0000_t75" stroked="false">
          <v:imagedata r:id="rId1" o:title=""/>
        </v:shape>
      </w:pict>
    </w:r>
    <w:r>
      <w:rPr/>
      <w:pict>
        <v:shape style="position:absolute;margin-left:523.309998pt;margin-top:781.957336pt;width:17.7pt;height:11.15pt;mso-position-horizontal-relative:page;mso-position-vertical-relative:page;z-index:-116092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151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062485pt;width:204.9pt;height:11.65pt;mso-position-horizontal-relative:page;mso-position-vertical-relative:page;z-index:-1161544" type="#_x0000_t202" filled="false" stroked="false">
          <v:textbox inset="0,0,0,0">
            <w:txbxContent>
              <w:p>
                <w:pPr>
                  <w:pStyle w:val="BodyText"/>
                  <w:spacing w:line="216" w:lineRule="exact"/>
                  <w:ind w:left="20" w:right="0"/>
                  <w:jc w:val="left"/>
                </w:pPr>
                <w:r>
                  <w:rPr/>
                  <w:t>北京东方通科技股份有限公司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30029pt;margin-top:42.542511pt;width:204.85pt;height:11.65pt;mso-position-horizontal-relative:page;mso-position-vertical-relative:page;z-index:-1161424" type="#_x0000_t202" filled="false" stroked="false">
          <v:textbox inset="0,0,0,0">
            <w:txbxContent>
              <w:p>
                <w:pPr>
                  <w:pStyle w:val="BodyText"/>
                  <w:spacing w:line="216" w:lineRule="exact"/>
                  <w:ind w:left="20" w:right="0"/>
                  <w:jc w:val="left"/>
                </w:pPr>
                <w:r>
                  <w:rPr/>
                  <w:t>北京东方通科技股份有限公司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r>
      <w:rPr/>
      <w:pict>
        <v:shape style="position:absolute;margin-left:89.024002pt;margin-top:59.102512pt;width:281.2pt;height:11.65pt;mso-position-horizontal-relative:page;mso-position-vertical-relative:page;z-index:-1161400" type="#_x0000_t202" filled="false" stroked="false">
          <v:textbox inset="0,0,0,0">
            <w:txbxContent>
              <w:p>
                <w:pPr>
                  <w:pStyle w:val="BodyText"/>
                  <w:spacing w:line="216" w:lineRule="exact"/>
                  <w:ind w:left="20" w:right="0"/>
                  <w:jc w:val="left"/>
                </w:pPr>
                <w:r>
                  <w:rPr>
                    <w:spacing w:val="-3"/>
                  </w:rPr>
                  <w:t>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日，公司及全资子公司拥有软件著作权情况如下表：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30029pt;margin-top:42.542511pt;width:204.85pt;height:11.65pt;mso-position-horizontal-relative:page;mso-position-vertical-relative:page;z-index:-1161328" type="#_x0000_t202" filled="false" stroked="false">
          <v:textbox inset="0,0,0,0">
            <w:txbxContent>
              <w:p>
                <w:pPr>
                  <w:pStyle w:val="BodyText"/>
                  <w:spacing w:line="216" w:lineRule="exact"/>
                  <w:ind w:left="20" w:right="0"/>
                  <w:jc w:val="left"/>
                </w:pPr>
                <w:r>
                  <w:rPr/>
                  <w:t>北京东方通科技股份有限公司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1613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19995pt;margin-top:42.542484pt;width:204.9pt;height:11.65pt;mso-position-horizontal-relative:page;mso-position-vertical-relative:page;z-index:-1161280" type="#_x0000_t202" filled="false" stroked="false">
          <v:textbox inset="0,0,0,0">
            <w:txbxContent>
              <w:p>
                <w:pPr>
                  <w:pStyle w:val="BodyText"/>
                  <w:spacing w:line="216" w:lineRule="exact"/>
                  <w:ind w:left="20" w:right="0"/>
                  <w:jc w:val="left"/>
                </w:pPr>
                <w:r>
                  <w:rPr/>
                  <w:t>北京东方通科技股份有限公司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30029pt;margin-top:42.542511pt;width:204.85pt;height:11.65pt;mso-position-horizontal-relative:page;mso-position-vertical-relative:page;z-index:-1161112" type="#_x0000_t202" filled="false" stroked="false">
          <v:textbox inset="0,0,0,0">
            <w:txbxContent>
              <w:p>
                <w:pPr>
                  <w:pStyle w:val="BodyText"/>
                  <w:spacing w:line="216" w:lineRule="exact"/>
                  <w:ind w:left="20" w:right="0"/>
                  <w:jc w:val="left"/>
                </w:pPr>
                <w:r>
                  <w:rPr/>
                  <w:t>北京东方通科技股份有限公司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16104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19995pt;margin-top:42.542484pt;width:204.9pt;height:11.65pt;mso-position-horizontal-relative:page;mso-position-vertical-relative:page;z-index:-1161016" type="#_x0000_t202" filled="false" stroked="false">
          <v:textbox inset="0,0,0,0">
            <w:txbxContent>
              <w:p>
                <w:pPr>
                  <w:pStyle w:val="BodyText"/>
                  <w:spacing w:line="216" w:lineRule="exact"/>
                  <w:ind w:left="20" w:right="0"/>
                  <w:jc w:val="left"/>
                </w:pPr>
                <w:r>
                  <w:rPr/>
                  <w:t>北京东方通科技股份有限公司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260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41"/>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spacing w:before="7"/>
      <w:ind w:left="153"/>
      <w:outlineLvl w:val="5"/>
    </w:pPr>
    <w:rPr>
      <w:rFonts w:ascii="宋体" w:hAnsi="宋体" w:eastAsia="宋体"/>
      <w:sz w:val="21"/>
      <w:szCs w:val="21"/>
    </w:rPr>
  </w:style>
  <w:style w:styleId="Heading6" w:type="paragraph">
    <w:name w:val="Heading 6"/>
    <w:basedOn w:val="Normal"/>
    <w:uiPriority w:val="1"/>
    <w:qFormat/>
    <w:pPr>
      <w:ind w:left="51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tongtech.com/" TargetMode="External"/><Relationship Id="rId10" Type="http://schemas.openxmlformats.org/officeDocument/2006/relationships/hyperlink" Target="mailto:tongtech@tongtech.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yperlink" Target="http://data.eastmoney.com/gdfx/" TargetMode="External"/><Relationship Id="rId38" Type="http://schemas.openxmlformats.org/officeDocument/2006/relationships/image" Target="media/image23.jpeg"/><Relationship Id="rId39" Type="http://schemas.openxmlformats.org/officeDocument/2006/relationships/footer" Target="footer5.xml"/><Relationship Id="rId40" Type="http://schemas.openxmlformats.org/officeDocument/2006/relationships/footer" Target="footer6.xml"/><Relationship Id="rId41" Type="http://schemas.openxmlformats.org/officeDocument/2006/relationships/header" Target="header5.xml"/><Relationship Id="rId42" Type="http://schemas.openxmlformats.org/officeDocument/2006/relationships/footer" Target="footer7.xml"/><Relationship Id="rId43" Type="http://schemas.openxmlformats.org/officeDocument/2006/relationships/header" Target="header6.xml"/><Relationship Id="rId44" Type="http://schemas.openxmlformats.org/officeDocument/2006/relationships/footer" Target="footer8.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北京东方通科技股份有限公司</dc:creator>
  <dc:title>北京东方通科技股份有限公司2019年年度报告全文</dc:title>
  <dcterms:created xsi:type="dcterms:W3CDTF">2020-05-19T22:13:38Z</dcterms:created>
  <dcterms:modified xsi:type="dcterms:W3CDTF">2020-05-19T22:13:38Z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